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ind w:left="0"/>
        <w:jc w:val="left"/>
        <w:rPr>
          <w:sz w:val="19"/>
        </w:rPr>
      </w:pPr>
    </w:p>
    <w:p>
      <w:pPr>
        <w:spacing w:line="240" w:lineRule="auto"/>
        <w:ind w:left="7605" w:right="0" w:firstLine="0"/>
        <w:rPr>
          <w:sz w:val="20"/>
        </w:rPr>
      </w:pPr>
      <w:r>
        <w:rPr>
          <w:sz w:val="20"/>
        </w:rPr>
        <w:drawing>
          <wp:inline distT="0" distB="0" distL="0" distR="0">
            <wp:extent cx="1047750" cy="10191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47750" cy="1019175"/>
                    </a:xfrm>
                    <a:prstGeom prst="rect">
                      <a:avLst/>
                    </a:prstGeom>
                  </pic:spPr>
                </pic:pic>
              </a:graphicData>
            </a:graphic>
          </wp:inline>
        </w:drawing>
      </w:r>
      <w:r>
        <w:rPr>
          <w:sz w:val="20"/>
        </w:rPr>
      </w:r>
    </w:p>
    <w:p>
      <w:pPr>
        <w:pStyle w:val="BodyText"/>
        <w:spacing w:before="0"/>
        <w:ind w:left="0"/>
        <w:jc w:val="left"/>
        <w:rPr>
          <w:sz w:val="20"/>
        </w:rPr>
      </w:pPr>
    </w:p>
    <w:p>
      <w:pPr>
        <w:pStyle w:val="BodyText"/>
        <w:spacing w:before="26"/>
        <w:ind w:left="0"/>
        <w:jc w:val="left"/>
        <w:rPr>
          <w:sz w:val="20"/>
        </w:rPr>
      </w:pPr>
      <w:r>
        <w:rPr>
          <w:sz w:val="20"/>
        </w:rPr>
        <w:drawing>
          <wp:anchor distT="0" distB="0" distL="0" distR="0" allowOverlap="1" layoutInCell="1" locked="0" behindDoc="1" simplePos="0" relativeHeight="487587840">
            <wp:simplePos x="0" y="0"/>
            <wp:positionH relativeFrom="page">
              <wp:posOffset>2724149</wp:posOffset>
            </wp:positionH>
            <wp:positionV relativeFrom="paragraph">
              <wp:posOffset>177812</wp:posOffset>
            </wp:positionV>
            <wp:extent cx="4063854" cy="5715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063854" cy="57150"/>
                    </a:xfrm>
                    <a:prstGeom prst="rect">
                      <a:avLst/>
                    </a:prstGeom>
                  </pic:spPr>
                </pic:pic>
              </a:graphicData>
            </a:graphic>
          </wp:anchor>
        </w:drawing>
      </w:r>
    </w:p>
    <w:p>
      <w:pPr>
        <w:spacing w:line="244" w:lineRule="auto" w:before="264"/>
        <w:ind w:left="3982" w:right="97" w:firstLine="325"/>
        <w:jc w:val="right"/>
        <w:rPr>
          <w:rFonts w:ascii="Arial"/>
          <w:sz w:val="55"/>
        </w:rPr>
      </w:pPr>
      <w:r>
        <w:rPr>
          <w:rFonts w:ascii="Arial"/>
          <w:sz w:val="55"/>
        </w:rPr>
        <w:t>Reproductive</w:t>
      </w:r>
      <w:r>
        <w:rPr>
          <w:rFonts w:ascii="Arial"/>
          <w:spacing w:val="-38"/>
          <w:sz w:val="55"/>
        </w:rPr>
        <w:t> </w:t>
      </w:r>
      <w:r>
        <w:rPr>
          <w:rFonts w:ascii="Arial"/>
          <w:sz w:val="55"/>
        </w:rPr>
        <w:t>Aging, </w:t>
      </w:r>
      <w:r>
        <w:rPr>
          <w:rFonts w:ascii="Arial"/>
          <w:spacing w:val="-2"/>
          <w:sz w:val="55"/>
        </w:rPr>
        <w:t>Nomenclature, Endocrinology, Symptomatology,</w:t>
      </w:r>
      <w:r>
        <w:rPr>
          <w:rFonts w:ascii="Arial"/>
          <w:spacing w:val="-27"/>
          <w:sz w:val="55"/>
        </w:rPr>
        <w:t> </w:t>
      </w:r>
      <w:r>
        <w:rPr>
          <w:rFonts w:ascii="Arial"/>
          <w:spacing w:val="-5"/>
          <w:sz w:val="55"/>
        </w:rPr>
        <w:t>and</w:t>
      </w:r>
    </w:p>
    <w:p>
      <w:pPr>
        <w:spacing w:line="632" w:lineRule="exact" w:before="0"/>
        <w:ind w:left="22" w:right="97" w:firstLine="0"/>
        <w:jc w:val="right"/>
        <w:rPr>
          <w:rFonts w:ascii="Arial"/>
          <w:sz w:val="55"/>
        </w:rPr>
      </w:pPr>
      <w:r>
        <w:rPr>
          <w:rFonts w:ascii="Arial"/>
          <w:sz w:val="55"/>
        </w:rPr>
        <mc:AlternateContent>
          <mc:Choice Requires="wps">
            <w:drawing>
              <wp:anchor distT="0" distB="0" distL="0" distR="0" allowOverlap="1" layoutInCell="1" locked="0" behindDoc="0" simplePos="0" relativeHeight="15729664">
                <wp:simplePos x="0" y="0"/>
                <wp:positionH relativeFrom="page">
                  <wp:posOffset>981075</wp:posOffset>
                </wp:positionH>
                <wp:positionV relativeFrom="paragraph">
                  <wp:posOffset>-2025256</wp:posOffset>
                </wp:positionV>
                <wp:extent cx="647700" cy="7239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7700" cy="723900"/>
                        </a:xfrm>
                        <a:prstGeom prst="rect">
                          <a:avLst/>
                        </a:prstGeom>
                        <a:solidFill>
                          <a:srgbClr val="297E6E"/>
                        </a:solidFill>
                      </wps:spPr>
                      <wps:txbx>
                        <w:txbxContent>
                          <w:p>
                            <w:pPr>
                              <w:spacing w:before="277"/>
                              <w:ind w:left="174" w:right="0" w:firstLine="0"/>
                              <w:jc w:val="left"/>
                              <w:rPr>
                                <w:rFonts w:ascii="Arial"/>
                                <w:color w:val="000000"/>
                                <w:sz w:val="60"/>
                              </w:rPr>
                            </w:pPr>
                            <w:r>
                              <w:rPr>
                                <w:rFonts w:ascii="Arial"/>
                                <w:color w:val="FFFFFF"/>
                                <w:spacing w:val="-5"/>
                                <w:sz w:val="60"/>
                              </w:rPr>
                              <w:t>21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25pt;margin-top:-159.46904pt;width:51pt;height:57pt;mso-position-horizontal-relative:page;mso-position-vertical-relative:paragraph;z-index:15729664" type="#_x0000_t202" id="docshape1" filled="true" fillcolor="#297e6e" stroked="false">
                <v:textbox inset="0,0,0,0">
                  <w:txbxContent>
                    <w:p>
                      <w:pPr>
                        <w:spacing w:before="277"/>
                        <w:ind w:left="174" w:right="0" w:firstLine="0"/>
                        <w:jc w:val="left"/>
                        <w:rPr>
                          <w:rFonts w:ascii="Arial"/>
                          <w:color w:val="000000"/>
                          <w:sz w:val="60"/>
                        </w:rPr>
                      </w:pPr>
                      <w:r>
                        <w:rPr>
                          <w:rFonts w:ascii="Arial"/>
                          <w:color w:val="FFFFFF"/>
                          <w:spacing w:val="-5"/>
                          <w:sz w:val="60"/>
                        </w:rPr>
                        <w:t>21</w:t>
                      </w:r>
                    </w:p>
                  </w:txbxContent>
                </v:textbox>
                <v:fill type="solid"/>
                <w10:wrap type="none"/>
              </v:shape>
            </w:pict>
          </mc:Fallback>
        </mc:AlternateContent>
      </w:r>
      <w:r>
        <w:rPr>
          <w:rFonts w:ascii="Arial"/>
          <w:spacing w:val="-2"/>
          <w:sz w:val="55"/>
        </w:rPr>
        <w:t>Implications</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34"/>
        <w:ind w:left="0"/>
        <w:jc w:val="left"/>
        <w:rPr>
          <w:rFonts w:ascii="Arial"/>
          <w:sz w:val="20"/>
        </w:rPr>
      </w:pPr>
      <w:r>
        <w:rPr>
          <w:rFonts w:ascii="Arial"/>
          <w:sz w:val="20"/>
        </w:rPr>
        <mc:AlternateContent>
          <mc:Choice Requires="wps">
            <w:drawing>
              <wp:anchor distT="0" distB="0" distL="0" distR="0" allowOverlap="1" layoutInCell="1" locked="0" behindDoc="1" simplePos="0" relativeHeight="487588352">
                <wp:simplePos x="0" y="0"/>
                <wp:positionH relativeFrom="page">
                  <wp:posOffset>981075</wp:posOffset>
                </wp:positionH>
                <wp:positionV relativeFrom="paragraph">
                  <wp:posOffset>183306</wp:posOffset>
                </wp:positionV>
                <wp:extent cx="5810250" cy="42862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810250" cy="428625"/>
                        </a:xfrm>
                        <a:prstGeom prst="rect">
                          <a:avLst/>
                        </a:prstGeom>
                        <a:solidFill>
                          <a:srgbClr val="2B816F"/>
                        </a:solidFill>
                      </wps:spPr>
                      <wps:txbx>
                        <w:txbxContent>
                          <w:p>
                            <w:pPr>
                              <w:spacing w:before="140"/>
                              <w:ind w:left="197" w:right="0" w:firstLine="0"/>
                              <w:jc w:val="left"/>
                              <w:rPr>
                                <w:rFonts w:ascii="Arial"/>
                                <w:b/>
                                <w:color w:val="000000"/>
                                <w:sz w:val="33"/>
                              </w:rPr>
                            </w:pPr>
                            <w:r>
                              <w:rPr>
                                <w:rFonts w:ascii="Arial"/>
                                <w:b/>
                                <w:color w:val="FFFFFF"/>
                                <w:spacing w:val="-2"/>
                                <w:sz w:val="33"/>
                              </w:rPr>
                              <w:t>INTRODUCTION</w:t>
                            </w:r>
                          </w:p>
                        </w:txbxContent>
                      </wps:txbx>
                      <wps:bodyPr wrap="square" lIns="0" tIns="0" rIns="0" bIns="0" rtlCol="0">
                        <a:noAutofit/>
                      </wps:bodyPr>
                    </wps:wsp>
                  </a:graphicData>
                </a:graphic>
              </wp:anchor>
            </w:drawing>
          </mc:Choice>
          <mc:Fallback>
            <w:pict>
              <v:shape style="position:absolute;margin-left:77.25pt;margin-top:14.433549pt;width:457.5pt;height:33.75pt;mso-position-horizontal-relative:page;mso-position-vertical-relative:paragraph;z-index:-15728128;mso-wrap-distance-left:0;mso-wrap-distance-right:0" type="#_x0000_t202" id="docshape2" filled="true" fillcolor="#2b816f" stroked="false">
                <v:textbox inset="0,0,0,0">
                  <w:txbxContent>
                    <w:p>
                      <w:pPr>
                        <w:spacing w:before="140"/>
                        <w:ind w:left="197" w:right="0" w:firstLine="0"/>
                        <w:jc w:val="left"/>
                        <w:rPr>
                          <w:rFonts w:ascii="Arial"/>
                          <w:b/>
                          <w:color w:val="000000"/>
                          <w:sz w:val="33"/>
                        </w:rPr>
                      </w:pPr>
                      <w:r>
                        <w:rPr>
                          <w:rFonts w:ascii="Arial"/>
                          <w:b/>
                          <w:color w:val="FFFFFF"/>
                          <w:spacing w:val="-2"/>
                          <w:sz w:val="33"/>
                        </w:rPr>
                        <w:t>INTRODUCTION</w:t>
                      </w:r>
                    </w:p>
                  </w:txbxContent>
                </v:textbox>
                <v:fill type="solid"/>
                <w10:wrap type="topAndBottom"/>
              </v:shape>
            </w:pict>
          </mc:Fallback>
        </mc:AlternateContent>
      </w:r>
    </w:p>
    <w:p>
      <w:pPr>
        <w:pStyle w:val="BodyText"/>
        <w:spacing w:line="249" w:lineRule="auto" w:before="185"/>
        <w:ind w:right="100"/>
      </w:pPr>
      <w:r>
        <w:rPr/>
        <w:t>Throughout recorded history, multiple physical and mental conditions have been attributed to menopause. Although medical writers often wrote colorfully in the past, unfortunately they were also less than accurate, unencumbered by scientific information and data, and often approached reproductive aging and menopause as a “disorder” rather than as a normal phase along the continuum of aging. A good example of the </w:t>
      </w:r>
      <w:r>
        <w:rPr/>
        <w:t>stereotypical, inaccurate thinking promulgated over the years is the following statement, which dates back to 1887</w:t>
      </w:r>
      <w:r>
        <w:rPr>
          <w:vertAlign w:val="superscript"/>
        </w:rPr>
        <w:t>1</w:t>
      </w:r>
      <w:r>
        <w:rPr>
          <w:vertAlign w:val="baseline"/>
        </w:rPr>
        <w:t>:</w:t>
      </w:r>
    </w:p>
    <w:p>
      <w:pPr>
        <w:spacing w:line="249" w:lineRule="auto" w:before="9"/>
        <w:ind w:left="99" w:right="100" w:firstLine="450"/>
        <w:jc w:val="both"/>
        <w:rPr>
          <w:i/>
          <w:sz w:val="30"/>
        </w:rPr>
      </w:pPr>
      <w:r>
        <w:rPr>
          <w:i/>
          <w:sz w:val="30"/>
        </w:rPr>
        <w:t>The ovaries, after long years of service, have not the ability of retiring</w:t>
      </w:r>
      <w:r>
        <w:rPr>
          <w:i/>
          <w:sz w:val="30"/>
        </w:rPr>
        <w:t> in graceful old age, but become irritated, transmit their irritation to the abdominal</w:t>
      </w:r>
      <w:r>
        <w:rPr>
          <w:i/>
          <w:spacing w:val="48"/>
          <w:w w:val="150"/>
          <w:sz w:val="30"/>
        </w:rPr>
        <w:t> </w:t>
      </w:r>
      <w:r>
        <w:rPr>
          <w:i/>
          <w:sz w:val="30"/>
        </w:rPr>
        <w:t>ganglia,</w:t>
      </w:r>
      <w:r>
        <w:rPr>
          <w:i/>
          <w:spacing w:val="51"/>
          <w:w w:val="150"/>
          <w:sz w:val="30"/>
        </w:rPr>
        <w:t> </w:t>
      </w:r>
      <w:r>
        <w:rPr>
          <w:i/>
          <w:sz w:val="30"/>
        </w:rPr>
        <w:t>which</w:t>
      </w:r>
      <w:r>
        <w:rPr>
          <w:i/>
          <w:spacing w:val="50"/>
          <w:w w:val="150"/>
          <w:sz w:val="30"/>
        </w:rPr>
        <w:t> </w:t>
      </w:r>
      <w:r>
        <w:rPr>
          <w:i/>
          <w:sz w:val="30"/>
        </w:rPr>
        <w:t>in</w:t>
      </w:r>
      <w:r>
        <w:rPr>
          <w:i/>
          <w:spacing w:val="51"/>
          <w:w w:val="150"/>
          <w:sz w:val="30"/>
        </w:rPr>
        <w:t> </w:t>
      </w:r>
      <w:r>
        <w:rPr>
          <w:i/>
          <w:sz w:val="30"/>
        </w:rPr>
        <w:t>turn</w:t>
      </w:r>
      <w:r>
        <w:rPr>
          <w:i/>
          <w:spacing w:val="50"/>
          <w:w w:val="150"/>
          <w:sz w:val="30"/>
        </w:rPr>
        <w:t> </w:t>
      </w:r>
      <w:r>
        <w:rPr>
          <w:i/>
          <w:sz w:val="30"/>
        </w:rPr>
        <w:t>transmit</w:t>
      </w:r>
      <w:r>
        <w:rPr>
          <w:i/>
          <w:spacing w:val="51"/>
          <w:w w:val="150"/>
          <w:sz w:val="30"/>
        </w:rPr>
        <w:t> </w:t>
      </w:r>
      <w:r>
        <w:rPr>
          <w:i/>
          <w:sz w:val="30"/>
        </w:rPr>
        <w:t>the</w:t>
      </w:r>
      <w:r>
        <w:rPr>
          <w:i/>
          <w:spacing w:val="50"/>
          <w:w w:val="150"/>
          <w:sz w:val="30"/>
        </w:rPr>
        <w:t> </w:t>
      </w:r>
      <w:r>
        <w:rPr>
          <w:i/>
          <w:sz w:val="30"/>
        </w:rPr>
        <w:t>irritation</w:t>
      </w:r>
      <w:r>
        <w:rPr>
          <w:i/>
          <w:spacing w:val="51"/>
          <w:w w:val="150"/>
          <w:sz w:val="30"/>
        </w:rPr>
        <w:t> </w:t>
      </w:r>
      <w:r>
        <w:rPr>
          <w:i/>
          <w:sz w:val="30"/>
        </w:rPr>
        <w:t>to</w:t>
      </w:r>
      <w:r>
        <w:rPr>
          <w:i/>
          <w:spacing w:val="50"/>
          <w:w w:val="150"/>
          <w:sz w:val="30"/>
        </w:rPr>
        <w:t> </w:t>
      </w:r>
      <w:r>
        <w:rPr>
          <w:i/>
          <w:sz w:val="30"/>
        </w:rPr>
        <w:t>the</w:t>
      </w:r>
      <w:r>
        <w:rPr>
          <w:i/>
          <w:spacing w:val="51"/>
          <w:w w:val="150"/>
          <w:sz w:val="30"/>
        </w:rPr>
        <w:t> </w:t>
      </w:r>
      <w:r>
        <w:rPr>
          <w:i/>
          <w:spacing w:val="-2"/>
          <w:sz w:val="30"/>
        </w:rPr>
        <w:t>brain,</w:t>
      </w:r>
    </w:p>
    <w:p>
      <w:pPr>
        <w:spacing w:after="0" w:line="249" w:lineRule="auto"/>
        <w:jc w:val="both"/>
        <w:rPr>
          <w:i/>
          <w:sz w:val="30"/>
        </w:rPr>
        <w:sectPr>
          <w:type w:val="continuous"/>
          <w:pgSz w:w="12240" w:h="15840"/>
          <w:pgMar w:top="1820" w:bottom="280" w:left="1440" w:right="1440"/>
        </w:sectPr>
      </w:pPr>
    </w:p>
    <w:p>
      <w:pPr>
        <w:spacing w:line="249" w:lineRule="auto" w:before="65"/>
        <w:ind w:left="99" w:right="101" w:firstLine="0"/>
        <w:jc w:val="both"/>
        <w:rPr>
          <w:sz w:val="30"/>
        </w:rPr>
      </w:pPr>
      <w:r>
        <w:rPr>
          <w:i/>
          <w:sz w:val="30"/>
        </w:rPr>
        <w:t>producing disturbances in the cerebral tissue exhibiting themselves </w:t>
      </w:r>
      <w:r>
        <w:rPr>
          <w:i/>
          <w:sz w:val="30"/>
        </w:rPr>
        <w:t>in</w:t>
      </w:r>
      <w:r>
        <w:rPr>
          <w:i/>
          <w:sz w:val="30"/>
        </w:rPr>
        <w:t> extreme nervousness or in an outburst of actual insanity</w:t>
      </w:r>
      <w:r>
        <w:rPr>
          <w:sz w:val="30"/>
        </w:rPr>
        <w:t>.</w:t>
      </w:r>
    </w:p>
    <w:p>
      <w:pPr>
        <w:pStyle w:val="BodyText"/>
        <w:spacing w:line="249" w:lineRule="auto" w:before="2"/>
        <w:ind w:right="98" w:firstLine="450"/>
      </w:pPr>
      <w:r>
        <w:rPr/>
        <w:t>The belief that behavioral disturbances are related to manifestations </w:t>
      </w:r>
      <w:r>
        <w:rPr/>
        <w:t>of the female reproductive system is an ancient one that has persisted to contemporary times. Happenings such as aging-related illness or disability (or even death) in a spouse, relative, or friend; retirement from</w:t>
      </w:r>
      <w:r>
        <w:rPr>
          <w:spacing w:val="40"/>
        </w:rPr>
        <w:t> </w:t>
      </w:r>
      <w:r>
        <w:rPr/>
        <w:t>employment; financial insecurity; the need to provide care for very old parents and relatives; separation from children all likely underlie perceptions that associate the middle years of life with negative</w:t>
      </w:r>
      <w:r>
        <w:rPr>
          <w:spacing w:val="40"/>
        </w:rPr>
        <w:t> </w:t>
      </w:r>
      <w:r>
        <w:rPr/>
        <w:t>experiences, and problems arising from life events have often been erroneously attributed to the menopause.</w:t>
      </w:r>
    </w:p>
    <w:p>
      <w:pPr>
        <w:pStyle w:val="BodyText"/>
        <w:spacing w:line="249" w:lineRule="auto" w:before="11"/>
        <w:ind w:right="99" w:firstLine="450"/>
      </w:pPr>
      <w:r>
        <w:rPr/>
        <w:t>The scientific study of all aspects of menstruation has been </w:t>
      </w:r>
      <w:r>
        <w:rPr/>
        <w:t>hampered</w:t>
      </w:r>
      <w:r>
        <w:rPr>
          <w:spacing w:val="40"/>
        </w:rPr>
        <w:t> </w:t>
      </w:r>
      <w:r>
        <w:rPr/>
        <w:t>by the overpowering influence of social and cultural beliefs and traditions. Problems arising from life events have often been erroneously attributed to menopause. Regrettably, not just societal perspectives, but also health care providers may be culpable in the perpetuation of this negative narrative of menopause,</w:t>
      </w:r>
      <w:r>
        <w:rPr>
          <w:spacing w:val="-3"/>
        </w:rPr>
        <w:t> </w:t>
      </w:r>
      <w:r>
        <w:rPr/>
        <w:t>as</w:t>
      </w:r>
      <w:r>
        <w:rPr>
          <w:spacing w:val="-3"/>
        </w:rPr>
        <w:t> </w:t>
      </w:r>
      <w:r>
        <w:rPr/>
        <w:t>only</w:t>
      </w:r>
      <w:r>
        <w:rPr>
          <w:spacing w:val="-3"/>
        </w:rPr>
        <w:t> </w:t>
      </w:r>
      <w:r>
        <w:rPr/>
        <w:t>patients</w:t>
      </w:r>
      <w:r>
        <w:rPr>
          <w:spacing w:val="-3"/>
        </w:rPr>
        <w:t> </w:t>
      </w:r>
      <w:r>
        <w:rPr/>
        <w:t>with</w:t>
      </w:r>
      <w:r>
        <w:rPr>
          <w:spacing w:val="-3"/>
        </w:rPr>
        <w:t> </w:t>
      </w:r>
      <w:r>
        <w:rPr/>
        <w:t>bothersome</w:t>
      </w:r>
      <w:r>
        <w:rPr>
          <w:spacing w:val="-3"/>
        </w:rPr>
        <w:t> </w:t>
      </w:r>
      <w:r>
        <w:rPr/>
        <w:t>symptoms</w:t>
      </w:r>
      <w:r>
        <w:rPr>
          <w:spacing w:val="-3"/>
        </w:rPr>
        <w:t> </w:t>
      </w:r>
      <w:r>
        <w:rPr/>
        <w:t>come</w:t>
      </w:r>
      <w:r>
        <w:rPr>
          <w:spacing w:val="-3"/>
        </w:rPr>
        <w:t> </w:t>
      </w:r>
      <w:r>
        <w:rPr/>
        <w:t>seeking</w:t>
      </w:r>
      <w:r>
        <w:rPr>
          <w:spacing w:val="-3"/>
        </w:rPr>
        <w:t> </w:t>
      </w:r>
      <w:r>
        <w:rPr/>
        <w:t>help, with resulting sample bias adding to the distorted understanding of reality. However, robust data from reliable community-based longitudinal studies establish that the increase in most symptoms and problems in middle-aged women reflects social and personal circumstances, not the endocrine events of menopause.</w:t>
      </w:r>
      <w:r>
        <w:rPr>
          <w:vertAlign w:val="superscript"/>
        </w:rPr>
        <w:t>2-11</w:t>
      </w:r>
      <w:r>
        <w:rPr>
          <w:vertAlign w:val="baseline"/>
        </w:rPr>
        <w:t> The variability in menopausal reactions makes the cross-sectional study design particularly unsuitable. Longitudinal studies are better for documenting what is normal and the variations around normal.</w:t>
      </w:r>
    </w:p>
    <w:p>
      <w:pPr>
        <w:pStyle w:val="BodyText"/>
        <w:spacing w:line="249" w:lineRule="auto" w:before="16"/>
        <w:ind w:right="98" w:firstLine="450"/>
      </w:pPr>
      <w:r>
        <w:rPr/>
        <w:t>It is important to stress the normalcy of reproductive aging, with the final menstrual period (FMP) marking a physiologic watershed between reproductive and postreproductive phases of life. Longitudinal data </w:t>
      </w:r>
      <w:r>
        <w:rPr/>
        <w:t>have identified a relevance of societal, cultural, and personal perspectives for the severity of symptom burden that has long been attributable to reproductive aging in middle-aged women, and that the cessation of menses following menopause had almost no impact on subsequent physical and mental health.</w:t>
      </w:r>
      <w:r>
        <w:rPr>
          <w:vertAlign w:val="superscript"/>
        </w:rPr>
        <w:t>2-12</w:t>
      </w:r>
      <w:r>
        <w:rPr>
          <w:vertAlign w:val="baseline"/>
        </w:rPr>
        <w:t> The Massachusetts Women’s Health Study, a large and comprehensive prospective, longitudinal study of middle-aged women, provides a powerful argument that the menopause is not and should not be viewed as a negative experience by the vast majority of women.</w:t>
      </w:r>
      <w:r>
        <w:rPr>
          <w:vertAlign w:val="superscript"/>
        </w:rPr>
        <w:t>3,12</w:t>
      </w:r>
      <w:r>
        <w:rPr>
          <w:vertAlign w:val="baseline"/>
        </w:rPr>
        <w:t> The cessation</w:t>
      </w:r>
      <w:r>
        <w:rPr>
          <w:spacing w:val="13"/>
          <w:vertAlign w:val="baseline"/>
        </w:rPr>
        <w:t> </w:t>
      </w:r>
      <w:r>
        <w:rPr>
          <w:vertAlign w:val="baseline"/>
        </w:rPr>
        <w:t>of</w:t>
      </w:r>
      <w:r>
        <w:rPr>
          <w:spacing w:val="13"/>
          <w:vertAlign w:val="baseline"/>
        </w:rPr>
        <w:t> </w:t>
      </w:r>
      <w:r>
        <w:rPr>
          <w:vertAlign w:val="baseline"/>
        </w:rPr>
        <w:t>menses</w:t>
      </w:r>
      <w:r>
        <w:rPr>
          <w:spacing w:val="13"/>
          <w:vertAlign w:val="baseline"/>
        </w:rPr>
        <w:t> </w:t>
      </w:r>
      <w:r>
        <w:rPr>
          <w:vertAlign w:val="baseline"/>
        </w:rPr>
        <w:t>was</w:t>
      </w:r>
      <w:r>
        <w:rPr>
          <w:spacing w:val="13"/>
          <w:vertAlign w:val="baseline"/>
        </w:rPr>
        <w:t> </w:t>
      </w:r>
      <w:r>
        <w:rPr>
          <w:vertAlign w:val="baseline"/>
        </w:rPr>
        <w:t>perceived</w:t>
      </w:r>
      <w:r>
        <w:rPr>
          <w:spacing w:val="13"/>
          <w:vertAlign w:val="baseline"/>
        </w:rPr>
        <w:t> </w:t>
      </w:r>
      <w:r>
        <w:rPr>
          <w:vertAlign w:val="baseline"/>
        </w:rPr>
        <w:t>by</w:t>
      </w:r>
      <w:r>
        <w:rPr>
          <w:spacing w:val="13"/>
          <w:vertAlign w:val="baseline"/>
        </w:rPr>
        <w:t> </w:t>
      </w:r>
      <w:r>
        <w:rPr>
          <w:vertAlign w:val="baseline"/>
        </w:rPr>
        <w:t>these</w:t>
      </w:r>
      <w:r>
        <w:rPr>
          <w:spacing w:val="13"/>
          <w:vertAlign w:val="baseline"/>
        </w:rPr>
        <w:t> </w:t>
      </w:r>
      <w:r>
        <w:rPr>
          <w:vertAlign w:val="baseline"/>
        </w:rPr>
        <w:t>women</w:t>
      </w:r>
      <w:r>
        <w:rPr>
          <w:spacing w:val="13"/>
          <w:vertAlign w:val="baseline"/>
        </w:rPr>
        <w:t> </w:t>
      </w:r>
      <w:r>
        <w:rPr>
          <w:vertAlign w:val="baseline"/>
        </w:rPr>
        <w:t>(similarly</w:t>
      </w:r>
      <w:r>
        <w:rPr>
          <w:spacing w:val="13"/>
          <w:vertAlign w:val="baseline"/>
        </w:rPr>
        <w:t> </w:t>
      </w:r>
      <w:r>
        <w:rPr>
          <w:vertAlign w:val="baseline"/>
        </w:rPr>
        <w:t>to</w:t>
      </w:r>
      <w:r>
        <w:rPr>
          <w:spacing w:val="13"/>
          <w:vertAlign w:val="baseline"/>
        </w:rPr>
        <w:t> </w:t>
      </w:r>
      <w:r>
        <w:rPr>
          <w:vertAlign w:val="baseline"/>
        </w:rPr>
        <w:t>women</w:t>
      </w:r>
      <w:r>
        <w:rPr>
          <w:spacing w:val="13"/>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97"/>
      </w:pPr>
      <w:r>
        <w:rPr/>
        <w:t>other longitudinal studies) as having almost no impact on </w:t>
      </w:r>
      <w:r>
        <w:rPr/>
        <w:t>subsequent physical and mental health. This was reflected by women expressing either positive or neutral feelings about menopause. An exception was the group of women who experienced surgical menopause, but there is good reason to believe</w:t>
      </w:r>
      <w:r>
        <w:rPr>
          <w:spacing w:val="-3"/>
        </w:rPr>
        <w:t> </w:t>
      </w:r>
      <w:r>
        <w:rPr/>
        <w:t>that</w:t>
      </w:r>
      <w:r>
        <w:rPr>
          <w:spacing w:val="-3"/>
        </w:rPr>
        <w:t> </w:t>
      </w:r>
      <w:r>
        <w:rPr/>
        <w:t>the</w:t>
      </w:r>
      <w:r>
        <w:rPr>
          <w:spacing w:val="-3"/>
        </w:rPr>
        <w:t> </w:t>
      </w:r>
      <w:r>
        <w:rPr/>
        <w:t>reasons</w:t>
      </w:r>
      <w:r>
        <w:rPr>
          <w:spacing w:val="-3"/>
        </w:rPr>
        <w:t> </w:t>
      </w:r>
      <w:r>
        <w:rPr/>
        <w:t>for</w:t>
      </w:r>
      <w:r>
        <w:rPr>
          <w:spacing w:val="-3"/>
        </w:rPr>
        <w:t> </w:t>
      </w:r>
      <w:r>
        <w:rPr/>
        <w:t>the</w:t>
      </w:r>
      <w:r>
        <w:rPr>
          <w:spacing w:val="-3"/>
        </w:rPr>
        <w:t> </w:t>
      </w:r>
      <w:r>
        <w:rPr/>
        <w:t>surgical</w:t>
      </w:r>
      <w:r>
        <w:rPr>
          <w:spacing w:val="-3"/>
        </w:rPr>
        <w:t> </w:t>
      </w:r>
      <w:r>
        <w:rPr/>
        <w:t>procedure</w:t>
      </w:r>
      <w:r>
        <w:rPr>
          <w:spacing w:val="-3"/>
        </w:rPr>
        <w:t> </w:t>
      </w:r>
      <w:r>
        <w:rPr/>
        <w:t>were</w:t>
      </w:r>
      <w:r>
        <w:rPr>
          <w:spacing w:val="-3"/>
        </w:rPr>
        <w:t> </w:t>
      </w:r>
      <w:r>
        <w:rPr/>
        <w:t>more</w:t>
      </w:r>
      <w:r>
        <w:rPr>
          <w:spacing w:val="-3"/>
        </w:rPr>
        <w:t> </w:t>
      </w:r>
      <w:r>
        <w:rPr/>
        <w:t>important</w:t>
      </w:r>
      <w:r>
        <w:rPr>
          <w:spacing w:val="-3"/>
        </w:rPr>
        <w:t> </w:t>
      </w:r>
      <w:r>
        <w:rPr/>
        <w:t>than the cessation of menses.</w:t>
      </w:r>
    </w:p>
    <w:p>
      <w:pPr>
        <w:pStyle w:val="BodyText"/>
        <w:spacing w:line="249" w:lineRule="auto" w:before="7"/>
        <w:ind w:right="98" w:firstLine="450"/>
      </w:pPr>
      <w:r>
        <w:rPr/>
        <w:t>Changes in menstrual function are not symbols of some ominous “change.” There are good physiologic reasons for changing menstrual function, and understanding the physiology will do much to reinforce a healthy, normal attitude.</w:t>
      </w:r>
      <w:r>
        <w:rPr>
          <w:spacing w:val="-1"/>
        </w:rPr>
        <w:t> </w:t>
      </w:r>
      <w:r>
        <w:rPr/>
        <w:t>Attitude and expectations about the menopause are very important. Women who have been frequent users of health services</w:t>
      </w:r>
      <w:r>
        <w:rPr>
          <w:spacing w:val="40"/>
        </w:rPr>
        <w:t> </w:t>
      </w:r>
      <w:r>
        <w:rPr/>
        <w:t>and who expect to have difficulty do experience greater symptoms and higher</w:t>
      </w:r>
      <w:r>
        <w:rPr>
          <w:spacing w:val="-1"/>
        </w:rPr>
        <w:t> </w:t>
      </w:r>
      <w:r>
        <w:rPr/>
        <w:t>levels</w:t>
      </w:r>
      <w:r>
        <w:rPr>
          <w:spacing w:val="-1"/>
        </w:rPr>
        <w:t> </w:t>
      </w:r>
      <w:r>
        <w:rPr/>
        <w:t>of</w:t>
      </w:r>
      <w:r>
        <w:rPr>
          <w:spacing w:val="-1"/>
        </w:rPr>
        <w:t> </w:t>
      </w:r>
      <w:r>
        <w:rPr/>
        <w:t>depression.</w:t>
      </w:r>
      <w:r>
        <w:rPr>
          <w:vertAlign w:val="superscript"/>
        </w:rPr>
        <w:t>4,8,9</w:t>
      </w:r>
      <w:r>
        <w:rPr>
          <w:spacing w:val="-2"/>
          <w:vertAlign w:val="baseline"/>
        </w:rPr>
        <w:t> </w:t>
      </w:r>
      <w:r>
        <w:rPr>
          <w:vertAlign w:val="baseline"/>
        </w:rPr>
        <w:t>The</w:t>
      </w:r>
      <w:r>
        <w:rPr>
          <w:spacing w:val="-2"/>
          <w:vertAlign w:val="baseline"/>
        </w:rPr>
        <w:t> </w:t>
      </w:r>
      <w:r>
        <w:rPr>
          <w:vertAlign w:val="baseline"/>
        </w:rPr>
        <w:t>symptoms</w:t>
      </w:r>
      <w:r>
        <w:rPr>
          <w:spacing w:val="-2"/>
          <w:vertAlign w:val="baseline"/>
        </w:rPr>
        <w:t> </w:t>
      </w:r>
      <w:r>
        <w:rPr>
          <w:vertAlign w:val="baseline"/>
        </w:rPr>
        <w:t>that</w:t>
      </w:r>
      <w:r>
        <w:rPr>
          <w:spacing w:val="-2"/>
          <w:vertAlign w:val="baseline"/>
        </w:rPr>
        <w:t> </w:t>
      </w:r>
      <w:r>
        <w:rPr>
          <w:vertAlign w:val="baseline"/>
        </w:rPr>
        <w:t>women</w:t>
      </w:r>
      <w:r>
        <w:rPr>
          <w:spacing w:val="-2"/>
          <w:vertAlign w:val="baseline"/>
        </w:rPr>
        <w:t> </w:t>
      </w:r>
      <w:r>
        <w:rPr>
          <w:vertAlign w:val="baseline"/>
        </w:rPr>
        <w:t>report</w:t>
      </w:r>
      <w:r>
        <w:rPr>
          <w:spacing w:val="-2"/>
          <w:vertAlign w:val="baseline"/>
        </w:rPr>
        <w:t> </w:t>
      </w:r>
      <w:r>
        <w:rPr>
          <w:vertAlign w:val="baseline"/>
        </w:rPr>
        <w:t>are</w:t>
      </w:r>
      <w:r>
        <w:rPr>
          <w:spacing w:val="-2"/>
          <w:vertAlign w:val="baseline"/>
        </w:rPr>
        <w:t> </w:t>
      </w:r>
      <w:r>
        <w:rPr>
          <w:vertAlign w:val="baseline"/>
        </w:rPr>
        <w:t>related to</w:t>
      </w:r>
      <w:r>
        <w:rPr>
          <w:spacing w:val="-1"/>
          <w:vertAlign w:val="baseline"/>
        </w:rPr>
        <w:t> </w:t>
      </w:r>
      <w:r>
        <w:rPr>
          <w:vertAlign w:val="baseline"/>
        </w:rPr>
        <w:t>many</w:t>
      </w:r>
      <w:r>
        <w:rPr>
          <w:spacing w:val="-1"/>
          <w:vertAlign w:val="baseline"/>
        </w:rPr>
        <w:t> </w:t>
      </w:r>
      <w:r>
        <w:rPr>
          <w:vertAlign w:val="baseline"/>
        </w:rPr>
        <w:t>variables</w:t>
      </w:r>
      <w:r>
        <w:rPr>
          <w:spacing w:val="-1"/>
          <w:vertAlign w:val="baseline"/>
        </w:rPr>
        <w:t> </w:t>
      </w:r>
      <w:r>
        <w:rPr>
          <w:vertAlign w:val="baseline"/>
        </w:rPr>
        <w:t>within</w:t>
      </w:r>
      <w:r>
        <w:rPr>
          <w:spacing w:val="-1"/>
          <w:vertAlign w:val="baseline"/>
        </w:rPr>
        <w:t> </w:t>
      </w:r>
      <w:r>
        <w:rPr>
          <w:vertAlign w:val="baseline"/>
        </w:rPr>
        <w:t>their</w:t>
      </w:r>
      <w:r>
        <w:rPr>
          <w:spacing w:val="-1"/>
          <w:vertAlign w:val="baseline"/>
        </w:rPr>
        <w:t> </w:t>
      </w:r>
      <w:r>
        <w:rPr>
          <w:vertAlign w:val="baseline"/>
        </w:rPr>
        <w:t>lives,</w:t>
      </w:r>
      <w:r>
        <w:rPr>
          <w:spacing w:val="-1"/>
          <w:vertAlign w:val="baseline"/>
        </w:rPr>
        <w:t> </w:t>
      </w:r>
      <w:r>
        <w:rPr>
          <w:vertAlign w:val="baseline"/>
        </w:rPr>
        <w:t>and</w:t>
      </w:r>
      <w:r>
        <w:rPr>
          <w:spacing w:val="-1"/>
          <w:vertAlign w:val="baseline"/>
        </w:rPr>
        <w:t> </w:t>
      </w:r>
      <w:r>
        <w:rPr>
          <w:vertAlign w:val="baseline"/>
        </w:rPr>
        <w:t>the</w:t>
      </w:r>
      <w:r>
        <w:rPr>
          <w:spacing w:val="-1"/>
          <w:vertAlign w:val="baseline"/>
        </w:rPr>
        <w:t> </w:t>
      </w:r>
      <w:r>
        <w:rPr>
          <w:vertAlign w:val="baseline"/>
        </w:rPr>
        <w:t>hormonal</w:t>
      </w:r>
      <w:r>
        <w:rPr>
          <w:spacing w:val="-1"/>
          <w:vertAlign w:val="baseline"/>
        </w:rPr>
        <w:t> </w:t>
      </w:r>
      <w:r>
        <w:rPr>
          <w:vertAlign w:val="baseline"/>
        </w:rPr>
        <w:t>change</w:t>
      </w:r>
      <w:r>
        <w:rPr>
          <w:spacing w:val="-1"/>
          <w:vertAlign w:val="baseline"/>
        </w:rPr>
        <w:t> </w:t>
      </w:r>
      <w:r>
        <w:rPr>
          <w:vertAlign w:val="baseline"/>
        </w:rPr>
        <w:t>at</w:t>
      </w:r>
      <w:r>
        <w:rPr>
          <w:spacing w:val="-1"/>
          <w:vertAlign w:val="baseline"/>
        </w:rPr>
        <w:t> </w:t>
      </w:r>
      <w:r>
        <w:rPr>
          <w:vertAlign w:val="baseline"/>
        </w:rPr>
        <w:t>menopause cannot be held responsible for the common psychosocial and lifestyle problems we all experience. It is important to stress the normalcy of this physiologic event. Menopause is not a disorder or a disease, and postmenopausal hormone therapy should be viewed as a specific strategy for management of symptoms in the short term for many, and as preventive pharmacology in the long term for some.</w:t>
      </w:r>
    </w:p>
    <w:p>
      <w:pPr>
        <w:pStyle w:val="BodyText"/>
        <w:spacing w:before="0"/>
        <w:ind w:left="0"/>
        <w:jc w:val="left"/>
        <w:rPr>
          <w:sz w:val="20"/>
        </w:rPr>
      </w:pPr>
    </w:p>
    <w:p>
      <w:pPr>
        <w:pStyle w:val="BodyText"/>
        <w:spacing w:before="128"/>
        <w:ind w:left="0"/>
        <w:jc w:val="left"/>
        <w:rPr>
          <w:sz w:val="20"/>
        </w:rPr>
      </w:pPr>
      <w:r>
        <w:rPr>
          <w:sz w:val="20"/>
        </w:rPr>
        <w:drawing>
          <wp:anchor distT="0" distB="0" distL="0" distR="0" allowOverlap="1" layoutInCell="1" locked="0" behindDoc="1" simplePos="0" relativeHeight="487589376">
            <wp:simplePos x="0" y="0"/>
            <wp:positionH relativeFrom="page">
              <wp:posOffset>981075</wp:posOffset>
            </wp:positionH>
            <wp:positionV relativeFrom="paragraph">
              <wp:posOffset>242969</wp:posOffset>
            </wp:positionV>
            <wp:extent cx="5836396" cy="267900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836396" cy="2679001"/>
                    </a:xfrm>
                    <a:prstGeom prst="rect">
                      <a:avLst/>
                    </a:prstGeom>
                  </pic:spPr>
                </pic:pic>
              </a:graphicData>
            </a:graphic>
          </wp:anchor>
        </w:drawing>
      </w:r>
    </w:p>
    <w:p>
      <w:pPr>
        <w:pStyle w:val="BodyText"/>
        <w:spacing w:before="0"/>
        <w:ind w:left="0"/>
        <w:jc w:val="left"/>
        <w:rPr>
          <w:sz w:val="20"/>
        </w:rPr>
      </w:pPr>
    </w:p>
    <w:p>
      <w:pPr>
        <w:pStyle w:val="BodyText"/>
        <w:spacing w:before="0"/>
        <w:ind w:left="0"/>
        <w:jc w:val="left"/>
        <w:rPr>
          <w:sz w:val="20"/>
        </w:rPr>
      </w:pPr>
    </w:p>
    <w:p>
      <w:pPr>
        <w:pStyle w:val="BodyText"/>
        <w:spacing w:before="77"/>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981075</wp:posOffset>
                </wp:positionH>
                <wp:positionV relativeFrom="paragraph">
                  <wp:posOffset>210273</wp:posOffset>
                </wp:positionV>
                <wp:extent cx="856615" cy="571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856615" cy="57150"/>
                        </a:xfrm>
                        <a:custGeom>
                          <a:avLst/>
                          <a:gdLst/>
                          <a:ahLst/>
                          <a:cxnLst/>
                          <a:rect l="l" t="t" r="r" b="b"/>
                          <a:pathLst>
                            <a:path w="856615" h="57150">
                              <a:moveTo>
                                <a:pt x="32364" y="57148"/>
                              </a:moveTo>
                              <a:lnTo>
                                <a:pt x="24785" y="57148"/>
                              </a:lnTo>
                              <a:lnTo>
                                <a:pt x="21140" y="56422"/>
                              </a:lnTo>
                              <a:lnTo>
                                <a:pt x="0" y="32363"/>
                              </a:lnTo>
                              <a:lnTo>
                                <a:pt x="0" y="24782"/>
                              </a:lnTo>
                              <a:lnTo>
                                <a:pt x="24785" y="0"/>
                              </a:lnTo>
                              <a:lnTo>
                                <a:pt x="32364" y="0"/>
                              </a:lnTo>
                              <a:lnTo>
                                <a:pt x="57149" y="24782"/>
                              </a:lnTo>
                              <a:lnTo>
                                <a:pt x="57149" y="32363"/>
                              </a:lnTo>
                              <a:lnTo>
                                <a:pt x="32364" y="57148"/>
                              </a:lnTo>
                              <a:close/>
                            </a:path>
                            <a:path w="856615" h="57150">
                              <a:moveTo>
                                <a:pt x="146569" y="57148"/>
                              </a:moveTo>
                              <a:lnTo>
                                <a:pt x="138990" y="57148"/>
                              </a:lnTo>
                              <a:lnTo>
                                <a:pt x="135345" y="56422"/>
                              </a:lnTo>
                              <a:lnTo>
                                <a:pt x="114204" y="32363"/>
                              </a:lnTo>
                              <a:lnTo>
                                <a:pt x="114204" y="24782"/>
                              </a:lnTo>
                              <a:lnTo>
                                <a:pt x="138990" y="0"/>
                              </a:lnTo>
                              <a:lnTo>
                                <a:pt x="146569" y="0"/>
                              </a:lnTo>
                              <a:lnTo>
                                <a:pt x="171354" y="24782"/>
                              </a:lnTo>
                              <a:lnTo>
                                <a:pt x="171354" y="32363"/>
                              </a:lnTo>
                              <a:lnTo>
                                <a:pt x="146569" y="57148"/>
                              </a:lnTo>
                              <a:close/>
                            </a:path>
                            <a:path w="856615" h="57150">
                              <a:moveTo>
                                <a:pt x="260773" y="57148"/>
                              </a:moveTo>
                              <a:lnTo>
                                <a:pt x="253195" y="57148"/>
                              </a:lnTo>
                              <a:lnTo>
                                <a:pt x="249550" y="56422"/>
                              </a:lnTo>
                              <a:lnTo>
                                <a:pt x="228409" y="32363"/>
                              </a:lnTo>
                              <a:lnTo>
                                <a:pt x="228409" y="24782"/>
                              </a:lnTo>
                              <a:lnTo>
                                <a:pt x="253195" y="0"/>
                              </a:lnTo>
                              <a:lnTo>
                                <a:pt x="260773" y="0"/>
                              </a:lnTo>
                              <a:lnTo>
                                <a:pt x="285559" y="24782"/>
                              </a:lnTo>
                              <a:lnTo>
                                <a:pt x="285559" y="32363"/>
                              </a:lnTo>
                              <a:lnTo>
                                <a:pt x="260773" y="57148"/>
                              </a:lnTo>
                              <a:close/>
                            </a:path>
                            <a:path w="856615" h="57150">
                              <a:moveTo>
                                <a:pt x="374978" y="57148"/>
                              </a:moveTo>
                              <a:lnTo>
                                <a:pt x="367399" y="57148"/>
                              </a:lnTo>
                              <a:lnTo>
                                <a:pt x="363754" y="56422"/>
                              </a:lnTo>
                              <a:lnTo>
                                <a:pt x="342614" y="32363"/>
                              </a:lnTo>
                              <a:lnTo>
                                <a:pt x="342614" y="24782"/>
                              </a:lnTo>
                              <a:lnTo>
                                <a:pt x="367399" y="0"/>
                              </a:lnTo>
                              <a:lnTo>
                                <a:pt x="374978" y="0"/>
                              </a:lnTo>
                              <a:lnTo>
                                <a:pt x="399764" y="24782"/>
                              </a:lnTo>
                              <a:lnTo>
                                <a:pt x="399764" y="32363"/>
                              </a:lnTo>
                              <a:lnTo>
                                <a:pt x="374978" y="57148"/>
                              </a:lnTo>
                              <a:close/>
                            </a:path>
                            <a:path w="856615" h="57150">
                              <a:moveTo>
                                <a:pt x="489183" y="57148"/>
                              </a:moveTo>
                              <a:lnTo>
                                <a:pt x="481604" y="57148"/>
                              </a:lnTo>
                              <a:lnTo>
                                <a:pt x="477959" y="56422"/>
                              </a:lnTo>
                              <a:lnTo>
                                <a:pt x="456818" y="32363"/>
                              </a:lnTo>
                              <a:lnTo>
                                <a:pt x="456818" y="24782"/>
                              </a:lnTo>
                              <a:lnTo>
                                <a:pt x="481604" y="0"/>
                              </a:lnTo>
                              <a:lnTo>
                                <a:pt x="489183" y="0"/>
                              </a:lnTo>
                              <a:lnTo>
                                <a:pt x="513968" y="24782"/>
                              </a:lnTo>
                              <a:lnTo>
                                <a:pt x="513968" y="32363"/>
                              </a:lnTo>
                              <a:lnTo>
                                <a:pt x="489183" y="57148"/>
                              </a:lnTo>
                              <a:close/>
                            </a:path>
                            <a:path w="856615" h="57150">
                              <a:moveTo>
                                <a:pt x="603387" y="57148"/>
                              </a:moveTo>
                              <a:lnTo>
                                <a:pt x="595809" y="57148"/>
                              </a:lnTo>
                              <a:lnTo>
                                <a:pt x="592164" y="56422"/>
                              </a:lnTo>
                              <a:lnTo>
                                <a:pt x="571023" y="32363"/>
                              </a:lnTo>
                              <a:lnTo>
                                <a:pt x="571023" y="24782"/>
                              </a:lnTo>
                              <a:lnTo>
                                <a:pt x="595809" y="0"/>
                              </a:lnTo>
                              <a:lnTo>
                                <a:pt x="603387" y="0"/>
                              </a:lnTo>
                              <a:lnTo>
                                <a:pt x="628173" y="24782"/>
                              </a:lnTo>
                              <a:lnTo>
                                <a:pt x="628173" y="32363"/>
                              </a:lnTo>
                              <a:lnTo>
                                <a:pt x="603387" y="57148"/>
                              </a:lnTo>
                              <a:close/>
                            </a:path>
                            <a:path w="856615" h="57150">
                              <a:moveTo>
                                <a:pt x="717592" y="57148"/>
                              </a:moveTo>
                              <a:lnTo>
                                <a:pt x="710014" y="57148"/>
                              </a:lnTo>
                              <a:lnTo>
                                <a:pt x="706369" y="56422"/>
                              </a:lnTo>
                              <a:lnTo>
                                <a:pt x="685228" y="32363"/>
                              </a:lnTo>
                              <a:lnTo>
                                <a:pt x="685228" y="24782"/>
                              </a:lnTo>
                              <a:lnTo>
                                <a:pt x="710014" y="0"/>
                              </a:lnTo>
                              <a:lnTo>
                                <a:pt x="717592" y="0"/>
                              </a:lnTo>
                              <a:lnTo>
                                <a:pt x="742378" y="24782"/>
                              </a:lnTo>
                              <a:lnTo>
                                <a:pt x="742378" y="32363"/>
                              </a:lnTo>
                              <a:lnTo>
                                <a:pt x="717592" y="57148"/>
                              </a:lnTo>
                              <a:close/>
                            </a:path>
                            <a:path w="856615" h="57150">
                              <a:moveTo>
                                <a:pt x="831797" y="57148"/>
                              </a:moveTo>
                              <a:lnTo>
                                <a:pt x="824218" y="57148"/>
                              </a:lnTo>
                              <a:lnTo>
                                <a:pt x="820573" y="56422"/>
                              </a:lnTo>
                              <a:lnTo>
                                <a:pt x="799433" y="32363"/>
                              </a:lnTo>
                              <a:lnTo>
                                <a:pt x="799433" y="24782"/>
                              </a:lnTo>
                              <a:lnTo>
                                <a:pt x="824218" y="0"/>
                              </a:lnTo>
                              <a:lnTo>
                                <a:pt x="831797" y="0"/>
                              </a:lnTo>
                              <a:lnTo>
                                <a:pt x="856583" y="24782"/>
                              </a:lnTo>
                              <a:lnTo>
                                <a:pt x="856583" y="32363"/>
                              </a:lnTo>
                              <a:lnTo>
                                <a:pt x="831797" y="57148"/>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6.556946pt;width:67.45pt;height:4.5pt;mso-position-horizontal-relative:page;mso-position-vertical-relative:paragraph;z-index:-15726592;mso-wrap-distance-left:0;mso-wrap-distance-right:0" id="docshape3" coordorigin="1545,331" coordsize="1349,90" path="m1596,421l1584,421,1578,420,1567,415,1562,412,1554,404,1551,399,1546,388,1545,382,1545,370,1546,364,1551,353,1554,349,1562,340,1567,337,1578,332,1584,331,1596,331,1602,332,1613,337,1618,340,1626,349,1629,353,1634,364,1635,370,1635,382,1634,388,1629,399,1626,404,1618,412,1613,415,1602,420,1596,421xm1776,421l1764,421,1758,420,1747,415,1742,412,1734,404,1731,399,1726,388,1725,382,1725,370,1726,364,1731,353,1734,349,1742,340,1747,337,1758,332,1764,331,1776,331,1782,332,1793,337,1797,340,1806,349,1809,353,1814,364,1815,370,1815,382,1814,388,1809,399,1806,404,1797,412,1793,415,1782,420,1776,421xm1956,421l1944,421,1938,420,1927,415,1922,412,1914,404,1910,399,1906,388,1905,382,1905,370,1906,364,1910,353,1914,349,1922,340,1927,337,1938,332,1944,331,1956,331,1961,332,1972,337,1977,340,1986,349,1989,353,1994,364,1995,370,1995,382,1994,388,1989,399,1986,404,1977,412,1972,415,1961,420,1956,421xm2136,421l2124,421,2118,420,2107,415,2102,412,2094,404,2090,399,2086,388,2085,382,2085,370,2086,364,2090,353,2094,349,2102,340,2107,337,2118,332,2124,331,2136,331,2141,332,2152,337,2157,340,2166,349,2169,353,2173,364,2175,370,2175,382,2173,388,2169,399,2166,404,2157,412,2152,415,2141,420,2136,421xm2315,421l2303,421,2298,420,2287,415,2282,412,2273,404,2270,399,2266,388,2264,382,2264,370,2266,364,2270,353,2273,349,2282,340,2287,337,2298,332,2303,331,2315,331,2321,332,2332,337,2337,340,2345,349,2349,353,2353,364,2354,370,2354,382,2353,388,2349,399,2345,404,2337,412,2332,415,2321,420,2315,421xm2495,421l2483,421,2478,420,2467,415,2462,412,2453,404,2450,399,2445,388,2444,382,2444,370,2445,364,2450,353,2453,349,2462,340,2467,337,2478,332,2483,331,2495,331,2501,332,2512,337,2517,340,2525,349,2529,353,2533,364,2534,370,2534,382,2533,388,2529,399,2525,404,2517,412,2512,415,2501,420,2495,421xm2675,421l2663,421,2657,420,2646,415,2641,412,2633,404,2630,399,2625,388,2624,382,2624,370,2625,364,2630,353,2633,349,2641,340,2646,337,2657,332,2663,331,2675,331,2681,332,2692,337,2697,340,2705,349,2708,353,2713,364,2714,370,2714,382,2713,388,2708,399,2705,404,2697,412,2692,415,2681,420,2675,421xm2855,421l2843,421,2837,420,2826,415,2821,412,2813,404,2810,399,2805,388,2804,382,2804,370,2805,364,2810,353,2813,349,2821,340,2826,337,2837,332,2843,331,2855,331,2861,332,2872,337,2877,340,2885,349,2888,353,2893,364,2894,370,2894,382,2893,388,2888,399,2885,404,2877,412,2872,415,2861,420,2855,421xe" filled="true" fillcolor="#2b816f" stroked="false">
                <v:path arrowok="t"/>
                <v:fill type="solid"/>
                <w10:wrap type="topAndBottom"/>
              </v:shape>
            </w:pict>
          </mc:Fallback>
        </mc:AlternateContent>
      </w:r>
    </w:p>
    <w:p>
      <w:pPr>
        <w:pStyle w:val="BodyText"/>
        <w:spacing w:after="0"/>
        <w:jc w:val="left"/>
        <w:rPr>
          <w:sz w:val="20"/>
        </w:rPr>
        <w:sectPr>
          <w:pgSz w:w="12240" w:h="15840"/>
          <w:pgMar w:top="1380" w:bottom="280" w:left="1440" w:right="1440"/>
        </w:sectPr>
      </w:pPr>
    </w:p>
    <w:p>
      <w:pPr>
        <w:spacing w:line="256" w:lineRule="auto" w:before="83"/>
        <w:ind w:left="99" w:right="255" w:firstLine="0"/>
        <w:jc w:val="left"/>
        <w:rPr>
          <w:sz w:val="22"/>
        </w:rPr>
      </w:pPr>
      <w:r>
        <w:rPr>
          <w:rFonts w:ascii="Arial" w:hAnsi="Arial"/>
          <w:b/>
          <w:color w:val="2B816F"/>
          <w:sz w:val="22"/>
        </w:rPr>
        <w:t>FIGURE 21.1 </w:t>
      </w:r>
      <w:r>
        <w:rPr>
          <w:sz w:val="22"/>
        </w:rPr>
        <w:t>After Cope E. Physical changes associated with the post-menopausal years. In: Campbell S, ed. </w:t>
      </w:r>
      <w:r>
        <w:rPr>
          <w:i/>
          <w:sz w:val="22"/>
        </w:rPr>
        <w:t>The Management of the Menopause &amp; Post-Menopausal Years</w:t>
      </w:r>
      <w:r>
        <w:rPr>
          <w:sz w:val="22"/>
        </w:rPr>
        <w:t>. University </w:t>
      </w:r>
      <w:r>
        <w:rPr>
          <w:sz w:val="22"/>
        </w:rPr>
        <w:t>Park Press; 1976:33. Copyright © 1976 MTP Press Limited.</w:t>
      </w:r>
    </w:p>
    <w:p>
      <w:pPr>
        <w:pStyle w:val="BodyText"/>
        <w:spacing w:before="195"/>
        <w:ind w:left="0"/>
        <w:jc w:val="left"/>
        <w:rPr>
          <w:sz w:val="22"/>
        </w:rPr>
      </w:pPr>
    </w:p>
    <w:p>
      <w:pPr>
        <w:pStyle w:val="BodyText"/>
        <w:spacing w:line="249" w:lineRule="auto" w:before="1"/>
        <w:ind w:right="100" w:firstLine="450"/>
      </w:pPr>
      <w:r>
        <w:rPr/>
        <w:t>It can be further argued that physicians have had a biased </w:t>
      </w:r>
      <w:r>
        <w:rPr/>
        <w:t>(negative) point of view because the majority of women, being healthy and happy, do not seek contact with physicians.</w:t>
      </w:r>
      <w:r>
        <w:rPr>
          <w:vertAlign w:val="superscript"/>
        </w:rPr>
        <w:t>13,14</w:t>
      </w:r>
      <w:r>
        <w:rPr>
          <w:vertAlign w:val="baseline"/>
        </w:rPr>
        <w:t> It is vital, therefore, that clinicians are not only familiar with the facts relative to the menopause but also have an appropriate attitude and philosophy regarding this period of life. Medical intervention at this point of life should be regarded as an opportunity to provide and reinforce a program of preventive health care. The issues of preventive health care for women are familiar ones. They include family planning, cessation of smoking, control of body weight and alcohol consumption,</w:t>
      </w:r>
      <w:r>
        <w:rPr>
          <w:spacing w:val="-3"/>
          <w:vertAlign w:val="baseline"/>
        </w:rPr>
        <w:t> </w:t>
      </w:r>
      <w:r>
        <w:rPr>
          <w:vertAlign w:val="baseline"/>
        </w:rPr>
        <w:t>prevention</w:t>
      </w:r>
      <w:r>
        <w:rPr>
          <w:spacing w:val="-3"/>
          <w:vertAlign w:val="baseline"/>
        </w:rPr>
        <w:t> </w:t>
      </w:r>
      <w:r>
        <w:rPr>
          <w:vertAlign w:val="baseline"/>
        </w:rPr>
        <w:t>of</w:t>
      </w:r>
      <w:r>
        <w:rPr>
          <w:spacing w:val="-3"/>
          <w:vertAlign w:val="baseline"/>
        </w:rPr>
        <w:t> </w:t>
      </w:r>
      <w:r>
        <w:rPr>
          <w:vertAlign w:val="baseline"/>
        </w:rPr>
        <w:t>cardiovascular</w:t>
      </w:r>
      <w:r>
        <w:rPr>
          <w:spacing w:val="-3"/>
          <w:vertAlign w:val="baseline"/>
        </w:rPr>
        <w:t> </w:t>
      </w:r>
      <w:r>
        <w:rPr>
          <w:vertAlign w:val="baseline"/>
        </w:rPr>
        <w:t>disease</w:t>
      </w:r>
      <w:r>
        <w:rPr>
          <w:spacing w:val="-3"/>
          <w:vertAlign w:val="baseline"/>
        </w:rPr>
        <w:t> </w:t>
      </w:r>
      <w:r>
        <w:rPr>
          <w:vertAlign w:val="baseline"/>
        </w:rPr>
        <w:t>(CVD)</w:t>
      </w:r>
      <w:r>
        <w:rPr>
          <w:spacing w:val="-3"/>
          <w:vertAlign w:val="baseline"/>
        </w:rPr>
        <w:t> </w:t>
      </w:r>
      <w:r>
        <w:rPr>
          <w:vertAlign w:val="baseline"/>
        </w:rPr>
        <w:t>and</w:t>
      </w:r>
      <w:r>
        <w:rPr>
          <w:spacing w:val="-3"/>
          <w:vertAlign w:val="baseline"/>
        </w:rPr>
        <w:t> </w:t>
      </w:r>
      <w:r>
        <w:rPr>
          <w:vertAlign w:val="baseline"/>
        </w:rPr>
        <w:t>osteoporosis, maintenance of mental well-being (including sexuality), cancer screening, and treatment of urologic problems.</w:t>
      </w:r>
    </w:p>
    <w:p>
      <w:pPr>
        <w:pStyle w:val="BodyText"/>
        <w:spacing w:before="0"/>
        <w:ind w:left="0"/>
        <w:jc w:val="left"/>
        <w:rPr>
          <w:sz w:val="20"/>
        </w:rPr>
      </w:pPr>
    </w:p>
    <w:p>
      <w:pPr>
        <w:pStyle w:val="BodyText"/>
        <w:spacing w:before="125"/>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981075</wp:posOffset>
                </wp:positionH>
                <wp:positionV relativeFrom="paragraph">
                  <wp:posOffset>241160</wp:posOffset>
                </wp:positionV>
                <wp:extent cx="285750" cy="571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85750" cy="57150"/>
                        </a:xfrm>
                        <a:custGeom>
                          <a:avLst/>
                          <a:gdLst/>
                          <a:ahLst/>
                          <a:cxnLst/>
                          <a:rect l="l" t="t" r="r" b="b"/>
                          <a:pathLst>
                            <a:path w="285750" h="57150">
                              <a:moveTo>
                                <a:pt x="32364" y="57148"/>
                              </a:moveTo>
                              <a:lnTo>
                                <a:pt x="24785" y="57148"/>
                              </a:lnTo>
                              <a:lnTo>
                                <a:pt x="21140" y="56422"/>
                              </a:lnTo>
                              <a:lnTo>
                                <a:pt x="0" y="32363"/>
                              </a:lnTo>
                              <a:lnTo>
                                <a:pt x="0" y="24782"/>
                              </a:lnTo>
                              <a:lnTo>
                                <a:pt x="24785" y="0"/>
                              </a:lnTo>
                              <a:lnTo>
                                <a:pt x="32364" y="0"/>
                              </a:lnTo>
                              <a:lnTo>
                                <a:pt x="57149" y="24782"/>
                              </a:lnTo>
                              <a:lnTo>
                                <a:pt x="57149" y="32363"/>
                              </a:lnTo>
                              <a:lnTo>
                                <a:pt x="32364" y="57148"/>
                              </a:lnTo>
                              <a:close/>
                            </a:path>
                            <a:path w="285750" h="57150">
                              <a:moveTo>
                                <a:pt x="146569" y="57148"/>
                              </a:moveTo>
                              <a:lnTo>
                                <a:pt x="138990" y="57148"/>
                              </a:lnTo>
                              <a:lnTo>
                                <a:pt x="135345" y="56422"/>
                              </a:lnTo>
                              <a:lnTo>
                                <a:pt x="114204" y="32363"/>
                              </a:lnTo>
                              <a:lnTo>
                                <a:pt x="114204" y="24782"/>
                              </a:lnTo>
                              <a:lnTo>
                                <a:pt x="138990" y="0"/>
                              </a:lnTo>
                              <a:lnTo>
                                <a:pt x="146569" y="0"/>
                              </a:lnTo>
                              <a:lnTo>
                                <a:pt x="171354" y="24782"/>
                              </a:lnTo>
                              <a:lnTo>
                                <a:pt x="171354" y="32363"/>
                              </a:lnTo>
                              <a:lnTo>
                                <a:pt x="146569" y="57148"/>
                              </a:lnTo>
                              <a:close/>
                            </a:path>
                            <a:path w="285750" h="57150">
                              <a:moveTo>
                                <a:pt x="260773" y="57148"/>
                              </a:moveTo>
                              <a:lnTo>
                                <a:pt x="253195" y="57148"/>
                              </a:lnTo>
                              <a:lnTo>
                                <a:pt x="249550" y="56422"/>
                              </a:lnTo>
                              <a:lnTo>
                                <a:pt x="228409" y="32363"/>
                              </a:lnTo>
                              <a:lnTo>
                                <a:pt x="228409" y="24782"/>
                              </a:lnTo>
                              <a:lnTo>
                                <a:pt x="253195" y="0"/>
                              </a:lnTo>
                              <a:lnTo>
                                <a:pt x="260773" y="0"/>
                              </a:lnTo>
                              <a:lnTo>
                                <a:pt x="285559" y="24782"/>
                              </a:lnTo>
                              <a:lnTo>
                                <a:pt x="285559" y="32363"/>
                              </a:lnTo>
                              <a:lnTo>
                                <a:pt x="260773" y="57148"/>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89048pt;width:22.5pt;height:4.5pt;mso-position-horizontal-relative:page;mso-position-vertical-relative:paragraph;z-index:-15726080;mso-wrap-distance-left:0;mso-wrap-distance-right:0" id="docshape4" coordorigin="1545,380" coordsize="450,90" path="m1596,470l1584,470,1578,469,1567,464,1562,461,1554,452,1551,448,1546,436,1545,431,1545,419,1546,413,1551,402,1554,397,1562,389,1567,385,1578,381,1584,380,1596,380,1602,381,1613,385,1618,389,1626,397,1629,402,1634,413,1635,419,1635,431,1634,436,1629,448,1626,452,1618,461,1613,464,1602,469,1596,470xm1776,470l1764,470,1758,469,1747,464,1742,461,1734,452,1731,448,1726,436,1725,431,1725,419,1726,413,1731,402,1734,397,1742,389,1747,385,1758,381,1764,380,1776,380,1782,381,1793,385,1797,389,1806,397,1809,402,1814,413,1815,419,1815,431,1814,436,1809,448,1806,452,1797,461,1793,464,1782,469,1776,470xm1956,470l1944,470,1938,469,1927,464,1922,461,1914,452,1910,448,1906,436,1905,431,1905,419,1906,413,1910,402,1914,397,1922,389,1927,385,1938,381,1944,380,1956,380,1961,381,1972,385,1977,389,1986,397,1989,402,1994,413,1995,419,1995,431,1994,436,1989,448,1986,452,1977,461,1972,464,1961,469,1956,470xe" filled="true" fillcolor="#bdb4d4" stroked="false">
                <v:path arrowok="t"/>
                <v:fill type="solid"/>
                <w10:wrap type="topAndBottom"/>
              </v:shape>
            </w:pict>
          </mc:Fallback>
        </mc:AlternateContent>
      </w:r>
    </w:p>
    <w:p>
      <w:pPr>
        <w:pStyle w:val="Heading3"/>
      </w:pPr>
      <w:r>
        <w:rPr>
          <w:color w:val="534089"/>
        </w:rPr>
        <w:t>GROWTH OF THE OLDER </w:t>
      </w:r>
      <w:r>
        <w:rPr>
          <w:color w:val="534089"/>
          <w:spacing w:val="-2"/>
        </w:rPr>
        <w:t>POPULATION</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590912">
                <wp:simplePos x="0" y="0"/>
                <wp:positionH relativeFrom="page">
                  <wp:posOffset>981075</wp:posOffset>
                </wp:positionH>
                <wp:positionV relativeFrom="paragraph">
                  <wp:posOffset>45739</wp:posOffset>
                </wp:positionV>
                <wp:extent cx="5810250" cy="190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523pt;width:457.499964pt;height:1.5pt;mso-position-horizontal-relative:page;mso-position-vertical-relative:paragraph;z-index:-15725568;mso-wrap-distance-left:0;mso-wrap-distance-right:0" id="docshape5" filled="true" fillcolor="#534089" stroked="false">
                <v:fill type="solid"/>
                <w10:wrap type="topAndBottom"/>
              </v:rect>
            </w:pict>
          </mc:Fallback>
        </mc:AlternateContent>
      </w:r>
    </w:p>
    <w:p>
      <w:pPr>
        <w:pStyle w:val="BodyText"/>
        <w:spacing w:line="254" w:lineRule="auto" w:before="215"/>
        <w:ind w:right="99"/>
      </w:pPr>
      <w:r>
        <w:rPr/>
        <w:t>We are experiencing a relatively new phenomenon: </w:t>
      </w:r>
      <w:r>
        <w:rPr>
          <w:i/>
        </w:rPr>
        <w:t>we can expect to</w:t>
      </w:r>
      <w:r>
        <w:rPr>
          <w:i/>
        </w:rPr>
        <w:t> become old. </w:t>
      </w:r>
      <w:r>
        <w:rPr/>
        <w:t>We are on the verge of becoming a rectangular society in</w:t>
      </w:r>
      <w:r>
        <w:rPr>
          <w:spacing w:val="40"/>
        </w:rPr>
        <w:t> </w:t>
      </w:r>
      <w:r>
        <w:rPr/>
        <w:t>which nearly all individuals survive to advanced age. In 1,000 </w:t>
      </w:r>
      <w:r>
        <w:rPr>
          <w:sz w:val="16"/>
        </w:rPr>
        <w:t>BC</w:t>
      </w:r>
      <w:r>
        <w:rPr/>
        <w:t>, life expectancy was only 18 years. By 100 </w:t>
      </w:r>
      <w:r>
        <w:rPr>
          <w:sz w:val="16"/>
        </w:rPr>
        <w:t>BC</w:t>
      </w:r>
      <w:r>
        <w:rPr/>
        <w:t>, the times of Julius Caesar, it </w:t>
      </w:r>
      <w:r>
        <w:rPr/>
        <w:t>had reached</w:t>
      </w:r>
      <w:r>
        <w:rPr>
          <w:spacing w:val="-3"/>
        </w:rPr>
        <w:t> </w:t>
      </w:r>
      <w:r>
        <w:rPr/>
        <w:t>25</w:t>
      </w:r>
      <w:r>
        <w:rPr>
          <w:spacing w:val="-3"/>
        </w:rPr>
        <w:t> </w:t>
      </w:r>
      <w:r>
        <w:rPr/>
        <w:t>years.</w:t>
      </w:r>
      <w:r>
        <w:rPr>
          <w:spacing w:val="-4"/>
        </w:rPr>
        <w:t> </w:t>
      </w:r>
      <w:r>
        <w:rPr/>
        <w:t>In 1900, in the United States, life expectancy was only 49 years</w:t>
      </w:r>
      <w:r>
        <w:rPr>
          <w:spacing w:val="-4"/>
        </w:rPr>
        <w:t> </w:t>
      </w:r>
      <w:r>
        <w:rPr>
          <w:b/>
          <w:color w:val="256E60"/>
        </w:rPr>
        <w:t>(Figure</w:t>
      </w:r>
      <w:r>
        <w:rPr>
          <w:b/>
          <w:color w:val="256E60"/>
          <w:spacing w:val="-3"/>
        </w:rPr>
        <w:t> </w:t>
      </w:r>
      <w:r>
        <w:rPr>
          <w:b/>
          <w:color w:val="256E60"/>
        </w:rPr>
        <w:t>21.1)</w:t>
      </w:r>
      <w:r>
        <w:rPr/>
        <w:t>.</w:t>
      </w:r>
      <w:r>
        <w:rPr>
          <w:spacing w:val="-3"/>
        </w:rPr>
        <w:t> </w:t>
      </w:r>
      <w:r>
        <w:rPr/>
        <w:t>In 2005, the average life expectancy was 80.7 years for women</w:t>
      </w:r>
      <w:r>
        <w:rPr>
          <w:spacing w:val="-6"/>
        </w:rPr>
        <w:t> </w:t>
      </w:r>
      <w:r>
        <w:rPr/>
        <w:t>and</w:t>
      </w:r>
      <w:r>
        <w:rPr>
          <w:spacing w:val="-6"/>
        </w:rPr>
        <w:t> </w:t>
      </w:r>
      <w:r>
        <w:rPr/>
        <w:t>75.4</w:t>
      </w:r>
      <w:r>
        <w:rPr>
          <w:spacing w:val="-6"/>
        </w:rPr>
        <w:t> </w:t>
      </w:r>
      <w:r>
        <w:rPr/>
        <w:t>for</w:t>
      </w:r>
      <w:r>
        <w:rPr>
          <w:spacing w:val="-6"/>
        </w:rPr>
        <w:t> </w:t>
      </w:r>
      <w:r>
        <w:rPr/>
        <w:t>men.</w:t>
      </w:r>
      <w:r>
        <w:rPr>
          <w:vertAlign w:val="superscript"/>
        </w:rPr>
        <w:t>15</w:t>
      </w:r>
      <w:r>
        <w:rPr>
          <w:spacing w:val="-7"/>
          <w:vertAlign w:val="baseline"/>
        </w:rPr>
        <w:t> </w:t>
      </w:r>
      <w:r>
        <w:rPr>
          <w:vertAlign w:val="baseline"/>
        </w:rPr>
        <w:t>Today,</w:t>
      </w:r>
      <w:r>
        <w:rPr>
          <w:spacing w:val="-6"/>
          <w:vertAlign w:val="baseline"/>
        </w:rPr>
        <w:t> </w:t>
      </w:r>
      <w:r>
        <w:rPr>
          <w:vertAlign w:val="baseline"/>
        </w:rPr>
        <w:t>once</w:t>
      </w:r>
      <w:r>
        <w:rPr>
          <w:spacing w:val="-6"/>
          <w:vertAlign w:val="baseline"/>
        </w:rPr>
        <w:t> </w:t>
      </w:r>
      <w:r>
        <w:rPr>
          <w:vertAlign w:val="baseline"/>
        </w:rPr>
        <w:t>you</w:t>
      </w:r>
      <w:r>
        <w:rPr>
          <w:spacing w:val="-6"/>
          <w:vertAlign w:val="baseline"/>
        </w:rPr>
        <w:t> </w:t>
      </w:r>
      <w:r>
        <w:rPr>
          <w:vertAlign w:val="baseline"/>
        </w:rPr>
        <w:t>reach</w:t>
      </w:r>
      <w:r>
        <w:rPr>
          <w:spacing w:val="-6"/>
          <w:vertAlign w:val="baseline"/>
        </w:rPr>
        <w:t> </w:t>
      </w:r>
      <w:r>
        <w:rPr>
          <w:vertAlign w:val="baseline"/>
        </w:rPr>
        <w:t>age</w:t>
      </w:r>
      <w:r>
        <w:rPr>
          <w:spacing w:val="-6"/>
          <w:vertAlign w:val="baseline"/>
        </w:rPr>
        <w:t> </w:t>
      </w:r>
      <w:r>
        <w:rPr>
          <w:vertAlign w:val="baseline"/>
        </w:rPr>
        <w:t>65,</w:t>
      </w:r>
      <w:r>
        <w:rPr>
          <w:spacing w:val="-6"/>
          <w:vertAlign w:val="baseline"/>
        </w:rPr>
        <w:t> </w:t>
      </w:r>
      <w:r>
        <w:rPr>
          <w:vertAlign w:val="baseline"/>
        </w:rPr>
        <w:t>you</w:t>
      </w:r>
      <w:r>
        <w:rPr>
          <w:spacing w:val="-6"/>
          <w:vertAlign w:val="baseline"/>
        </w:rPr>
        <w:t> </w:t>
      </w:r>
      <w:r>
        <w:rPr>
          <w:vertAlign w:val="baseline"/>
        </w:rPr>
        <w:t>can</w:t>
      </w:r>
      <w:r>
        <w:rPr>
          <w:spacing w:val="-6"/>
          <w:vertAlign w:val="baseline"/>
        </w:rPr>
        <w:t> </w:t>
      </w:r>
      <w:r>
        <w:rPr>
          <w:vertAlign w:val="baseline"/>
        </w:rPr>
        <w:t>expect</w:t>
      </w:r>
      <w:r>
        <w:rPr>
          <w:spacing w:val="-6"/>
          <w:vertAlign w:val="baseline"/>
        </w:rPr>
        <w:t> </w:t>
      </w:r>
      <w:r>
        <w:rPr>
          <w:vertAlign w:val="baseline"/>
        </w:rPr>
        <w:t>to reach 83 if you are a man, and if you are a woman, age 85.</w:t>
      </w:r>
      <w:r>
        <w:rPr>
          <w:vertAlign w:val="superscript"/>
        </w:rPr>
        <w:t>16</w:t>
      </w:r>
      <w:r>
        <w:rPr>
          <w:vertAlign w:val="baseline"/>
        </w:rPr>
        <w:t> We can anticipate that eventually, about two-thirds of the population will survive to 85 or more and that more than 90% will live past age 65—this would be the nearly-perfect rectangular society </w:t>
      </w:r>
      <w:r>
        <w:rPr>
          <w:b/>
          <w:color w:val="256E60"/>
          <w:vertAlign w:val="baseline"/>
        </w:rPr>
        <w:t>(Figure 21.2)</w:t>
      </w:r>
      <w:r>
        <w:rPr>
          <w:vertAlign w:val="baseline"/>
        </w:rPr>
        <w:t>.</w:t>
      </w:r>
      <w:r>
        <w:rPr>
          <w:vertAlign w:val="superscript"/>
        </w:rPr>
        <w:t>17,18</w:t>
      </w:r>
      <w:r>
        <w:rPr>
          <w:vertAlign w:val="baseline"/>
        </w:rPr>
        <w:t> Currently, Sweden and Switzerland are closest to this demographic composition.</w:t>
      </w:r>
    </w:p>
    <w:p>
      <w:pPr>
        <w:pStyle w:val="BodyText"/>
        <w:spacing w:line="249" w:lineRule="auto" w:before="0"/>
        <w:ind w:right="103" w:firstLine="450"/>
      </w:pPr>
      <w:r>
        <w:rPr/>
        <w:t>A good general definition of older adults is individuals aged 65 years and older, although it is not until age 75 that a significant proportion of individuals have an increase in health problems. Today, the older adult population is</w:t>
      </w:r>
      <w:r>
        <w:rPr>
          <w:spacing w:val="3"/>
        </w:rPr>
        <w:t> </w:t>
      </w:r>
      <w:r>
        <w:rPr/>
        <w:t>the</w:t>
      </w:r>
      <w:r>
        <w:rPr>
          <w:spacing w:val="2"/>
        </w:rPr>
        <w:t> </w:t>
      </w:r>
      <w:r>
        <w:rPr/>
        <w:t>largest</w:t>
      </w:r>
      <w:r>
        <w:rPr>
          <w:spacing w:val="3"/>
        </w:rPr>
        <w:t> </w:t>
      </w:r>
      <w:r>
        <w:rPr/>
        <w:t>contributor</w:t>
      </w:r>
      <w:r>
        <w:rPr>
          <w:spacing w:val="2"/>
        </w:rPr>
        <w:t> </w:t>
      </w:r>
      <w:r>
        <w:rPr/>
        <w:t>to</w:t>
      </w:r>
      <w:r>
        <w:rPr>
          <w:spacing w:val="3"/>
        </w:rPr>
        <w:t> </w:t>
      </w:r>
      <w:r>
        <w:rPr/>
        <w:t>illness</w:t>
      </w:r>
      <w:r>
        <w:rPr>
          <w:spacing w:val="2"/>
        </w:rPr>
        <w:t> </w:t>
      </w:r>
      <w:r>
        <w:rPr/>
        <w:t>and</w:t>
      </w:r>
      <w:r>
        <w:rPr>
          <w:spacing w:val="3"/>
        </w:rPr>
        <w:t> </w:t>
      </w:r>
      <w:r>
        <w:rPr/>
        <w:t>human</w:t>
      </w:r>
      <w:r>
        <w:rPr>
          <w:spacing w:val="2"/>
        </w:rPr>
        <w:t> </w:t>
      </w:r>
      <w:r>
        <w:rPr/>
        <w:t>need</w:t>
      </w:r>
      <w:r>
        <w:rPr>
          <w:spacing w:val="2"/>
        </w:rPr>
        <w:t> </w:t>
      </w:r>
      <w:r>
        <w:rPr/>
        <w:t>in</w:t>
      </w:r>
      <w:r>
        <w:rPr>
          <w:spacing w:val="6"/>
        </w:rPr>
        <w:t> </w:t>
      </w:r>
      <w:r>
        <w:rPr/>
        <w:t>the</w:t>
      </w:r>
      <w:r>
        <w:rPr>
          <w:spacing w:val="7"/>
        </w:rPr>
        <w:t> </w:t>
      </w:r>
      <w:r>
        <w:rPr>
          <w:spacing w:val="-2"/>
        </w:rPr>
        <w:t>United</w:t>
      </w:r>
    </w:p>
    <w:p>
      <w:pPr>
        <w:pStyle w:val="BodyText"/>
        <w:spacing w:after="0" w:line="249" w:lineRule="auto"/>
        <w:sectPr>
          <w:pgSz w:w="12240" w:h="15840"/>
          <w:pgMar w:top="1360" w:bottom="280" w:left="1440" w:right="1440"/>
        </w:sectPr>
      </w:pPr>
    </w:p>
    <w:p>
      <w:pPr>
        <w:pStyle w:val="BodyText"/>
        <w:spacing w:line="249" w:lineRule="auto"/>
        <w:ind w:right="98"/>
      </w:pPr>
      <w:r>
        <w:rPr/>
        <w:t>States. There are more old people (with their greater needs) than ever before.</w:t>
      </w:r>
      <w:r>
        <w:rPr>
          <w:vertAlign w:val="superscript"/>
        </w:rPr>
        <w:t>19</w:t>
      </w:r>
      <w:r>
        <w:rPr>
          <w:vertAlign w:val="baseline"/>
        </w:rPr>
        <w:t> In 1900, there were approximately 3 million Americans aged 65 years and older (~4% of the total population), and in 2000, there were </w:t>
      </w:r>
      <w:r>
        <w:rPr>
          <w:vertAlign w:val="baseline"/>
        </w:rPr>
        <w:t>35 million (~12% of the total population). By 2030, the older adult population in the United States will reach about 70 million, or about one in five Americans will then be aged 65 years or older.</w:t>
      </w:r>
      <w:r>
        <w:rPr>
          <w:vertAlign w:val="superscript"/>
        </w:rPr>
        <w:t>19</w:t>
      </w:r>
      <w:r>
        <w:rPr>
          <w:vertAlign w:val="baseline"/>
        </w:rPr>
        <w:t> The world’s older adult population will become more than doubled from 1998 to 2025, rising from 264 million in 2009 to 416 million in 2050.</w:t>
      </w:r>
      <w:r>
        <w:rPr>
          <w:vertAlign w:val="superscript"/>
        </w:rPr>
        <w:t>20</w:t>
      </w:r>
      <w:r>
        <w:rPr>
          <w:vertAlign w:val="baseline"/>
        </w:rPr>
        <w:t> Population aging must be added to population growth as very important social problems.</w:t>
      </w:r>
    </w:p>
    <w:p>
      <w:pPr>
        <w:pStyle w:val="BodyText"/>
        <w:spacing w:before="0"/>
        <w:ind w:left="0"/>
        <w:jc w:val="left"/>
        <w:rPr>
          <w:sz w:val="20"/>
        </w:rPr>
      </w:pPr>
    </w:p>
    <w:p>
      <w:pPr>
        <w:pStyle w:val="BodyText"/>
        <w:spacing w:before="122"/>
        <w:ind w:left="0"/>
        <w:jc w:val="left"/>
        <w:rPr>
          <w:sz w:val="20"/>
        </w:rPr>
      </w:pPr>
      <w:r>
        <w:rPr>
          <w:sz w:val="20"/>
        </w:rPr>
        <w:drawing>
          <wp:anchor distT="0" distB="0" distL="0" distR="0" allowOverlap="1" layoutInCell="1" locked="0" behindDoc="1" simplePos="0" relativeHeight="487591424">
            <wp:simplePos x="0" y="0"/>
            <wp:positionH relativeFrom="page">
              <wp:posOffset>981075</wp:posOffset>
            </wp:positionH>
            <wp:positionV relativeFrom="paragraph">
              <wp:posOffset>238819</wp:posOffset>
            </wp:positionV>
            <wp:extent cx="4114799" cy="37433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114799" cy="37433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1936">
                <wp:simplePos x="0" y="0"/>
                <wp:positionH relativeFrom="page">
                  <wp:posOffset>981075</wp:posOffset>
                </wp:positionH>
                <wp:positionV relativeFrom="paragraph">
                  <wp:posOffset>4172644</wp:posOffset>
                </wp:positionV>
                <wp:extent cx="856615" cy="571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856615" cy="57150"/>
                        </a:xfrm>
                        <a:custGeom>
                          <a:avLst/>
                          <a:gdLst/>
                          <a:ahLst/>
                          <a:cxnLst/>
                          <a:rect l="l" t="t" r="r" b="b"/>
                          <a:pathLst>
                            <a:path w="856615" h="57150">
                              <a:moveTo>
                                <a:pt x="32364" y="57145"/>
                              </a:moveTo>
                              <a:lnTo>
                                <a:pt x="24785" y="57145"/>
                              </a:lnTo>
                              <a:lnTo>
                                <a:pt x="21140" y="56419"/>
                              </a:lnTo>
                              <a:lnTo>
                                <a:pt x="0" y="32361"/>
                              </a:lnTo>
                              <a:lnTo>
                                <a:pt x="0" y="24785"/>
                              </a:lnTo>
                              <a:lnTo>
                                <a:pt x="24785" y="0"/>
                              </a:lnTo>
                              <a:lnTo>
                                <a:pt x="32364" y="0"/>
                              </a:lnTo>
                              <a:lnTo>
                                <a:pt x="57149" y="24785"/>
                              </a:lnTo>
                              <a:lnTo>
                                <a:pt x="57149" y="32361"/>
                              </a:lnTo>
                              <a:lnTo>
                                <a:pt x="32364" y="57145"/>
                              </a:lnTo>
                              <a:close/>
                            </a:path>
                            <a:path w="856615" h="57150">
                              <a:moveTo>
                                <a:pt x="146569" y="57145"/>
                              </a:moveTo>
                              <a:lnTo>
                                <a:pt x="138990" y="57145"/>
                              </a:lnTo>
                              <a:lnTo>
                                <a:pt x="135345" y="56419"/>
                              </a:lnTo>
                              <a:lnTo>
                                <a:pt x="114204" y="32361"/>
                              </a:lnTo>
                              <a:lnTo>
                                <a:pt x="114204" y="24785"/>
                              </a:lnTo>
                              <a:lnTo>
                                <a:pt x="138990" y="0"/>
                              </a:lnTo>
                              <a:lnTo>
                                <a:pt x="146569" y="0"/>
                              </a:lnTo>
                              <a:lnTo>
                                <a:pt x="171354" y="24785"/>
                              </a:lnTo>
                              <a:lnTo>
                                <a:pt x="171354" y="32361"/>
                              </a:lnTo>
                              <a:lnTo>
                                <a:pt x="146569" y="57145"/>
                              </a:lnTo>
                              <a:close/>
                            </a:path>
                            <a:path w="856615" h="57150">
                              <a:moveTo>
                                <a:pt x="260773" y="57145"/>
                              </a:moveTo>
                              <a:lnTo>
                                <a:pt x="253195" y="57145"/>
                              </a:lnTo>
                              <a:lnTo>
                                <a:pt x="249550" y="56419"/>
                              </a:lnTo>
                              <a:lnTo>
                                <a:pt x="228409" y="32361"/>
                              </a:lnTo>
                              <a:lnTo>
                                <a:pt x="228409" y="24785"/>
                              </a:lnTo>
                              <a:lnTo>
                                <a:pt x="253195" y="0"/>
                              </a:lnTo>
                              <a:lnTo>
                                <a:pt x="260773" y="0"/>
                              </a:lnTo>
                              <a:lnTo>
                                <a:pt x="285559" y="24785"/>
                              </a:lnTo>
                              <a:lnTo>
                                <a:pt x="285559" y="32361"/>
                              </a:lnTo>
                              <a:lnTo>
                                <a:pt x="260773" y="57145"/>
                              </a:lnTo>
                              <a:close/>
                            </a:path>
                            <a:path w="856615" h="57150">
                              <a:moveTo>
                                <a:pt x="374978" y="57145"/>
                              </a:moveTo>
                              <a:lnTo>
                                <a:pt x="367399" y="57145"/>
                              </a:lnTo>
                              <a:lnTo>
                                <a:pt x="363754" y="56419"/>
                              </a:lnTo>
                              <a:lnTo>
                                <a:pt x="342614" y="32361"/>
                              </a:lnTo>
                              <a:lnTo>
                                <a:pt x="342614" y="24785"/>
                              </a:lnTo>
                              <a:lnTo>
                                <a:pt x="367399" y="0"/>
                              </a:lnTo>
                              <a:lnTo>
                                <a:pt x="374978" y="0"/>
                              </a:lnTo>
                              <a:lnTo>
                                <a:pt x="399764" y="24785"/>
                              </a:lnTo>
                              <a:lnTo>
                                <a:pt x="399764" y="32361"/>
                              </a:lnTo>
                              <a:lnTo>
                                <a:pt x="374978" y="57145"/>
                              </a:lnTo>
                              <a:close/>
                            </a:path>
                            <a:path w="856615" h="57150">
                              <a:moveTo>
                                <a:pt x="489183" y="57145"/>
                              </a:moveTo>
                              <a:lnTo>
                                <a:pt x="481604" y="57145"/>
                              </a:lnTo>
                              <a:lnTo>
                                <a:pt x="477959" y="56419"/>
                              </a:lnTo>
                              <a:lnTo>
                                <a:pt x="456818" y="32361"/>
                              </a:lnTo>
                              <a:lnTo>
                                <a:pt x="456818" y="24785"/>
                              </a:lnTo>
                              <a:lnTo>
                                <a:pt x="481604" y="0"/>
                              </a:lnTo>
                              <a:lnTo>
                                <a:pt x="489183" y="0"/>
                              </a:lnTo>
                              <a:lnTo>
                                <a:pt x="513968" y="24785"/>
                              </a:lnTo>
                              <a:lnTo>
                                <a:pt x="513968" y="32361"/>
                              </a:lnTo>
                              <a:lnTo>
                                <a:pt x="489183" y="57145"/>
                              </a:lnTo>
                              <a:close/>
                            </a:path>
                            <a:path w="856615" h="57150">
                              <a:moveTo>
                                <a:pt x="603387" y="57145"/>
                              </a:moveTo>
                              <a:lnTo>
                                <a:pt x="595809" y="57145"/>
                              </a:lnTo>
                              <a:lnTo>
                                <a:pt x="592164" y="56419"/>
                              </a:lnTo>
                              <a:lnTo>
                                <a:pt x="571023" y="32361"/>
                              </a:lnTo>
                              <a:lnTo>
                                <a:pt x="571023" y="24785"/>
                              </a:lnTo>
                              <a:lnTo>
                                <a:pt x="595809" y="0"/>
                              </a:lnTo>
                              <a:lnTo>
                                <a:pt x="603387" y="0"/>
                              </a:lnTo>
                              <a:lnTo>
                                <a:pt x="628173" y="24785"/>
                              </a:lnTo>
                              <a:lnTo>
                                <a:pt x="628173" y="32361"/>
                              </a:lnTo>
                              <a:lnTo>
                                <a:pt x="603387" y="57145"/>
                              </a:lnTo>
                              <a:close/>
                            </a:path>
                            <a:path w="856615" h="57150">
                              <a:moveTo>
                                <a:pt x="717592" y="57145"/>
                              </a:moveTo>
                              <a:lnTo>
                                <a:pt x="710014" y="57145"/>
                              </a:lnTo>
                              <a:lnTo>
                                <a:pt x="706369" y="56419"/>
                              </a:lnTo>
                              <a:lnTo>
                                <a:pt x="685228" y="32361"/>
                              </a:lnTo>
                              <a:lnTo>
                                <a:pt x="685228" y="24785"/>
                              </a:lnTo>
                              <a:lnTo>
                                <a:pt x="710014" y="0"/>
                              </a:lnTo>
                              <a:lnTo>
                                <a:pt x="717592" y="0"/>
                              </a:lnTo>
                              <a:lnTo>
                                <a:pt x="742378" y="24785"/>
                              </a:lnTo>
                              <a:lnTo>
                                <a:pt x="742378" y="32361"/>
                              </a:lnTo>
                              <a:lnTo>
                                <a:pt x="717592" y="57145"/>
                              </a:lnTo>
                              <a:close/>
                            </a:path>
                            <a:path w="856615" h="57150">
                              <a:moveTo>
                                <a:pt x="831797" y="57145"/>
                              </a:moveTo>
                              <a:lnTo>
                                <a:pt x="824218" y="57145"/>
                              </a:lnTo>
                              <a:lnTo>
                                <a:pt x="820573" y="56419"/>
                              </a:lnTo>
                              <a:lnTo>
                                <a:pt x="799433" y="32361"/>
                              </a:lnTo>
                              <a:lnTo>
                                <a:pt x="799433" y="24785"/>
                              </a:lnTo>
                              <a:lnTo>
                                <a:pt x="824218" y="0"/>
                              </a:lnTo>
                              <a:lnTo>
                                <a:pt x="831797" y="0"/>
                              </a:lnTo>
                              <a:lnTo>
                                <a:pt x="856583" y="24785"/>
                              </a:lnTo>
                              <a:lnTo>
                                <a:pt x="856583" y="32361"/>
                              </a:lnTo>
                              <a:lnTo>
                                <a:pt x="831797" y="57145"/>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28.554657pt;width:67.45pt;height:4.5pt;mso-position-horizontal-relative:page;mso-position-vertical-relative:paragraph;z-index:-15724544;mso-wrap-distance-left:0;mso-wrap-distance-right:0" id="docshape6" coordorigin="1545,6571" coordsize="1349,90" path="m1596,6661l1584,6661,1578,6660,1567,6655,1562,6652,1554,6644,1551,6639,1546,6628,1545,6622,1545,6610,1546,6604,1551,6593,1554,6588,1562,6580,1567,6577,1578,6572,1584,6571,1596,6571,1602,6572,1613,6577,1618,6580,1626,6588,1629,6593,1634,6604,1635,6610,1635,6622,1634,6628,1629,6639,1626,6644,1618,6652,1613,6655,1602,6660,1596,6661xm1776,6661l1764,6661,1758,6660,1747,6655,1742,6652,1734,6644,1731,6639,1726,6628,1725,6622,1725,6610,1726,6604,1731,6593,1734,6588,1742,6580,1747,6577,1758,6572,1764,6571,1776,6571,1782,6572,1793,6577,1797,6580,1806,6588,1809,6593,1814,6604,1815,6610,1815,6622,1814,6628,1809,6639,1806,6644,1797,6652,1793,6655,1782,6660,1776,6661xm1956,6661l1944,6661,1938,6660,1927,6655,1922,6652,1914,6644,1910,6639,1906,6628,1905,6622,1905,6610,1906,6604,1910,6593,1914,6588,1922,6580,1927,6577,1938,6572,1944,6571,1956,6571,1961,6572,1972,6577,1977,6580,1986,6588,1989,6593,1994,6604,1995,6610,1995,6622,1994,6628,1989,6639,1986,6644,1977,6652,1972,6655,1961,6660,1956,6661xm2136,6661l2124,6661,2118,6660,2107,6655,2102,6652,2094,6644,2090,6639,2086,6628,2085,6622,2085,6610,2086,6604,2090,6593,2094,6588,2102,6580,2107,6577,2118,6572,2124,6571,2136,6571,2141,6572,2152,6577,2157,6580,2166,6588,2169,6593,2173,6604,2175,6610,2175,6622,2173,6628,2169,6639,2166,6644,2157,6652,2152,6655,2141,6660,2136,6661xm2315,6661l2303,6661,2298,6660,2287,6655,2282,6652,2273,6644,2270,6639,2266,6628,2264,6622,2264,6610,2266,6604,2270,6593,2273,6588,2282,6580,2287,6577,2298,6572,2303,6571,2315,6571,2321,6572,2332,6577,2337,6580,2345,6588,2349,6593,2353,6604,2354,6610,2354,6622,2353,6628,2349,6639,2345,6644,2337,6652,2332,6655,2321,6660,2315,6661xm2495,6661l2483,6661,2478,6660,2467,6655,2462,6652,2453,6644,2450,6639,2445,6628,2444,6622,2444,6610,2445,6604,2450,6593,2453,6588,2462,6580,2467,6577,2478,6572,2483,6571,2495,6571,2501,6572,2512,6577,2517,6580,2525,6588,2529,6593,2533,6604,2534,6610,2534,6622,2533,6628,2529,6639,2525,6644,2517,6652,2512,6655,2501,6660,2495,6661xm2675,6661l2663,6661,2657,6660,2646,6655,2641,6652,2633,6644,2630,6639,2625,6628,2624,6622,2624,6610,2625,6604,2630,6593,2633,6588,2641,6580,2646,6577,2657,6572,2663,6571,2675,6571,2681,6572,2692,6577,2697,6580,2705,6588,2708,6593,2713,6604,2714,6610,2714,6622,2713,6628,2708,6639,2705,6644,2697,6652,2692,6655,2681,6660,2675,6661xm2855,6661l2843,6661,2837,6660,2826,6655,2821,6652,2813,6644,2810,6639,2805,6628,2804,6622,2804,6610,2805,6604,2810,6593,2813,6588,2821,6580,2826,6577,2837,6572,2843,6571,2855,6571,2861,6572,2872,6577,2877,6580,2885,6588,2888,6593,2893,6604,2894,6610,2894,6622,2893,6628,2888,6639,2885,6644,2877,6652,2872,6655,2861,6660,2855,6661xe" filled="true" fillcolor="#2b816f" stroked="false">
                <v:path arrowok="t"/>
                <v:fill type="solid"/>
                <w10:wrap type="topAndBottom"/>
              </v:shape>
            </w:pict>
          </mc:Fallback>
        </mc:AlternateContent>
      </w:r>
    </w:p>
    <w:p>
      <w:pPr>
        <w:pStyle w:val="BodyText"/>
        <w:spacing w:before="46"/>
        <w:ind w:left="0"/>
        <w:jc w:val="left"/>
        <w:rPr>
          <w:sz w:val="20"/>
        </w:rPr>
      </w:pPr>
    </w:p>
    <w:p>
      <w:pPr>
        <w:spacing w:before="78"/>
        <w:ind w:left="99" w:right="0" w:firstLine="0"/>
        <w:jc w:val="left"/>
        <w:rPr>
          <w:sz w:val="22"/>
        </w:rPr>
      </w:pPr>
      <w:r>
        <w:rPr>
          <w:rFonts w:ascii="Arial"/>
          <w:b/>
          <w:color w:val="2B816F"/>
          <w:sz w:val="22"/>
        </w:rPr>
        <w:t>FIGURE</w:t>
      </w:r>
      <w:r>
        <w:rPr>
          <w:rFonts w:ascii="Arial"/>
          <w:b/>
          <w:color w:val="2B816F"/>
          <w:spacing w:val="7"/>
          <w:sz w:val="22"/>
        </w:rPr>
        <w:t> </w:t>
      </w:r>
      <w:r>
        <w:rPr>
          <w:rFonts w:ascii="Arial"/>
          <w:b/>
          <w:color w:val="2B816F"/>
          <w:sz w:val="22"/>
        </w:rPr>
        <w:t>21.2</w:t>
      </w:r>
      <w:r>
        <w:rPr>
          <w:rFonts w:ascii="Arial"/>
          <w:b/>
          <w:color w:val="2B816F"/>
          <w:spacing w:val="7"/>
          <w:sz w:val="22"/>
        </w:rPr>
        <w:t> </w:t>
      </w:r>
      <w:r>
        <w:rPr>
          <w:sz w:val="22"/>
        </w:rPr>
        <w:t>After</w:t>
      </w:r>
      <w:r>
        <w:rPr>
          <w:spacing w:val="6"/>
          <w:sz w:val="22"/>
        </w:rPr>
        <w:t> </w:t>
      </w:r>
      <w:r>
        <w:rPr>
          <w:sz w:val="22"/>
        </w:rPr>
        <w:t>Fries</w:t>
      </w:r>
      <w:r>
        <w:rPr>
          <w:spacing w:val="6"/>
          <w:sz w:val="22"/>
        </w:rPr>
        <w:t> </w:t>
      </w:r>
      <w:r>
        <w:rPr>
          <w:sz w:val="22"/>
        </w:rPr>
        <w:t>JF,</w:t>
      </w:r>
      <w:r>
        <w:rPr>
          <w:spacing w:val="7"/>
          <w:sz w:val="22"/>
        </w:rPr>
        <w:t> </w:t>
      </w:r>
      <w:r>
        <w:rPr>
          <w:sz w:val="22"/>
        </w:rPr>
        <w:t>Crapo</w:t>
      </w:r>
      <w:r>
        <w:rPr>
          <w:spacing w:val="6"/>
          <w:sz w:val="22"/>
        </w:rPr>
        <w:t> </w:t>
      </w:r>
      <w:r>
        <w:rPr>
          <w:sz w:val="22"/>
        </w:rPr>
        <w:t>LM.</w:t>
      </w:r>
      <w:r>
        <w:rPr>
          <w:spacing w:val="7"/>
          <w:sz w:val="22"/>
        </w:rPr>
        <w:t> </w:t>
      </w:r>
      <w:r>
        <w:rPr>
          <w:i/>
          <w:sz w:val="22"/>
        </w:rPr>
        <w:t>Vitality</w:t>
      </w:r>
      <w:r>
        <w:rPr>
          <w:i/>
          <w:spacing w:val="6"/>
          <w:sz w:val="22"/>
        </w:rPr>
        <w:t> </w:t>
      </w:r>
      <w:r>
        <w:rPr>
          <w:i/>
          <w:sz w:val="22"/>
        </w:rPr>
        <w:t>and</w:t>
      </w:r>
      <w:r>
        <w:rPr>
          <w:i/>
          <w:spacing w:val="7"/>
          <w:sz w:val="22"/>
        </w:rPr>
        <w:t> </w:t>
      </w:r>
      <w:r>
        <w:rPr>
          <w:i/>
          <w:sz w:val="22"/>
        </w:rPr>
        <w:t>Aging</w:t>
      </w:r>
      <w:r>
        <w:rPr>
          <w:sz w:val="22"/>
        </w:rPr>
        <w:t>.</w:t>
      </w:r>
      <w:r>
        <w:rPr>
          <w:spacing w:val="6"/>
          <w:sz w:val="22"/>
        </w:rPr>
        <w:t> </w:t>
      </w:r>
      <w:r>
        <w:rPr>
          <w:sz w:val="22"/>
        </w:rPr>
        <w:t>W.H.</w:t>
      </w:r>
      <w:r>
        <w:rPr>
          <w:spacing w:val="6"/>
          <w:sz w:val="22"/>
        </w:rPr>
        <w:t> </w:t>
      </w:r>
      <w:r>
        <w:rPr>
          <w:sz w:val="22"/>
        </w:rPr>
        <w:t>Freeman;</w:t>
      </w:r>
      <w:r>
        <w:rPr>
          <w:spacing w:val="7"/>
          <w:sz w:val="22"/>
        </w:rPr>
        <w:t> </w:t>
      </w:r>
      <w:r>
        <w:rPr>
          <w:spacing w:val="-2"/>
          <w:sz w:val="22"/>
        </w:rPr>
        <w:t>1981.</w:t>
      </w:r>
    </w:p>
    <w:p>
      <w:pPr>
        <w:spacing w:after="0"/>
        <w:jc w:val="left"/>
        <w:rPr>
          <w:sz w:val="22"/>
        </w:rPr>
        <w:sectPr>
          <w:pgSz w:w="12240" w:h="15840"/>
          <w:pgMar w:top="1380" w:bottom="280" w:left="1440" w:right="1440"/>
        </w:sectPr>
      </w:pPr>
    </w:p>
    <w:p>
      <w:pPr>
        <w:spacing w:line="240" w:lineRule="auto"/>
        <w:ind w:left="105" w:right="0" w:firstLine="0"/>
        <w:rPr>
          <w:sz w:val="20"/>
        </w:rPr>
      </w:pPr>
      <w:r>
        <w:rPr>
          <w:sz w:val="20"/>
        </w:rPr>
        <w:drawing>
          <wp:inline distT="0" distB="0" distL="0" distR="0">
            <wp:extent cx="5839805" cy="331241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839805" cy="3312414"/>
                    </a:xfrm>
                    <a:prstGeom prst="rect">
                      <a:avLst/>
                    </a:prstGeom>
                  </pic:spPr>
                </pic:pic>
              </a:graphicData>
            </a:graphic>
          </wp:inline>
        </w:drawing>
      </w:r>
      <w:r>
        <w:rPr>
          <w:sz w:val="20"/>
        </w:rPr>
      </w:r>
    </w:p>
    <w:p>
      <w:pPr>
        <w:pStyle w:val="BodyText"/>
        <w:spacing w:before="19"/>
        <w:ind w:left="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981075</wp:posOffset>
                </wp:positionH>
                <wp:positionV relativeFrom="paragraph">
                  <wp:posOffset>173354</wp:posOffset>
                </wp:positionV>
                <wp:extent cx="856615" cy="571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856615" cy="57150"/>
                        </a:xfrm>
                        <a:custGeom>
                          <a:avLst/>
                          <a:gdLst/>
                          <a:ahLst/>
                          <a:cxnLst/>
                          <a:rect l="l" t="t" r="r" b="b"/>
                          <a:pathLst>
                            <a:path w="856615" h="57150">
                              <a:moveTo>
                                <a:pt x="32364" y="57145"/>
                              </a:moveTo>
                              <a:lnTo>
                                <a:pt x="24785" y="57145"/>
                              </a:lnTo>
                              <a:lnTo>
                                <a:pt x="21140" y="56419"/>
                              </a:lnTo>
                              <a:lnTo>
                                <a:pt x="0" y="32361"/>
                              </a:lnTo>
                              <a:lnTo>
                                <a:pt x="0" y="24785"/>
                              </a:lnTo>
                              <a:lnTo>
                                <a:pt x="24785" y="0"/>
                              </a:lnTo>
                              <a:lnTo>
                                <a:pt x="32364" y="0"/>
                              </a:lnTo>
                              <a:lnTo>
                                <a:pt x="57149" y="24785"/>
                              </a:lnTo>
                              <a:lnTo>
                                <a:pt x="57149" y="32361"/>
                              </a:lnTo>
                              <a:lnTo>
                                <a:pt x="32364" y="57145"/>
                              </a:lnTo>
                              <a:close/>
                            </a:path>
                            <a:path w="856615" h="57150">
                              <a:moveTo>
                                <a:pt x="146569" y="57145"/>
                              </a:moveTo>
                              <a:lnTo>
                                <a:pt x="138990" y="57145"/>
                              </a:lnTo>
                              <a:lnTo>
                                <a:pt x="135345" y="56419"/>
                              </a:lnTo>
                              <a:lnTo>
                                <a:pt x="114204" y="32361"/>
                              </a:lnTo>
                              <a:lnTo>
                                <a:pt x="114204" y="24785"/>
                              </a:lnTo>
                              <a:lnTo>
                                <a:pt x="138990" y="0"/>
                              </a:lnTo>
                              <a:lnTo>
                                <a:pt x="146569" y="0"/>
                              </a:lnTo>
                              <a:lnTo>
                                <a:pt x="171354" y="24785"/>
                              </a:lnTo>
                              <a:lnTo>
                                <a:pt x="171354" y="32361"/>
                              </a:lnTo>
                              <a:lnTo>
                                <a:pt x="146569" y="57145"/>
                              </a:lnTo>
                              <a:close/>
                            </a:path>
                            <a:path w="856615" h="57150">
                              <a:moveTo>
                                <a:pt x="260773" y="57145"/>
                              </a:moveTo>
                              <a:lnTo>
                                <a:pt x="253195" y="57145"/>
                              </a:lnTo>
                              <a:lnTo>
                                <a:pt x="249550" y="56419"/>
                              </a:lnTo>
                              <a:lnTo>
                                <a:pt x="228409" y="32361"/>
                              </a:lnTo>
                              <a:lnTo>
                                <a:pt x="228409" y="24785"/>
                              </a:lnTo>
                              <a:lnTo>
                                <a:pt x="253195" y="0"/>
                              </a:lnTo>
                              <a:lnTo>
                                <a:pt x="260773" y="0"/>
                              </a:lnTo>
                              <a:lnTo>
                                <a:pt x="285559" y="24785"/>
                              </a:lnTo>
                              <a:lnTo>
                                <a:pt x="285559" y="32361"/>
                              </a:lnTo>
                              <a:lnTo>
                                <a:pt x="260773" y="57145"/>
                              </a:lnTo>
                              <a:close/>
                            </a:path>
                            <a:path w="856615" h="57150">
                              <a:moveTo>
                                <a:pt x="374978" y="57145"/>
                              </a:moveTo>
                              <a:lnTo>
                                <a:pt x="367399" y="57145"/>
                              </a:lnTo>
                              <a:lnTo>
                                <a:pt x="363754" y="56419"/>
                              </a:lnTo>
                              <a:lnTo>
                                <a:pt x="342614" y="32361"/>
                              </a:lnTo>
                              <a:lnTo>
                                <a:pt x="342614" y="24785"/>
                              </a:lnTo>
                              <a:lnTo>
                                <a:pt x="367399" y="0"/>
                              </a:lnTo>
                              <a:lnTo>
                                <a:pt x="374978" y="0"/>
                              </a:lnTo>
                              <a:lnTo>
                                <a:pt x="399764" y="24785"/>
                              </a:lnTo>
                              <a:lnTo>
                                <a:pt x="399764" y="32361"/>
                              </a:lnTo>
                              <a:lnTo>
                                <a:pt x="374978" y="57145"/>
                              </a:lnTo>
                              <a:close/>
                            </a:path>
                            <a:path w="856615" h="57150">
                              <a:moveTo>
                                <a:pt x="489183" y="57145"/>
                              </a:moveTo>
                              <a:lnTo>
                                <a:pt x="481604" y="57145"/>
                              </a:lnTo>
                              <a:lnTo>
                                <a:pt x="477959" y="56419"/>
                              </a:lnTo>
                              <a:lnTo>
                                <a:pt x="456818" y="32361"/>
                              </a:lnTo>
                              <a:lnTo>
                                <a:pt x="456818" y="24785"/>
                              </a:lnTo>
                              <a:lnTo>
                                <a:pt x="481604" y="0"/>
                              </a:lnTo>
                              <a:lnTo>
                                <a:pt x="489183" y="0"/>
                              </a:lnTo>
                              <a:lnTo>
                                <a:pt x="513968" y="24785"/>
                              </a:lnTo>
                              <a:lnTo>
                                <a:pt x="513968" y="32361"/>
                              </a:lnTo>
                              <a:lnTo>
                                <a:pt x="489183" y="57145"/>
                              </a:lnTo>
                              <a:close/>
                            </a:path>
                            <a:path w="856615" h="57150">
                              <a:moveTo>
                                <a:pt x="603387" y="57145"/>
                              </a:moveTo>
                              <a:lnTo>
                                <a:pt x="595809" y="57145"/>
                              </a:lnTo>
                              <a:lnTo>
                                <a:pt x="592164" y="56419"/>
                              </a:lnTo>
                              <a:lnTo>
                                <a:pt x="571023" y="32361"/>
                              </a:lnTo>
                              <a:lnTo>
                                <a:pt x="571023" y="24785"/>
                              </a:lnTo>
                              <a:lnTo>
                                <a:pt x="595809" y="0"/>
                              </a:lnTo>
                              <a:lnTo>
                                <a:pt x="603387" y="0"/>
                              </a:lnTo>
                              <a:lnTo>
                                <a:pt x="628173" y="24785"/>
                              </a:lnTo>
                              <a:lnTo>
                                <a:pt x="628173" y="32361"/>
                              </a:lnTo>
                              <a:lnTo>
                                <a:pt x="603387" y="57145"/>
                              </a:lnTo>
                              <a:close/>
                            </a:path>
                            <a:path w="856615" h="57150">
                              <a:moveTo>
                                <a:pt x="717592" y="57145"/>
                              </a:moveTo>
                              <a:lnTo>
                                <a:pt x="710014" y="57145"/>
                              </a:lnTo>
                              <a:lnTo>
                                <a:pt x="706369" y="56419"/>
                              </a:lnTo>
                              <a:lnTo>
                                <a:pt x="685228" y="32361"/>
                              </a:lnTo>
                              <a:lnTo>
                                <a:pt x="685228" y="24785"/>
                              </a:lnTo>
                              <a:lnTo>
                                <a:pt x="710014" y="0"/>
                              </a:lnTo>
                              <a:lnTo>
                                <a:pt x="717592" y="0"/>
                              </a:lnTo>
                              <a:lnTo>
                                <a:pt x="742378" y="24785"/>
                              </a:lnTo>
                              <a:lnTo>
                                <a:pt x="742378" y="32361"/>
                              </a:lnTo>
                              <a:lnTo>
                                <a:pt x="717592" y="57145"/>
                              </a:lnTo>
                              <a:close/>
                            </a:path>
                            <a:path w="856615" h="57150">
                              <a:moveTo>
                                <a:pt x="831797" y="57145"/>
                              </a:moveTo>
                              <a:lnTo>
                                <a:pt x="824218" y="57145"/>
                              </a:lnTo>
                              <a:lnTo>
                                <a:pt x="820573" y="56419"/>
                              </a:lnTo>
                              <a:lnTo>
                                <a:pt x="799433" y="32361"/>
                              </a:lnTo>
                              <a:lnTo>
                                <a:pt x="799433" y="24785"/>
                              </a:lnTo>
                              <a:lnTo>
                                <a:pt x="824218" y="0"/>
                              </a:lnTo>
                              <a:lnTo>
                                <a:pt x="831797" y="0"/>
                              </a:lnTo>
                              <a:lnTo>
                                <a:pt x="856583" y="24785"/>
                              </a:lnTo>
                              <a:lnTo>
                                <a:pt x="856583" y="32361"/>
                              </a:lnTo>
                              <a:lnTo>
                                <a:pt x="831797" y="57145"/>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3.649999pt;width:67.45pt;height:4.5pt;mso-position-horizontal-relative:page;mso-position-vertical-relative:paragraph;z-index:-15724032;mso-wrap-distance-left:0;mso-wrap-distance-right:0" id="docshape7" coordorigin="1545,273" coordsize="1349,90" path="m1596,363l1584,363,1578,362,1567,357,1562,354,1554,346,1551,341,1546,330,1545,324,1545,312,1546,306,1551,295,1554,290,1562,282,1567,279,1578,274,1584,273,1596,273,1602,274,1613,279,1618,282,1626,290,1629,295,1634,306,1635,312,1635,324,1634,330,1629,341,1626,346,1618,354,1613,357,1602,362,1596,363xm1776,363l1764,363,1758,362,1747,357,1742,354,1734,346,1731,341,1726,330,1725,324,1725,312,1726,306,1731,295,1734,290,1742,282,1747,279,1758,274,1764,273,1776,273,1782,274,1793,279,1797,282,1806,290,1809,295,1814,306,1815,312,1815,324,1814,330,1809,341,1806,346,1797,354,1793,357,1782,362,1776,363xm1956,363l1944,363,1938,362,1927,357,1922,354,1914,346,1910,341,1906,330,1905,324,1905,312,1906,306,1910,295,1914,290,1922,282,1927,279,1938,274,1944,273,1956,273,1961,274,1972,279,1977,282,1986,290,1989,295,1994,306,1995,312,1995,324,1994,330,1989,341,1986,346,1977,354,1972,357,1961,362,1956,363xm2136,363l2124,363,2118,362,2107,357,2102,354,2094,346,2090,341,2086,330,2085,324,2085,312,2086,306,2090,295,2094,290,2102,282,2107,279,2118,274,2124,273,2136,273,2141,274,2152,279,2157,282,2166,290,2169,295,2173,306,2175,312,2175,324,2173,330,2169,341,2166,346,2157,354,2152,357,2141,362,2136,363xm2315,363l2303,363,2298,362,2287,357,2282,354,2273,346,2270,341,2266,330,2264,324,2264,312,2266,306,2270,295,2273,290,2282,282,2287,279,2298,274,2303,273,2315,273,2321,274,2332,279,2337,282,2345,290,2349,295,2353,306,2354,312,2354,324,2353,330,2349,341,2345,346,2337,354,2332,357,2321,362,2315,363xm2495,363l2483,363,2478,362,2467,357,2462,354,2453,346,2450,341,2445,330,2444,324,2444,312,2445,306,2450,295,2453,290,2462,282,2467,279,2478,274,2483,273,2495,273,2501,274,2512,279,2517,282,2525,290,2529,295,2533,306,2534,312,2534,324,2533,330,2529,341,2525,346,2517,354,2512,357,2501,362,2495,363xm2675,363l2663,363,2657,362,2646,357,2641,354,2633,346,2630,341,2625,330,2624,324,2624,312,2625,306,2630,295,2633,290,2641,282,2646,279,2657,274,2663,273,2675,273,2681,274,2692,279,2697,282,2705,290,2708,295,2713,306,2714,312,2714,324,2713,330,2708,341,2705,346,2697,354,2692,357,2681,362,2675,363xm2855,363l2843,363,2837,362,2826,357,2821,354,2813,346,2810,341,2805,330,2804,324,2804,312,2805,306,2810,295,2813,290,2821,282,2826,279,2837,274,2843,273,2855,273,2861,274,2872,279,2877,282,2885,290,2888,295,2893,306,2894,312,2894,324,2893,330,2888,341,2885,346,2877,354,2872,357,2861,362,2855,363xe" filled="true" fillcolor="#2b816f" stroked="false">
                <v:path arrowok="t"/>
                <v:fill type="solid"/>
                <w10:wrap type="topAndBottom"/>
              </v:shape>
            </w:pict>
          </mc:Fallback>
        </mc:AlternateContent>
      </w:r>
    </w:p>
    <w:p>
      <w:pPr>
        <w:spacing w:before="63"/>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21.3</w:t>
      </w:r>
    </w:p>
    <w:p>
      <w:pPr>
        <w:pStyle w:val="BodyText"/>
        <w:spacing w:before="215"/>
        <w:ind w:left="0"/>
        <w:jc w:val="left"/>
        <w:rPr>
          <w:rFonts w:ascii="Arial"/>
          <w:b/>
          <w:sz w:val="22"/>
        </w:rPr>
      </w:pPr>
    </w:p>
    <w:p>
      <w:pPr>
        <w:pStyle w:val="BodyText"/>
        <w:spacing w:line="249" w:lineRule="auto" w:before="1"/>
        <w:ind w:right="97" w:firstLine="450"/>
      </w:pPr>
      <w:r>
        <w:rPr/>
        <w:t>Two modern phenomena have influenced the rate of change. The </w:t>
      </w:r>
      <w:r>
        <w:rPr/>
        <w:t>first was the post-World War II baby boom (1946-1964) that temporarily postponed</w:t>
      </w:r>
      <w:r>
        <w:rPr>
          <w:spacing w:val="-2"/>
        </w:rPr>
        <w:t> </w:t>
      </w:r>
      <w:r>
        <w:rPr/>
        <w:t>the</w:t>
      </w:r>
      <w:r>
        <w:rPr>
          <w:spacing w:val="-2"/>
        </w:rPr>
        <w:t> </w:t>
      </w:r>
      <w:r>
        <w:rPr/>
        <w:t>aging</w:t>
      </w:r>
      <w:r>
        <w:rPr>
          <w:spacing w:val="-2"/>
        </w:rPr>
        <w:t> </w:t>
      </w:r>
      <w:r>
        <w:rPr/>
        <w:t>of</w:t>
      </w:r>
      <w:r>
        <w:rPr>
          <w:spacing w:val="-2"/>
        </w:rPr>
        <w:t> </w:t>
      </w:r>
      <w:r>
        <w:rPr/>
        <w:t>the</w:t>
      </w:r>
      <w:r>
        <w:rPr>
          <w:spacing w:val="-2"/>
        </w:rPr>
        <w:t> </w:t>
      </w:r>
      <w:r>
        <w:rPr/>
        <w:t>population,</w:t>
      </w:r>
      <w:r>
        <w:rPr>
          <w:spacing w:val="-2"/>
        </w:rPr>
        <w:t> </w:t>
      </w:r>
      <w:r>
        <w:rPr/>
        <w:t>but</w:t>
      </w:r>
      <w:r>
        <w:rPr>
          <w:spacing w:val="-2"/>
        </w:rPr>
        <w:t> </w:t>
      </w:r>
      <w:r>
        <w:rPr/>
        <w:t>that</w:t>
      </w:r>
      <w:r>
        <w:rPr>
          <w:spacing w:val="-2"/>
        </w:rPr>
        <w:t> </w:t>
      </w:r>
      <w:r>
        <w:rPr/>
        <w:t>is</w:t>
      </w:r>
      <w:r>
        <w:rPr>
          <w:spacing w:val="-2"/>
        </w:rPr>
        <w:t> </w:t>
      </w:r>
      <w:r>
        <w:rPr/>
        <w:t>now</w:t>
      </w:r>
      <w:r>
        <w:rPr>
          <w:spacing w:val="-2"/>
        </w:rPr>
        <w:t> </w:t>
      </w:r>
      <w:r>
        <w:rPr/>
        <w:t>causing</w:t>
      </w:r>
      <w:r>
        <w:rPr>
          <w:spacing w:val="-2"/>
        </w:rPr>
        <w:t> </w:t>
      </w:r>
      <w:r>
        <w:rPr/>
        <w:t>a</w:t>
      </w:r>
      <w:r>
        <w:rPr>
          <w:spacing w:val="-2"/>
        </w:rPr>
        <w:t> </w:t>
      </w:r>
      <w:r>
        <w:rPr/>
        <w:t>faster</w:t>
      </w:r>
      <w:r>
        <w:rPr>
          <w:spacing w:val="-2"/>
        </w:rPr>
        <w:t> </w:t>
      </w:r>
      <w:r>
        <w:rPr/>
        <w:t>aging of the general population. The second major influence has been the decline in old-age mortality. Our success in postponing death has increased the upper segment of the demographic contour </w:t>
      </w:r>
      <w:r>
        <w:rPr>
          <w:b/>
          <w:color w:val="256E60"/>
        </w:rPr>
        <w:t>(Figure 21.3)</w:t>
      </w:r>
      <w:r>
        <w:rPr/>
        <w:t>. By 2050, the current</w:t>
      </w:r>
      <w:r>
        <w:rPr>
          <w:spacing w:val="-3"/>
        </w:rPr>
        <w:t> </w:t>
      </w:r>
      <w:r>
        <w:rPr/>
        <w:t>developed</w:t>
      </w:r>
      <w:r>
        <w:rPr>
          <w:spacing w:val="-3"/>
        </w:rPr>
        <w:t> </w:t>
      </w:r>
      <w:r>
        <w:rPr/>
        <w:t>nations</w:t>
      </w:r>
      <w:r>
        <w:rPr>
          <w:spacing w:val="-3"/>
        </w:rPr>
        <w:t> </w:t>
      </w:r>
      <w:r>
        <w:rPr/>
        <w:t>will</w:t>
      </w:r>
      <w:r>
        <w:rPr>
          <w:spacing w:val="-3"/>
        </w:rPr>
        <w:t> </w:t>
      </w:r>
      <w:r>
        <w:rPr/>
        <w:t>be</w:t>
      </w:r>
      <w:r>
        <w:rPr>
          <w:spacing w:val="-3"/>
        </w:rPr>
        <w:t> </w:t>
      </w:r>
      <w:r>
        <w:rPr/>
        <w:t>rectangular</w:t>
      </w:r>
      <w:r>
        <w:rPr>
          <w:spacing w:val="-3"/>
        </w:rPr>
        <w:t> </w:t>
      </w:r>
      <w:r>
        <w:rPr/>
        <w:t>societies.</w:t>
      </w:r>
      <w:r>
        <w:rPr>
          <w:spacing w:val="-3"/>
        </w:rPr>
        <w:t> </w:t>
      </w:r>
      <w:r>
        <w:rPr/>
        <w:t>China, by 2050, will contain more people over age 65 than the number of people of all ages currently living in the United States </w:t>
      </w:r>
      <w:r>
        <w:rPr>
          <w:b/>
          <w:color w:val="256E60"/>
        </w:rPr>
        <w:t>(Table 21.1)</w:t>
      </w:r>
      <w:r>
        <w:rPr/>
        <w:t>.</w:t>
      </w:r>
    </w:p>
    <w:p>
      <w:pPr>
        <w:pStyle w:val="BodyText"/>
        <w:spacing w:line="249" w:lineRule="auto" w:before="11"/>
        <w:ind w:right="97" w:firstLine="450"/>
      </w:pPr>
      <w:r>
        <w:rPr/>
        <w:t>This paradigm shift in population demographics is a worldwide development and is not just limited to the affluent societies.</w:t>
      </w:r>
      <w:r>
        <w:rPr>
          <w:vertAlign w:val="superscript"/>
        </w:rPr>
        <w:t>21</w:t>
      </w:r>
      <w:r>
        <w:rPr>
          <w:vertAlign w:val="baseline"/>
        </w:rPr>
        <w:t> The population of the earth will continue to grow until the year 2100 or 2150, when it is expected to stabilize at approximately 11 billion. After 2020, all of this growth will occur in developing countries.</w:t>
      </w:r>
      <w:r>
        <w:rPr>
          <w:vertAlign w:val="superscript"/>
        </w:rPr>
        <w:t>20</w:t>
      </w:r>
      <w:r>
        <w:rPr>
          <w:vertAlign w:val="baseline"/>
        </w:rPr>
        <w:t> In 2000, the poorest countries (located in Africa and Asia) accounted for 87% of the </w:t>
      </w:r>
      <w:r>
        <w:rPr>
          <w:vertAlign w:val="baseline"/>
        </w:rPr>
        <w:t>world’s population. In 1950, only 40% of people 60 years and older lived in developing</w:t>
      </w:r>
      <w:r>
        <w:rPr>
          <w:spacing w:val="30"/>
          <w:vertAlign w:val="baseline"/>
        </w:rPr>
        <w:t> </w:t>
      </w:r>
      <w:r>
        <w:rPr>
          <w:vertAlign w:val="baseline"/>
        </w:rPr>
        <w:t>countries.</w:t>
      </w:r>
      <w:r>
        <w:rPr>
          <w:spacing w:val="29"/>
          <w:vertAlign w:val="baseline"/>
        </w:rPr>
        <w:t> </w:t>
      </w:r>
      <w:r>
        <w:rPr>
          <w:vertAlign w:val="baseline"/>
        </w:rPr>
        <w:t>By</w:t>
      </w:r>
      <w:r>
        <w:rPr>
          <w:spacing w:val="35"/>
          <w:vertAlign w:val="baseline"/>
        </w:rPr>
        <w:t> </w:t>
      </w:r>
      <w:r>
        <w:rPr>
          <w:vertAlign w:val="baseline"/>
        </w:rPr>
        <w:t>2050,</w:t>
      </w:r>
      <w:r>
        <w:rPr>
          <w:spacing w:val="35"/>
          <w:vertAlign w:val="baseline"/>
        </w:rPr>
        <w:t> </w:t>
      </w:r>
      <w:r>
        <w:rPr>
          <w:vertAlign w:val="baseline"/>
        </w:rPr>
        <w:t>about</w:t>
      </w:r>
      <w:r>
        <w:rPr>
          <w:spacing w:val="35"/>
          <w:vertAlign w:val="baseline"/>
        </w:rPr>
        <w:t> </w:t>
      </w:r>
      <w:r>
        <w:rPr>
          <w:vertAlign w:val="baseline"/>
        </w:rPr>
        <w:t>80%</w:t>
      </w:r>
      <w:r>
        <w:rPr>
          <w:spacing w:val="35"/>
          <w:vertAlign w:val="baseline"/>
        </w:rPr>
        <w:t> </w:t>
      </w:r>
      <w:r>
        <w:rPr>
          <w:vertAlign w:val="baseline"/>
        </w:rPr>
        <w:t>will</w:t>
      </w:r>
      <w:r>
        <w:rPr>
          <w:spacing w:val="35"/>
          <w:vertAlign w:val="baseline"/>
        </w:rPr>
        <w:t> </w:t>
      </w:r>
      <w:r>
        <w:rPr>
          <w:vertAlign w:val="baseline"/>
        </w:rPr>
        <w:t>live</w:t>
      </w:r>
      <w:r>
        <w:rPr>
          <w:spacing w:val="35"/>
          <w:vertAlign w:val="baseline"/>
        </w:rPr>
        <w:t> </w:t>
      </w:r>
      <w:r>
        <w:rPr>
          <w:vertAlign w:val="baseline"/>
        </w:rPr>
        <w:t>in</w:t>
      </w:r>
      <w:r>
        <w:rPr>
          <w:spacing w:val="35"/>
          <w:vertAlign w:val="baseline"/>
        </w:rPr>
        <w:t> </w:t>
      </w:r>
      <w:r>
        <w:rPr>
          <w:vertAlign w:val="baseline"/>
        </w:rPr>
        <w:t>those</w:t>
      </w:r>
      <w:r>
        <w:rPr>
          <w:spacing w:val="35"/>
          <w:vertAlign w:val="baseline"/>
        </w:rPr>
        <w:t> </w:t>
      </w:r>
      <w:r>
        <w:rPr>
          <w:vertAlign w:val="baseline"/>
        </w:rPr>
        <w:t>countries,</w:t>
      </w:r>
      <w:r>
        <w:rPr>
          <w:spacing w:val="35"/>
          <w:vertAlign w:val="baseline"/>
        </w:rPr>
        <w:t> </w:t>
      </w:r>
      <w:r>
        <w:rPr>
          <w:spacing w:val="-5"/>
          <w:vertAlign w:val="baseline"/>
        </w:rPr>
        <w:t>as</w:t>
      </w:r>
    </w:p>
    <w:p>
      <w:pPr>
        <w:pStyle w:val="BodyText"/>
        <w:spacing w:after="0" w:line="249" w:lineRule="auto"/>
        <w:sectPr>
          <w:pgSz w:w="12240" w:h="15840"/>
          <w:pgMar w:top="1440" w:bottom="280" w:left="1440" w:right="1440"/>
        </w:sectPr>
      </w:pPr>
    </w:p>
    <w:p>
      <w:pPr>
        <w:pStyle w:val="BodyText"/>
        <w:spacing w:line="249" w:lineRule="auto"/>
        <w:ind w:right="105"/>
      </w:pPr>
      <w:r>
        <w:rPr/>
        <w:t>fertility</w:t>
      </w:r>
      <w:r>
        <w:rPr>
          <w:spacing w:val="-2"/>
        </w:rPr>
        <w:t> </w:t>
      </w:r>
      <w:r>
        <w:rPr/>
        <w:t>in</w:t>
      </w:r>
      <w:r>
        <w:rPr>
          <w:spacing w:val="-2"/>
        </w:rPr>
        <w:t> </w:t>
      </w:r>
      <w:r>
        <w:rPr/>
        <w:t>the</w:t>
      </w:r>
      <w:r>
        <w:rPr>
          <w:spacing w:val="-2"/>
        </w:rPr>
        <w:t> </w:t>
      </w:r>
      <w:r>
        <w:rPr/>
        <w:t>developing</w:t>
      </w:r>
      <w:r>
        <w:rPr>
          <w:spacing w:val="-2"/>
        </w:rPr>
        <w:t> </w:t>
      </w:r>
      <w:r>
        <w:rPr/>
        <w:t>regions</w:t>
      </w:r>
      <w:r>
        <w:rPr>
          <w:spacing w:val="-2"/>
        </w:rPr>
        <w:t> </w:t>
      </w:r>
      <w:r>
        <w:rPr/>
        <w:t>is</w:t>
      </w:r>
      <w:r>
        <w:rPr>
          <w:spacing w:val="-2"/>
        </w:rPr>
        <w:t> </w:t>
      </w:r>
      <w:r>
        <w:rPr/>
        <w:t>expected</w:t>
      </w:r>
      <w:r>
        <w:rPr>
          <w:spacing w:val="-2"/>
        </w:rPr>
        <w:t> </w:t>
      </w:r>
      <w:r>
        <w:rPr/>
        <w:t>to</w:t>
      </w:r>
      <w:r>
        <w:rPr>
          <w:spacing w:val="-2"/>
        </w:rPr>
        <w:t> </w:t>
      </w:r>
      <w:r>
        <w:rPr/>
        <w:t>drop</w:t>
      </w:r>
      <w:r>
        <w:rPr>
          <w:spacing w:val="-2"/>
        </w:rPr>
        <w:t> </w:t>
      </w:r>
      <w:r>
        <w:rPr/>
        <w:t>from</w:t>
      </w:r>
      <w:r>
        <w:rPr>
          <w:spacing w:val="-2"/>
        </w:rPr>
        <w:t> </w:t>
      </w:r>
      <w:r>
        <w:rPr/>
        <w:t>2.73</w:t>
      </w:r>
      <w:r>
        <w:rPr>
          <w:spacing w:val="-2"/>
        </w:rPr>
        <w:t> </w:t>
      </w:r>
      <w:r>
        <w:rPr/>
        <w:t>children</w:t>
      </w:r>
      <w:r>
        <w:rPr>
          <w:spacing w:val="-2"/>
        </w:rPr>
        <w:t> </w:t>
      </w:r>
      <w:r>
        <w:rPr/>
        <w:t>per woman in 2005-2010 to 2.05 by 2050.</w:t>
      </w:r>
      <w:r>
        <w:rPr>
          <w:vertAlign w:val="superscript"/>
        </w:rPr>
        <w:t>20</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981075</wp:posOffset>
                </wp:positionH>
                <wp:positionV relativeFrom="paragraph">
                  <wp:posOffset>233353</wp:posOffset>
                </wp:positionV>
                <wp:extent cx="285750" cy="571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285750" cy="57150"/>
                        </a:xfrm>
                        <a:custGeom>
                          <a:avLst/>
                          <a:gdLst/>
                          <a:ahLst/>
                          <a:cxnLst/>
                          <a:rect l="l" t="t" r="r" b="b"/>
                          <a:pathLst>
                            <a:path w="285750" h="57150">
                              <a:moveTo>
                                <a:pt x="32364" y="57145"/>
                              </a:moveTo>
                              <a:lnTo>
                                <a:pt x="24785" y="57145"/>
                              </a:lnTo>
                              <a:lnTo>
                                <a:pt x="21140" y="56419"/>
                              </a:lnTo>
                              <a:lnTo>
                                <a:pt x="0" y="32361"/>
                              </a:lnTo>
                              <a:lnTo>
                                <a:pt x="0" y="24785"/>
                              </a:lnTo>
                              <a:lnTo>
                                <a:pt x="24785" y="0"/>
                              </a:lnTo>
                              <a:lnTo>
                                <a:pt x="32364" y="0"/>
                              </a:lnTo>
                              <a:lnTo>
                                <a:pt x="57149" y="24785"/>
                              </a:lnTo>
                              <a:lnTo>
                                <a:pt x="57149" y="32361"/>
                              </a:lnTo>
                              <a:lnTo>
                                <a:pt x="32364" y="57145"/>
                              </a:lnTo>
                              <a:close/>
                            </a:path>
                            <a:path w="285750" h="57150">
                              <a:moveTo>
                                <a:pt x="146569" y="57145"/>
                              </a:moveTo>
                              <a:lnTo>
                                <a:pt x="138990" y="57145"/>
                              </a:lnTo>
                              <a:lnTo>
                                <a:pt x="135345" y="56419"/>
                              </a:lnTo>
                              <a:lnTo>
                                <a:pt x="114204" y="32361"/>
                              </a:lnTo>
                              <a:lnTo>
                                <a:pt x="114204" y="24785"/>
                              </a:lnTo>
                              <a:lnTo>
                                <a:pt x="138990" y="0"/>
                              </a:lnTo>
                              <a:lnTo>
                                <a:pt x="146569" y="0"/>
                              </a:lnTo>
                              <a:lnTo>
                                <a:pt x="171354" y="24785"/>
                              </a:lnTo>
                              <a:lnTo>
                                <a:pt x="171354" y="32361"/>
                              </a:lnTo>
                              <a:lnTo>
                                <a:pt x="146569" y="57145"/>
                              </a:lnTo>
                              <a:close/>
                            </a:path>
                            <a:path w="285750" h="57150">
                              <a:moveTo>
                                <a:pt x="260773" y="57145"/>
                              </a:moveTo>
                              <a:lnTo>
                                <a:pt x="253195" y="57145"/>
                              </a:lnTo>
                              <a:lnTo>
                                <a:pt x="249550" y="56419"/>
                              </a:lnTo>
                              <a:lnTo>
                                <a:pt x="228409" y="32361"/>
                              </a:lnTo>
                              <a:lnTo>
                                <a:pt x="228409" y="24785"/>
                              </a:lnTo>
                              <a:lnTo>
                                <a:pt x="253195" y="0"/>
                              </a:lnTo>
                              <a:lnTo>
                                <a:pt x="260773" y="0"/>
                              </a:lnTo>
                              <a:lnTo>
                                <a:pt x="285559" y="24785"/>
                              </a:lnTo>
                              <a:lnTo>
                                <a:pt x="285559" y="32361"/>
                              </a:lnTo>
                              <a:lnTo>
                                <a:pt x="260773" y="57145"/>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374266pt;width:22.5pt;height:4.5pt;mso-position-horizontal-relative:page;mso-position-vertical-relative:paragraph;z-index:-15723520;mso-wrap-distance-left:0;mso-wrap-distance-right:0" id="docshape8" coordorigin="1545,367" coordsize="450,90" path="m1596,457l1584,457,1578,456,1567,452,1562,449,1554,440,1551,435,1546,424,1545,418,1545,407,1546,401,1551,390,1554,385,1562,376,1567,373,1578,369,1584,367,1596,367,1602,369,1613,373,1618,376,1626,385,1629,390,1634,401,1635,407,1635,418,1634,424,1629,435,1626,440,1618,449,1613,452,1602,456,1596,457xm1776,457l1764,457,1758,456,1747,452,1742,449,1734,440,1731,435,1726,424,1725,418,1725,407,1726,401,1731,390,1734,385,1742,376,1747,373,1758,369,1764,367,1776,367,1782,369,1793,373,1797,376,1806,385,1809,390,1814,401,1815,407,1815,418,1814,424,1809,435,1806,440,1797,449,1793,452,1782,456,1776,457xm1956,457l1944,457,1938,456,1927,452,1922,449,1914,440,1910,435,1906,424,1905,418,1905,407,1906,401,1910,390,1914,385,1922,376,1927,373,1938,369,1944,367,1956,367,1961,369,1972,373,1977,376,1986,385,1989,390,1994,401,1995,407,1995,418,1994,424,1989,435,1986,440,1977,449,1972,452,1961,456,1956,457xe" filled="true" fillcolor="#bdb4d4" stroked="false">
                <v:path arrowok="t"/>
                <v:fill type="solid"/>
                <w10:wrap type="topAndBottom"/>
              </v:shape>
            </w:pict>
          </mc:Fallback>
        </mc:AlternateContent>
      </w:r>
    </w:p>
    <w:p>
      <w:pPr>
        <w:pStyle w:val="Heading3"/>
        <w:jc w:val="both"/>
      </w:pPr>
      <w:r>
        <w:rPr>
          <w:color w:val="534089"/>
        </w:rPr>
        <w:t>GENDER DIFFERENTIAL AND </w:t>
      </w:r>
      <w:r>
        <w:rPr>
          <w:color w:val="534089"/>
          <w:spacing w:val="-2"/>
        </w:rPr>
        <w:t>AGING</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593472">
                <wp:simplePos x="0" y="0"/>
                <wp:positionH relativeFrom="page">
                  <wp:posOffset>981075</wp:posOffset>
                </wp:positionH>
                <wp:positionV relativeFrom="paragraph">
                  <wp:posOffset>45741</wp:posOffset>
                </wp:positionV>
                <wp:extent cx="5810250" cy="190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681pt;width:457.499964pt;height:1.5pt;mso-position-horizontal-relative:page;mso-position-vertical-relative:paragraph;z-index:-15723008;mso-wrap-distance-left:0;mso-wrap-distance-right:0" id="docshape9" filled="true" fillcolor="#534089" stroked="false">
                <v:fill type="solid"/>
                <w10:wrap type="topAndBottom"/>
              </v:rect>
            </w:pict>
          </mc:Fallback>
        </mc:AlternateContent>
      </w:r>
    </w:p>
    <w:p>
      <w:pPr>
        <w:pStyle w:val="BodyText"/>
        <w:spacing w:line="249" w:lineRule="auto" w:before="215"/>
        <w:ind w:right="109"/>
      </w:pPr>
      <w:r>
        <w:rPr/>
        <w:t>In aging populations, a gender differential in survival is recognized. </w:t>
      </w:r>
      <w:r>
        <w:rPr/>
        <w:t>In 1900,</w:t>
      </w:r>
      <w:r>
        <w:rPr>
          <w:spacing w:val="11"/>
        </w:rPr>
        <w:t> </w:t>
      </w:r>
      <w:r>
        <w:rPr/>
        <w:t>men</w:t>
      </w:r>
      <w:r>
        <w:rPr>
          <w:spacing w:val="11"/>
        </w:rPr>
        <w:t> </w:t>
      </w:r>
      <w:r>
        <w:rPr/>
        <w:t>over</w:t>
      </w:r>
      <w:r>
        <w:rPr>
          <w:spacing w:val="11"/>
        </w:rPr>
        <w:t> </w:t>
      </w:r>
      <w:r>
        <w:rPr/>
        <w:t>age</w:t>
      </w:r>
      <w:r>
        <w:rPr>
          <w:spacing w:val="11"/>
        </w:rPr>
        <w:t> </w:t>
      </w:r>
      <w:r>
        <w:rPr/>
        <w:t>65</w:t>
      </w:r>
      <w:r>
        <w:rPr>
          <w:spacing w:val="11"/>
        </w:rPr>
        <w:t> </w:t>
      </w:r>
      <w:r>
        <w:rPr/>
        <w:t>in</w:t>
      </w:r>
      <w:r>
        <w:rPr>
          <w:spacing w:val="11"/>
        </w:rPr>
        <w:t> </w:t>
      </w:r>
      <w:r>
        <w:rPr/>
        <w:t>the</w:t>
      </w:r>
      <w:r>
        <w:rPr>
          <w:spacing w:val="11"/>
        </w:rPr>
        <w:t> </w:t>
      </w:r>
      <w:r>
        <w:rPr/>
        <w:t>United</w:t>
      </w:r>
      <w:r>
        <w:rPr>
          <w:spacing w:val="11"/>
        </w:rPr>
        <w:t> </w:t>
      </w:r>
      <w:r>
        <w:rPr/>
        <w:t>States</w:t>
      </w:r>
      <w:r>
        <w:rPr>
          <w:spacing w:val="11"/>
        </w:rPr>
        <w:t> </w:t>
      </w:r>
      <w:r>
        <w:rPr/>
        <w:t>outnumbered</w:t>
      </w:r>
      <w:r>
        <w:rPr>
          <w:spacing w:val="11"/>
        </w:rPr>
        <w:t> </w:t>
      </w:r>
      <w:r>
        <w:rPr/>
        <w:t>women</w:t>
      </w:r>
      <w:r>
        <w:rPr>
          <w:spacing w:val="11"/>
        </w:rPr>
        <w:t> </w:t>
      </w:r>
      <w:r>
        <w:rPr/>
        <w:t>by</w:t>
      </w:r>
      <w:r>
        <w:rPr>
          <w:spacing w:val="11"/>
        </w:rPr>
        <w:t> </w:t>
      </w:r>
      <w:r>
        <w:rPr/>
        <w:t>102</w:t>
      </w:r>
      <w:r>
        <w:rPr>
          <w:spacing w:val="11"/>
        </w:rPr>
        <w:t> </w:t>
      </w:r>
      <w:r>
        <w:rPr>
          <w:spacing w:val="-5"/>
        </w:rPr>
        <w:t>to</w:t>
      </w:r>
    </w:p>
    <w:p>
      <w:pPr>
        <w:pStyle w:val="BodyText"/>
        <w:spacing w:line="249" w:lineRule="auto" w:before="2"/>
        <w:ind w:right="103"/>
      </w:pPr>
      <w:r>
        <w:rPr/>
        <w:t>100. Now, there are only 70 men for every 100 women over age 65.</w:t>
      </w:r>
      <w:r>
        <w:rPr>
          <w:vertAlign w:val="superscript"/>
        </w:rPr>
        <w:t>22</w:t>
      </w:r>
      <w:r>
        <w:rPr>
          <w:vertAlign w:val="baseline"/>
        </w:rPr>
        <w:t> </w:t>
      </w:r>
      <w:r>
        <w:rPr>
          <w:vertAlign w:val="baseline"/>
        </w:rPr>
        <w:t>By age 85, only 39 men are alive for every 100 women. Nearly 90% of White American women can expect to live to age 70. Vital statistics data indicate that this gender difference is similar in both Black and White populations in the United States </w:t>
      </w:r>
      <w:r>
        <w:rPr>
          <w:b/>
          <w:color w:val="256E60"/>
          <w:vertAlign w:val="baseline"/>
        </w:rPr>
        <w:t>(Figure 21.4)</w:t>
      </w:r>
      <w:r>
        <w:rPr>
          <w:vertAlign w:val="baseline"/>
        </w:rPr>
        <w:t>.</w:t>
      </w:r>
      <w:r>
        <w:rPr>
          <w:vertAlign w:val="superscript"/>
        </w:rPr>
        <w:t>23</w:t>
      </w:r>
      <w:r>
        <w:rPr>
          <w:vertAlign w:val="baseline"/>
        </w:rPr>
        <w:t> Approximately 55% of girls, but only 35% of boys, live long enough to celebrate their 85th birthday.</w:t>
      </w:r>
      <w:r>
        <w:rPr>
          <w:vertAlign w:val="superscript"/>
        </w:rPr>
        <w:t>24</w:t>
      </w:r>
      <w:r>
        <w:rPr>
          <w:vertAlign w:val="baseline"/>
        </w:rPr>
        <w:t> One in 5,600 individuals can expect to live to be 100, and women remain</w:t>
      </w:r>
      <w:r>
        <w:rPr>
          <w:spacing w:val="40"/>
          <w:vertAlign w:val="baseline"/>
        </w:rPr>
        <w:t> </w:t>
      </w:r>
      <w:r>
        <w:rPr>
          <w:vertAlign w:val="baseline"/>
        </w:rPr>
        <w:t>uniformly overrepresented in aged populations.</w:t>
      </w:r>
      <w:r>
        <w:rPr>
          <w:vertAlign w:val="superscript"/>
        </w:rPr>
        <w:t>22</w:t>
      </w:r>
    </w:p>
    <w:p>
      <w:pPr>
        <w:pStyle w:val="BodyText"/>
        <w:spacing w:before="0"/>
        <w:ind w:left="0"/>
        <w:jc w:val="left"/>
        <w:rPr>
          <w:sz w:val="20"/>
        </w:rPr>
      </w:pPr>
    </w:p>
    <w:p>
      <w:pPr>
        <w:pStyle w:val="BodyText"/>
        <w:spacing w:before="145"/>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2"/>
        <w:gridCol w:w="2387"/>
        <w:gridCol w:w="2441"/>
        <w:gridCol w:w="3009"/>
      </w:tblGrid>
      <w:tr>
        <w:trPr>
          <w:trHeight w:val="449" w:hRule="atLeast"/>
        </w:trPr>
        <w:tc>
          <w:tcPr>
            <w:tcW w:w="9149" w:type="dxa"/>
            <w:gridSpan w:val="4"/>
            <w:shd w:val="clear" w:color="auto" w:fill="256E60"/>
          </w:tcPr>
          <w:p>
            <w:pPr>
              <w:pStyle w:val="TableParagraph"/>
              <w:tabs>
                <w:tab w:pos="1605" w:val="left" w:leader="none"/>
              </w:tabs>
              <w:spacing w:before="93"/>
              <w:rPr>
                <w:rFonts w:ascii="Arial"/>
                <w:sz w:val="22"/>
              </w:rPr>
            </w:pPr>
            <w:r>
              <w:rPr>
                <w:rFonts w:ascii="Arial"/>
                <w:b/>
                <w:color w:val="FFFFFF"/>
                <w:sz w:val="22"/>
              </w:rPr>
              <w:t>TABLE</w:t>
            </w:r>
            <w:r>
              <w:rPr>
                <w:rFonts w:ascii="Arial"/>
                <w:b/>
                <w:color w:val="FFFFFF"/>
                <w:spacing w:val="-2"/>
                <w:sz w:val="22"/>
              </w:rPr>
              <w:t> </w:t>
            </w:r>
            <w:r>
              <w:rPr>
                <w:rFonts w:ascii="Arial"/>
                <w:b/>
                <w:color w:val="FFFFFF"/>
                <w:spacing w:val="-4"/>
                <w:sz w:val="22"/>
              </w:rPr>
              <w:t>21.1</w:t>
            </w:r>
            <w:r>
              <w:rPr>
                <w:rFonts w:ascii="Arial"/>
                <w:b/>
                <w:color w:val="FFFFFF"/>
                <w:sz w:val="22"/>
              </w:rPr>
              <w:tab/>
            </w:r>
            <w:r>
              <w:rPr>
                <w:rFonts w:ascii="Arial"/>
                <w:color w:val="FFFFFF"/>
                <w:sz w:val="22"/>
              </w:rPr>
              <w:t>Current</w:t>
            </w:r>
            <w:r>
              <w:rPr>
                <w:rFonts w:ascii="Arial"/>
                <w:color w:val="FFFFFF"/>
                <w:spacing w:val="14"/>
                <w:sz w:val="22"/>
              </w:rPr>
              <w:t> </w:t>
            </w:r>
            <w:r>
              <w:rPr>
                <w:rFonts w:ascii="Arial"/>
                <w:color w:val="FFFFFF"/>
                <w:sz w:val="22"/>
              </w:rPr>
              <w:t>World</w:t>
            </w:r>
            <w:r>
              <w:rPr>
                <w:rFonts w:ascii="Arial"/>
                <w:color w:val="FFFFFF"/>
                <w:spacing w:val="15"/>
                <w:sz w:val="22"/>
              </w:rPr>
              <w:t> </w:t>
            </w:r>
            <w:r>
              <w:rPr>
                <w:rFonts w:ascii="Arial"/>
                <w:color w:val="FFFFFF"/>
                <w:sz w:val="22"/>
              </w:rPr>
              <w:t>Population</w:t>
            </w:r>
            <w:r>
              <w:rPr>
                <w:rFonts w:ascii="Arial"/>
                <w:color w:val="FFFFFF"/>
                <w:spacing w:val="15"/>
                <w:sz w:val="22"/>
              </w:rPr>
              <w:t> </w:t>
            </w:r>
            <w:r>
              <w:rPr>
                <w:rFonts w:ascii="Arial"/>
                <w:color w:val="FFFFFF"/>
                <w:spacing w:val="-2"/>
                <w:sz w:val="22"/>
              </w:rPr>
              <w:t>Figures</w:t>
            </w:r>
          </w:p>
        </w:tc>
      </w:tr>
      <w:tr>
        <w:trPr>
          <w:trHeight w:val="539" w:hRule="atLeast"/>
        </w:trPr>
        <w:tc>
          <w:tcPr>
            <w:tcW w:w="1312" w:type="dxa"/>
            <w:tcBorders>
              <w:bottom w:val="single" w:sz="6" w:space="0" w:color="256E60"/>
            </w:tcBorders>
            <w:shd w:val="clear" w:color="auto" w:fill="DDE6E3"/>
          </w:tcPr>
          <w:p>
            <w:pPr>
              <w:pStyle w:val="TableParagraph"/>
              <w:spacing w:before="0"/>
              <w:ind w:left="0"/>
              <w:rPr>
                <w:sz w:val="26"/>
              </w:rPr>
            </w:pPr>
          </w:p>
        </w:tc>
        <w:tc>
          <w:tcPr>
            <w:tcW w:w="2387" w:type="dxa"/>
            <w:tcBorders>
              <w:bottom w:val="single" w:sz="6" w:space="0" w:color="256E60"/>
            </w:tcBorders>
            <w:shd w:val="clear" w:color="auto" w:fill="DDE6E3"/>
          </w:tcPr>
          <w:p>
            <w:pPr>
              <w:pStyle w:val="TableParagraph"/>
              <w:spacing w:before="138"/>
              <w:ind w:left="527"/>
              <w:rPr>
                <w:rFonts w:ascii="Arial"/>
                <w:b/>
                <w:sz w:val="22"/>
              </w:rPr>
            </w:pPr>
            <w:r>
              <w:rPr>
                <w:rFonts w:ascii="Arial"/>
                <w:b/>
                <w:color w:val="1C5349"/>
                <w:spacing w:val="-2"/>
                <w:sz w:val="22"/>
              </w:rPr>
              <w:t>Births</w:t>
            </w:r>
          </w:p>
        </w:tc>
        <w:tc>
          <w:tcPr>
            <w:tcW w:w="2441" w:type="dxa"/>
            <w:tcBorders>
              <w:bottom w:val="single" w:sz="6" w:space="0" w:color="256E60"/>
            </w:tcBorders>
            <w:shd w:val="clear" w:color="auto" w:fill="DDE6E3"/>
          </w:tcPr>
          <w:p>
            <w:pPr>
              <w:pStyle w:val="TableParagraph"/>
              <w:spacing w:before="138"/>
              <w:ind w:left="735"/>
              <w:rPr>
                <w:rFonts w:ascii="Arial"/>
                <w:b/>
                <w:sz w:val="22"/>
              </w:rPr>
            </w:pPr>
            <w:r>
              <w:rPr>
                <w:rFonts w:ascii="Arial"/>
                <w:b/>
                <w:color w:val="1C5349"/>
                <w:spacing w:val="-2"/>
                <w:sz w:val="22"/>
              </w:rPr>
              <w:t>Deaths</w:t>
            </w:r>
          </w:p>
        </w:tc>
        <w:tc>
          <w:tcPr>
            <w:tcW w:w="3009" w:type="dxa"/>
            <w:tcBorders>
              <w:bottom w:val="single" w:sz="6" w:space="0" w:color="256E60"/>
            </w:tcBorders>
            <w:shd w:val="clear" w:color="auto" w:fill="DDE6E3"/>
          </w:tcPr>
          <w:p>
            <w:pPr>
              <w:pStyle w:val="TableParagraph"/>
              <w:spacing w:before="138"/>
              <w:ind w:left="694"/>
              <w:rPr>
                <w:rFonts w:ascii="Arial"/>
                <w:b/>
                <w:sz w:val="22"/>
              </w:rPr>
            </w:pPr>
            <w:r>
              <w:rPr>
                <w:rFonts w:ascii="Arial"/>
                <w:b/>
                <w:color w:val="1C5349"/>
                <w:spacing w:val="-2"/>
                <w:sz w:val="22"/>
              </w:rPr>
              <w:t>Growth</w:t>
            </w:r>
          </w:p>
        </w:tc>
      </w:tr>
      <w:tr>
        <w:trPr>
          <w:trHeight w:val="554" w:hRule="atLeast"/>
        </w:trPr>
        <w:tc>
          <w:tcPr>
            <w:tcW w:w="1312" w:type="dxa"/>
            <w:tcBorders>
              <w:top w:val="single" w:sz="6" w:space="0" w:color="256E60"/>
              <w:bottom w:val="single" w:sz="6" w:space="0" w:color="1C5349"/>
            </w:tcBorders>
          </w:tcPr>
          <w:p>
            <w:pPr>
              <w:pStyle w:val="TableParagraph"/>
              <w:rPr>
                <w:b/>
                <w:sz w:val="22"/>
              </w:rPr>
            </w:pPr>
            <w:r>
              <w:rPr>
                <w:b/>
                <w:spacing w:val="-4"/>
                <w:sz w:val="22"/>
              </w:rPr>
              <w:t>Year</w:t>
            </w:r>
          </w:p>
        </w:tc>
        <w:tc>
          <w:tcPr>
            <w:tcW w:w="2387" w:type="dxa"/>
            <w:tcBorders>
              <w:top w:val="single" w:sz="6" w:space="0" w:color="256E60"/>
              <w:bottom w:val="single" w:sz="6" w:space="0" w:color="1C5349"/>
            </w:tcBorders>
          </w:tcPr>
          <w:p>
            <w:pPr>
              <w:pStyle w:val="TableParagraph"/>
              <w:ind w:left="527"/>
              <w:rPr>
                <w:sz w:val="22"/>
              </w:rPr>
            </w:pPr>
            <w:r>
              <w:rPr>
                <w:spacing w:val="-2"/>
                <w:sz w:val="22"/>
              </w:rPr>
              <w:t>140,773,000</w:t>
            </w:r>
          </w:p>
        </w:tc>
        <w:tc>
          <w:tcPr>
            <w:tcW w:w="2441" w:type="dxa"/>
            <w:tcBorders>
              <w:top w:val="single" w:sz="6" w:space="0" w:color="256E60"/>
              <w:bottom w:val="single" w:sz="6" w:space="0" w:color="1C5349"/>
            </w:tcBorders>
          </w:tcPr>
          <w:p>
            <w:pPr>
              <w:pStyle w:val="TableParagraph"/>
              <w:ind w:left="735"/>
              <w:rPr>
                <w:sz w:val="22"/>
              </w:rPr>
            </w:pPr>
            <w:r>
              <w:rPr>
                <w:spacing w:val="-2"/>
                <w:sz w:val="22"/>
              </w:rPr>
              <w:t>51,315,000</w:t>
            </w:r>
          </w:p>
        </w:tc>
        <w:tc>
          <w:tcPr>
            <w:tcW w:w="3009" w:type="dxa"/>
            <w:tcBorders>
              <w:top w:val="single" w:sz="6" w:space="0" w:color="256E60"/>
              <w:bottom w:val="single" w:sz="6" w:space="0" w:color="1C5349"/>
            </w:tcBorders>
          </w:tcPr>
          <w:p>
            <w:pPr>
              <w:pStyle w:val="TableParagraph"/>
              <w:ind w:left="694"/>
              <w:rPr>
                <w:sz w:val="22"/>
              </w:rPr>
            </w:pPr>
            <w:r>
              <w:rPr>
                <w:spacing w:val="-2"/>
                <w:sz w:val="22"/>
              </w:rPr>
              <w:t>89,458,000</w:t>
            </w:r>
          </w:p>
        </w:tc>
      </w:tr>
      <w:tr>
        <w:trPr>
          <w:trHeight w:val="554" w:hRule="atLeast"/>
        </w:trPr>
        <w:tc>
          <w:tcPr>
            <w:tcW w:w="1312" w:type="dxa"/>
            <w:tcBorders>
              <w:top w:val="single" w:sz="6" w:space="0" w:color="1C5349"/>
              <w:bottom w:val="single" w:sz="6" w:space="0" w:color="1C5349"/>
            </w:tcBorders>
          </w:tcPr>
          <w:p>
            <w:pPr>
              <w:pStyle w:val="TableParagraph"/>
              <w:rPr>
                <w:b/>
                <w:sz w:val="22"/>
              </w:rPr>
            </w:pPr>
            <w:r>
              <w:rPr>
                <w:b/>
                <w:spacing w:val="-2"/>
                <w:sz w:val="22"/>
              </w:rPr>
              <w:t>Month</w:t>
            </w:r>
          </w:p>
        </w:tc>
        <w:tc>
          <w:tcPr>
            <w:tcW w:w="2387" w:type="dxa"/>
            <w:tcBorders>
              <w:top w:val="single" w:sz="6" w:space="0" w:color="1C5349"/>
              <w:bottom w:val="single" w:sz="6" w:space="0" w:color="1C5349"/>
            </w:tcBorders>
          </w:tcPr>
          <w:p>
            <w:pPr>
              <w:pStyle w:val="TableParagraph"/>
              <w:ind w:left="527"/>
              <w:rPr>
                <w:sz w:val="22"/>
              </w:rPr>
            </w:pPr>
            <w:r>
              <w:rPr>
                <w:spacing w:val="-2"/>
                <w:sz w:val="22"/>
              </w:rPr>
              <w:t>11,731,080</w:t>
            </w:r>
          </w:p>
        </w:tc>
        <w:tc>
          <w:tcPr>
            <w:tcW w:w="2441" w:type="dxa"/>
            <w:tcBorders>
              <w:top w:val="single" w:sz="6" w:space="0" w:color="1C5349"/>
              <w:bottom w:val="single" w:sz="6" w:space="0" w:color="1C5349"/>
            </w:tcBorders>
          </w:tcPr>
          <w:p>
            <w:pPr>
              <w:pStyle w:val="TableParagraph"/>
              <w:ind w:left="735"/>
              <w:rPr>
                <w:sz w:val="22"/>
              </w:rPr>
            </w:pPr>
            <w:r>
              <w:rPr>
                <w:spacing w:val="-2"/>
                <w:sz w:val="22"/>
              </w:rPr>
              <w:t>4,276,250</w:t>
            </w:r>
          </w:p>
        </w:tc>
        <w:tc>
          <w:tcPr>
            <w:tcW w:w="3009" w:type="dxa"/>
            <w:tcBorders>
              <w:top w:val="single" w:sz="6" w:space="0" w:color="1C5349"/>
              <w:bottom w:val="single" w:sz="6" w:space="0" w:color="1C5349"/>
            </w:tcBorders>
          </w:tcPr>
          <w:p>
            <w:pPr>
              <w:pStyle w:val="TableParagraph"/>
              <w:ind w:left="694"/>
              <w:rPr>
                <w:sz w:val="22"/>
              </w:rPr>
            </w:pPr>
            <w:r>
              <w:rPr>
                <w:spacing w:val="-2"/>
                <w:sz w:val="22"/>
              </w:rPr>
              <w:t>7,454,834</w:t>
            </w:r>
          </w:p>
        </w:tc>
      </w:tr>
      <w:tr>
        <w:trPr>
          <w:trHeight w:val="554" w:hRule="atLeast"/>
        </w:trPr>
        <w:tc>
          <w:tcPr>
            <w:tcW w:w="1312" w:type="dxa"/>
            <w:tcBorders>
              <w:top w:val="single" w:sz="6" w:space="0" w:color="1C5349"/>
              <w:bottom w:val="single" w:sz="6" w:space="0" w:color="1C5349"/>
            </w:tcBorders>
          </w:tcPr>
          <w:p>
            <w:pPr>
              <w:pStyle w:val="TableParagraph"/>
              <w:rPr>
                <w:b/>
                <w:sz w:val="22"/>
              </w:rPr>
            </w:pPr>
            <w:r>
              <w:rPr>
                <w:b/>
                <w:spacing w:val="-4"/>
                <w:sz w:val="22"/>
              </w:rPr>
              <w:t>Week</w:t>
            </w:r>
          </w:p>
        </w:tc>
        <w:tc>
          <w:tcPr>
            <w:tcW w:w="2387" w:type="dxa"/>
            <w:tcBorders>
              <w:top w:val="single" w:sz="6" w:space="0" w:color="1C5349"/>
              <w:bottom w:val="single" w:sz="6" w:space="0" w:color="1C5349"/>
            </w:tcBorders>
          </w:tcPr>
          <w:p>
            <w:pPr>
              <w:pStyle w:val="TableParagraph"/>
              <w:ind w:left="527"/>
              <w:rPr>
                <w:sz w:val="22"/>
              </w:rPr>
            </w:pPr>
            <w:r>
              <w:rPr>
                <w:spacing w:val="-2"/>
                <w:sz w:val="22"/>
              </w:rPr>
              <w:t>2,707,173</w:t>
            </w:r>
          </w:p>
        </w:tc>
        <w:tc>
          <w:tcPr>
            <w:tcW w:w="2441" w:type="dxa"/>
            <w:tcBorders>
              <w:top w:val="single" w:sz="6" w:space="0" w:color="1C5349"/>
              <w:bottom w:val="single" w:sz="6" w:space="0" w:color="1C5349"/>
            </w:tcBorders>
          </w:tcPr>
          <w:p>
            <w:pPr>
              <w:pStyle w:val="TableParagraph"/>
              <w:ind w:left="735"/>
              <w:rPr>
                <w:sz w:val="22"/>
              </w:rPr>
            </w:pPr>
            <w:r>
              <w:rPr>
                <w:spacing w:val="-2"/>
                <w:sz w:val="22"/>
              </w:rPr>
              <w:t>140,589</w:t>
            </w:r>
          </w:p>
        </w:tc>
        <w:tc>
          <w:tcPr>
            <w:tcW w:w="3009" w:type="dxa"/>
            <w:tcBorders>
              <w:top w:val="single" w:sz="6" w:space="0" w:color="1C5349"/>
              <w:bottom w:val="single" w:sz="6" w:space="0" w:color="1C5349"/>
            </w:tcBorders>
          </w:tcPr>
          <w:p>
            <w:pPr>
              <w:pStyle w:val="TableParagraph"/>
              <w:ind w:left="694"/>
              <w:rPr>
                <w:sz w:val="22"/>
              </w:rPr>
            </w:pPr>
            <w:r>
              <w:rPr>
                <w:spacing w:val="-2"/>
                <w:sz w:val="22"/>
              </w:rPr>
              <w:t>245,090</w:t>
            </w:r>
          </w:p>
        </w:tc>
      </w:tr>
      <w:tr>
        <w:trPr>
          <w:trHeight w:val="554" w:hRule="atLeast"/>
        </w:trPr>
        <w:tc>
          <w:tcPr>
            <w:tcW w:w="1312" w:type="dxa"/>
            <w:tcBorders>
              <w:top w:val="single" w:sz="6" w:space="0" w:color="1C5349"/>
              <w:bottom w:val="single" w:sz="6" w:space="0" w:color="1C5349"/>
            </w:tcBorders>
          </w:tcPr>
          <w:p>
            <w:pPr>
              <w:pStyle w:val="TableParagraph"/>
              <w:rPr>
                <w:b/>
                <w:sz w:val="22"/>
              </w:rPr>
            </w:pPr>
            <w:r>
              <w:rPr>
                <w:b/>
                <w:spacing w:val="-4"/>
                <w:sz w:val="22"/>
              </w:rPr>
              <w:t>Hour</w:t>
            </w:r>
          </w:p>
        </w:tc>
        <w:tc>
          <w:tcPr>
            <w:tcW w:w="2387" w:type="dxa"/>
            <w:tcBorders>
              <w:top w:val="single" w:sz="6" w:space="0" w:color="1C5349"/>
              <w:bottom w:val="single" w:sz="6" w:space="0" w:color="1C5349"/>
            </w:tcBorders>
          </w:tcPr>
          <w:p>
            <w:pPr>
              <w:pStyle w:val="TableParagraph"/>
              <w:ind w:left="527"/>
              <w:rPr>
                <w:sz w:val="22"/>
              </w:rPr>
            </w:pPr>
            <w:r>
              <w:rPr>
                <w:spacing w:val="-2"/>
                <w:sz w:val="22"/>
              </w:rPr>
              <w:t>16,070</w:t>
            </w:r>
          </w:p>
        </w:tc>
        <w:tc>
          <w:tcPr>
            <w:tcW w:w="2441" w:type="dxa"/>
            <w:tcBorders>
              <w:top w:val="single" w:sz="6" w:space="0" w:color="1C5349"/>
              <w:bottom w:val="single" w:sz="6" w:space="0" w:color="1C5349"/>
            </w:tcBorders>
          </w:tcPr>
          <w:p>
            <w:pPr>
              <w:pStyle w:val="TableParagraph"/>
              <w:ind w:left="735"/>
              <w:rPr>
                <w:sz w:val="22"/>
              </w:rPr>
            </w:pPr>
            <w:r>
              <w:rPr>
                <w:spacing w:val="-2"/>
                <w:sz w:val="22"/>
              </w:rPr>
              <w:t>5,858</w:t>
            </w:r>
          </w:p>
        </w:tc>
        <w:tc>
          <w:tcPr>
            <w:tcW w:w="3009" w:type="dxa"/>
            <w:tcBorders>
              <w:top w:val="single" w:sz="6" w:space="0" w:color="1C5349"/>
              <w:bottom w:val="single" w:sz="6" w:space="0" w:color="1C5349"/>
            </w:tcBorders>
          </w:tcPr>
          <w:p>
            <w:pPr>
              <w:pStyle w:val="TableParagraph"/>
              <w:ind w:left="694"/>
              <w:rPr>
                <w:sz w:val="22"/>
              </w:rPr>
            </w:pPr>
            <w:r>
              <w:rPr>
                <w:spacing w:val="-2"/>
                <w:sz w:val="22"/>
              </w:rPr>
              <w:t>10,212</w:t>
            </w:r>
          </w:p>
        </w:tc>
      </w:tr>
      <w:tr>
        <w:trPr>
          <w:trHeight w:val="554" w:hRule="atLeast"/>
        </w:trPr>
        <w:tc>
          <w:tcPr>
            <w:tcW w:w="1312" w:type="dxa"/>
            <w:tcBorders>
              <w:top w:val="single" w:sz="6" w:space="0" w:color="1C5349"/>
              <w:bottom w:val="single" w:sz="6" w:space="0" w:color="1C5349"/>
            </w:tcBorders>
          </w:tcPr>
          <w:p>
            <w:pPr>
              <w:pStyle w:val="TableParagraph"/>
              <w:rPr>
                <w:b/>
                <w:sz w:val="22"/>
              </w:rPr>
            </w:pPr>
            <w:r>
              <w:rPr>
                <w:b/>
                <w:spacing w:val="-2"/>
                <w:sz w:val="22"/>
              </w:rPr>
              <w:t>Minute</w:t>
            </w:r>
          </w:p>
        </w:tc>
        <w:tc>
          <w:tcPr>
            <w:tcW w:w="2387" w:type="dxa"/>
            <w:tcBorders>
              <w:top w:val="single" w:sz="6" w:space="0" w:color="1C5349"/>
              <w:bottom w:val="single" w:sz="6" w:space="0" w:color="1C5349"/>
            </w:tcBorders>
          </w:tcPr>
          <w:p>
            <w:pPr>
              <w:pStyle w:val="TableParagraph"/>
              <w:ind w:left="527"/>
              <w:rPr>
                <w:sz w:val="22"/>
              </w:rPr>
            </w:pPr>
            <w:r>
              <w:rPr>
                <w:spacing w:val="-5"/>
                <w:sz w:val="22"/>
              </w:rPr>
              <w:t>268</w:t>
            </w:r>
          </w:p>
        </w:tc>
        <w:tc>
          <w:tcPr>
            <w:tcW w:w="2441" w:type="dxa"/>
            <w:tcBorders>
              <w:top w:val="single" w:sz="6" w:space="0" w:color="1C5349"/>
              <w:bottom w:val="single" w:sz="6" w:space="0" w:color="1C5349"/>
            </w:tcBorders>
          </w:tcPr>
          <w:p>
            <w:pPr>
              <w:pStyle w:val="TableParagraph"/>
              <w:ind w:left="735"/>
              <w:rPr>
                <w:sz w:val="22"/>
              </w:rPr>
            </w:pPr>
            <w:r>
              <w:rPr>
                <w:spacing w:val="-5"/>
                <w:sz w:val="22"/>
              </w:rPr>
              <w:t>96</w:t>
            </w:r>
          </w:p>
        </w:tc>
        <w:tc>
          <w:tcPr>
            <w:tcW w:w="3009" w:type="dxa"/>
            <w:tcBorders>
              <w:top w:val="single" w:sz="6" w:space="0" w:color="1C5349"/>
              <w:bottom w:val="single" w:sz="6" w:space="0" w:color="1C5349"/>
            </w:tcBorders>
          </w:tcPr>
          <w:p>
            <w:pPr>
              <w:pStyle w:val="TableParagraph"/>
              <w:ind w:left="694"/>
              <w:rPr>
                <w:sz w:val="22"/>
              </w:rPr>
            </w:pPr>
            <w:r>
              <w:rPr>
                <w:spacing w:val="-5"/>
                <w:sz w:val="22"/>
              </w:rPr>
              <w:t>170</w:t>
            </w:r>
          </w:p>
        </w:tc>
      </w:tr>
      <w:tr>
        <w:trPr>
          <w:trHeight w:val="554" w:hRule="atLeast"/>
        </w:trPr>
        <w:tc>
          <w:tcPr>
            <w:tcW w:w="1312" w:type="dxa"/>
            <w:tcBorders>
              <w:top w:val="single" w:sz="6" w:space="0" w:color="1C5349"/>
              <w:bottom w:val="single" w:sz="6" w:space="0" w:color="1C5349"/>
            </w:tcBorders>
          </w:tcPr>
          <w:p>
            <w:pPr>
              <w:pStyle w:val="TableParagraph"/>
              <w:rPr>
                <w:b/>
                <w:sz w:val="22"/>
              </w:rPr>
            </w:pPr>
            <w:r>
              <w:rPr>
                <w:b/>
                <w:spacing w:val="-2"/>
                <w:sz w:val="22"/>
              </w:rPr>
              <w:t>Second</w:t>
            </w:r>
          </w:p>
        </w:tc>
        <w:tc>
          <w:tcPr>
            <w:tcW w:w="2387" w:type="dxa"/>
            <w:tcBorders>
              <w:top w:val="single" w:sz="6" w:space="0" w:color="1C5349"/>
              <w:bottom w:val="single" w:sz="6" w:space="0" w:color="1C5349"/>
            </w:tcBorders>
          </w:tcPr>
          <w:p>
            <w:pPr>
              <w:pStyle w:val="TableParagraph"/>
              <w:ind w:left="527"/>
              <w:rPr>
                <w:sz w:val="22"/>
              </w:rPr>
            </w:pPr>
            <w:r>
              <w:rPr>
                <w:spacing w:val="-5"/>
                <w:sz w:val="22"/>
              </w:rPr>
              <w:t>4.5</w:t>
            </w:r>
          </w:p>
        </w:tc>
        <w:tc>
          <w:tcPr>
            <w:tcW w:w="2441" w:type="dxa"/>
            <w:tcBorders>
              <w:top w:val="single" w:sz="6" w:space="0" w:color="1C5349"/>
              <w:bottom w:val="single" w:sz="6" w:space="0" w:color="1C5349"/>
            </w:tcBorders>
          </w:tcPr>
          <w:p>
            <w:pPr>
              <w:pStyle w:val="TableParagraph"/>
              <w:ind w:left="735"/>
              <w:rPr>
                <w:sz w:val="22"/>
              </w:rPr>
            </w:pPr>
            <w:r>
              <w:rPr>
                <w:spacing w:val="-5"/>
                <w:sz w:val="22"/>
              </w:rPr>
              <w:t>1.6</w:t>
            </w:r>
          </w:p>
        </w:tc>
        <w:tc>
          <w:tcPr>
            <w:tcW w:w="3009" w:type="dxa"/>
            <w:tcBorders>
              <w:top w:val="single" w:sz="6" w:space="0" w:color="1C5349"/>
              <w:bottom w:val="single" w:sz="6" w:space="0" w:color="1C5349"/>
            </w:tcBorders>
          </w:tcPr>
          <w:p>
            <w:pPr>
              <w:pStyle w:val="TableParagraph"/>
              <w:ind w:left="694"/>
              <w:rPr>
                <w:sz w:val="22"/>
              </w:rPr>
            </w:pPr>
            <w:r>
              <w:rPr>
                <w:spacing w:val="-5"/>
                <w:sz w:val="22"/>
              </w:rPr>
              <w:t>2.8</w:t>
            </w:r>
          </w:p>
        </w:tc>
      </w:tr>
    </w:tbl>
    <w:p>
      <w:pPr>
        <w:spacing w:line="256" w:lineRule="auto" w:before="162"/>
        <w:ind w:left="99" w:right="255" w:firstLine="0"/>
        <w:jc w:val="left"/>
        <w:rPr>
          <w:sz w:val="22"/>
        </w:rPr>
      </w:pPr>
      <w:r>
        <w:rPr>
          <w:sz w:val="22"/>
        </w:rPr>
        <w:t>From McDevitt TM, Stanecki KA, Way PO. Report WP/98, world population profile: 1998. </w:t>
      </w:r>
      <w:r>
        <w:rPr>
          <w:sz w:val="22"/>
        </w:rPr>
        <w:t>U.S. Census Bureau; 1999.</w:t>
      </w:r>
    </w:p>
    <w:p>
      <w:pPr>
        <w:spacing w:after="0" w:line="256" w:lineRule="auto"/>
        <w:jc w:val="left"/>
        <w:rPr>
          <w:sz w:val="22"/>
        </w:rPr>
        <w:sectPr>
          <w:pgSz w:w="12240" w:h="15840"/>
          <w:pgMar w:top="1380" w:bottom="280" w:left="1440" w:right="1440"/>
        </w:sectPr>
      </w:pPr>
    </w:p>
    <w:p>
      <w:pPr>
        <w:spacing w:line="240" w:lineRule="auto"/>
        <w:ind w:left="105" w:right="0" w:firstLine="0"/>
        <w:rPr>
          <w:sz w:val="20"/>
        </w:rPr>
      </w:pPr>
      <w:r>
        <w:rPr>
          <w:sz w:val="20"/>
        </w:rPr>
        <w:drawing>
          <wp:inline distT="0" distB="0" distL="0" distR="0">
            <wp:extent cx="5419725" cy="452437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5419725" cy="4524375"/>
                    </a:xfrm>
                    <a:prstGeom prst="rect">
                      <a:avLst/>
                    </a:prstGeom>
                  </pic:spPr>
                </pic:pic>
              </a:graphicData>
            </a:graphic>
          </wp:inline>
        </w:drawing>
      </w:r>
      <w:r>
        <w:rPr>
          <w:sz w:val="20"/>
        </w:rPr>
      </w:r>
    </w:p>
    <w:p>
      <w:pPr>
        <w:pStyle w:val="BodyText"/>
        <w:spacing w:before="46"/>
        <w:ind w:left="0"/>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981075</wp:posOffset>
                </wp:positionH>
                <wp:positionV relativeFrom="paragraph">
                  <wp:posOffset>190499</wp:posOffset>
                </wp:positionV>
                <wp:extent cx="856615" cy="571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856615" cy="57150"/>
                        </a:xfrm>
                        <a:custGeom>
                          <a:avLst/>
                          <a:gdLst/>
                          <a:ahLst/>
                          <a:cxnLst/>
                          <a:rect l="l" t="t" r="r" b="b"/>
                          <a:pathLst>
                            <a:path w="856615" h="57150">
                              <a:moveTo>
                                <a:pt x="32364" y="57145"/>
                              </a:moveTo>
                              <a:lnTo>
                                <a:pt x="24785" y="57145"/>
                              </a:lnTo>
                              <a:lnTo>
                                <a:pt x="21140" y="56415"/>
                              </a:lnTo>
                              <a:lnTo>
                                <a:pt x="0" y="32361"/>
                              </a:lnTo>
                              <a:lnTo>
                                <a:pt x="0" y="24780"/>
                              </a:lnTo>
                              <a:lnTo>
                                <a:pt x="24785" y="0"/>
                              </a:lnTo>
                              <a:lnTo>
                                <a:pt x="32364" y="0"/>
                              </a:lnTo>
                              <a:lnTo>
                                <a:pt x="57149" y="24780"/>
                              </a:lnTo>
                              <a:lnTo>
                                <a:pt x="57149" y="32361"/>
                              </a:lnTo>
                              <a:lnTo>
                                <a:pt x="32364" y="57145"/>
                              </a:lnTo>
                              <a:close/>
                            </a:path>
                            <a:path w="856615" h="57150">
                              <a:moveTo>
                                <a:pt x="146569" y="57145"/>
                              </a:moveTo>
                              <a:lnTo>
                                <a:pt x="138990" y="57145"/>
                              </a:lnTo>
                              <a:lnTo>
                                <a:pt x="135345" y="56415"/>
                              </a:lnTo>
                              <a:lnTo>
                                <a:pt x="114204" y="32361"/>
                              </a:lnTo>
                              <a:lnTo>
                                <a:pt x="114204" y="24780"/>
                              </a:lnTo>
                              <a:lnTo>
                                <a:pt x="138990" y="0"/>
                              </a:lnTo>
                              <a:lnTo>
                                <a:pt x="146569" y="0"/>
                              </a:lnTo>
                              <a:lnTo>
                                <a:pt x="171354" y="24780"/>
                              </a:lnTo>
                              <a:lnTo>
                                <a:pt x="171354" y="32361"/>
                              </a:lnTo>
                              <a:lnTo>
                                <a:pt x="146569" y="57145"/>
                              </a:lnTo>
                              <a:close/>
                            </a:path>
                            <a:path w="856615" h="57150">
                              <a:moveTo>
                                <a:pt x="260773" y="57145"/>
                              </a:moveTo>
                              <a:lnTo>
                                <a:pt x="253195" y="57145"/>
                              </a:lnTo>
                              <a:lnTo>
                                <a:pt x="249550" y="56415"/>
                              </a:lnTo>
                              <a:lnTo>
                                <a:pt x="228409" y="32361"/>
                              </a:lnTo>
                              <a:lnTo>
                                <a:pt x="228409" y="24780"/>
                              </a:lnTo>
                              <a:lnTo>
                                <a:pt x="253195" y="0"/>
                              </a:lnTo>
                              <a:lnTo>
                                <a:pt x="260773" y="0"/>
                              </a:lnTo>
                              <a:lnTo>
                                <a:pt x="285559" y="24780"/>
                              </a:lnTo>
                              <a:lnTo>
                                <a:pt x="285559" y="32361"/>
                              </a:lnTo>
                              <a:lnTo>
                                <a:pt x="260773" y="57145"/>
                              </a:lnTo>
                              <a:close/>
                            </a:path>
                            <a:path w="856615" h="57150">
                              <a:moveTo>
                                <a:pt x="374978" y="57145"/>
                              </a:moveTo>
                              <a:lnTo>
                                <a:pt x="367399" y="57145"/>
                              </a:lnTo>
                              <a:lnTo>
                                <a:pt x="363754" y="56415"/>
                              </a:lnTo>
                              <a:lnTo>
                                <a:pt x="342614" y="32361"/>
                              </a:lnTo>
                              <a:lnTo>
                                <a:pt x="342614" y="24780"/>
                              </a:lnTo>
                              <a:lnTo>
                                <a:pt x="367399" y="0"/>
                              </a:lnTo>
                              <a:lnTo>
                                <a:pt x="374978" y="0"/>
                              </a:lnTo>
                              <a:lnTo>
                                <a:pt x="399764" y="24780"/>
                              </a:lnTo>
                              <a:lnTo>
                                <a:pt x="399764" y="32361"/>
                              </a:lnTo>
                              <a:lnTo>
                                <a:pt x="374978" y="57145"/>
                              </a:lnTo>
                              <a:close/>
                            </a:path>
                            <a:path w="856615" h="57150">
                              <a:moveTo>
                                <a:pt x="489183" y="57145"/>
                              </a:moveTo>
                              <a:lnTo>
                                <a:pt x="481604" y="57145"/>
                              </a:lnTo>
                              <a:lnTo>
                                <a:pt x="477959" y="56415"/>
                              </a:lnTo>
                              <a:lnTo>
                                <a:pt x="456818" y="32361"/>
                              </a:lnTo>
                              <a:lnTo>
                                <a:pt x="456818" y="24780"/>
                              </a:lnTo>
                              <a:lnTo>
                                <a:pt x="481604" y="0"/>
                              </a:lnTo>
                              <a:lnTo>
                                <a:pt x="489183" y="0"/>
                              </a:lnTo>
                              <a:lnTo>
                                <a:pt x="513968" y="24780"/>
                              </a:lnTo>
                              <a:lnTo>
                                <a:pt x="513968" y="32361"/>
                              </a:lnTo>
                              <a:lnTo>
                                <a:pt x="489183" y="57145"/>
                              </a:lnTo>
                              <a:close/>
                            </a:path>
                            <a:path w="856615" h="57150">
                              <a:moveTo>
                                <a:pt x="603387" y="57145"/>
                              </a:moveTo>
                              <a:lnTo>
                                <a:pt x="595809" y="57145"/>
                              </a:lnTo>
                              <a:lnTo>
                                <a:pt x="592164" y="56415"/>
                              </a:lnTo>
                              <a:lnTo>
                                <a:pt x="571023" y="32361"/>
                              </a:lnTo>
                              <a:lnTo>
                                <a:pt x="571023" y="24780"/>
                              </a:lnTo>
                              <a:lnTo>
                                <a:pt x="595809" y="0"/>
                              </a:lnTo>
                              <a:lnTo>
                                <a:pt x="603387" y="0"/>
                              </a:lnTo>
                              <a:lnTo>
                                <a:pt x="628173" y="24780"/>
                              </a:lnTo>
                              <a:lnTo>
                                <a:pt x="628173" y="32361"/>
                              </a:lnTo>
                              <a:lnTo>
                                <a:pt x="603387" y="57145"/>
                              </a:lnTo>
                              <a:close/>
                            </a:path>
                            <a:path w="856615" h="57150">
                              <a:moveTo>
                                <a:pt x="717592" y="57145"/>
                              </a:moveTo>
                              <a:lnTo>
                                <a:pt x="710014" y="57145"/>
                              </a:lnTo>
                              <a:lnTo>
                                <a:pt x="706369" y="56415"/>
                              </a:lnTo>
                              <a:lnTo>
                                <a:pt x="685228" y="32361"/>
                              </a:lnTo>
                              <a:lnTo>
                                <a:pt x="685228" y="24780"/>
                              </a:lnTo>
                              <a:lnTo>
                                <a:pt x="710014" y="0"/>
                              </a:lnTo>
                              <a:lnTo>
                                <a:pt x="717592" y="0"/>
                              </a:lnTo>
                              <a:lnTo>
                                <a:pt x="742378" y="24780"/>
                              </a:lnTo>
                              <a:lnTo>
                                <a:pt x="742378" y="32361"/>
                              </a:lnTo>
                              <a:lnTo>
                                <a:pt x="717592" y="57145"/>
                              </a:lnTo>
                              <a:close/>
                            </a:path>
                            <a:path w="856615" h="57150">
                              <a:moveTo>
                                <a:pt x="831797" y="57145"/>
                              </a:moveTo>
                              <a:lnTo>
                                <a:pt x="824218" y="57145"/>
                              </a:lnTo>
                              <a:lnTo>
                                <a:pt x="820573" y="56415"/>
                              </a:lnTo>
                              <a:lnTo>
                                <a:pt x="799433" y="32361"/>
                              </a:lnTo>
                              <a:lnTo>
                                <a:pt x="799433" y="24780"/>
                              </a:lnTo>
                              <a:lnTo>
                                <a:pt x="824218" y="0"/>
                              </a:lnTo>
                              <a:lnTo>
                                <a:pt x="831797" y="0"/>
                              </a:lnTo>
                              <a:lnTo>
                                <a:pt x="856583" y="24780"/>
                              </a:lnTo>
                              <a:lnTo>
                                <a:pt x="856583" y="32361"/>
                              </a:lnTo>
                              <a:lnTo>
                                <a:pt x="831797" y="57145"/>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4.999991pt;width:67.45pt;height:4.5pt;mso-position-horizontal-relative:page;mso-position-vertical-relative:paragraph;z-index:-15722496;mso-wrap-distance-left:0;mso-wrap-distance-right:0" id="docshape10" coordorigin="1545,300" coordsize="1349,90" path="m1596,390l1584,390,1578,389,1567,384,1562,381,1554,373,1551,368,1546,357,1545,351,1545,339,1546,333,1551,322,1554,317,1562,309,1567,306,1578,301,1584,300,1596,300,1602,301,1613,306,1618,309,1626,317,1629,322,1634,333,1635,339,1635,351,1634,357,1629,368,1626,373,1618,381,1613,384,1602,389,1596,390xm1776,390l1764,390,1758,389,1747,384,1742,381,1734,373,1731,368,1726,357,1725,351,1725,339,1726,333,1731,322,1734,317,1742,309,1747,306,1758,301,1764,300,1776,300,1782,301,1793,306,1797,309,1806,317,1809,322,1814,333,1815,339,1815,351,1814,357,1809,368,1806,373,1797,381,1793,384,1782,389,1776,390xm1956,390l1944,390,1938,389,1927,384,1922,381,1914,373,1910,368,1906,357,1905,351,1905,339,1906,333,1910,322,1914,317,1922,309,1927,306,1938,301,1944,300,1956,300,1961,301,1972,306,1977,309,1986,317,1989,322,1994,333,1995,339,1995,351,1994,357,1989,368,1986,373,1977,381,1972,384,1961,389,1956,390xm2136,390l2124,390,2118,389,2107,384,2102,381,2094,373,2090,368,2086,357,2085,351,2085,339,2086,333,2090,322,2094,317,2102,309,2107,306,2118,301,2124,300,2136,300,2141,301,2152,306,2157,309,2166,317,2169,322,2173,333,2175,339,2175,351,2173,357,2169,368,2166,373,2157,381,2152,384,2141,389,2136,390xm2315,390l2303,390,2298,389,2287,384,2282,381,2273,373,2270,368,2266,357,2264,351,2264,339,2266,333,2270,322,2273,317,2282,309,2287,306,2298,301,2303,300,2315,300,2321,301,2332,306,2337,309,2345,317,2349,322,2353,333,2354,339,2354,351,2353,357,2349,368,2345,373,2337,381,2332,384,2321,389,2315,390xm2495,390l2483,390,2478,389,2467,384,2462,381,2453,373,2450,368,2445,357,2444,351,2444,339,2445,333,2450,322,2453,317,2462,309,2467,306,2478,301,2483,300,2495,300,2501,301,2512,306,2517,309,2525,317,2529,322,2533,333,2534,339,2534,351,2533,357,2529,368,2525,373,2517,381,2512,384,2501,389,2495,390xm2675,390l2663,390,2657,389,2646,384,2641,381,2633,373,2630,368,2625,357,2624,351,2624,339,2625,333,2630,322,2633,317,2641,309,2646,306,2657,301,2663,300,2675,300,2681,301,2692,306,2697,309,2705,317,2708,322,2713,333,2714,339,2714,351,2713,357,2708,368,2705,373,2697,381,2692,384,2681,389,2675,390xm2855,390l2843,390,2837,389,2826,384,2821,381,2813,373,2810,368,2805,357,2804,351,2804,339,2805,333,2810,322,2813,317,2821,309,2826,306,2837,301,2843,300,2855,300,2861,301,2872,306,2877,309,2885,317,2888,322,2893,333,2894,339,2894,351,2893,357,2888,368,2885,373,2877,381,2872,384,2861,389,2855,390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21.4</w:t>
      </w:r>
    </w:p>
    <w:p>
      <w:pPr>
        <w:pStyle w:val="BodyText"/>
        <w:spacing w:before="215"/>
        <w:ind w:left="0"/>
        <w:jc w:val="left"/>
        <w:rPr>
          <w:rFonts w:ascii="Arial"/>
          <w:b/>
          <w:sz w:val="22"/>
        </w:rPr>
      </w:pPr>
    </w:p>
    <w:p>
      <w:pPr>
        <w:spacing w:line="249" w:lineRule="auto" w:before="1"/>
        <w:ind w:left="99" w:right="255" w:firstLine="450"/>
        <w:jc w:val="left"/>
        <w:rPr>
          <w:b/>
          <w:sz w:val="30"/>
        </w:rPr>
      </w:pPr>
      <w:r>
        <w:rPr>
          <w:b/>
          <w:sz w:val="30"/>
        </w:rPr>
        <w:t>The 10 leading causes of death in the United States in 2016 were </w:t>
      </w:r>
      <w:r>
        <w:rPr>
          <w:b/>
          <w:sz w:val="30"/>
        </w:rPr>
        <w:t>as </w:t>
      </w:r>
      <w:r>
        <w:rPr>
          <w:b/>
          <w:spacing w:val="-2"/>
          <w:sz w:val="30"/>
        </w:rPr>
        <w:t>follows</w:t>
      </w:r>
      <w:r>
        <w:rPr>
          <w:spacing w:val="-2"/>
          <w:sz w:val="30"/>
          <w:vertAlign w:val="superscript"/>
        </w:rPr>
        <w:t>16</w:t>
      </w:r>
      <w:r>
        <w:rPr>
          <w:b/>
          <w:spacing w:val="-2"/>
          <w:sz w:val="30"/>
          <w:vertAlign w:val="baseline"/>
        </w:rPr>
        <w:t>:</w:t>
      </w:r>
    </w:p>
    <w:p>
      <w:pPr>
        <w:pStyle w:val="ListParagraph"/>
        <w:numPr>
          <w:ilvl w:val="0"/>
          <w:numId w:val="1"/>
        </w:numPr>
        <w:tabs>
          <w:tab w:pos="434" w:val="left" w:leader="none"/>
        </w:tabs>
        <w:spacing w:line="240" w:lineRule="auto" w:before="226" w:after="0"/>
        <w:ind w:left="434" w:right="0" w:hanging="240"/>
        <w:jc w:val="left"/>
        <w:rPr>
          <w:b/>
          <w:sz w:val="22"/>
        </w:rPr>
      </w:pPr>
      <w:r>
        <w:rPr>
          <w:b/>
          <w:sz w:val="22"/>
        </w:rPr>
        <w:t>Heart</w:t>
      </w:r>
      <w:r>
        <w:rPr>
          <w:b/>
          <w:spacing w:val="10"/>
          <w:sz w:val="22"/>
        </w:rPr>
        <w:t> </w:t>
      </w:r>
      <w:r>
        <w:rPr>
          <w:b/>
          <w:spacing w:val="-2"/>
          <w:sz w:val="22"/>
        </w:rPr>
        <w:t>disease</w:t>
      </w:r>
    </w:p>
    <w:p>
      <w:pPr>
        <w:pStyle w:val="ListParagraph"/>
        <w:numPr>
          <w:ilvl w:val="0"/>
          <w:numId w:val="1"/>
        </w:numPr>
        <w:tabs>
          <w:tab w:pos="434" w:val="left" w:leader="none"/>
        </w:tabs>
        <w:spacing w:line="240" w:lineRule="auto" w:before="16" w:after="0"/>
        <w:ind w:left="434" w:right="0" w:hanging="240"/>
        <w:jc w:val="left"/>
        <w:rPr>
          <w:b/>
          <w:sz w:val="22"/>
        </w:rPr>
      </w:pPr>
      <w:r>
        <w:rPr>
          <w:b/>
          <w:spacing w:val="-2"/>
          <w:sz w:val="22"/>
        </w:rPr>
        <w:t>Cancer</w:t>
      </w:r>
    </w:p>
    <w:p>
      <w:pPr>
        <w:pStyle w:val="ListParagraph"/>
        <w:numPr>
          <w:ilvl w:val="0"/>
          <w:numId w:val="1"/>
        </w:numPr>
        <w:tabs>
          <w:tab w:pos="434" w:val="left" w:leader="none"/>
        </w:tabs>
        <w:spacing w:line="240" w:lineRule="auto" w:before="16" w:after="0"/>
        <w:ind w:left="434" w:right="0" w:hanging="240"/>
        <w:jc w:val="left"/>
        <w:rPr>
          <w:b/>
          <w:sz w:val="22"/>
        </w:rPr>
      </w:pPr>
      <w:r>
        <w:rPr>
          <w:b/>
          <w:sz w:val="22"/>
        </w:rPr>
        <w:t>Unintentional</w:t>
      </w:r>
      <w:r>
        <w:rPr>
          <w:b/>
          <w:spacing w:val="26"/>
          <w:sz w:val="22"/>
        </w:rPr>
        <w:t> </w:t>
      </w:r>
      <w:r>
        <w:rPr>
          <w:b/>
          <w:spacing w:val="-2"/>
          <w:sz w:val="22"/>
        </w:rPr>
        <w:t>injuries</w:t>
      </w:r>
    </w:p>
    <w:p>
      <w:pPr>
        <w:pStyle w:val="ListParagraph"/>
        <w:numPr>
          <w:ilvl w:val="0"/>
          <w:numId w:val="1"/>
        </w:numPr>
        <w:tabs>
          <w:tab w:pos="434" w:val="left" w:leader="none"/>
        </w:tabs>
        <w:spacing w:line="240" w:lineRule="auto" w:before="16" w:after="0"/>
        <w:ind w:left="434" w:right="0" w:hanging="240"/>
        <w:jc w:val="left"/>
        <w:rPr>
          <w:b/>
          <w:sz w:val="22"/>
        </w:rPr>
      </w:pPr>
      <w:r>
        <w:rPr>
          <w:b/>
          <w:sz w:val="22"/>
        </w:rPr>
        <w:t>Chronic</w:t>
      </w:r>
      <w:r>
        <w:rPr>
          <w:b/>
          <w:spacing w:val="13"/>
          <w:sz w:val="22"/>
        </w:rPr>
        <w:t> </w:t>
      </w:r>
      <w:r>
        <w:rPr>
          <w:b/>
          <w:sz w:val="22"/>
        </w:rPr>
        <w:t>lower</w:t>
      </w:r>
      <w:r>
        <w:rPr>
          <w:b/>
          <w:spacing w:val="13"/>
          <w:sz w:val="22"/>
        </w:rPr>
        <w:t> </w:t>
      </w:r>
      <w:r>
        <w:rPr>
          <w:b/>
          <w:sz w:val="22"/>
        </w:rPr>
        <w:t>respiratory</w:t>
      </w:r>
      <w:r>
        <w:rPr>
          <w:b/>
          <w:spacing w:val="14"/>
          <w:sz w:val="22"/>
        </w:rPr>
        <w:t> </w:t>
      </w:r>
      <w:r>
        <w:rPr>
          <w:b/>
          <w:spacing w:val="-2"/>
          <w:sz w:val="22"/>
        </w:rPr>
        <w:t>diseases</w:t>
      </w:r>
    </w:p>
    <w:p>
      <w:pPr>
        <w:pStyle w:val="ListParagraph"/>
        <w:numPr>
          <w:ilvl w:val="0"/>
          <w:numId w:val="1"/>
        </w:numPr>
        <w:tabs>
          <w:tab w:pos="434" w:val="left" w:leader="none"/>
        </w:tabs>
        <w:spacing w:line="240" w:lineRule="auto" w:before="16" w:after="0"/>
        <w:ind w:left="434" w:right="0" w:hanging="240"/>
        <w:jc w:val="left"/>
        <w:rPr>
          <w:b/>
          <w:sz w:val="22"/>
        </w:rPr>
      </w:pPr>
      <w:r>
        <w:rPr>
          <w:b/>
          <w:spacing w:val="-2"/>
          <w:sz w:val="22"/>
        </w:rPr>
        <w:t>Stroke</w:t>
      </w:r>
    </w:p>
    <w:p>
      <w:pPr>
        <w:pStyle w:val="ListParagraph"/>
        <w:numPr>
          <w:ilvl w:val="0"/>
          <w:numId w:val="1"/>
        </w:numPr>
        <w:tabs>
          <w:tab w:pos="434" w:val="left" w:leader="none"/>
        </w:tabs>
        <w:spacing w:line="240" w:lineRule="auto" w:before="16" w:after="0"/>
        <w:ind w:left="434" w:right="0" w:hanging="240"/>
        <w:jc w:val="left"/>
        <w:rPr>
          <w:b/>
          <w:sz w:val="22"/>
        </w:rPr>
      </w:pPr>
      <w:r>
        <w:rPr>
          <w:b/>
          <w:sz w:val="22"/>
        </w:rPr>
        <w:t>Alzheimer</w:t>
      </w:r>
      <w:r>
        <w:rPr>
          <w:b/>
          <w:spacing w:val="20"/>
          <w:sz w:val="22"/>
        </w:rPr>
        <w:t> </w:t>
      </w:r>
      <w:r>
        <w:rPr>
          <w:b/>
          <w:spacing w:val="-2"/>
          <w:sz w:val="22"/>
        </w:rPr>
        <w:t>disease</w:t>
      </w:r>
    </w:p>
    <w:p>
      <w:pPr>
        <w:pStyle w:val="ListParagraph"/>
        <w:numPr>
          <w:ilvl w:val="0"/>
          <w:numId w:val="1"/>
        </w:numPr>
        <w:tabs>
          <w:tab w:pos="434" w:val="left" w:leader="none"/>
        </w:tabs>
        <w:spacing w:line="240" w:lineRule="auto" w:before="16" w:after="0"/>
        <w:ind w:left="434" w:right="0" w:hanging="240"/>
        <w:jc w:val="left"/>
        <w:rPr>
          <w:b/>
          <w:sz w:val="22"/>
        </w:rPr>
      </w:pPr>
      <w:r>
        <w:rPr>
          <w:b/>
          <w:sz w:val="22"/>
        </w:rPr>
        <w:t>Diabetes</w:t>
      </w:r>
      <w:r>
        <w:rPr>
          <w:b/>
          <w:spacing w:val="17"/>
          <w:sz w:val="22"/>
        </w:rPr>
        <w:t> </w:t>
      </w:r>
      <w:r>
        <w:rPr>
          <w:b/>
          <w:spacing w:val="-2"/>
          <w:sz w:val="22"/>
        </w:rPr>
        <w:t>mellitus</w:t>
      </w:r>
    </w:p>
    <w:p>
      <w:pPr>
        <w:pStyle w:val="ListParagraph"/>
        <w:numPr>
          <w:ilvl w:val="0"/>
          <w:numId w:val="1"/>
        </w:numPr>
        <w:tabs>
          <w:tab w:pos="434" w:val="left" w:leader="none"/>
        </w:tabs>
        <w:spacing w:line="240" w:lineRule="auto" w:before="16" w:after="0"/>
        <w:ind w:left="434" w:right="0" w:hanging="240"/>
        <w:jc w:val="left"/>
        <w:rPr>
          <w:b/>
          <w:sz w:val="22"/>
        </w:rPr>
      </w:pPr>
      <w:r>
        <w:rPr>
          <w:b/>
          <w:sz w:val="22"/>
        </w:rPr>
        <w:t>Influenza</w:t>
      </w:r>
      <w:r>
        <w:rPr>
          <w:b/>
          <w:spacing w:val="13"/>
          <w:sz w:val="22"/>
        </w:rPr>
        <w:t> </w:t>
      </w:r>
      <w:r>
        <w:rPr>
          <w:b/>
          <w:sz w:val="22"/>
        </w:rPr>
        <w:t>and</w:t>
      </w:r>
      <w:r>
        <w:rPr>
          <w:b/>
          <w:spacing w:val="13"/>
          <w:sz w:val="22"/>
        </w:rPr>
        <w:t> </w:t>
      </w:r>
      <w:r>
        <w:rPr>
          <w:b/>
          <w:spacing w:val="-2"/>
          <w:sz w:val="22"/>
        </w:rPr>
        <w:t>pneumonia</w:t>
      </w:r>
    </w:p>
    <w:p>
      <w:pPr>
        <w:pStyle w:val="ListParagraph"/>
        <w:numPr>
          <w:ilvl w:val="0"/>
          <w:numId w:val="1"/>
        </w:numPr>
        <w:tabs>
          <w:tab w:pos="434" w:val="left" w:leader="none"/>
        </w:tabs>
        <w:spacing w:line="240" w:lineRule="auto" w:before="16" w:after="0"/>
        <w:ind w:left="434" w:right="0" w:hanging="240"/>
        <w:jc w:val="left"/>
        <w:rPr>
          <w:b/>
          <w:sz w:val="22"/>
        </w:rPr>
      </w:pPr>
      <w:r>
        <w:rPr>
          <w:b/>
          <w:sz w:val="22"/>
        </w:rPr>
        <w:t>Kidney</w:t>
      </w:r>
      <w:r>
        <w:rPr>
          <w:b/>
          <w:spacing w:val="14"/>
          <w:sz w:val="22"/>
        </w:rPr>
        <w:t> </w:t>
      </w:r>
      <w:r>
        <w:rPr>
          <w:b/>
          <w:spacing w:val="-2"/>
          <w:sz w:val="22"/>
        </w:rPr>
        <w:t>diseases</w:t>
      </w:r>
    </w:p>
    <w:p>
      <w:pPr>
        <w:pStyle w:val="ListParagraph"/>
        <w:numPr>
          <w:ilvl w:val="0"/>
          <w:numId w:val="1"/>
        </w:numPr>
        <w:tabs>
          <w:tab w:pos="434" w:val="left" w:leader="none"/>
        </w:tabs>
        <w:spacing w:line="240" w:lineRule="auto" w:before="16" w:after="0"/>
        <w:ind w:left="434" w:right="0" w:hanging="375"/>
        <w:jc w:val="left"/>
        <w:rPr>
          <w:b/>
          <w:sz w:val="22"/>
        </w:rPr>
      </w:pPr>
      <w:r>
        <w:rPr>
          <w:b/>
          <w:spacing w:val="-2"/>
          <w:sz w:val="22"/>
        </w:rPr>
        <w:t>Suicides</w:t>
      </w:r>
    </w:p>
    <w:p>
      <w:pPr>
        <w:pStyle w:val="BodyText"/>
        <w:spacing w:line="249" w:lineRule="auto" w:before="243"/>
        <w:ind w:firstLine="450"/>
        <w:jc w:val="left"/>
      </w:pPr>
      <w:r>
        <w:rPr/>
        <w:t>Men and women reach old age with different prospects for older age, </w:t>
      </w:r>
      <w:r>
        <w:rPr/>
        <w:t>a sex</w:t>
      </w:r>
      <w:r>
        <w:rPr>
          <w:spacing w:val="23"/>
        </w:rPr>
        <w:t> </w:t>
      </w:r>
      <w:r>
        <w:rPr/>
        <w:t>differential</w:t>
      </w:r>
      <w:r>
        <w:rPr>
          <w:spacing w:val="23"/>
        </w:rPr>
        <w:t> </w:t>
      </w:r>
      <w:r>
        <w:rPr/>
        <w:t>that</w:t>
      </w:r>
      <w:r>
        <w:rPr>
          <w:spacing w:val="23"/>
        </w:rPr>
        <w:t> </w:t>
      </w:r>
      <w:r>
        <w:rPr/>
        <w:t>(it</w:t>
      </w:r>
      <w:r>
        <w:rPr>
          <w:spacing w:val="23"/>
        </w:rPr>
        <w:t> </w:t>
      </w:r>
      <w:r>
        <w:rPr/>
        <w:t>can</w:t>
      </w:r>
      <w:r>
        <w:rPr>
          <w:spacing w:val="23"/>
        </w:rPr>
        <w:t> </w:t>
      </w:r>
      <w:r>
        <w:rPr/>
        <w:t>be</w:t>
      </w:r>
      <w:r>
        <w:rPr>
          <w:spacing w:val="23"/>
        </w:rPr>
        <w:t> </w:t>
      </w:r>
      <w:r>
        <w:rPr/>
        <w:t>argued)</w:t>
      </w:r>
      <w:r>
        <w:rPr>
          <w:spacing w:val="24"/>
        </w:rPr>
        <w:t> </w:t>
      </w:r>
      <w:r>
        <w:rPr/>
        <w:t>is</w:t>
      </w:r>
      <w:r>
        <w:rPr>
          <w:spacing w:val="23"/>
        </w:rPr>
        <w:t> </w:t>
      </w:r>
      <w:r>
        <w:rPr/>
        <w:t>due</w:t>
      </w:r>
      <w:r>
        <w:rPr>
          <w:spacing w:val="23"/>
        </w:rPr>
        <w:t> </w:t>
      </w:r>
      <w:r>
        <w:rPr/>
        <w:t>in</w:t>
      </w:r>
      <w:r>
        <w:rPr>
          <w:spacing w:val="23"/>
        </w:rPr>
        <w:t> </w:t>
      </w:r>
      <w:r>
        <w:rPr/>
        <w:t>significant</w:t>
      </w:r>
      <w:r>
        <w:rPr>
          <w:spacing w:val="23"/>
        </w:rPr>
        <w:t> </w:t>
      </w:r>
      <w:r>
        <w:rPr/>
        <w:t>part</w:t>
      </w:r>
      <w:r>
        <w:rPr>
          <w:spacing w:val="23"/>
        </w:rPr>
        <w:t> </w:t>
      </w:r>
      <w:r>
        <w:rPr/>
        <w:t>to</w:t>
      </w:r>
      <w:r>
        <w:rPr>
          <w:spacing w:val="23"/>
        </w:rPr>
        <w:t> </w:t>
      </w:r>
      <w:r>
        <w:rPr/>
        <w:t>the</w:t>
      </w:r>
      <w:r>
        <w:rPr>
          <w:spacing w:val="24"/>
        </w:rPr>
        <w:t> </w:t>
      </w:r>
      <w:r>
        <w:rPr>
          <w:spacing w:val="-4"/>
        </w:rPr>
        <w:t>sex-</w:t>
      </w:r>
    </w:p>
    <w:p>
      <w:pPr>
        <w:pStyle w:val="BodyText"/>
        <w:spacing w:after="0" w:line="249" w:lineRule="auto"/>
        <w:jc w:val="left"/>
        <w:sectPr>
          <w:pgSz w:w="12240" w:h="15840"/>
          <w:pgMar w:top="1440" w:bottom="280" w:left="1440" w:right="1440"/>
        </w:sectPr>
      </w:pPr>
    </w:p>
    <w:p>
      <w:pPr>
        <w:pStyle w:val="BodyText"/>
        <w:spacing w:line="249" w:lineRule="auto"/>
        <w:ind w:right="97"/>
      </w:pPr>
      <w:r>
        <w:rPr/>
        <w:t>hormone-induced differences in the cholesterol-lipoprotein profile </w:t>
      </w:r>
      <w:r>
        <w:rPr/>
        <w:t>and</w:t>
      </w:r>
      <w:r>
        <w:rPr>
          <w:spacing w:val="80"/>
        </w:rPr>
        <w:t> </w:t>
      </w:r>
      <w:r>
        <w:rPr/>
        <w:t>other cardiovascular factors and thus the greater incidence of</w:t>
      </w:r>
      <w:r>
        <w:rPr>
          <w:spacing w:val="40"/>
        </w:rPr>
        <w:t> </w:t>
      </w:r>
      <w:r>
        <w:rPr/>
        <w:t>atherosclerosis</w:t>
      </w:r>
      <w:r>
        <w:rPr>
          <w:spacing w:val="-2"/>
        </w:rPr>
        <w:t> </w:t>
      </w:r>
      <w:r>
        <w:rPr/>
        <w:t>and</w:t>
      </w:r>
      <w:r>
        <w:rPr>
          <w:spacing w:val="-2"/>
        </w:rPr>
        <w:t> </w:t>
      </w:r>
      <w:r>
        <w:rPr/>
        <w:t>earlier</w:t>
      </w:r>
      <w:r>
        <w:rPr>
          <w:spacing w:val="-2"/>
        </w:rPr>
        <w:t> </w:t>
      </w:r>
      <w:r>
        <w:rPr/>
        <w:t>death</w:t>
      </w:r>
      <w:r>
        <w:rPr>
          <w:spacing w:val="-2"/>
        </w:rPr>
        <w:t> </w:t>
      </w:r>
      <w:r>
        <w:rPr/>
        <w:t>in</w:t>
      </w:r>
      <w:r>
        <w:rPr>
          <w:spacing w:val="-2"/>
        </w:rPr>
        <w:t> </w:t>
      </w:r>
      <w:r>
        <w:rPr/>
        <w:t>men.</w:t>
      </w:r>
      <w:r>
        <w:rPr>
          <w:spacing w:val="-2"/>
        </w:rPr>
        <w:t> </w:t>
      </w:r>
      <w:r>
        <w:rPr/>
        <w:t>From</w:t>
      </w:r>
      <w:r>
        <w:rPr>
          <w:spacing w:val="-2"/>
        </w:rPr>
        <w:t> </w:t>
      </w:r>
      <w:r>
        <w:rPr/>
        <w:t>a</w:t>
      </w:r>
      <w:r>
        <w:rPr>
          <w:spacing w:val="-2"/>
        </w:rPr>
        <w:t> </w:t>
      </w:r>
      <w:r>
        <w:rPr/>
        <w:t>public</w:t>
      </w:r>
      <w:r>
        <w:rPr>
          <w:spacing w:val="-2"/>
        </w:rPr>
        <w:t> </w:t>
      </w:r>
      <w:r>
        <w:rPr/>
        <w:t>health</w:t>
      </w:r>
      <w:r>
        <w:rPr>
          <w:spacing w:val="-2"/>
        </w:rPr>
        <w:t> </w:t>
      </w:r>
      <w:r>
        <w:rPr/>
        <w:t>point</w:t>
      </w:r>
      <w:r>
        <w:rPr>
          <w:spacing w:val="-2"/>
        </w:rPr>
        <w:t> </w:t>
      </w:r>
      <w:r>
        <w:rPr/>
        <w:t>of</w:t>
      </w:r>
      <w:r>
        <w:rPr>
          <w:spacing w:val="-2"/>
        </w:rPr>
        <w:t> </w:t>
      </w:r>
      <w:r>
        <w:rPr/>
        <w:t>view, the greatest impact on the sex differential in mortality would be gained by concentrating on lifestyle changes designed to diminish atherosclerosis: low-cholesterol diet, no smoking, optimal body weight, and active exercise. The death rate is higher for men at all ages, and therefore women are overrepresented in aging populations </w:t>
      </w:r>
      <w:r>
        <w:rPr>
          <w:b/>
          <w:color w:val="256E60"/>
        </w:rPr>
        <w:t>(Table 21.2)</w:t>
      </w:r>
      <w:r>
        <w:rPr/>
        <w:t>. Coronary heart disease (CHD) accounts for 40% of the mortality difference between men and women. Another one-third is from lung cancer, emphysema, cirrhosis, accidents, and suicides. It is interesting to note that in our society, the mortality difference between men and women is largely a difference in lifestyle. Smoking, drinking, coronary-prone behavior, and accidents account for most of the higher male mortality rate over age 65. It has been estimated that perhaps two-thirds of the difference have been due to cigarettes alone. However, we should emphasize that this is due to a greater prevalence of smoking in men. Women whose smoking patterns are similar to those of men have a similar increased risk of morbidity and mortality.</w:t>
      </w:r>
      <w:r>
        <w:rPr>
          <w:vertAlign w:val="superscript"/>
        </w:rPr>
        <w:t>25</w:t>
      </w:r>
    </w:p>
    <w:p>
      <w:pPr>
        <w:pStyle w:val="BodyText"/>
        <w:spacing w:before="0"/>
        <w:ind w:left="0"/>
        <w:jc w:val="left"/>
        <w:rPr>
          <w:sz w:val="20"/>
        </w:rPr>
      </w:pPr>
    </w:p>
    <w:p>
      <w:pPr>
        <w:pStyle w:val="BodyText"/>
        <w:spacing w:before="157"/>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4"/>
        <w:gridCol w:w="1916"/>
        <w:gridCol w:w="1996"/>
        <w:gridCol w:w="2127"/>
        <w:gridCol w:w="2320"/>
      </w:tblGrid>
      <w:tr>
        <w:trPr>
          <w:trHeight w:val="449" w:hRule="atLeast"/>
        </w:trPr>
        <w:tc>
          <w:tcPr>
            <w:tcW w:w="9153" w:type="dxa"/>
            <w:gridSpan w:val="5"/>
            <w:shd w:val="clear" w:color="auto" w:fill="256E60"/>
          </w:tcPr>
          <w:p>
            <w:pPr>
              <w:pStyle w:val="TableParagraph"/>
              <w:tabs>
                <w:tab w:pos="1605" w:val="left" w:leader="none"/>
              </w:tabs>
              <w:spacing w:before="93"/>
              <w:rPr>
                <w:rFonts w:ascii="Arial"/>
                <w:sz w:val="22"/>
              </w:rPr>
            </w:pPr>
            <w:r>
              <w:rPr>
                <w:rFonts w:ascii="Arial"/>
                <w:b/>
                <w:color w:val="FFFFFF"/>
                <w:sz w:val="22"/>
              </w:rPr>
              <w:t>TABLE</w:t>
            </w:r>
            <w:r>
              <w:rPr>
                <w:rFonts w:ascii="Arial"/>
                <w:b/>
                <w:color w:val="FFFFFF"/>
                <w:spacing w:val="-2"/>
                <w:sz w:val="22"/>
              </w:rPr>
              <w:t> </w:t>
            </w:r>
            <w:r>
              <w:rPr>
                <w:rFonts w:ascii="Arial"/>
                <w:b/>
                <w:color w:val="FFFFFF"/>
                <w:spacing w:val="-4"/>
                <w:sz w:val="22"/>
              </w:rPr>
              <w:t>21.2</w:t>
            </w:r>
            <w:r>
              <w:rPr>
                <w:rFonts w:ascii="Arial"/>
                <w:b/>
                <w:color w:val="FFFFFF"/>
                <w:sz w:val="22"/>
              </w:rPr>
              <w:tab/>
            </w:r>
            <w:r>
              <w:rPr>
                <w:rFonts w:ascii="Arial"/>
                <w:color w:val="FFFFFF"/>
                <w:sz w:val="22"/>
              </w:rPr>
              <w:t>The</w:t>
            </w:r>
            <w:r>
              <w:rPr>
                <w:rFonts w:ascii="Arial"/>
                <w:color w:val="FFFFFF"/>
                <w:spacing w:val="10"/>
                <w:sz w:val="22"/>
              </w:rPr>
              <w:t> </w:t>
            </w:r>
            <w:r>
              <w:rPr>
                <w:rFonts w:ascii="Arial"/>
                <w:color w:val="FFFFFF"/>
                <w:sz w:val="22"/>
              </w:rPr>
              <w:t>US</w:t>
            </w:r>
            <w:r>
              <w:rPr>
                <w:rFonts w:ascii="Arial"/>
                <w:color w:val="FFFFFF"/>
                <w:spacing w:val="11"/>
                <w:sz w:val="22"/>
              </w:rPr>
              <w:t> </w:t>
            </w:r>
            <w:r>
              <w:rPr>
                <w:rFonts w:ascii="Arial"/>
                <w:color w:val="FFFFFF"/>
                <w:sz w:val="22"/>
              </w:rPr>
              <w:t>Older</w:t>
            </w:r>
            <w:r>
              <w:rPr>
                <w:rFonts w:ascii="Arial"/>
                <w:color w:val="FFFFFF"/>
                <w:spacing w:val="11"/>
                <w:sz w:val="22"/>
              </w:rPr>
              <w:t> </w:t>
            </w:r>
            <w:r>
              <w:rPr>
                <w:rFonts w:ascii="Arial"/>
                <w:color w:val="FFFFFF"/>
                <w:sz w:val="22"/>
              </w:rPr>
              <w:t>Female</w:t>
            </w:r>
            <w:r>
              <w:rPr>
                <w:rFonts w:ascii="Arial"/>
                <w:color w:val="FFFFFF"/>
                <w:spacing w:val="11"/>
                <w:sz w:val="22"/>
              </w:rPr>
              <w:t> </w:t>
            </w:r>
            <w:r>
              <w:rPr>
                <w:rFonts w:ascii="Arial"/>
                <w:color w:val="FFFFFF"/>
                <w:spacing w:val="-2"/>
                <w:sz w:val="22"/>
              </w:rPr>
              <w:t>Population</w:t>
            </w:r>
          </w:p>
        </w:tc>
      </w:tr>
      <w:tr>
        <w:trPr>
          <w:trHeight w:val="539" w:hRule="atLeast"/>
        </w:trPr>
        <w:tc>
          <w:tcPr>
            <w:tcW w:w="794" w:type="dxa"/>
            <w:tcBorders>
              <w:bottom w:val="single" w:sz="6" w:space="0" w:color="256E60"/>
            </w:tcBorders>
            <w:shd w:val="clear" w:color="auto" w:fill="DDE6E3"/>
          </w:tcPr>
          <w:p>
            <w:pPr>
              <w:pStyle w:val="TableParagraph"/>
              <w:spacing w:before="138"/>
              <w:ind w:left="0" w:right="197"/>
              <w:jc w:val="center"/>
              <w:rPr>
                <w:rFonts w:ascii="Arial"/>
                <w:b/>
                <w:sz w:val="22"/>
              </w:rPr>
            </w:pPr>
            <w:r>
              <w:rPr>
                <w:rFonts w:ascii="Arial"/>
                <w:b/>
                <w:color w:val="1C5349"/>
                <w:spacing w:val="-5"/>
                <w:sz w:val="22"/>
              </w:rPr>
              <w:t>Age</w:t>
            </w:r>
          </w:p>
        </w:tc>
        <w:tc>
          <w:tcPr>
            <w:tcW w:w="1916" w:type="dxa"/>
            <w:tcBorders>
              <w:bottom w:val="single" w:sz="6" w:space="0" w:color="256E60"/>
            </w:tcBorders>
            <w:shd w:val="clear" w:color="auto" w:fill="DDE6E3"/>
          </w:tcPr>
          <w:p>
            <w:pPr>
              <w:pStyle w:val="TableParagraph"/>
              <w:spacing w:before="138"/>
              <w:ind w:left="145"/>
              <w:rPr>
                <w:rFonts w:ascii="Arial"/>
                <w:b/>
                <w:sz w:val="22"/>
              </w:rPr>
            </w:pPr>
            <w:r>
              <w:rPr>
                <w:rFonts w:ascii="Arial"/>
                <w:b/>
                <w:color w:val="1C5349"/>
                <w:spacing w:val="-4"/>
                <w:sz w:val="22"/>
              </w:rPr>
              <w:t>1990</w:t>
            </w:r>
          </w:p>
        </w:tc>
        <w:tc>
          <w:tcPr>
            <w:tcW w:w="1996" w:type="dxa"/>
            <w:tcBorders>
              <w:bottom w:val="single" w:sz="6" w:space="0" w:color="256E60"/>
            </w:tcBorders>
            <w:shd w:val="clear" w:color="auto" w:fill="DDE6E3"/>
          </w:tcPr>
          <w:p>
            <w:pPr>
              <w:pStyle w:val="TableParagraph"/>
              <w:spacing w:before="138"/>
              <w:ind w:left="224"/>
              <w:rPr>
                <w:rFonts w:ascii="Arial"/>
                <w:b/>
                <w:sz w:val="22"/>
              </w:rPr>
            </w:pPr>
            <w:r>
              <w:rPr>
                <w:rFonts w:ascii="Arial"/>
                <w:b/>
                <w:color w:val="1C5349"/>
                <w:spacing w:val="-4"/>
                <w:sz w:val="22"/>
              </w:rPr>
              <w:t>2000</w:t>
            </w:r>
          </w:p>
        </w:tc>
        <w:tc>
          <w:tcPr>
            <w:tcW w:w="2127" w:type="dxa"/>
            <w:tcBorders>
              <w:bottom w:val="single" w:sz="6" w:space="0" w:color="256E60"/>
            </w:tcBorders>
            <w:shd w:val="clear" w:color="auto" w:fill="DDE6E3"/>
          </w:tcPr>
          <w:p>
            <w:pPr>
              <w:pStyle w:val="TableParagraph"/>
              <w:spacing w:before="138"/>
              <w:ind w:left="223"/>
              <w:rPr>
                <w:rFonts w:ascii="Arial"/>
                <w:b/>
                <w:sz w:val="22"/>
              </w:rPr>
            </w:pPr>
            <w:r>
              <w:rPr>
                <w:rFonts w:ascii="Arial"/>
                <w:b/>
                <w:color w:val="1C5349"/>
                <w:spacing w:val="-4"/>
                <w:sz w:val="22"/>
              </w:rPr>
              <w:t>2010</w:t>
            </w:r>
          </w:p>
        </w:tc>
        <w:tc>
          <w:tcPr>
            <w:tcW w:w="2320" w:type="dxa"/>
            <w:tcBorders>
              <w:bottom w:val="single" w:sz="6" w:space="0" w:color="256E60"/>
            </w:tcBorders>
            <w:shd w:val="clear" w:color="auto" w:fill="DDE6E3"/>
          </w:tcPr>
          <w:p>
            <w:pPr>
              <w:pStyle w:val="TableParagraph"/>
              <w:spacing w:before="138"/>
              <w:ind w:left="241"/>
              <w:rPr>
                <w:rFonts w:ascii="Arial"/>
                <w:b/>
                <w:sz w:val="22"/>
              </w:rPr>
            </w:pPr>
            <w:r>
              <w:rPr>
                <w:rFonts w:ascii="Arial"/>
                <w:b/>
                <w:color w:val="1C5349"/>
                <w:spacing w:val="-4"/>
                <w:sz w:val="22"/>
              </w:rPr>
              <w:t>2020</w:t>
            </w:r>
          </w:p>
        </w:tc>
      </w:tr>
      <w:tr>
        <w:trPr>
          <w:trHeight w:val="554" w:hRule="atLeast"/>
        </w:trPr>
        <w:tc>
          <w:tcPr>
            <w:tcW w:w="794" w:type="dxa"/>
            <w:tcBorders>
              <w:top w:val="single" w:sz="6" w:space="0" w:color="256E60"/>
              <w:bottom w:val="single" w:sz="6" w:space="0" w:color="1C5349"/>
            </w:tcBorders>
          </w:tcPr>
          <w:p>
            <w:pPr>
              <w:pStyle w:val="TableParagraph"/>
              <w:ind w:left="0" w:right="59"/>
              <w:jc w:val="center"/>
              <w:rPr>
                <w:b/>
                <w:sz w:val="22"/>
              </w:rPr>
            </w:pPr>
            <w:r>
              <w:rPr>
                <w:b/>
                <w:w w:val="105"/>
                <w:sz w:val="22"/>
              </w:rPr>
              <w:t>55-</w:t>
            </w:r>
            <w:r>
              <w:rPr>
                <w:b/>
                <w:spacing w:val="-5"/>
                <w:w w:val="110"/>
                <w:sz w:val="22"/>
              </w:rPr>
              <w:t>64</w:t>
            </w:r>
          </w:p>
        </w:tc>
        <w:tc>
          <w:tcPr>
            <w:tcW w:w="1916" w:type="dxa"/>
            <w:tcBorders>
              <w:top w:val="single" w:sz="6" w:space="0" w:color="256E60"/>
              <w:bottom w:val="single" w:sz="6" w:space="0" w:color="1C5349"/>
            </w:tcBorders>
          </w:tcPr>
          <w:p>
            <w:pPr>
              <w:pStyle w:val="TableParagraph"/>
              <w:ind w:left="145"/>
              <w:rPr>
                <w:sz w:val="22"/>
              </w:rPr>
            </w:pPr>
            <w:r>
              <w:rPr>
                <w:sz w:val="22"/>
              </w:rPr>
              <w:t>10.8</w:t>
            </w:r>
            <w:r>
              <w:rPr>
                <w:spacing w:val="8"/>
                <w:sz w:val="22"/>
              </w:rPr>
              <w:t> </w:t>
            </w:r>
            <w:r>
              <w:rPr>
                <w:sz w:val="22"/>
              </w:rPr>
              <w:t>mill.</w:t>
            </w:r>
            <w:r>
              <w:rPr>
                <w:spacing w:val="9"/>
                <w:sz w:val="22"/>
              </w:rPr>
              <w:t> </w:t>
            </w:r>
            <w:r>
              <w:rPr>
                <w:spacing w:val="-2"/>
                <w:sz w:val="22"/>
              </w:rPr>
              <w:t>(8.6%)</w:t>
            </w:r>
          </w:p>
        </w:tc>
        <w:tc>
          <w:tcPr>
            <w:tcW w:w="1996" w:type="dxa"/>
            <w:tcBorders>
              <w:top w:val="single" w:sz="6" w:space="0" w:color="256E60"/>
              <w:bottom w:val="single" w:sz="6" w:space="0" w:color="1C5349"/>
            </w:tcBorders>
          </w:tcPr>
          <w:p>
            <w:pPr>
              <w:pStyle w:val="TableParagraph"/>
              <w:ind w:left="224"/>
              <w:rPr>
                <w:sz w:val="22"/>
              </w:rPr>
            </w:pPr>
            <w:r>
              <w:rPr>
                <w:sz w:val="22"/>
              </w:rPr>
              <w:t>12.1</w:t>
            </w:r>
            <w:r>
              <w:rPr>
                <w:spacing w:val="8"/>
                <w:sz w:val="22"/>
              </w:rPr>
              <w:t> </w:t>
            </w:r>
            <w:r>
              <w:rPr>
                <w:sz w:val="22"/>
              </w:rPr>
              <w:t>mill.</w:t>
            </w:r>
            <w:r>
              <w:rPr>
                <w:spacing w:val="9"/>
                <w:sz w:val="22"/>
              </w:rPr>
              <w:t> </w:t>
            </w:r>
            <w:r>
              <w:rPr>
                <w:spacing w:val="-2"/>
                <w:sz w:val="22"/>
              </w:rPr>
              <w:t>(9.0%)</w:t>
            </w:r>
          </w:p>
        </w:tc>
        <w:tc>
          <w:tcPr>
            <w:tcW w:w="2127" w:type="dxa"/>
            <w:tcBorders>
              <w:top w:val="single" w:sz="6" w:space="0" w:color="256E60"/>
              <w:bottom w:val="single" w:sz="6" w:space="0" w:color="1C5349"/>
            </w:tcBorders>
          </w:tcPr>
          <w:p>
            <w:pPr>
              <w:pStyle w:val="TableParagraph"/>
              <w:ind w:left="223"/>
              <w:rPr>
                <w:sz w:val="22"/>
              </w:rPr>
            </w:pPr>
            <w:r>
              <w:rPr>
                <w:sz w:val="22"/>
              </w:rPr>
              <w:t>17.1</w:t>
            </w:r>
            <w:r>
              <w:rPr>
                <w:spacing w:val="8"/>
                <w:sz w:val="22"/>
              </w:rPr>
              <w:t> </w:t>
            </w:r>
            <w:r>
              <w:rPr>
                <w:sz w:val="22"/>
              </w:rPr>
              <w:t>mill.</w:t>
            </w:r>
            <w:r>
              <w:rPr>
                <w:spacing w:val="9"/>
                <w:sz w:val="22"/>
              </w:rPr>
              <w:t> </w:t>
            </w:r>
            <w:r>
              <w:rPr>
                <w:spacing w:val="-2"/>
                <w:sz w:val="22"/>
              </w:rPr>
              <w:t>(12.1%)</w:t>
            </w:r>
          </w:p>
        </w:tc>
        <w:tc>
          <w:tcPr>
            <w:tcW w:w="2320" w:type="dxa"/>
            <w:tcBorders>
              <w:top w:val="single" w:sz="6" w:space="0" w:color="256E60"/>
              <w:bottom w:val="single" w:sz="6" w:space="0" w:color="1C5349"/>
            </w:tcBorders>
          </w:tcPr>
          <w:p>
            <w:pPr>
              <w:pStyle w:val="TableParagraph"/>
              <w:ind w:left="241"/>
              <w:rPr>
                <w:sz w:val="22"/>
              </w:rPr>
            </w:pPr>
            <w:r>
              <w:rPr>
                <w:sz w:val="22"/>
              </w:rPr>
              <w:t>19.3</w:t>
            </w:r>
            <w:r>
              <w:rPr>
                <w:spacing w:val="8"/>
                <w:sz w:val="22"/>
              </w:rPr>
              <w:t> </w:t>
            </w:r>
            <w:r>
              <w:rPr>
                <w:sz w:val="22"/>
              </w:rPr>
              <w:t>mill.</w:t>
            </w:r>
            <w:r>
              <w:rPr>
                <w:spacing w:val="9"/>
                <w:sz w:val="22"/>
              </w:rPr>
              <w:t> </w:t>
            </w:r>
            <w:r>
              <w:rPr>
                <w:spacing w:val="-2"/>
                <w:sz w:val="22"/>
              </w:rPr>
              <w:t>(12.9%)</w:t>
            </w:r>
          </w:p>
        </w:tc>
      </w:tr>
      <w:tr>
        <w:trPr>
          <w:trHeight w:val="554" w:hRule="atLeast"/>
        </w:trPr>
        <w:tc>
          <w:tcPr>
            <w:tcW w:w="794" w:type="dxa"/>
            <w:tcBorders>
              <w:top w:val="single" w:sz="6" w:space="0" w:color="1C5349"/>
              <w:bottom w:val="single" w:sz="6" w:space="0" w:color="1C5349"/>
            </w:tcBorders>
          </w:tcPr>
          <w:p>
            <w:pPr>
              <w:pStyle w:val="TableParagraph"/>
              <w:ind w:left="0" w:right="59"/>
              <w:jc w:val="center"/>
              <w:rPr>
                <w:b/>
                <w:sz w:val="22"/>
              </w:rPr>
            </w:pPr>
            <w:r>
              <w:rPr>
                <w:b/>
                <w:w w:val="105"/>
                <w:sz w:val="22"/>
              </w:rPr>
              <w:t>65-</w:t>
            </w:r>
            <w:r>
              <w:rPr>
                <w:b/>
                <w:spacing w:val="-5"/>
                <w:w w:val="110"/>
                <w:sz w:val="22"/>
              </w:rPr>
              <w:t>74</w:t>
            </w:r>
          </w:p>
        </w:tc>
        <w:tc>
          <w:tcPr>
            <w:tcW w:w="1916" w:type="dxa"/>
            <w:tcBorders>
              <w:top w:val="single" w:sz="6" w:space="0" w:color="1C5349"/>
              <w:bottom w:val="single" w:sz="6" w:space="0" w:color="1C5349"/>
            </w:tcBorders>
          </w:tcPr>
          <w:p>
            <w:pPr>
              <w:pStyle w:val="TableParagraph"/>
              <w:ind w:left="145"/>
              <w:rPr>
                <w:sz w:val="22"/>
              </w:rPr>
            </w:pPr>
            <w:r>
              <w:rPr>
                <w:sz w:val="22"/>
              </w:rPr>
              <w:t>10.1</w:t>
            </w:r>
            <w:r>
              <w:rPr>
                <w:spacing w:val="8"/>
                <w:sz w:val="22"/>
              </w:rPr>
              <w:t> </w:t>
            </w:r>
            <w:r>
              <w:rPr>
                <w:spacing w:val="-2"/>
                <w:sz w:val="22"/>
              </w:rPr>
              <w:t>(8.1%)</w:t>
            </w:r>
          </w:p>
        </w:tc>
        <w:tc>
          <w:tcPr>
            <w:tcW w:w="1996" w:type="dxa"/>
            <w:tcBorders>
              <w:top w:val="single" w:sz="6" w:space="0" w:color="1C5349"/>
              <w:bottom w:val="single" w:sz="6" w:space="0" w:color="1C5349"/>
            </w:tcBorders>
          </w:tcPr>
          <w:p>
            <w:pPr>
              <w:pStyle w:val="TableParagraph"/>
              <w:ind w:left="224"/>
              <w:rPr>
                <w:sz w:val="22"/>
              </w:rPr>
            </w:pPr>
            <w:r>
              <w:rPr>
                <w:sz w:val="22"/>
              </w:rPr>
              <w:t>9.8</w:t>
            </w:r>
            <w:r>
              <w:rPr>
                <w:spacing w:val="6"/>
                <w:sz w:val="22"/>
              </w:rPr>
              <w:t> </w:t>
            </w:r>
            <w:r>
              <w:rPr>
                <w:spacing w:val="-2"/>
                <w:sz w:val="22"/>
              </w:rPr>
              <w:t>(7.3%)</w:t>
            </w:r>
          </w:p>
        </w:tc>
        <w:tc>
          <w:tcPr>
            <w:tcW w:w="2127" w:type="dxa"/>
            <w:tcBorders>
              <w:top w:val="single" w:sz="6" w:space="0" w:color="1C5349"/>
              <w:bottom w:val="single" w:sz="6" w:space="0" w:color="1C5349"/>
            </w:tcBorders>
          </w:tcPr>
          <w:p>
            <w:pPr>
              <w:pStyle w:val="TableParagraph"/>
              <w:ind w:left="223"/>
              <w:rPr>
                <w:sz w:val="22"/>
              </w:rPr>
            </w:pPr>
            <w:r>
              <w:rPr>
                <w:sz w:val="22"/>
              </w:rPr>
              <w:t>11.0</w:t>
            </w:r>
            <w:r>
              <w:rPr>
                <w:spacing w:val="-1"/>
                <w:sz w:val="22"/>
              </w:rPr>
              <w:t> </w:t>
            </w:r>
            <w:r>
              <w:rPr>
                <w:spacing w:val="-2"/>
                <w:sz w:val="22"/>
              </w:rPr>
              <w:t>(7.8%)</w:t>
            </w:r>
          </w:p>
        </w:tc>
        <w:tc>
          <w:tcPr>
            <w:tcW w:w="2320" w:type="dxa"/>
            <w:tcBorders>
              <w:top w:val="single" w:sz="6" w:space="0" w:color="1C5349"/>
              <w:bottom w:val="single" w:sz="6" w:space="0" w:color="1C5349"/>
            </w:tcBorders>
          </w:tcPr>
          <w:p>
            <w:pPr>
              <w:pStyle w:val="TableParagraph"/>
              <w:ind w:left="241"/>
              <w:rPr>
                <w:sz w:val="22"/>
              </w:rPr>
            </w:pPr>
            <w:r>
              <w:rPr>
                <w:sz w:val="22"/>
              </w:rPr>
              <w:t>15.6</w:t>
            </w:r>
            <w:r>
              <w:rPr>
                <w:spacing w:val="8"/>
                <w:sz w:val="22"/>
              </w:rPr>
              <w:t> </w:t>
            </w:r>
            <w:r>
              <w:rPr>
                <w:spacing w:val="-2"/>
                <w:sz w:val="22"/>
              </w:rPr>
              <w:t>(10.4%)</w:t>
            </w:r>
          </w:p>
        </w:tc>
      </w:tr>
      <w:tr>
        <w:trPr>
          <w:trHeight w:val="554" w:hRule="atLeast"/>
        </w:trPr>
        <w:tc>
          <w:tcPr>
            <w:tcW w:w="794" w:type="dxa"/>
            <w:tcBorders>
              <w:top w:val="single" w:sz="6" w:space="0" w:color="1C5349"/>
              <w:bottom w:val="single" w:sz="6" w:space="0" w:color="1C5349"/>
            </w:tcBorders>
          </w:tcPr>
          <w:p>
            <w:pPr>
              <w:pStyle w:val="TableParagraph"/>
              <w:ind w:left="0" w:right="274"/>
              <w:jc w:val="center"/>
              <w:rPr>
                <w:b/>
                <w:sz w:val="22"/>
              </w:rPr>
            </w:pPr>
            <w:r>
              <w:rPr>
                <w:spacing w:val="-5"/>
                <w:sz w:val="22"/>
              </w:rPr>
              <w:t>≥</w:t>
            </w:r>
            <w:r>
              <w:rPr>
                <w:b/>
                <w:spacing w:val="-5"/>
                <w:sz w:val="22"/>
              </w:rPr>
              <w:t>75</w:t>
            </w:r>
          </w:p>
        </w:tc>
        <w:tc>
          <w:tcPr>
            <w:tcW w:w="1916" w:type="dxa"/>
            <w:tcBorders>
              <w:top w:val="single" w:sz="6" w:space="0" w:color="1C5349"/>
              <w:bottom w:val="single" w:sz="6" w:space="0" w:color="1C5349"/>
            </w:tcBorders>
          </w:tcPr>
          <w:p>
            <w:pPr>
              <w:pStyle w:val="TableParagraph"/>
              <w:ind w:left="145"/>
              <w:rPr>
                <w:sz w:val="22"/>
              </w:rPr>
            </w:pPr>
            <w:r>
              <w:rPr>
                <w:sz w:val="22"/>
              </w:rPr>
              <w:t>7.8</w:t>
            </w:r>
            <w:r>
              <w:rPr>
                <w:spacing w:val="6"/>
                <w:sz w:val="22"/>
              </w:rPr>
              <w:t> </w:t>
            </w:r>
            <w:r>
              <w:rPr>
                <w:spacing w:val="-2"/>
                <w:sz w:val="22"/>
              </w:rPr>
              <w:t>(6.2%)</w:t>
            </w:r>
          </w:p>
        </w:tc>
        <w:tc>
          <w:tcPr>
            <w:tcW w:w="1996" w:type="dxa"/>
            <w:tcBorders>
              <w:top w:val="single" w:sz="6" w:space="0" w:color="1C5349"/>
              <w:bottom w:val="single" w:sz="6" w:space="0" w:color="1C5349"/>
            </w:tcBorders>
          </w:tcPr>
          <w:p>
            <w:pPr>
              <w:pStyle w:val="TableParagraph"/>
              <w:ind w:left="224"/>
              <w:rPr>
                <w:sz w:val="22"/>
              </w:rPr>
            </w:pPr>
            <w:r>
              <w:rPr>
                <w:sz w:val="22"/>
              </w:rPr>
              <w:t>9.3</w:t>
            </w:r>
            <w:r>
              <w:rPr>
                <w:spacing w:val="6"/>
                <w:sz w:val="22"/>
              </w:rPr>
              <w:t> </w:t>
            </w:r>
            <w:r>
              <w:rPr>
                <w:spacing w:val="-2"/>
                <w:sz w:val="22"/>
              </w:rPr>
              <w:t>(7.0%)</w:t>
            </w:r>
          </w:p>
        </w:tc>
        <w:tc>
          <w:tcPr>
            <w:tcW w:w="2127" w:type="dxa"/>
            <w:tcBorders>
              <w:top w:val="single" w:sz="6" w:space="0" w:color="1C5349"/>
              <w:bottom w:val="single" w:sz="6" w:space="0" w:color="1C5349"/>
            </w:tcBorders>
          </w:tcPr>
          <w:p>
            <w:pPr>
              <w:pStyle w:val="TableParagraph"/>
              <w:ind w:left="223"/>
              <w:rPr>
                <w:sz w:val="22"/>
              </w:rPr>
            </w:pPr>
            <w:r>
              <w:rPr>
                <w:sz w:val="22"/>
              </w:rPr>
              <w:t>9.8</w:t>
            </w:r>
            <w:r>
              <w:rPr>
                <w:spacing w:val="6"/>
                <w:sz w:val="22"/>
              </w:rPr>
              <w:t> </w:t>
            </w:r>
            <w:r>
              <w:rPr>
                <w:spacing w:val="-2"/>
                <w:sz w:val="22"/>
              </w:rPr>
              <w:t>(6.9%)</w:t>
            </w:r>
          </w:p>
        </w:tc>
        <w:tc>
          <w:tcPr>
            <w:tcW w:w="2320" w:type="dxa"/>
            <w:tcBorders>
              <w:top w:val="single" w:sz="6" w:space="0" w:color="1C5349"/>
              <w:bottom w:val="single" w:sz="6" w:space="0" w:color="1C5349"/>
            </w:tcBorders>
          </w:tcPr>
          <w:p>
            <w:pPr>
              <w:pStyle w:val="TableParagraph"/>
              <w:ind w:left="241"/>
              <w:rPr>
                <w:sz w:val="22"/>
              </w:rPr>
            </w:pPr>
            <w:r>
              <w:rPr>
                <w:sz w:val="22"/>
              </w:rPr>
              <w:t>11.0</w:t>
            </w:r>
            <w:r>
              <w:rPr>
                <w:spacing w:val="-1"/>
                <w:sz w:val="22"/>
              </w:rPr>
              <w:t> </w:t>
            </w:r>
            <w:r>
              <w:rPr>
                <w:spacing w:val="-2"/>
                <w:sz w:val="22"/>
              </w:rPr>
              <w:t>(7.3%)</w:t>
            </w:r>
          </w:p>
        </w:tc>
      </w:tr>
      <w:tr>
        <w:trPr>
          <w:trHeight w:val="554" w:hRule="atLeast"/>
        </w:trPr>
        <w:tc>
          <w:tcPr>
            <w:tcW w:w="794" w:type="dxa"/>
            <w:tcBorders>
              <w:top w:val="single" w:sz="6" w:space="0" w:color="1C5349"/>
              <w:bottom w:val="single" w:sz="6" w:space="0" w:color="1C5349"/>
            </w:tcBorders>
          </w:tcPr>
          <w:p>
            <w:pPr>
              <w:pStyle w:val="TableParagraph"/>
              <w:ind w:left="0" w:right="130"/>
              <w:jc w:val="center"/>
              <w:rPr>
                <w:b/>
                <w:sz w:val="22"/>
              </w:rPr>
            </w:pPr>
            <w:r>
              <w:rPr>
                <w:b/>
                <w:spacing w:val="-2"/>
                <w:sz w:val="22"/>
              </w:rPr>
              <w:t>Total</w:t>
            </w:r>
          </w:p>
        </w:tc>
        <w:tc>
          <w:tcPr>
            <w:tcW w:w="1916" w:type="dxa"/>
            <w:tcBorders>
              <w:top w:val="single" w:sz="6" w:space="0" w:color="1C5349"/>
              <w:bottom w:val="single" w:sz="6" w:space="0" w:color="1C5349"/>
            </w:tcBorders>
          </w:tcPr>
          <w:p>
            <w:pPr>
              <w:pStyle w:val="TableParagraph"/>
              <w:ind w:left="145"/>
              <w:rPr>
                <w:sz w:val="22"/>
              </w:rPr>
            </w:pPr>
            <w:r>
              <w:rPr>
                <w:spacing w:val="-4"/>
                <w:sz w:val="22"/>
              </w:rPr>
              <w:t>28.7</w:t>
            </w:r>
          </w:p>
        </w:tc>
        <w:tc>
          <w:tcPr>
            <w:tcW w:w="1996" w:type="dxa"/>
            <w:tcBorders>
              <w:top w:val="single" w:sz="6" w:space="0" w:color="1C5349"/>
              <w:bottom w:val="single" w:sz="6" w:space="0" w:color="1C5349"/>
            </w:tcBorders>
          </w:tcPr>
          <w:p>
            <w:pPr>
              <w:pStyle w:val="TableParagraph"/>
              <w:ind w:left="224"/>
              <w:rPr>
                <w:sz w:val="22"/>
              </w:rPr>
            </w:pPr>
            <w:r>
              <w:rPr>
                <w:spacing w:val="-4"/>
                <w:sz w:val="22"/>
              </w:rPr>
              <w:t>31.2</w:t>
            </w:r>
          </w:p>
        </w:tc>
        <w:tc>
          <w:tcPr>
            <w:tcW w:w="2127" w:type="dxa"/>
            <w:tcBorders>
              <w:top w:val="single" w:sz="6" w:space="0" w:color="1C5349"/>
              <w:bottom w:val="single" w:sz="6" w:space="0" w:color="1C5349"/>
            </w:tcBorders>
          </w:tcPr>
          <w:p>
            <w:pPr>
              <w:pStyle w:val="TableParagraph"/>
              <w:ind w:left="223"/>
              <w:rPr>
                <w:sz w:val="22"/>
              </w:rPr>
            </w:pPr>
            <w:r>
              <w:rPr>
                <w:spacing w:val="-4"/>
                <w:sz w:val="22"/>
              </w:rPr>
              <w:t>37.9</w:t>
            </w:r>
          </w:p>
        </w:tc>
        <w:tc>
          <w:tcPr>
            <w:tcW w:w="2320" w:type="dxa"/>
            <w:tcBorders>
              <w:top w:val="single" w:sz="6" w:space="0" w:color="1C5349"/>
              <w:bottom w:val="single" w:sz="6" w:space="0" w:color="1C5349"/>
            </w:tcBorders>
          </w:tcPr>
          <w:p>
            <w:pPr>
              <w:pStyle w:val="TableParagraph"/>
              <w:ind w:left="241"/>
              <w:rPr>
                <w:sz w:val="22"/>
              </w:rPr>
            </w:pPr>
            <w:r>
              <w:rPr>
                <w:spacing w:val="-4"/>
                <w:sz w:val="22"/>
              </w:rPr>
              <w:t>45.9</w:t>
            </w:r>
          </w:p>
        </w:tc>
      </w:tr>
    </w:tbl>
    <w:p>
      <w:pPr>
        <w:spacing w:line="256" w:lineRule="auto" w:before="160"/>
        <w:ind w:left="99" w:right="255" w:firstLine="0"/>
        <w:jc w:val="left"/>
        <w:rPr>
          <w:sz w:val="22"/>
        </w:rPr>
      </w:pPr>
      <w:r>
        <w:rPr>
          <w:sz w:val="22"/>
        </w:rPr>
        <w:t>From McDevitt TM, Stanecki KA, Way PO. Report WP/98, world population profile: 1998. </w:t>
      </w:r>
      <w:r>
        <w:rPr>
          <w:sz w:val="22"/>
        </w:rPr>
        <w:t>U.S. Census Bureau; 1999.</w:t>
      </w:r>
    </w:p>
    <w:p>
      <w:pPr>
        <w:pStyle w:val="BodyText"/>
        <w:spacing w:before="196"/>
        <w:ind w:left="0"/>
        <w:jc w:val="left"/>
        <w:rPr>
          <w:sz w:val="22"/>
        </w:rPr>
      </w:pPr>
    </w:p>
    <w:p>
      <w:pPr>
        <w:pStyle w:val="BodyText"/>
        <w:spacing w:line="249" w:lineRule="auto" w:before="0"/>
        <w:ind w:right="101" w:firstLine="450"/>
      </w:pPr>
      <w:r>
        <w:rPr/>
        <w:t>The mortality sex difference has been decreasing since 1979. The </w:t>
      </w:r>
      <w:r>
        <w:rPr/>
        <w:t>U.S. Census Bureau projects that the difference in life expectancy between men and</w:t>
      </w:r>
      <w:r>
        <w:rPr>
          <w:spacing w:val="-1"/>
        </w:rPr>
        <w:t> </w:t>
      </w:r>
      <w:r>
        <w:rPr/>
        <w:t>women</w:t>
      </w:r>
      <w:r>
        <w:rPr>
          <w:spacing w:val="-1"/>
        </w:rPr>
        <w:t> </w:t>
      </w:r>
      <w:r>
        <w:rPr/>
        <w:t>will</w:t>
      </w:r>
      <w:r>
        <w:rPr>
          <w:spacing w:val="-1"/>
        </w:rPr>
        <w:t> </w:t>
      </w:r>
      <w:r>
        <w:rPr/>
        <w:t>increase</w:t>
      </w:r>
      <w:r>
        <w:rPr>
          <w:spacing w:val="-1"/>
        </w:rPr>
        <w:t> </w:t>
      </w:r>
      <w:r>
        <w:rPr/>
        <w:t>until</w:t>
      </w:r>
      <w:r>
        <w:rPr>
          <w:spacing w:val="-1"/>
        </w:rPr>
        <w:t> </w:t>
      </w:r>
      <w:r>
        <w:rPr/>
        <w:t>the</w:t>
      </w:r>
      <w:r>
        <w:rPr>
          <w:spacing w:val="-1"/>
        </w:rPr>
        <w:t> </w:t>
      </w:r>
      <w:r>
        <w:rPr/>
        <w:t>year</w:t>
      </w:r>
      <w:r>
        <w:rPr>
          <w:spacing w:val="-1"/>
        </w:rPr>
        <w:t> </w:t>
      </w:r>
      <w:r>
        <w:rPr/>
        <w:t>2050</w:t>
      </w:r>
      <w:r>
        <w:rPr>
          <w:spacing w:val="-1"/>
        </w:rPr>
        <w:t> </w:t>
      </w:r>
      <w:r>
        <w:rPr/>
        <w:t>and</w:t>
      </w:r>
      <w:r>
        <w:rPr>
          <w:spacing w:val="-1"/>
        </w:rPr>
        <w:t> </w:t>
      </w:r>
      <w:r>
        <w:rPr/>
        <w:t>then</w:t>
      </w:r>
      <w:r>
        <w:rPr>
          <w:spacing w:val="-1"/>
        </w:rPr>
        <w:t> </w:t>
      </w:r>
      <w:r>
        <w:rPr/>
        <w:t>level</w:t>
      </w:r>
      <w:r>
        <w:rPr>
          <w:spacing w:val="-1"/>
        </w:rPr>
        <w:t> </w:t>
      </w:r>
      <w:r>
        <w:rPr/>
        <w:t>off.</w:t>
      </w:r>
      <w:r>
        <w:rPr>
          <w:spacing w:val="-1"/>
        </w:rPr>
        <w:t> </w:t>
      </w:r>
      <w:r>
        <w:rPr/>
        <w:t>In</w:t>
      </w:r>
      <w:r>
        <w:rPr>
          <w:spacing w:val="-3"/>
        </w:rPr>
        <w:t> </w:t>
      </w:r>
      <w:r>
        <w:rPr/>
        <w:t>2050,</w:t>
      </w:r>
      <w:r>
        <w:rPr>
          <w:spacing w:val="-3"/>
        </w:rPr>
        <w:t> </w:t>
      </w:r>
      <w:r>
        <w:rPr/>
        <w:t>life expectancy</w:t>
      </w:r>
      <w:r>
        <w:rPr>
          <w:spacing w:val="40"/>
        </w:rPr>
        <w:t> </w:t>
      </w:r>
      <w:r>
        <w:rPr/>
        <w:t>for</w:t>
      </w:r>
      <w:r>
        <w:rPr>
          <w:spacing w:val="41"/>
        </w:rPr>
        <w:t> </w:t>
      </w:r>
      <w:r>
        <w:rPr/>
        <w:t>women</w:t>
      </w:r>
      <w:r>
        <w:rPr>
          <w:spacing w:val="41"/>
        </w:rPr>
        <w:t> </w:t>
      </w:r>
      <w:r>
        <w:rPr/>
        <w:t>will</w:t>
      </w:r>
      <w:r>
        <w:rPr>
          <w:spacing w:val="41"/>
        </w:rPr>
        <w:t> </w:t>
      </w:r>
      <w:r>
        <w:rPr/>
        <w:t>be</w:t>
      </w:r>
      <w:r>
        <w:rPr>
          <w:spacing w:val="41"/>
        </w:rPr>
        <w:t> </w:t>
      </w:r>
      <w:r>
        <w:rPr/>
        <w:t>82</w:t>
      </w:r>
      <w:r>
        <w:rPr>
          <w:spacing w:val="41"/>
        </w:rPr>
        <w:t> </w:t>
      </w:r>
      <w:r>
        <w:rPr/>
        <w:t>years</w:t>
      </w:r>
      <w:r>
        <w:rPr>
          <w:spacing w:val="41"/>
        </w:rPr>
        <w:t> </w:t>
      </w:r>
      <w:r>
        <w:rPr/>
        <w:t>and</w:t>
      </w:r>
      <w:r>
        <w:rPr>
          <w:spacing w:val="41"/>
        </w:rPr>
        <w:t> </w:t>
      </w:r>
      <w:r>
        <w:rPr/>
        <w:t>for</w:t>
      </w:r>
      <w:r>
        <w:rPr>
          <w:spacing w:val="40"/>
        </w:rPr>
        <w:t> </w:t>
      </w:r>
      <w:r>
        <w:rPr/>
        <w:t>men,</w:t>
      </w:r>
      <w:r>
        <w:rPr>
          <w:spacing w:val="41"/>
        </w:rPr>
        <w:t> </w:t>
      </w:r>
      <w:r>
        <w:rPr/>
        <w:t>76.7</w:t>
      </w:r>
      <w:r>
        <w:rPr>
          <w:spacing w:val="41"/>
        </w:rPr>
        <w:t> </w:t>
      </w:r>
      <w:r>
        <w:rPr/>
        <w:t>years.</w:t>
      </w:r>
      <w:r>
        <w:rPr>
          <w:vertAlign w:val="superscript"/>
        </w:rPr>
        <w:t>26</w:t>
      </w:r>
      <w:r>
        <w:rPr>
          <w:spacing w:val="43"/>
          <w:vertAlign w:val="baseline"/>
        </w:rPr>
        <w:t> </w:t>
      </w:r>
      <w:r>
        <w:rPr>
          <w:spacing w:val="-2"/>
          <w:vertAlign w:val="baseline"/>
        </w:rPr>
        <w:t>There</w:t>
      </w:r>
    </w:p>
    <w:p>
      <w:pPr>
        <w:pStyle w:val="BodyText"/>
        <w:spacing w:after="0" w:line="249" w:lineRule="auto"/>
        <w:sectPr>
          <w:pgSz w:w="12240" w:h="15840"/>
          <w:pgMar w:top="1380" w:bottom="280" w:left="1440" w:right="1440"/>
        </w:sectPr>
      </w:pPr>
    </w:p>
    <w:p>
      <w:pPr>
        <w:pStyle w:val="BodyText"/>
        <w:spacing w:line="249" w:lineRule="auto"/>
        <w:ind w:right="105"/>
      </w:pPr>
      <w:r>
        <w:rPr/>
        <w:t>will be 33.4 million women 65 years and older, compared with 22.1 </w:t>
      </w:r>
      <w:r>
        <w:rPr/>
        <w:t>million </w:t>
      </w:r>
      <w:r>
        <w:rPr>
          <w:spacing w:val="-4"/>
        </w:rPr>
        <w:t>men.</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981075</wp:posOffset>
                </wp:positionH>
                <wp:positionV relativeFrom="paragraph">
                  <wp:posOffset>233350</wp:posOffset>
                </wp:positionV>
                <wp:extent cx="285750" cy="571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85750" cy="57150"/>
                        </a:xfrm>
                        <a:custGeom>
                          <a:avLst/>
                          <a:gdLst/>
                          <a:ahLst/>
                          <a:cxnLst/>
                          <a:rect l="l" t="t" r="r" b="b"/>
                          <a:pathLst>
                            <a:path w="285750" h="57150">
                              <a:moveTo>
                                <a:pt x="32364" y="57145"/>
                              </a:moveTo>
                              <a:lnTo>
                                <a:pt x="24785" y="57145"/>
                              </a:lnTo>
                              <a:lnTo>
                                <a:pt x="21140" y="56415"/>
                              </a:lnTo>
                              <a:lnTo>
                                <a:pt x="0" y="32356"/>
                              </a:lnTo>
                              <a:lnTo>
                                <a:pt x="0" y="24780"/>
                              </a:lnTo>
                              <a:lnTo>
                                <a:pt x="24785" y="0"/>
                              </a:lnTo>
                              <a:lnTo>
                                <a:pt x="32364" y="0"/>
                              </a:lnTo>
                              <a:lnTo>
                                <a:pt x="57149" y="24780"/>
                              </a:lnTo>
                              <a:lnTo>
                                <a:pt x="57149" y="32356"/>
                              </a:lnTo>
                              <a:lnTo>
                                <a:pt x="32364" y="57145"/>
                              </a:lnTo>
                              <a:close/>
                            </a:path>
                            <a:path w="285750" h="57150">
                              <a:moveTo>
                                <a:pt x="146569" y="57145"/>
                              </a:moveTo>
                              <a:lnTo>
                                <a:pt x="138990" y="57145"/>
                              </a:lnTo>
                              <a:lnTo>
                                <a:pt x="135345" y="56415"/>
                              </a:lnTo>
                              <a:lnTo>
                                <a:pt x="114204" y="32356"/>
                              </a:lnTo>
                              <a:lnTo>
                                <a:pt x="114204" y="24780"/>
                              </a:lnTo>
                              <a:lnTo>
                                <a:pt x="138990" y="0"/>
                              </a:lnTo>
                              <a:lnTo>
                                <a:pt x="146569" y="0"/>
                              </a:lnTo>
                              <a:lnTo>
                                <a:pt x="171354" y="24780"/>
                              </a:lnTo>
                              <a:lnTo>
                                <a:pt x="171354" y="32356"/>
                              </a:lnTo>
                              <a:lnTo>
                                <a:pt x="146569" y="57145"/>
                              </a:lnTo>
                              <a:close/>
                            </a:path>
                            <a:path w="285750" h="57150">
                              <a:moveTo>
                                <a:pt x="260773" y="57145"/>
                              </a:moveTo>
                              <a:lnTo>
                                <a:pt x="253195" y="57145"/>
                              </a:lnTo>
                              <a:lnTo>
                                <a:pt x="249550" y="56415"/>
                              </a:lnTo>
                              <a:lnTo>
                                <a:pt x="228409" y="32356"/>
                              </a:lnTo>
                              <a:lnTo>
                                <a:pt x="228409" y="24780"/>
                              </a:lnTo>
                              <a:lnTo>
                                <a:pt x="253195" y="0"/>
                              </a:lnTo>
                              <a:lnTo>
                                <a:pt x="260773" y="0"/>
                              </a:lnTo>
                              <a:lnTo>
                                <a:pt x="285559" y="24780"/>
                              </a:lnTo>
                              <a:lnTo>
                                <a:pt x="285559" y="32356"/>
                              </a:lnTo>
                              <a:lnTo>
                                <a:pt x="260773" y="57145"/>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374029pt;width:22.5pt;height:4.5pt;mso-position-horizontal-relative:page;mso-position-vertical-relative:paragraph;z-index:-15721984;mso-wrap-distance-left:0;mso-wrap-distance-right:0" id="docshape11" coordorigin="1545,367" coordsize="450,90" path="m1596,457l1584,457,1578,456,1567,452,1562,449,1554,440,1551,435,1546,424,1545,418,1545,407,1546,401,1551,390,1554,385,1562,376,1567,373,1578,369,1584,367,1596,367,1602,369,1613,373,1618,376,1626,385,1629,390,1634,401,1635,407,1635,418,1634,424,1629,435,1626,440,1618,449,1613,452,1602,456,1596,457xm1776,457l1764,457,1758,456,1747,452,1742,449,1734,440,1731,435,1726,424,1725,418,1725,407,1726,401,1731,390,1734,385,1742,376,1747,373,1758,369,1764,367,1776,367,1782,369,1793,373,1797,376,1806,385,1809,390,1814,401,1815,407,1815,418,1814,424,1809,435,1806,440,1797,449,1793,452,1782,456,1776,457xm1956,457l1944,457,1938,456,1927,452,1922,449,1914,440,1910,435,1906,424,1905,418,1905,407,1906,401,1910,390,1914,385,1922,376,1927,373,1938,369,1944,367,1956,367,1961,369,1972,373,1977,376,1986,385,1989,390,1994,401,1995,407,1995,418,1994,424,1989,435,1986,440,1977,449,1972,452,1961,456,1956,457xe" filled="true" fillcolor="#bdb4d4" stroked="false">
                <v:path arrowok="t"/>
                <v:fill type="solid"/>
                <w10:wrap type="topAndBottom"/>
              </v:shape>
            </w:pict>
          </mc:Fallback>
        </mc:AlternateContent>
      </w:r>
    </w:p>
    <w:p>
      <w:pPr>
        <w:pStyle w:val="Heading3"/>
        <w:jc w:val="both"/>
      </w:pPr>
      <w:r>
        <w:rPr>
          <w:color w:val="534089"/>
        </w:rPr>
        <w:t>CHANGING DEMOGRAPHICS AND </w:t>
      </w:r>
      <w:r>
        <w:rPr>
          <w:color w:val="534089"/>
          <w:spacing w:val="-2"/>
        </w:rPr>
        <w:t>AGING</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595008">
                <wp:simplePos x="0" y="0"/>
                <wp:positionH relativeFrom="page">
                  <wp:posOffset>981075</wp:posOffset>
                </wp:positionH>
                <wp:positionV relativeFrom="paragraph">
                  <wp:posOffset>45740</wp:posOffset>
                </wp:positionV>
                <wp:extent cx="5810250" cy="190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603pt;width:457.499964pt;height:1.5pt;mso-position-horizontal-relative:page;mso-position-vertical-relative:paragraph;z-index:-15721472;mso-wrap-distance-left:0;mso-wrap-distance-right:0" id="docshape12" filled="true" fillcolor="#534089" stroked="false">
                <v:fill type="solid"/>
                <w10:wrap type="topAndBottom"/>
              </v:rect>
            </w:pict>
          </mc:Fallback>
        </mc:AlternateContent>
      </w:r>
    </w:p>
    <w:p>
      <w:pPr>
        <w:pStyle w:val="BodyText"/>
        <w:spacing w:line="249" w:lineRule="auto" w:before="215"/>
        <w:ind w:right="101"/>
      </w:pPr>
      <w:r>
        <w:rPr/>
        <w:t>In addition to the growing numbers of older adult people, the older population itself is getting older. For example, in 1984, the 65 to 74 </w:t>
      </w:r>
      <w:r>
        <w:rPr/>
        <w:t>age group in the United States was over 7 times larger than in 1900, but the 75 to 84 age group was 11 times larger, and the 85 and older group was 21 times larger. In the 1990s, the population 85 years and older increased by 38%.</w:t>
      </w:r>
      <w:r>
        <w:rPr>
          <w:vertAlign w:val="superscript"/>
        </w:rPr>
        <w:t>22</w:t>
      </w:r>
      <w:r>
        <w:rPr>
          <w:vertAlign w:val="baseline"/>
        </w:rPr>
        <w:t> The most rapid increase is expected between 2010 and 2030 when the post-World War II baby boom generation will be aged 65 years and over.</w:t>
      </w:r>
      <w:r>
        <w:rPr>
          <w:spacing w:val="-5"/>
          <w:vertAlign w:val="baseline"/>
        </w:rPr>
        <w:t> </w:t>
      </w:r>
      <w:r>
        <w:rPr>
          <w:vertAlign w:val="baseline"/>
        </w:rPr>
        <w:t>In the next century, the only age groups in the United States expected to experience significant growth will be those past age 55. In this older age group, women will outnumber men by 2.6 to 1. By the year 2040, in the United</w:t>
      </w:r>
      <w:r>
        <w:rPr>
          <w:spacing w:val="-2"/>
          <w:vertAlign w:val="baseline"/>
        </w:rPr>
        <w:t> </w:t>
      </w:r>
      <w:r>
        <w:rPr>
          <w:vertAlign w:val="baseline"/>
        </w:rPr>
        <w:t>States,</w:t>
      </w:r>
      <w:r>
        <w:rPr>
          <w:spacing w:val="-2"/>
          <w:vertAlign w:val="baseline"/>
        </w:rPr>
        <w:t> </w:t>
      </w:r>
      <w:r>
        <w:rPr>
          <w:vertAlign w:val="baseline"/>
        </w:rPr>
        <w:t>there</w:t>
      </w:r>
      <w:r>
        <w:rPr>
          <w:spacing w:val="-2"/>
          <w:vertAlign w:val="baseline"/>
        </w:rPr>
        <w:t> </w:t>
      </w:r>
      <w:r>
        <w:rPr>
          <w:vertAlign w:val="baseline"/>
        </w:rPr>
        <w:t>will</w:t>
      </w:r>
      <w:r>
        <w:rPr>
          <w:spacing w:val="-2"/>
          <w:vertAlign w:val="baseline"/>
        </w:rPr>
        <w:t> </w:t>
      </w:r>
      <w:r>
        <w:rPr>
          <w:vertAlign w:val="baseline"/>
        </w:rPr>
        <w:t>be</w:t>
      </w:r>
      <w:r>
        <w:rPr>
          <w:spacing w:val="-2"/>
          <w:vertAlign w:val="baseline"/>
        </w:rPr>
        <w:t> </w:t>
      </w:r>
      <w:r>
        <w:rPr>
          <w:vertAlign w:val="baseline"/>
        </w:rPr>
        <w:t>8</w:t>
      </w:r>
      <w:r>
        <w:rPr>
          <w:spacing w:val="-2"/>
          <w:vertAlign w:val="baseline"/>
        </w:rPr>
        <w:t> </w:t>
      </w:r>
      <w:r>
        <w:rPr>
          <w:vertAlign w:val="baseline"/>
        </w:rPr>
        <w:t>million</w:t>
      </w:r>
      <w:r>
        <w:rPr>
          <w:spacing w:val="-2"/>
          <w:vertAlign w:val="baseline"/>
        </w:rPr>
        <w:t> </w:t>
      </w:r>
      <w:r>
        <w:rPr>
          <w:vertAlign w:val="baseline"/>
        </w:rPr>
        <w:t>to</w:t>
      </w:r>
      <w:r>
        <w:rPr>
          <w:spacing w:val="-2"/>
          <w:vertAlign w:val="baseline"/>
        </w:rPr>
        <w:t> </w:t>
      </w:r>
      <w:r>
        <w:rPr>
          <w:vertAlign w:val="baseline"/>
        </w:rPr>
        <w:t>13</w:t>
      </w:r>
      <w:r>
        <w:rPr>
          <w:spacing w:val="-2"/>
          <w:vertAlign w:val="baseline"/>
        </w:rPr>
        <w:t> </w:t>
      </w:r>
      <w:r>
        <w:rPr>
          <w:vertAlign w:val="baseline"/>
        </w:rPr>
        <w:t>million</w:t>
      </w:r>
      <w:r>
        <w:rPr>
          <w:spacing w:val="-2"/>
          <w:vertAlign w:val="baseline"/>
        </w:rPr>
        <w:t> </w:t>
      </w:r>
      <w:r>
        <w:rPr>
          <w:vertAlign w:val="baseline"/>
        </w:rPr>
        <w:t>people</w:t>
      </w:r>
      <w:r>
        <w:rPr>
          <w:spacing w:val="-2"/>
          <w:vertAlign w:val="baseline"/>
        </w:rPr>
        <w:t> </w:t>
      </w:r>
      <w:r>
        <w:rPr>
          <w:vertAlign w:val="baseline"/>
        </w:rPr>
        <w:t>85</w:t>
      </w:r>
      <w:r>
        <w:rPr>
          <w:spacing w:val="-2"/>
          <w:vertAlign w:val="baseline"/>
        </w:rPr>
        <w:t> </w:t>
      </w:r>
      <w:r>
        <w:rPr>
          <w:vertAlign w:val="baseline"/>
        </w:rPr>
        <w:t>years</w:t>
      </w:r>
      <w:r>
        <w:rPr>
          <w:spacing w:val="-2"/>
          <w:vertAlign w:val="baseline"/>
        </w:rPr>
        <w:t> </w:t>
      </w:r>
      <w:r>
        <w:rPr>
          <w:vertAlign w:val="baseline"/>
        </w:rPr>
        <w:t>of</w:t>
      </w:r>
      <w:r>
        <w:rPr>
          <w:spacing w:val="-2"/>
          <w:vertAlign w:val="baseline"/>
        </w:rPr>
        <w:t> </w:t>
      </w:r>
      <w:r>
        <w:rPr>
          <w:vertAlign w:val="baseline"/>
        </w:rPr>
        <w:t>age</w:t>
      </w:r>
      <w:r>
        <w:rPr>
          <w:spacing w:val="-2"/>
          <w:vertAlign w:val="baseline"/>
        </w:rPr>
        <w:t> </w:t>
      </w:r>
      <w:r>
        <w:rPr>
          <w:vertAlign w:val="baseline"/>
        </w:rPr>
        <w:t>or older; the estimate varies according to pessimistic to optimistic projections regarding disease prevention and treatment.</w:t>
      </w:r>
    </w:p>
    <w:p>
      <w:pPr>
        <w:pStyle w:val="BodyText"/>
        <w:spacing w:line="249" w:lineRule="auto" w:before="16"/>
        <w:ind w:right="99" w:firstLine="450"/>
      </w:pPr>
      <w:r>
        <w:rPr/>
        <w:t>Societal norms relating to marriage, partnership, and cohabitation are evolving. Older women are more likely to be left unpartnered due to their male partners’ demise compared to older men (22%).</w:t>
      </w:r>
      <w:r>
        <w:rPr>
          <w:vertAlign w:val="superscript"/>
        </w:rPr>
        <w:t>27</w:t>
      </w:r>
      <w:r>
        <w:rPr>
          <w:vertAlign w:val="baseline"/>
        </w:rPr>
        <w:t> Half of men 85</w:t>
      </w:r>
      <w:r>
        <w:rPr>
          <w:spacing w:val="40"/>
          <w:vertAlign w:val="baseline"/>
        </w:rPr>
        <w:t> </w:t>
      </w:r>
      <w:r>
        <w:rPr>
          <w:vertAlign w:val="baseline"/>
        </w:rPr>
        <w:t>years and older live with their wives, but only 10% of older women live with their husbands.</w:t>
      </w:r>
      <w:r>
        <w:rPr>
          <w:vertAlign w:val="superscript"/>
        </w:rPr>
        <w:t>28</w:t>
      </w:r>
      <w:r>
        <w:rPr>
          <w:vertAlign w:val="baseline"/>
        </w:rPr>
        <w:t> Because the unmarried tend to be </w:t>
      </w:r>
      <w:r>
        <w:rPr>
          <w:vertAlign w:val="baseline"/>
        </w:rPr>
        <w:t>more disadvantaged,</w:t>
      </w:r>
      <w:r>
        <w:rPr>
          <w:spacing w:val="-2"/>
          <w:vertAlign w:val="baseline"/>
        </w:rPr>
        <w:t> </w:t>
      </w:r>
      <w:r>
        <w:rPr>
          <w:vertAlign w:val="baseline"/>
        </w:rPr>
        <w:t>there</w:t>
      </w:r>
      <w:r>
        <w:rPr>
          <w:spacing w:val="-2"/>
          <w:vertAlign w:val="baseline"/>
        </w:rPr>
        <w:t> </w:t>
      </w:r>
      <w:r>
        <w:rPr>
          <w:vertAlign w:val="baseline"/>
        </w:rPr>
        <w:t>will</w:t>
      </w:r>
      <w:r>
        <w:rPr>
          <w:spacing w:val="-2"/>
          <w:vertAlign w:val="baseline"/>
        </w:rPr>
        <w:t> </w:t>
      </w:r>
      <w:r>
        <w:rPr>
          <w:vertAlign w:val="baseline"/>
        </w:rPr>
        <w:t>be</w:t>
      </w:r>
      <w:r>
        <w:rPr>
          <w:spacing w:val="-2"/>
          <w:vertAlign w:val="baseline"/>
        </w:rPr>
        <w:t> </w:t>
      </w:r>
      <w:r>
        <w:rPr>
          <w:vertAlign w:val="baseline"/>
        </w:rPr>
        <w:t>a</w:t>
      </w:r>
      <w:r>
        <w:rPr>
          <w:spacing w:val="-2"/>
          <w:vertAlign w:val="baseline"/>
        </w:rPr>
        <w:t> </w:t>
      </w:r>
      <w:r>
        <w:rPr>
          <w:vertAlign w:val="baseline"/>
        </w:rPr>
        <w:t>need</w:t>
      </w:r>
      <w:r>
        <w:rPr>
          <w:spacing w:val="-2"/>
          <w:vertAlign w:val="baseline"/>
        </w:rPr>
        <w:t> </w:t>
      </w:r>
      <w:r>
        <w:rPr>
          <w:vertAlign w:val="baseline"/>
        </w:rPr>
        <w:t>for</w:t>
      </w:r>
      <w:r>
        <w:rPr>
          <w:spacing w:val="-2"/>
          <w:vertAlign w:val="baseline"/>
        </w:rPr>
        <w:t> </w:t>
      </w:r>
      <w:r>
        <w:rPr>
          <w:vertAlign w:val="baseline"/>
        </w:rPr>
        <w:t>more</w:t>
      </w:r>
      <w:r>
        <w:rPr>
          <w:spacing w:val="-2"/>
          <w:vertAlign w:val="baseline"/>
        </w:rPr>
        <w:t> </w:t>
      </w:r>
      <w:r>
        <w:rPr>
          <w:vertAlign w:val="baseline"/>
        </w:rPr>
        <w:t>services</w:t>
      </w:r>
      <w:r>
        <w:rPr>
          <w:spacing w:val="-2"/>
          <w:vertAlign w:val="baseline"/>
        </w:rPr>
        <w:t> </w:t>
      </w:r>
      <w:r>
        <w:rPr>
          <w:vertAlign w:val="baseline"/>
        </w:rPr>
        <w:t>for</w:t>
      </w:r>
      <w:r>
        <w:rPr>
          <w:spacing w:val="-2"/>
          <w:vertAlign w:val="baseline"/>
        </w:rPr>
        <w:t> </w:t>
      </w:r>
      <w:r>
        <w:rPr>
          <w:vertAlign w:val="baseline"/>
        </w:rPr>
        <w:t>this</w:t>
      </w:r>
      <w:r>
        <w:rPr>
          <w:spacing w:val="-2"/>
          <w:vertAlign w:val="baseline"/>
        </w:rPr>
        <w:t> </w:t>
      </w:r>
      <w:r>
        <w:rPr>
          <w:vertAlign w:val="baseline"/>
        </w:rPr>
        <w:t>segment</w:t>
      </w:r>
      <w:r>
        <w:rPr>
          <w:spacing w:val="-2"/>
          <w:vertAlign w:val="baseline"/>
        </w:rPr>
        <w:t> </w:t>
      </w:r>
      <w:r>
        <w:rPr>
          <w:vertAlign w:val="baseline"/>
        </w:rPr>
        <w:t>of</w:t>
      </w:r>
      <w:r>
        <w:rPr>
          <w:spacing w:val="-2"/>
          <w:vertAlign w:val="baseline"/>
        </w:rPr>
        <w:t> </w:t>
      </w:r>
      <w:r>
        <w:rPr>
          <w:vertAlign w:val="baseline"/>
        </w:rPr>
        <w:t>the older adult population. Older unmarried people are more vulnerable, demonstrating higher mortality rates and lower life satisfaction. Aging transgender females represent an expanding and uniquely disadvantaged population within aging communities.</w:t>
      </w:r>
    </w:p>
    <w:p>
      <w:pPr>
        <w:pStyle w:val="BodyText"/>
        <w:spacing w:before="55"/>
        <w:ind w:left="0"/>
        <w:jc w:val="left"/>
      </w:pPr>
    </w:p>
    <w:p>
      <w:pPr>
        <w:spacing w:before="1"/>
        <w:ind w:left="99" w:right="0" w:firstLine="0"/>
        <w:jc w:val="both"/>
        <w:rPr>
          <w:rFonts w:ascii="Arial"/>
          <w:b/>
          <w:sz w:val="30"/>
        </w:rPr>
      </w:pPr>
      <w:r>
        <w:rPr>
          <w:rFonts w:ascii="Arial"/>
          <w:b/>
          <w:color w:val="2674AE"/>
          <w:sz w:val="30"/>
        </w:rPr>
        <w:t>The Rectangularization of </w:t>
      </w:r>
      <w:r>
        <w:rPr>
          <w:rFonts w:ascii="Arial"/>
          <w:b/>
          <w:color w:val="2674AE"/>
          <w:spacing w:val="-4"/>
          <w:sz w:val="30"/>
        </w:rPr>
        <w:t>Life</w:t>
      </w:r>
    </w:p>
    <w:p>
      <w:pPr>
        <w:pStyle w:val="BodyText"/>
        <w:spacing w:line="249" w:lineRule="auto" w:before="166"/>
        <w:ind w:right="102"/>
      </w:pPr>
      <w:r>
        <w:rPr/>
        <w:t>The lifespan is the biologic limit to life, the maximal obtainable age by a member of a species. The general impression is that the human lifespan </w:t>
      </w:r>
      <w:r>
        <w:rPr/>
        <w:t>is increasing. Actually, lifespan is fixed, and it is a biologic constant for each species.</w:t>
      </w:r>
      <w:r>
        <w:rPr>
          <w:vertAlign w:val="superscript"/>
        </w:rPr>
        <w:t>29</w:t>
      </w:r>
      <w:r>
        <w:rPr>
          <w:spacing w:val="44"/>
          <w:w w:val="150"/>
          <w:vertAlign w:val="baseline"/>
        </w:rPr>
        <w:t> </w:t>
      </w:r>
      <w:r>
        <w:rPr>
          <w:vertAlign w:val="baseline"/>
        </w:rPr>
        <w:t>In</w:t>
      </w:r>
      <w:r>
        <w:rPr>
          <w:spacing w:val="44"/>
          <w:w w:val="150"/>
          <w:vertAlign w:val="baseline"/>
        </w:rPr>
        <w:t> </w:t>
      </w:r>
      <w:r>
        <w:rPr>
          <w:vertAlign w:val="baseline"/>
        </w:rPr>
        <w:t>fact,</w:t>
      </w:r>
      <w:r>
        <w:rPr>
          <w:spacing w:val="44"/>
          <w:w w:val="150"/>
          <w:vertAlign w:val="baseline"/>
        </w:rPr>
        <w:t> </w:t>
      </w:r>
      <w:r>
        <w:rPr>
          <w:vertAlign w:val="baseline"/>
        </w:rPr>
        <w:t>differences</w:t>
      </w:r>
      <w:r>
        <w:rPr>
          <w:spacing w:val="44"/>
          <w:w w:val="150"/>
          <w:vertAlign w:val="baseline"/>
        </w:rPr>
        <w:t> </w:t>
      </w:r>
      <w:r>
        <w:rPr>
          <w:vertAlign w:val="baseline"/>
        </w:rPr>
        <w:t>in</w:t>
      </w:r>
      <w:r>
        <w:rPr>
          <w:spacing w:val="44"/>
          <w:w w:val="150"/>
          <w:vertAlign w:val="baseline"/>
        </w:rPr>
        <w:t> </w:t>
      </w:r>
      <w:r>
        <w:rPr>
          <w:vertAlign w:val="baseline"/>
        </w:rPr>
        <w:t>species’</w:t>
      </w:r>
      <w:r>
        <w:rPr>
          <w:spacing w:val="45"/>
          <w:w w:val="150"/>
          <w:vertAlign w:val="baseline"/>
        </w:rPr>
        <w:t> </w:t>
      </w:r>
      <w:r>
        <w:rPr>
          <w:vertAlign w:val="baseline"/>
        </w:rPr>
        <w:t>lifespans</w:t>
      </w:r>
      <w:r>
        <w:rPr>
          <w:spacing w:val="44"/>
          <w:w w:val="150"/>
          <w:vertAlign w:val="baseline"/>
        </w:rPr>
        <w:t> </w:t>
      </w:r>
      <w:r>
        <w:rPr>
          <w:vertAlign w:val="baseline"/>
        </w:rPr>
        <w:t>argue</w:t>
      </w:r>
      <w:r>
        <w:rPr>
          <w:spacing w:val="44"/>
          <w:w w:val="150"/>
          <w:vertAlign w:val="baseline"/>
        </w:rPr>
        <w:t> </w:t>
      </w:r>
      <w:r>
        <w:rPr>
          <w:vertAlign w:val="baseline"/>
        </w:rPr>
        <w:t>in</w:t>
      </w:r>
      <w:r>
        <w:rPr>
          <w:spacing w:val="44"/>
          <w:w w:val="150"/>
          <w:vertAlign w:val="baseline"/>
        </w:rPr>
        <w:t> </w:t>
      </w:r>
      <w:r>
        <w:rPr>
          <w:vertAlign w:val="baseline"/>
        </w:rPr>
        <w:t>favor</w:t>
      </w:r>
      <w:r>
        <w:rPr>
          <w:spacing w:val="44"/>
          <w:w w:val="150"/>
          <w:vertAlign w:val="baseline"/>
        </w:rPr>
        <w:t> </w:t>
      </w:r>
      <w:r>
        <w:rPr>
          <w:vertAlign w:val="baseline"/>
        </w:rPr>
        <w:t>of</w:t>
      </w:r>
      <w:r>
        <w:rPr>
          <w:spacing w:val="45"/>
          <w:w w:val="150"/>
          <w:vertAlign w:val="baseline"/>
        </w:rPr>
        <w:t> </w:t>
      </w:r>
      <w:r>
        <w:rPr>
          <w:spacing w:val="-10"/>
          <w:vertAlign w:val="baseline"/>
        </w:rPr>
        <w:t>a</w:t>
      </w:r>
    </w:p>
    <w:p>
      <w:pPr>
        <w:pStyle w:val="BodyText"/>
        <w:spacing w:after="0" w:line="249" w:lineRule="auto"/>
        <w:sectPr>
          <w:pgSz w:w="12240" w:h="15840"/>
          <w:pgMar w:top="1380" w:bottom="280" w:left="1440" w:right="1440"/>
        </w:sectPr>
      </w:pPr>
    </w:p>
    <w:p>
      <w:pPr>
        <w:pStyle w:val="BodyText"/>
        <w:spacing w:line="249" w:lineRule="auto"/>
        <w:ind w:right="100"/>
      </w:pPr>
      <w:r>
        <w:rPr/>
        <w:t>species-specific genetic basis for longevity. If lifespans were not fixed, it would mean an unlimited increase of our older adults. However, a </w:t>
      </w:r>
      <w:r>
        <w:rPr/>
        <w:t>correct analysis of survival reveals that death converges at the same maximal age; what has changed is life expectancy—the number of years of life expected from birth. Life expectancy cannot exceed the lifespan, but it can closely approximate it. Thus, as the number of older people who reach the maximum life expectancy increases, the percentage of a typical life spent in older years will increase </w:t>
      </w:r>
      <w:r>
        <w:rPr>
          <w:b/>
          <w:color w:val="256E60"/>
        </w:rPr>
        <w:t>(Figure 21.2)</w:t>
      </w:r>
      <w:r>
        <w:rPr/>
        <w:t>.</w:t>
      </w:r>
    </w:p>
    <w:p>
      <w:pPr>
        <w:pStyle w:val="BodyText"/>
        <w:spacing w:line="249" w:lineRule="auto" w:before="9"/>
        <w:ind w:right="97" w:firstLine="450"/>
      </w:pPr>
      <w:r>
        <w:rPr/>
        <w:t>The industrialized world had almost eliminated premature death </w:t>
      </w:r>
      <w:r>
        <w:rPr/>
        <w:t>by reducing the burden of infectious diseases; disorders of the heart and the circulation, cancers, accidents, and suicides were leading causes of death until the world got ensnared in the COVID-19 pandemic. However, despite the havoc caused by the COVID-19 pandemic,</w:t>
      </w:r>
      <w:r>
        <w:rPr>
          <w:vertAlign w:val="superscript"/>
        </w:rPr>
        <w:t>30</w:t>
      </w:r>
      <w:r>
        <w:rPr>
          <w:vertAlign w:val="baseline"/>
        </w:rPr>
        <w:t> the major determinant of life expectancy in the 21st century is chronic disease, affected by genetics, lifestyle, the environment, and aging itself. Even if cancer, diabetes, and all circulatory diseases were eliminated, life expectancy is unlikely to exceed 90 years.</w:t>
      </w:r>
      <w:r>
        <w:rPr>
          <w:vertAlign w:val="superscript"/>
        </w:rPr>
        <w:t>17</w:t>
      </w:r>
    </w:p>
    <w:p>
      <w:pPr>
        <w:pStyle w:val="BodyText"/>
        <w:spacing w:line="249" w:lineRule="auto" w:before="12"/>
        <w:ind w:right="97" w:firstLine="450"/>
      </w:pPr>
      <w:r>
        <w:rPr/>
        <w:t>J.F. Fries described three eras in health and disease.</w:t>
      </w:r>
      <w:r>
        <w:rPr>
          <w:vertAlign w:val="superscript"/>
        </w:rPr>
        <w:t>3</w:t>
      </w:r>
      <w:r>
        <w:rPr>
          <w:vertAlign w:val="superscript"/>
        </w:rPr>
        <w:t>1</w:t>
      </w:r>
      <w:r>
        <w:rPr>
          <w:vertAlign w:val="baseline"/>
        </w:rPr>
        <w:t> The first </w:t>
      </w:r>
      <w:r>
        <w:rPr>
          <w:vertAlign w:val="baseline"/>
        </w:rPr>
        <w:t>era existed until sometime in the early 1900s and was characterized by </w:t>
      </w:r>
      <w:r>
        <w:rPr>
          <w:vertAlign w:val="baseline"/>
        </w:rPr>
        <w:t>acute infectious</w:t>
      </w:r>
      <w:r>
        <w:rPr>
          <w:spacing w:val="-3"/>
          <w:vertAlign w:val="baseline"/>
        </w:rPr>
        <w:t> </w:t>
      </w:r>
      <w:r>
        <w:rPr>
          <w:vertAlign w:val="baseline"/>
        </w:rPr>
        <w:t>diseases.</w:t>
      </w:r>
      <w:r>
        <w:rPr>
          <w:spacing w:val="-4"/>
          <w:vertAlign w:val="baseline"/>
        </w:rPr>
        <w:t> </w:t>
      </w:r>
      <w:r>
        <w:rPr>
          <w:vertAlign w:val="baseline"/>
        </w:rPr>
        <w:t>The second era, highlighted by CVD and cancer, is now beginning to fade into the third era, marked by problems of advancing </w:t>
      </w:r>
      <w:r>
        <w:rPr>
          <w:vertAlign w:val="baseline"/>
        </w:rPr>
        <w:t>age (fading eyesight and hearing, impaired memory and cognitive function, and decreased strength and reserve). Much of our medical approach is still</w:t>
      </w:r>
      <w:r>
        <w:rPr>
          <w:spacing w:val="40"/>
          <w:vertAlign w:val="baseline"/>
        </w:rPr>
        <w:t> </w:t>
      </w:r>
      <w:r>
        <w:rPr>
          <w:vertAlign w:val="baseline"/>
        </w:rPr>
        <w:t>based on the first era (find the disease and cure it), and we now have conditions that require a combination of medical, psychological, and social approaches. Our focus has been on age-dependent, fatal chronic diseases. The new challenge is with the nonfatal, age-dependent conditions, such as Alzheimer disease, osteoarthritis, osteoporosis, obesity, and incontinence. It can be argued that health programs in the future should be evaluated by their impact on years free of disability, rather than on mortality.</w:t>
      </w:r>
    </w:p>
    <w:p>
      <w:pPr>
        <w:pStyle w:val="BodyText"/>
        <w:spacing w:before="59"/>
        <w:ind w:left="0"/>
        <w:jc w:val="left"/>
      </w:pPr>
    </w:p>
    <w:p>
      <w:pPr>
        <w:spacing w:before="0"/>
        <w:ind w:left="99" w:right="0" w:firstLine="0"/>
        <w:jc w:val="both"/>
        <w:rPr>
          <w:rFonts w:ascii="Arial"/>
          <w:b/>
          <w:sz w:val="30"/>
        </w:rPr>
      </w:pPr>
      <w:r>
        <w:rPr>
          <w:rFonts w:ascii="Arial"/>
          <w:b/>
          <w:color w:val="2674AE"/>
          <w:sz w:val="30"/>
        </w:rPr>
        <w:t>The Concept of the Compression of </w:t>
      </w:r>
      <w:r>
        <w:rPr>
          <w:rFonts w:ascii="Arial"/>
          <w:b/>
          <w:color w:val="2674AE"/>
          <w:spacing w:val="-2"/>
          <w:sz w:val="30"/>
        </w:rPr>
        <w:t>Morbidity</w:t>
      </w:r>
    </w:p>
    <w:p>
      <w:pPr>
        <w:pStyle w:val="BodyText"/>
        <w:spacing w:line="249" w:lineRule="auto" w:before="167"/>
        <w:ind w:right="108"/>
      </w:pPr>
      <w:r>
        <w:rPr/>
        <w:t>Chronic illnesses are incremental in nature. The best health strategy is </w:t>
      </w:r>
      <w:r>
        <w:rPr/>
        <w:t>to change the slope, the rate at which illness develops, thus postponing the clinical</w:t>
      </w:r>
      <w:r>
        <w:rPr>
          <w:spacing w:val="7"/>
        </w:rPr>
        <w:t> </w:t>
      </w:r>
      <w:r>
        <w:rPr/>
        <w:t>illness</w:t>
      </w:r>
      <w:r>
        <w:rPr>
          <w:spacing w:val="7"/>
        </w:rPr>
        <w:t> </w:t>
      </w:r>
      <w:r>
        <w:rPr/>
        <w:t>and,</w:t>
      </w:r>
      <w:r>
        <w:rPr>
          <w:spacing w:val="8"/>
        </w:rPr>
        <w:t> </w:t>
      </w:r>
      <w:r>
        <w:rPr/>
        <w:t>if</w:t>
      </w:r>
      <w:r>
        <w:rPr>
          <w:spacing w:val="7"/>
        </w:rPr>
        <w:t> </w:t>
      </w:r>
      <w:r>
        <w:rPr/>
        <w:t>it</w:t>
      </w:r>
      <w:r>
        <w:rPr>
          <w:spacing w:val="8"/>
        </w:rPr>
        <w:t> </w:t>
      </w:r>
      <w:r>
        <w:rPr/>
        <w:t>is</w:t>
      </w:r>
      <w:r>
        <w:rPr>
          <w:spacing w:val="7"/>
        </w:rPr>
        <w:t> </w:t>
      </w:r>
      <w:r>
        <w:rPr/>
        <w:t>postponed</w:t>
      </w:r>
      <w:r>
        <w:rPr>
          <w:spacing w:val="8"/>
        </w:rPr>
        <w:t> </w:t>
      </w:r>
      <w:r>
        <w:rPr/>
        <w:t>long</w:t>
      </w:r>
      <w:r>
        <w:rPr>
          <w:spacing w:val="7"/>
        </w:rPr>
        <w:t> </w:t>
      </w:r>
      <w:r>
        <w:rPr/>
        <w:t>enough,</w:t>
      </w:r>
      <w:r>
        <w:rPr>
          <w:spacing w:val="8"/>
        </w:rPr>
        <w:t> </w:t>
      </w:r>
      <w:r>
        <w:rPr/>
        <w:t>effectively</w:t>
      </w:r>
      <w:r>
        <w:rPr>
          <w:spacing w:val="7"/>
        </w:rPr>
        <w:t> </w:t>
      </w:r>
      <w:r>
        <w:rPr/>
        <w:t>preventing</w:t>
      </w:r>
      <w:r>
        <w:rPr>
          <w:spacing w:val="8"/>
        </w:rPr>
        <w:t> </w:t>
      </w:r>
      <w:r>
        <w:rPr>
          <w:spacing w:val="-5"/>
        </w:rPr>
        <w:t>it.</w:t>
      </w:r>
    </w:p>
    <w:p>
      <w:pPr>
        <w:pStyle w:val="BodyText"/>
        <w:spacing w:after="0" w:line="249" w:lineRule="auto"/>
        <w:sectPr>
          <w:pgSz w:w="12240" w:h="15840"/>
          <w:pgMar w:top="1380" w:bottom="280" w:left="1440" w:right="1440"/>
        </w:sectPr>
      </w:pPr>
    </w:p>
    <w:p>
      <w:pPr>
        <w:pStyle w:val="BodyText"/>
        <w:spacing w:line="249" w:lineRule="auto"/>
        <w:ind w:right="107"/>
      </w:pPr>
      <w:r>
        <w:rPr/>
        <w:t>There has been a profound change in public consciousness toward </w:t>
      </w:r>
      <w:r>
        <w:rPr/>
        <w:t>disease. Disease is increasingly seen as something not necessarily best treated by medication or surgery but by prevention.</w:t>
      </w:r>
    </w:p>
    <w:p>
      <w:pPr>
        <w:pStyle w:val="BodyText"/>
        <w:spacing w:line="249" w:lineRule="auto" w:before="3"/>
        <w:ind w:right="98" w:firstLine="450"/>
      </w:pPr>
      <w:r>
        <w:rPr/>
        <w:t>Preventing illness was expressed by J.F. Fries as the </w:t>
      </w:r>
      <w:r>
        <w:rPr>
          <w:b/>
        </w:rPr>
        <w:t>compression of morbidity</w:t>
      </w:r>
      <w:r>
        <w:rPr/>
        <w:t>.</w:t>
      </w:r>
      <w:r>
        <w:rPr>
          <w:vertAlign w:val="superscript"/>
        </w:rPr>
        <w:t>29,32</w:t>
      </w:r>
      <w:r>
        <w:rPr>
          <w:vertAlign w:val="baseline"/>
        </w:rPr>
        <w:t> We would live relatively healthy lives and compress </w:t>
      </w:r>
      <w:r>
        <w:rPr>
          <w:vertAlign w:val="baseline"/>
        </w:rPr>
        <w:t>our illnesses into a short period of time just before death. Is this change really possible? A good affirmative example is the decrease in atherosclerosis in the United States. Reasons include changes in lifestyle (such as modifications in diet, minimizing the use of saturated fat, and increase in exercise), more effective detection and treatment of hypertension. Health benefits of smoking cessation represent another such example of successfully decreasing health burden through avoidance of toxic exposure </w:t>
      </w:r>
      <w:r>
        <w:rPr>
          <w:b/>
          <w:color w:val="256E60"/>
          <w:vertAlign w:val="baseline"/>
        </w:rPr>
        <w:t>(Figure 21.5)</w:t>
      </w:r>
      <w:r>
        <w:rPr>
          <w:vertAlign w:val="baseline"/>
        </w:rPr>
        <w:t>.</w:t>
      </w:r>
    </w:p>
    <w:p>
      <w:pPr>
        <w:pStyle w:val="BodyText"/>
        <w:spacing w:before="0"/>
        <w:ind w:left="0"/>
        <w:jc w:val="left"/>
        <w:rPr>
          <w:sz w:val="20"/>
        </w:rPr>
      </w:pPr>
    </w:p>
    <w:p>
      <w:pPr>
        <w:pStyle w:val="BodyText"/>
        <w:spacing w:before="124"/>
        <w:ind w:left="0"/>
        <w:jc w:val="left"/>
        <w:rPr>
          <w:sz w:val="20"/>
        </w:rPr>
      </w:pPr>
      <w:r>
        <w:rPr>
          <w:sz w:val="20"/>
        </w:rPr>
        <w:drawing>
          <wp:anchor distT="0" distB="0" distL="0" distR="0" allowOverlap="1" layoutInCell="1" locked="0" behindDoc="1" simplePos="0" relativeHeight="487595520">
            <wp:simplePos x="0" y="0"/>
            <wp:positionH relativeFrom="page">
              <wp:posOffset>981075</wp:posOffset>
            </wp:positionH>
            <wp:positionV relativeFrom="paragraph">
              <wp:posOffset>240045</wp:posOffset>
            </wp:positionV>
            <wp:extent cx="5553075" cy="331470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5553075" cy="3314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6032">
                <wp:simplePos x="0" y="0"/>
                <wp:positionH relativeFrom="page">
                  <wp:posOffset>981075</wp:posOffset>
                </wp:positionH>
                <wp:positionV relativeFrom="paragraph">
                  <wp:posOffset>3745245</wp:posOffset>
                </wp:positionV>
                <wp:extent cx="856615" cy="571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856615" cy="57150"/>
                        </a:xfrm>
                        <a:custGeom>
                          <a:avLst/>
                          <a:gdLst/>
                          <a:ahLst/>
                          <a:cxnLst/>
                          <a:rect l="l" t="t" r="r" b="b"/>
                          <a:pathLst>
                            <a:path w="856615" h="57150">
                              <a:moveTo>
                                <a:pt x="32364" y="57149"/>
                              </a:moveTo>
                              <a:lnTo>
                                <a:pt x="24785" y="57149"/>
                              </a:lnTo>
                              <a:lnTo>
                                <a:pt x="21140" y="56424"/>
                              </a:lnTo>
                              <a:lnTo>
                                <a:pt x="0" y="32361"/>
                              </a:lnTo>
                              <a:lnTo>
                                <a:pt x="0" y="24780"/>
                              </a:lnTo>
                              <a:lnTo>
                                <a:pt x="24785" y="0"/>
                              </a:lnTo>
                              <a:lnTo>
                                <a:pt x="32364" y="0"/>
                              </a:lnTo>
                              <a:lnTo>
                                <a:pt x="57149" y="24780"/>
                              </a:lnTo>
                              <a:lnTo>
                                <a:pt x="57149" y="32361"/>
                              </a:lnTo>
                              <a:lnTo>
                                <a:pt x="32364" y="57149"/>
                              </a:lnTo>
                              <a:close/>
                            </a:path>
                            <a:path w="856615" h="57150">
                              <a:moveTo>
                                <a:pt x="146569" y="57149"/>
                              </a:moveTo>
                              <a:lnTo>
                                <a:pt x="138990" y="57149"/>
                              </a:lnTo>
                              <a:lnTo>
                                <a:pt x="135345" y="56424"/>
                              </a:lnTo>
                              <a:lnTo>
                                <a:pt x="114204" y="32361"/>
                              </a:lnTo>
                              <a:lnTo>
                                <a:pt x="114204" y="24780"/>
                              </a:lnTo>
                              <a:lnTo>
                                <a:pt x="138990" y="0"/>
                              </a:lnTo>
                              <a:lnTo>
                                <a:pt x="146569" y="0"/>
                              </a:lnTo>
                              <a:lnTo>
                                <a:pt x="171354" y="24780"/>
                              </a:lnTo>
                              <a:lnTo>
                                <a:pt x="171354" y="32361"/>
                              </a:lnTo>
                              <a:lnTo>
                                <a:pt x="146569" y="57149"/>
                              </a:lnTo>
                              <a:close/>
                            </a:path>
                            <a:path w="856615" h="57150">
                              <a:moveTo>
                                <a:pt x="260773" y="57149"/>
                              </a:moveTo>
                              <a:lnTo>
                                <a:pt x="253195" y="57149"/>
                              </a:lnTo>
                              <a:lnTo>
                                <a:pt x="249550" y="56424"/>
                              </a:lnTo>
                              <a:lnTo>
                                <a:pt x="228409" y="32361"/>
                              </a:lnTo>
                              <a:lnTo>
                                <a:pt x="228409" y="24780"/>
                              </a:lnTo>
                              <a:lnTo>
                                <a:pt x="253195" y="0"/>
                              </a:lnTo>
                              <a:lnTo>
                                <a:pt x="260773" y="0"/>
                              </a:lnTo>
                              <a:lnTo>
                                <a:pt x="285559" y="24780"/>
                              </a:lnTo>
                              <a:lnTo>
                                <a:pt x="285559" y="32361"/>
                              </a:lnTo>
                              <a:lnTo>
                                <a:pt x="260773" y="57149"/>
                              </a:lnTo>
                              <a:close/>
                            </a:path>
                            <a:path w="856615" h="57150">
                              <a:moveTo>
                                <a:pt x="374978" y="57149"/>
                              </a:moveTo>
                              <a:lnTo>
                                <a:pt x="367399" y="57149"/>
                              </a:lnTo>
                              <a:lnTo>
                                <a:pt x="363754" y="56424"/>
                              </a:lnTo>
                              <a:lnTo>
                                <a:pt x="342614" y="32361"/>
                              </a:lnTo>
                              <a:lnTo>
                                <a:pt x="342614" y="24780"/>
                              </a:lnTo>
                              <a:lnTo>
                                <a:pt x="367399" y="0"/>
                              </a:lnTo>
                              <a:lnTo>
                                <a:pt x="374978" y="0"/>
                              </a:lnTo>
                              <a:lnTo>
                                <a:pt x="399764" y="24780"/>
                              </a:lnTo>
                              <a:lnTo>
                                <a:pt x="399764" y="32361"/>
                              </a:lnTo>
                              <a:lnTo>
                                <a:pt x="374978" y="57149"/>
                              </a:lnTo>
                              <a:close/>
                            </a:path>
                            <a:path w="856615" h="57150">
                              <a:moveTo>
                                <a:pt x="489183" y="57149"/>
                              </a:moveTo>
                              <a:lnTo>
                                <a:pt x="481604" y="57149"/>
                              </a:lnTo>
                              <a:lnTo>
                                <a:pt x="477959" y="56424"/>
                              </a:lnTo>
                              <a:lnTo>
                                <a:pt x="456818" y="32361"/>
                              </a:lnTo>
                              <a:lnTo>
                                <a:pt x="456818" y="24780"/>
                              </a:lnTo>
                              <a:lnTo>
                                <a:pt x="481604" y="0"/>
                              </a:lnTo>
                              <a:lnTo>
                                <a:pt x="489183" y="0"/>
                              </a:lnTo>
                              <a:lnTo>
                                <a:pt x="513968" y="24780"/>
                              </a:lnTo>
                              <a:lnTo>
                                <a:pt x="513968" y="32361"/>
                              </a:lnTo>
                              <a:lnTo>
                                <a:pt x="489183" y="57149"/>
                              </a:lnTo>
                              <a:close/>
                            </a:path>
                            <a:path w="856615" h="57150">
                              <a:moveTo>
                                <a:pt x="603387" y="57149"/>
                              </a:moveTo>
                              <a:lnTo>
                                <a:pt x="595809" y="57149"/>
                              </a:lnTo>
                              <a:lnTo>
                                <a:pt x="592164" y="56424"/>
                              </a:lnTo>
                              <a:lnTo>
                                <a:pt x="571023" y="32361"/>
                              </a:lnTo>
                              <a:lnTo>
                                <a:pt x="571023" y="24780"/>
                              </a:lnTo>
                              <a:lnTo>
                                <a:pt x="595809" y="0"/>
                              </a:lnTo>
                              <a:lnTo>
                                <a:pt x="603387" y="0"/>
                              </a:lnTo>
                              <a:lnTo>
                                <a:pt x="628173" y="24780"/>
                              </a:lnTo>
                              <a:lnTo>
                                <a:pt x="628173" y="32361"/>
                              </a:lnTo>
                              <a:lnTo>
                                <a:pt x="603387" y="57149"/>
                              </a:lnTo>
                              <a:close/>
                            </a:path>
                            <a:path w="856615" h="57150">
                              <a:moveTo>
                                <a:pt x="717592" y="57149"/>
                              </a:moveTo>
                              <a:lnTo>
                                <a:pt x="710014" y="57149"/>
                              </a:lnTo>
                              <a:lnTo>
                                <a:pt x="706369" y="56424"/>
                              </a:lnTo>
                              <a:lnTo>
                                <a:pt x="685228" y="32361"/>
                              </a:lnTo>
                              <a:lnTo>
                                <a:pt x="685228" y="24780"/>
                              </a:lnTo>
                              <a:lnTo>
                                <a:pt x="710014" y="0"/>
                              </a:lnTo>
                              <a:lnTo>
                                <a:pt x="717592" y="0"/>
                              </a:lnTo>
                              <a:lnTo>
                                <a:pt x="742378" y="24780"/>
                              </a:lnTo>
                              <a:lnTo>
                                <a:pt x="742378" y="32361"/>
                              </a:lnTo>
                              <a:lnTo>
                                <a:pt x="717592" y="57149"/>
                              </a:lnTo>
                              <a:close/>
                            </a:path>
                            <a:path w="856615" h="57150">
                              <a:moveTo>
                                <a:pt x="831797" y="57149"/>
                              </a:moveTo>
                              <a:lnTo>
                                <a:pt x="824218" y="57149"/>
                              </a:lnTo>
                              <a:lnTo>
                                <a:pt x="820573" y="56424"/>
                              </a:lnTo>
                              <a:lnTo>
                                <a:pt x="799433" y="32361"/>
                              </a:lnTo>
                              <a:lnTo>
                                <a:pt x="799433" y="24780"/>
                              </a:lnTo>
                              <a:lnTo>
                                <a:pt x="824218" y="0"/>
                              </a:lnTo>
                              <a:lnTo>
                                <a:pt x="831797" y="0"/>
                              </a:lnTo>
                              <a:lnTo>
                                <a:pt x="856583" y="24780"/>
                              </a:lnTo>
                              <a:lnTo>
                                <a:pt x="856583" y="32361"/>
                              </a:lnTo>
                              <a:lnTo>
                                <a:pt x="831797" y="57149"/>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94.901245pt;width:67.45pt;height:4.5pt;mso-position-horizontal-relative:page;mso-position-vertical-relative:paragraph;z-index:-15720448;mso-wrap-distance-left:0;mso-wrap-distance-right:0" id="docshape13" coordorigin="1545,5898" coordsize="1349,90" path="m1596,5988l1584,5988,1578,5987,1567,5982,1562,5979,1554,5971,1551,5966,1546,5955,1545,5949,1545,5937,1546,5931,1551,5920,1554,5915,1562,5907,1567,5904,1578,5899,1584,5898,1596,5898,1602,5899,1613,5904,1618,5907,1626,5915,1629,5920,1634,5931,1635,5937,1635,5949,1634,5955,1629,5966,1626,5971,1618,5979,1613,5982,1602,5987,1596,5988xm1776,5988l1764,5988,1758,5987,1747,5982,1742,5979,1734,5971,1731,5966,1726,5955,1725,5949,1725,5937,1726,5931,1731,5920,1734,5915,1742,5907,1747,5904,1758,5899,1764,5898,1776,5898,1782,5899,1793,5904,1797,5907,1806,5915,1809,5920,1814,5931,1815,5937,1815,5949,1814,5955,1809,5966,1806,5971,1797,5979,1793,5982,1782,5987,1776,5988xm1956,5988l1944,5988,1938,5987,1927,5982,1922,5979,1914,5971,1910,5966,1906,5955,1905,5949,1905,5937,1906,5931,1910,5920,1914,5915,1922,5907,1927,5904,1938,5899,1944,5898,1956,5898,1961,5899,1972,5904,1977,5907,1986,5915,1989,5920,1994,5931,1995,5937,1995,5949,1994,5955,1989,5966,1986,5971,1977,5979,1972,5982,1961,5987,1956,5988xm2136,5988l2124,5988,2118,5987,2107,5982,2102,5979,2094,5971,2090,5966,2086,5955,2085,5949,2085,5937,2086,5931,2090,5920,2094,5915,2102,5907,2107,5904,2118,5899,2124,5898,2136,5898,2141,5899,2152,5904,2157,5907,2166,5915,2169,5920,2173,5931,2175,5937,2175,5949,2173,5955,2169,5966,2166,5971,2157,5979,2152,5982,2141,5987,2136,5988xm2315,5988l2303,5988,2298,5987,2287,5982,2282,5979,2273,5971,2270,5966,2266,5955,2264,5949,2264,5937,2266,5931,2270,5920,2273,5915,2282,5907,2287,5904,2298,5899,2303,5898,2315,5898,2321,5899,2332,5904,2337,5907,2345,5915,2349,5920,2353,5931,2354,5937,2354,5949,2353,5955,2349,5966,2345,5971,2337,5979,2332,5982,2321,5987,2315,5988xm2495,5988l2483,5988,2478,5987,2467,5982,2462,5979,2453,5971,2450,5966,2445,5955,2444,5949,2444,5937,2445,5931,2450,5920,2453,5915,2462,5907,2467,5904,2478,5899,2483,5898,2495,5898,2501,5899,2512,5904,2517,5907,2525,5915,2529,5920,2533,5931,2534,5937,2534,5949,2533,5955,2529,5966,2525,5971,2517,5979,2512,5982,2501,5987,2495,5988xm2675,5988l2663,5988,2657,5987,2646,5982,2641,5979,2633,5971,2630,5966,2625,5955,2624,5949,2624,5937,2625,5931,2630,5920,2633,5915,2641,5907,2646,5904,2657,5899,2663,5898,2675,5898,2681,5899,2692,5904,2697,5907,2705,5915,2708,5920,2713,5931,2714,5937,2714,5949,2713,5955,2708,5966,2705,5971,2697,5979,2692,5982,2681,5987,2675,5988xm2855,5988l2843,5988,2837,5987,2826,5982,2821,5979,2813,5971,2810,5966,2805,5955,2804,5949,2804,5937,2805,5931,2810,5920,2813,5915,2821,5907,2826,5904,2837,5899,2843,5898,2855,5898,2861,5899,2872,5904,2877,5907,2885,5915,2888,5920,2893,5931,2894,5937,2894,5949,2893,5955,2888,5966,2885,5971,2877,5979,2872,5982,2861,5987,2855,5988xe" filled="true" fillcolor="#2b816f" stroked="false">
                <v:path arrowok="t"/>
                <v:fill type="solid"/>
                <w10:wrap type="topAndBottom"/>
              </v:shape>
            </w:pict>
          </mc:Fallback>
        </mc:AlternateContent>
      </w:r>
    </w:p>
    <w:p>
      <w:pPr>
        <w:pStyle w:val="BodyText"/>
        <w:spacing w:before="46"/>
        <w:ind w:left="0"/>
        <w:jc w:val="left"/>
        <w:rPr>
          <w:sz w:val="20"/>
        </w:rPr>
      </w:pPr>
    </w:p>
    <w:p>
      <w:pPr>
        <w:spacing w:before="78"/>
        <w:ind w:left="99" w:right="0" w:firstLine="0"/>
        <w:jc w:val="left"/>
        <w:rPr>
          <w:sz w:val="22"/>
        </w:rPr>
      </w:pPr>
      <w:r>
        <w:rPr>
          <w:rFonts w:ascii="Arial"/>
          <w:b/>
          <w:color w:val="2B816F"/>
          <w:sz w:val="22"/>
        </w:rPr>
        <w:t>FIGURE</w:t>
      </w:r>
      <w:r>
        <w:rPr>
          <w:rFonts w:ascii="Arial"/>
          <w:b/>
          <w:color w:val="2B816F"/>
          <w:spacing w:val="7"/>
          <w:sz w:val="22"/>
        </w:rPr>
        <w:t> </w:t>
      </w:r>
      <w:r>
        <w:rPr>
          <w:rFonts w:ascii="Arial"/>
          <w:b/>
          <w:color w:val="2B816F"/>
          <w:sz w:val="22"/>
        </w:rPr>
        <w:t>21.5</w:t>
      </w:r>
      <w:r>
        <w:rPr>
          <w:rFonts w:ascii="Arial"/>
          <w:b/>
          <w:color w:val="2B816F"/>
          <w:spacing w:val="7"/>
          <w:sz w:val="22"/>
        </w:rPr>
        <w:t> </w:t>
      </w:r>
      <w:r>
        <w:rPr>
          <w:sz w:val="22"/>
        </w:rPr>
        <w:t>After</w:t>
      </w:r>
      <w:r>
        <w:rPr>
          <w:spacing w:val="6"/>
          <w:sz w:val="22"/>
        </w:rPr>
        <w:t> </w:t>
      </w:r>
      <w:r>
        <w:rPr>
          <w:sz w:val="22"/>
        </w:rPr>
        <w:t>Fries</w:t>
      </w:r>
      <w:r>
        <w:rPr>
          <w:spacing w:val="6"/>
          <w:sz w:val="22"/>
        </w:rPr>
        <w:t> </w:t>
      </w:r>
      <w:r>
        <w:rPr>
          <w:sz w:val="22"/>
        </w:rPr>
        <w:t>JF,</w:t>
      </w:r>
      <w:r>
        <w:rPr>
          <w:spacing w:val="7"/>
          <w:sz w:val="22"/>
        </w:rPr>
        <w:t> </w:t>
      </w:r>
      <w:r>
        <w:rPr>
          <w:sz w:val="22"/>
        </w:rPr>
        <w:t>Crapo</w:t>
      </w:r>
      <w:r>
        <w:rPr>
          <w:spacing w:val="6"/>
          <w:sz w:val="22"/>
        </w:rPr>
        <w:t> </w:t>
      </w:r>
      <w:r>
        <w:rPr>
          <w:sz w:val="22"/>
        </w:rPr>
        <w:t>LM.</w:t>
      </w:r>
      <w:r>
        <w:rPr>
          <w:spacing w:val="7"/>
          <w:sz w:val="22"/>
        </w:rPr>
        <w:t> </w:t>
      </w:r>
      <w:r>
        <w:rPr>
          <w:i/>
          <w:sz w:val="22"/>
        </w:rPr>
        <w:t>Vitality</w:t>
      </w:r>
      <w:r>
        <w:rPr>
          <w:i/>
          <w:spacing w:val="6"/>
          <w:sz w:val="22"/>
        </w:rPr>
        <w:t> </w:t>
      </w:r>
      <w:r>
        <w:rPr>
          <w:i/>
          <w:sz w:val="22"/>
        </w:rPr>
        <w:t>and</w:t>
      </w:r>
      <w:r>
        <w:rPr>
          <w:i/>
          <w:spacing w:val="7"/>
          <w:sz w:val="22"/>
        </w:rPr>
        <w:t> </w:t>
      </w:r>
      <w:r>
        <w:rPr>
          <w:i/>
          <w:sz w:val="22"/>
        </w:rPr>
        <w:t>Aging</w:t>
      </w:r>
      <w:r>
        <w:rPr>
          <w:sz w:val="22"/>
        </w:rPr>
        <w:t>.</w:t>
      </w:r>
      <w:r>
        <w:rPr>
          <w:spacing w:val="6"/>
          <w:sz w:val="22"/>
        </w:rPr>
        <w:t> </w:t>
      </w:r>
      <w:r>
        <w:rPr>
          <w:sz w:val="22"/>
        </w:rPr>
        <w:t>W.H.</w:t>
      </w:r>
      <w:r>
        <w:rPr>
          <w:spacing w:val="6"/>
          <w:sz w:val="22"/>
        </w:rPr>
        <w:t> </w:t>
      </w:r>
      <w:r>
        <w:rPr>
          <w:sz w:val="22"/>
        </w:rPr>
        <w:t>Freeman;</w:t>
      </w:r>
      <w:r>
        <w:rPr>
          <w:spacing w:val="7"/>
          <w:sz w:val="22"/>
        </w:rPr>
        <w:t> </w:t>
      </w:r>
      <w:r>
        <w:rPr>
          <w:spacing w:val="-2"/>
          <w:sz w:val="22"/>
        </w:rPr>
        <w:t>1981.</w:t>
      </w:r>
    </w:p>
    <w:p>
      <w:pPr>
        <w:pStyle w:val="BodyText"/>
        <w:spacing w:before="215"/>
        <w:ind w:left="0"/>
        <w:jc w:val="left"/>
        <w:rPr>
          <w:sz w:val="22"/>
        </w:rPr>
      </w:pPr>
    </w:p>
    <w:p>
      <w:pPr>
        <w:spacing w:line="249" w:lineRule="auto" w:before="0"/>
        <w:ind w:left="99" w:right="107" w:firstLine="450"/>
        <w:jc w:val="both"/>
        <w:rPr>
          <w:sz w:val="30"/>
        </w:rPr>
      </w:pPr>
      <w:r>
        <w:rPr>
          <w:b/>
          <w:sz w:val="30"/>
        </w:rPr>
        <w:t>Tobacco continues to be the single most preventable cause </w:t>
      </w:r>
      <w:r>
        <w:rPr>
          <w:b/>
          <w:sz w:val="30"/>
        </w:rPr>
        <w:t>of premature illness and death in the United States. </w:t>
      </w:r>
      <w:r>
        <w:rPr>
          <w:sz w:val="30"/>
        </w:rPr>
        <w:t>The use of chewing tobacco,</w:t>
      </w:r>
      <w:r>
        <w:rPr>
          <w:spacing w:val="53"/>
          <w:sz w:val="30"/>
        </w:rPr>
        <w:t> </w:t>
      </w:r>
      <w:r>
        <w:rPr>
          <w:sz w:val="30"/>
        </w:rPr>
        <w:t>pipe</w:t>
      </w:r>
      <w:r>
        <w:rPr>
          <w:spacing w:val="53"/>
          <w:sz w:val="30"/>
        </w:rPr>
        <w:t> </w:t>
      </w:r>
      <w:r>
        <w:rPr>
          <w:sz w:val="30"/>
        </w:rPr>
        <w:t>smoking,</w:t>
      </w:r>
      <w:r>
        <w:rPr>
          <w:spacing w:val="53"/>
          <w:sz w:val="30"/>
        </w:rPr>
        <w:t> </w:t>
      </w:r>
      <w:r>
        <w:rPr>
          <w:sz w:val="30"/>
        </w:rPr>
        <w:t>and</w:t>
      </w:r>
      <w:r>
        <w:rPr>
          <w:spacing w:val="53"/>
          <w:sz w:val="30"/>
        </w:rPr>
        <w:t> </w:t>
      </w:r>
      <w:r>
        <w:rPr>
          <w:sz w:val="30"/>
        </w:rPr>
        <w:t>cigars,</w:t>
      </w:r>
      <w:r>
        <w:rPr>
          <w:spacing w:val="53"/>
          <w:sz w:val="30"/>
        </w:rPr>
        <w:t> </w:t>
      </w:r>
      <w:r>
        <w:rPr>
          <w:sz w:val="30"/>
        </w:rPr>
        <w:t>and</w:t>
      </w:r>
      <w:r>
        <w:rPr>
          <w:spacing w:val="53"/>
          <w:sz w:val="30"/>
        </w:rPr>
        <w:t> </w:t>
      </w:r>
      <w:r>
        <w:rPr>
          <w:sz w:val="30"/>
        </w:rPr>
        <w:t>more</w:t>
      </w:r>
      <w:r>
        <w:rPr>
          <w:spacing w:val="53"/>
          <w:sz w:val="30"/>
        </w:rPr>
        <w:t> </w:t>
      </w:r>
      <w:r>
        <w:rPr>
          <w:sz w:val="30"/>
        </w:rPr>
        <w:t>recent</w:t>
      </w:r>
      <w:r>
        <w:rPr>
          <w:spacing w:val="53"/>
          <w:sz w:val="30"/>
        </w:rPr>
        <w:t> </w:t>
      </w:r>
      <w:r>
        <w:rPr>
          <w:sz w:val="30"/>
        </w:rPr>
        <w:t>trends</w:t>
      </w:r>
      <w:r>
        <w:rPr>
          <w:spacing w:val="53"/>
          <w:sz w:val="30"/>
        </w:rPr>
        <w:t> </w:t>
      </w:r>
      <w:r>
        <w:rPr>
          <w:sz w:val="30"/>
        </w:rPr>
        <w:t>of</w:t>
      </w:r>
      <w:r>
        <w:rPr>
          <w:spacing w:val="53"/>
          <w:sz w:val="30"/>
        </w:rPr>
        <w:t> </w:t>
      </w:r>
      <w:r>
        <w:rPr>
          <w:sz w:val="30"/>
        </w:rPr>
        <w:t>vaping</w:t>
      </w:r>
      <w:r>
        <w:rPr>
          <w:spacing w:val="53"/>
          <w:sz w:val="30"/>
        </w:rPr>
        <w:t> </w:t>
      </w:r>
      <w:r>
        <w:rPr>
          <w:spacing w:val="-5"/>
          <w:sz w:val="30"/>
        </w:rPr>
        <w:t>all</w:t>
      </w:r>
    </w:p>
    <w:p>
      <w:pPr>
        <w:spacing w:after="0" w:line="249" w:lineRule="auto"/>
        <w:jc w:val="both"/>
        <w:rPr>
          <w:sz w:val="30"/>
        </w:rPr>
        <w:sectPr>
          <w:pgSz w:w="12240" w:h="15840"/>
          <w:pgMar w:top="1380" w:bottom="280" w:left="1440" w:right="1440"/>
        </w:sectPr>
      </w:pPr>
    </w:p>
    <w:p>
      <w:pPr>
        <w:pStyle w:val="BodyText"/>
        <w:spacing w:line="249" w:lineRule="auto"/>
        <w:ind w:right="100"/>
      </w:pPr>
      <w:r>
        <w:rPr/>
        <w:t>contribute significantly to morbidity and mortality. Approximately 35% of people in the United States who have not obtained a high school diploma are smokers, but only 12% of those with higher education are smoking and only 5.7% of those with graduate degrees. Currently, approximately 17.5% of men and 13.5% of women are smokers.</w:t>
      </w:r>
      <w:r>
        <w:rPr>
          <w:vertAlign w:val="superscript"/>
        </w:rPr>
        <w:t>16</w:t>
      </w:r>
      <w:r>
        <w:rPr>
          <w:vertAlign w:val="baseline"/>
        </w:rPr>
        <w:t> It is important to note </w:t>
      </w:r>
      <w:r>
        <w:rPr>
          <w:vertAlign w:val="baseline"/>
        </w:rPr>
        <w:t>that smoking has a greater adverse effect on women compared with men.</w:t>
      </w:r>
      <w:r>
        <w:rPr>
          <w:vertAlign w:val="superscript"/>
        </w:rPr>
        <w:t>33</w:t>
      </w:r>
      <w:r>
        <w:rPr>
          <w:vertAlign w:val="baseline"/>
        </w:rPr>
        <w:t> Women who smoke only one to four cigarettes per day have a 2.5-fold increased risk of fatal CHD.</w:t>
      </w:r>
      <w:r>
        <w:rPr>
          <w:vertAlign w:val="superscript"/>
        </w:rPr>
        <w:t>34</w:t>
      </w:r>
    </w:p>
    <w:p>
      <w:pPr>
        <w:pStyle w:val="BodyText"/>
        <w:spacing w:line="249" w:lineRule="auto" w:before="9"/>
        <w:ind w:right="98" w:firstLine="450"/>
      </w:pPr>
      <w:r>
        <w:rPr/>
        <w:t>Quitting smoking even after decades of smoking is still beneficial, and these effects can be apparent as early as 1 month after quitting.</w:t>
      </w:r>
      <w:r>
        <w:rPr>
          <w:vertAlign w:val="superscript"/>
        </w:rPr>
        <w:t>35</w:t>
      </w:r>
      <w:r>
        <w:rPr>
          <w:vertAlign w:val="baseline"/>
        </w:rPr>
        <w:t> In the Nurses’ Health Study, 61% of the excess risk of CHD mortality and 42% of stroke mortality were eliminated within 5 years after quitting smoking.</w:t>
      </w:r>
      <w:r>
        <w:rPr>
          <w:vertAlign w:val="superscript"/>
        </w:rPr>
        <w:t>36</w:t>
      </w:r>
      <w:r>
        <w:rPr>
          <w:vertAlign w:val="baseline"/>
        </w:rPr>
        <w:t> The improvement in respiratory disease mortality is slower, and a small increased risk of lung cancer mortality persists even after 30 years. However, by 20 years after cessation, all the excess risk of vascular mortality and death due to respiratory diseases other than lung cancer reached the level of a never smoker. Even older patients who already </w:t>
      </w:r>
      <w:r>
        <w:rPr>
          <w:vertAlign w:val="baseline"/>
        </w:rPr>
        <w:t>have coronary artery disease have improved survival if they quit smoking.</w:t>
      </w:r>
      <w:r>
        <w:rPr>
          <w:vertAlign w:val="superscript"/>
        </w:rPr>
        <w:t>37</w:t>
      </w:r>
      <w:r>
        <w:rPr>
          <w:vertAlign w:val="baseline"/>
        </w:rPr>
        <w:t> No matter how old you are, if you continue to smoke, you have an increased relative risk of death. However, no matter how old you are, if you quit smoking, your risk of death decreases. Nevertheless, the risk of lung cancer remains elevated even in long-term ex-smokers.</w:t>
      </w:r>
      <w:r>
        <w:rPr>
          <w:vertAlign w:val="superscript"/>
        </w:rPr>
        <w:t>38</w:t>
      </w:r>
    </w:p>
    <w:p>
      <w:pPr>
        <w:pStyle w:val="BodyText"/>
        <w:spacing w:line="249" w:lineRule="auto" w:before="18"/>
        <w:ind w:right="98" w:firstLine="450"/>
      </w:pPr>
      <w:r>
        <w:rPr/>
        <w:t>Since 1970, the death rate from CHD has declined approximately 50% in the United States. Between 1973 and 1987, in the United States, cardiovascular mortality declined in nearly every age group. In the combined age groups up to 54 years, cardiovascular mortality decreased to 42%</w:t>
      </w:r>
      <w:r>
        <w:rPr>
          <w:spacing w:val="-2"/>
        </w:rPr>
        <w:t> </w:t>
      </w:r>
      <w:r>
        <w:rPr/>
        <w:t>and</w:t>
      </w:r>
      <w:r>
        <w:rPr>
          <w:spacing w:val="-2"/>
        </w:rPr>
        <w:t> </w:t>
      </w:r>
      <w:r>
        <w:rPr/>
        <w:t>in</w:t>
      </w:r>
      <w:r>
        <w:rPr>
          <w:spacing w:val="-2"/>
        </w:rPr>
        <w:t> </w:t>
      </w:r>
      <w:r>
        <w:rPr/>
        <w:t>people</w:t>
      </w:r>
      <w:r>
        <w:rPr>
          <w:spacing w:val="-2"/>
        </w:rPr>
        <w:t> </w:t>
      </w:r>
      <w:r>
        <w:rPr/>
        <w:t>55</w:t>
      </w:r>
      <w:r>
        <w:rPr>
          <w:spacing w:val="-2"/>
        </w:rPr>
        <w:t> </w:t>
      </w:r>
      <w:r>
        <w:rPr/>
        <w:t>to</w:t>
      </w:r>
      <w:r>
        <w:rPr>
          <w:spacing w:val="-2"/>
        </w:rPr>
        <w:t> </w:t>
      </w:r>
      <w:r>
        <w:rPr/>
        <w:t>84</w:t>
      </w:r>
      <w:r>
        <w:rPr>
          <w:spacing w:val="-2"/>
        </w:rPr>
        <w:t> </w:t>
      </w:r>
      <w:r>
        <w:rPr/>
        <w:t>years</w:t>
      </w:r>
      <w:r>
        <w:rPr>
          <w:spacing w:val="-2"/>
        </w:rPr>
        <w:t> </w:t>
      </w:r>
      <w:r>
        <w:rPr/>
        <w:t>old,</w:t>
      </w:r>
      <w:r>
        <w:rPr>
          <w:spacing w:val="-2"/>
        </w:rPr>
        <w:t> </w:t>
      </w:r>
      <w:r>
        <w:rPr/>
        <w:t>33%.</w:t>
      </w:r>
      <w:r>
        <w:rPr>
          <w:vertAlign w:val="superscript"/>
        </w:rPr>
        <w:t>33</w:t>
      </w:r>
      <w:r>
        <w:rPr>
          <w:spacing w:val="-4"/>
          <w:vertAlign w:val="baseline"/>
        </w:rPr>
        <w:t> </w:t>
      </w:r>
      <w:r>
        <w:rPr>
          <w:vertAlign w:val="baseline"/>
        </w:rPr>
        <w:t>Despite</w:t>
      </w:r>
      <w:r>
        <w:rPr>
          <w:spacing w:val="-3"/>
          <w:vertAlign w:val="baseline"/>
        </w:rPr>
        <w:t> </w:t>
      </w:r>
      <w:r>
        <w:rPr>
          <w:vertAlign w:val="baseline"/>
        </w:rPr>
        <w:t>our</w:t>
      </w:r>
      <w:r>
        <w:rPr>
          <w:spacing w:val="-3"/>
          <w:vertAlign w:val="baseline"/>
        </w:rPr>
        <w:t> </w:t>
      </w:r>
      <w:r>
        <w:rPr>
          <w:vertAlign w:val="baseline"/>
        </w:rPr>
        <w:t>progress,</w:t>
      </w:r>
      <w:r>
        <w:rPr>
          <w:spacing w:val="-3"/>
          <w:vertAlign w:val="baseline"/>
        </w:rPr>
        <w:t> </w:t>
      </w:r>
      <w:r>
        <w:rPr>
          <w:vertAlign w:val="baseline"/>
        </w:rPr>
        <w:t>we</w:t>
      </w:r>
      <w:r>
        <w:rPr>
          <w:spacing w:val="-3"/>
          <w:vertAlign w:val="baseline"/>
        </w:rPr>
        <w:t> </w:t>
      </w:r>
      <w:r>
        <w:rPr>
          <w:vertAlign w:val="baseline"/>
        </w:rPr>
        <w:t>must continue</w:t>
      </w:r>
      <w:r>
        <w:rPr>
          <w:spacing w:val="-3"/>
          <w:vertAlign w:val="baseline"/>
        </w:rPr>
        <w:t> </w:t>
      </w:r>
      <w:r>
        <w:rPr>
          <w:vertAlign w:val="baseline"/>
        </w:rPr>
        <w:t>to</w:t>
      </w:r>
      <w:r>
        <w:rPr>
          <w:spacing w:val="-3"/>
          <w:vertAlign w:val="baseline"/>
        </w:rPr>
        <w:t> </w:t>
      </w:r>
      <w:r>
        <w:rPr>
          <w:vertAlign w:val="baseline"/>
        </w:rPr>
        <w:t>exert</w:t>
      </w:r>
      <w:r>
        <w:rPr>
          <w:spacing w:val="-3"/>
          <w:vertAlign w:val="baseline"/>
        </w:rPr>
        <w:t> </w:t>
      </w:r>
      <w:r>
        <w:rPr>
          <w:vertAlign w:val="baseline"/>
        </w:rPr>
        <w:t>preventive</w:t>
      </w:r>
      <w:r>
        <w:rPr>
          <w:spacing w:val="-3"/>
          <w:vertAlign w:val="baseline"/>
        </w:rPr>
        <w:t> </w:t>
      </w:r>
      <w:r>
        <w:rPr>
          <w:vertAlign w:val="baseline"/>
        </w:rPr>
        <w:t>efforts</w:t>
      </w:r>
      <w:r>
        <w:rPr>
          <w:spacing w:val="-3"/>
          <w:vertAlign w:val="baseline"/>
        </w:rPr>
        <w:t> </w:t>
      </w:r>
      <w:r>
        <w:rPr>
          <w:vertAlign w:val="baseline"/>
        </w:rPr>
        <w:t>on</w:t>
      </w:r>
      <w:r>
        <w:rPr>
          <w:spacing w:val="-3"/>
          <w:vertAlign w:val="baseline"/>
        </w:rPr>
        <w:t> </w:t>
      </w:r>
      <w:r>
        <w:rPr>
          <w:vertAlign w:val="baseline"/>
        </w:rPr>
        <w:t>the</w:t>
      </w:r>
      <w:r>
        <w:rPr>
          <w:spacing w:val="-3"/>
          <w:vertAlign w:val="baseline"/>
        </w:rPr>
        <w:t> </w:t>
      </w:r>
      <w:r>
        <w:rPr>
          <w:vertAlign w:val="baseline"/>
        </w:rPr>
        <w:t>risk</w:t>
      </w:r>
      <w:r>
        <w:rPr>
          <w:spacing w:val="-3"/>
          <w:vertAlign w:val="baseline"/>
        </w:rPr>
        <w:t> </w:t>
      </w:r>
      <w:r>
        <w:rPr>
          <w:vertAlign w:val="baseline"/>
        </w:rPr>
        <w:t>factors</w:t>
      </w:r>
      <w:r>
        <w:rPr>
          <w:spacing w:val="-3"/>
          <w:vertAlign w:val="baseline"/>
        </w:rPr>
        <w:t> </w:t>
      </w:r>
      <w:r>
        <w:rPr>
          <w:vertAlign w:val="baseline"/>
        </w:rPr>
        <w:t>associated</w:t>
      </w:r>
      <w:r>
        <w:rPr>
          <w:spacing w:val="-3"/>
          <w:vertAlign w:val="baseline"/>
        </w:rPr>
        <w:t> </w:t>
      </w:r>
      <w:r>
        <w:rPr>
          <w:vertAlign w:val="baseline"/>
        </w:rPr>
        <w:t>with</w:t>
      </w:r>
      <w:r>
        <w:rPr>
          <w:spacing w:val="-3"/>
          <w:vertAlign w:val="baseline"/>
        </w:rPr>
        <w:t> </w:t>
      </w:r>
      <w:r>
        <w:rPr>
          <w:vertAlign w:val="baseline"/>
        </w:rPr>
        <w:t>CVD, especially obesity, hypertension, and lack of physical activity. The effort </w:t>
      </w:r>
      <w:r>
        <w:rPr>
          <w:vertAlign w:val="baseline"/>
        </w:rPr>
        <w:t>to improve</w:t>
      </w:r>
      <w:r>
        <w:rPr>
          <w:spacing w:val="-3"/>
          <w:vertAlign w:val="baseline"/>
        </w:rPr>
        <w:t> </w:t>
      </w:r>
      <w:r>
        <w:rPr>
          <w:vertAlign w:val="baseline"/>
        </w:rPr>
        <w:t>the</w:t>
      </w:r>
      <w:r>
        <w:rPr>
          <w:spacing w:val="-3"/>
          <w:vertAlign w:val="baseline"/>
        </w:rPr>
        <w:t> </w:t>
      </w:r>
      <w:r>
        <w:rPr>
          <w:vertAlign w:val="baseline"/>
        </w:rPr>
        <w:t>quality</w:t>
      </w:r>
      <w:r>
        <w:rPr>
          <w:spacing w:val="-3"/>
          <w:vertAlign w:val="baseline"/>
        </w:rPr>
        <w:t> </w:t>
      </w:r>
      <w:r>
        <w:rPr>
          <w:vertAlign w:val="baseline"/>
        </w:rPr>
        <w:t>of</w:t>
      </w:r>
      <w:r>
        <w:rPr>
          <w:spacing w:val="-3"/>
          <w:vertAlign w:val="baseline"/>
        </w:rPr>
        <w:t> </w:t>
      </w:r>
      <w:r>
        <w:rPr>
          <w:vertAlign w:val="baseline"/>
        </w:rPr>
        <w:t>life</w:t>
      </w:r>
      <w:r>
        <w:rPr>
          <w:spacing w:val="-3"/>
          <w:vertAlign w:val="baseline"/>
        </w:rPr>
        <w:t> </w:t>
      </w:r>
      <w:r>
        <w:rPr>
          <w:vertAlign w:val="baseline"/>
        </w:rPr>
        <w:t>has</w:t>
      </w:r>
      <w:r>
        <w:rPr>
          <w:spacing w:val="-3"/>
          <w:vertAlign w:val="baseline"/>
        </w:rPr>
        <w:t> </w:t>
      </w:r>
      <w:r>
        <w:rPr>
          <w:vertAlign w:val="baseline"/>
        </w:rPr>
        <w:t>an</w:t>
      </w:r>
      <w:r>
        <w:rPr>
          <w:spacing w:val="-3"/>
          <w:vertAlign w:val="baseline"/>
        </w:rPr>
        <w:t> </w:t>
      </w:r>
      <w:r>
        <w:rPr>
          <w:vertAlign w:val="baseline"/>
        </w:rPr>
        <w:t>important</w:t>
      </w:r>
      <w:r>
        <w:rPr>
          <w:spacing w:val="-3"/>
          <w:vertAlign w:val="baseline"/>
        </w:rPr>
        <w:t> </w:t>
      </w:r>
      <w:r>
        <w:rPr>
          <w:vertAlign w:val="baseline"/>
        </w:rPr>
        <w:t>value</w:t>
      </w:r>
      <w:r>
        <w:rPr>
          <w:spacing w:val="-3"/>
          <w:vertAlign w:val="baseline"/>
        </w:rPr>
        <w:t> </w:t>
      </w:r>
      <w:r>
        <w:rPr>
          <w:vertAlign w:val="baseline"/>
        </w:rPr>
        <w:t>to</w:t>
      </w:r>
      <w:r>
        <w:rPr>
          <w:spacing w:val="-3"/>
          <w:vertAlign w:val="baseline"/>
        </w:rPr>
        <w:t> </w:t>
      </w:r>
      <w:r>
        <w:rPr>
          <w:vertAlign w:val="baseline"/>
        </w:rPr>
        <w:t>society;</w:t>
      </w:r>
      <w:r>
        <w:rPr>
          <w:spacing w:val="-3"/>
          <w:vertAlign w:val="baseline"/>
        </w:rPr>
        <w:t> </w:t>
      </w:r>
      <w:r>
        <w:rPr>
          <w:vertAlign w:val="baseline"/>
        </w:rPr>
        <w:t>it</w:t>
      </w:r>
      <w:r>
        <w:rPr>
          <w:spacing w:val="-3"/>
          <w:vertAlign w:val="baseline"/>
        </w:rPr>
        <w:t> </w:t>
      </w:r>
      <w:r>
        <w:rPr>
          <w:vertAlign w:val="baseline"/>
        </w:rPr>
        <w:t>will</w:t>
      </w:r>
      <w:r>
        <w:rPr>
          <w:spacing w:val="-3"/>
          <w:vertAlign w:val="baseline"/>
        </w:rPr>
        <w:t> </w:t>
      </w:r>
      <w:r>
        <w:rPr>
          <w:vertAlign w:val="baseline"/>
        </w:rPr>
        <w:t>decrease the average number of years that people are disabled, which is a major health and social problem of society. Most significantly, this is a major financial challenge for health care systems and social programs. With evolution toward a rectangular society, the ratio of beneficiaries to taxpayers</w:t>
      </w:r>
      <w:r>
        <w:rPr>
          <w:spacing w:val="37"/>
          <w:vertAlign w:val="baseline"/>
        </w:rPr>
        <w:t> </w:t>
      </w:r>
      <w:r>
        <w:rPr>
          <w:vertAlign w:val="baseline"/>
        </w:rPr>
        <w:t>grows</w:t>
      </w:r>
      <w:r>
        <w:rPr>
          <w:spacing w:val="38"/>
          <w:vertAlign w:val="baseline"/>
        </w:rPr>
        <w:t> </w:t>
      </w:r>
      <w:r>
        <w:rPr>
          <w:vertAlign w:val="baseline"/>
        </w:rPr>
        <w:t>rapidly,</w:t>
      </w:r>
      <w:r>
        <w:rPr>
          <w:spacing w:val="38"/>
          <w:vertAlign w:val="baseline"/>
        </w:rPr>
        <w:t> </w:t>
      </w:r>
      <w:r>
        <w:rPr>
          <w:vertAlign w:val="baseline"/>
        </w:rPr>
        <w:t>jeopardizing</w:t>
      </w:r>
      <w:r>
        <w:rPr>
          <w:spacing w:val="38"/>
          <w:vertAlign w:val="baseline"/>
        </w:rPr>
        <w:t> </w:t>
      </w:r>
      <w:r>
        <w:rPr>
          <w:vertAlign w:val="baseline"/>
        </w:rPr>
        <w:t>the</w:t>
      </w:r>
      <w:r>
        <w:rPr>
          <w:spacing w:val="37"/>
          <w:vertAlign w:val="baseline"/>
        </w:rPr>
        <w:t> </w:t>
      </w:r>
      <w:r>
        <w:rPr>
          <w:vertAlign w:val="baseline"/>
        </w:rPr>
        <w:t>financial</w:t>
      </w:r>
      <w:r>
        <w:rPr>
          <w:spacing w:val="38"/>
          <w:vertAlign w:val="baseline"/>
        </w:rPr>
        <w:t> </w:t>
      </w:r>
      <w:r>
        <w:rPr>
          <w:vertAlign w:val="baseline"/>
        </w:rPr>
        <w:t>support</w:t>
      </w:r>
      <w:r>
        <w:rPr>
          <w:spacing w:val="38"/>
          <w:vertAlign w:val="baseline"/>
        </w:rPr>
        <w:t> </w:t>
      </w:r>
      <w:r>
        <w:rPr>
          <w:vertAlign w:val="baseline"/>
        </w:rPr>
        <w:t>for</w:t>
      </w:r>
      <w:r>
        <w:rPr>
          <w:spacing w:val="38"/>
          <w:vertAlign w:val="baseline"/>
        </w:rPr>
        <w:t> </w:t>
      </w:r>
      <w:r>
        <w:rPr>
          <w:vertAlign w:val="baseline"/>
        </w:rPr>
        <w:t>health</w:t>
      </w:r>
      <w:r>
        <w:rPr>
          <w:spacing w:val="38"/>
          <w:vertAlign w:val="baseline"/>
        </w:rPr>
        <w:t> </w:t>
      </w:r>
      <w:r>
        <w:rPr>
          <w:spacing w:val="-5"/>
          <w:vertAlign w:val="baseline"/>
        </w:rPr>
        <w:t>and</w:t>
      </w:r>
    </w:p>
    <w:p>
      <w:pPr>
        <w:pStyle w:val="BodyText"/>
        <w:spacing w:after="0" w:line="249" w:lineRule="auto"/>
        <w:sectPr>
          <w:pgSz w:w="12240" w:h="15840"/>
          <w:pgMar w:top="1380" w:bottom="280" w:left="1440" w:right="1440"/>
        </w:sectPr>
      </w:pPr>
    </w:p>
    <w:p>
      <w:pPr>
        <w:pStyle w:val="BodyText"/>
        <w:spacing w:line="249" w:lineRule="auto"/>
        <w:ind w:right="101"/>
      </w:pPr>
      <w:r>
        <w:rPr/>
        <w:t>social</w:t>
      </w:r>
      <w:r>
        <w:rPr>
          <w:spacing w:val="-4"/>
        </w:rPr>
        <w:t> </w:t>
      </w:r>
      <w:r>
        <w:rPr/>
        <w:t>programs.</w:t>
      </w:r>
      <w:r>
        <w:rPr>
          <w:spacing w:val="-4"/>
        </w:rPr>
        <w:t> </w:t>
      </w:r>
      <w:r>
        <w:rPr/>
        <w:t>Compression</w:t>
      </w:r>
      <w:r>
        <w:rPr>
          <w:spacing w:val="-4"/>
        </w:rPr>
        <w:t> </w:t>
      </w:r>
      <w:r>
        <w:rPr/>
        <w:t>of</w:t>
      </w:r>
      <w:r>
        <w:rPr>
          <w:spacing w:val="-4"/>
        </w:rPr>
        <w:t> </w:t>
      </w:r>
      <w:r>
        <w:rPr/>
        <w:t>morbidity</w:t>
      </w:r>
      <w:r>
        <w:rPr>
          <w:spacing w:val="-4"/>
        </w:rPr>
        <w:t> </w:t>
      </w:r>
      <w:r>
        <w:rPr/>
        <w:t>is</w:t>
      </w:r>
      <w:r>
        <w:rPr>
          <w:spacing w:val="-4"/>
        </w:rPr>
        <w:t> </w:t>
      </w:r>
      <w:r>
        <w:rPr/>
        <w:t>at</w:t>
      </w:r>
      <w:r>
        <w:rPr>
          <w:spacing w:val="-4"/>
        </w:rPr>
        <w:t> </w:t>
      </w:r>
      <w:r>
        <w:rPr/>
        <w:t>least</w:t>
      </w:r>
      <w:r>
        <w:rPr>
          <w:spacing w:val="-4"/>
        </w:rPr>
        <w:t> </w:t>
      </w:r>
      <w:r>
        <w:rPr/>
        <w:t>one</w:t>
      </w:r>
      <w:r>
        <w:rPr>
          <w:spacing w:val="-4"/>
        </w:rPr>
        <w:t> </w:t>
      </w:r>
      <w:r>
        <w:rPr/>
        <w:t>attractive</w:t>
      </w:r>
      <w:r>
        <w:rPr>
          <w:spacing w:val="-4"/>
        </w:rPr>
        <w:t> </w:t>
      </w:r>
      <w:r>
        <w:rPr/>
        <w:t>solution to this problem.</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981075</wp:posOffset>
                </wp:positionH>
                <wp:positionV relativeFrom="paragraph">
                  <wp:posOffset>233350</wp:posOffset>
                </wp:positionV>
                <wp:extent cx="285750" cy="571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285750" cy="57150"/>
                        </a:xfrm>
                        <a:custGeom>
                          <a:avLst/>
                          <a:gdLst/>
                          <a:ahLst/>
                          <a:cxnLst/>
                          <a:rect l="l" t="t" r="r" b="b"/>
                          <a:pathLst>
                            <a:path w="285750" h="57150">
                              <a:moveTo>
                                <a:pt x="32364" y="57140"/>
                              </a:moveTo>
                              <a:lnTo>
                                <a:pt x="24785" y="57140"/>
                              </a:lnTo>
                              <a:lnTo>
                                <a:pt x="21140" y="56415"/>
                              </a:lnTo>
                              <a:lnTo>
                                <a:pt x="0" y="32361"/>
                              </a:lnTo>
                              <a:lnTo>
                                <a:pt x="0" y="24780"/>
                              </a:lnTo>
                              <a:lnTo>
                                <a:pt x="24785" y="0"/>
                              </a:lnTo>
                              <a:lnTo>
                                <a:pt x="32364" y="0"/>
                              </a:lnTo>
                              <a:lnTo>
                                <a:pt x="57149" y="24780"/>
                              </a:lnTo>
                              <a:lnTo>
                                <a:pt x="57149" y="32361"/>
                              </a:lnTo>
                              <a:lnTo>
                                <a:pt x="32364" y="57140"/>
                              </a:lnTo>
                              <a:close/>
                            </a:path>
                            <a:path w="285750" h="57150">
                              <a:moveTo>
                                <a:pt x="146569" y="57140"/>
                              </a:moveTo>
                              <a:lnTo>
                                <a:pt x="138990" y="57140"/>
                              </a:lnTo>
                              <a:lnTo>
                                <a:pt x="135345" y="56415"/>
                              </a:lnTo>
                              <a:lnTo>
                                <a:pt x="114204" y="32361"/>
                              </a:lnTo>
                              <a:lnTo>
                                <a:pt x="114204" y="24780"/>
                              </a:lnTo>
                              <a:lnTo>
                                <a:pt x="138990" y="0"/>
                              </a:lnTo>
                              <a:lnTo>
                                <a:pt x="146569" y="0"/>
                              </a:lnTo>
                              <a:lnTo>
                                <a:pt x="171354" y="24780"/>
                              </a:lnTo>
                              <a:lnTo>
                                <a:pt x="171354" y="32361"/>
                              </a:lnTo>
                              <a:lnTo>
                                <a:pt x="146569" y="57140"/>
                              </a:lnTo>
                              <a:close/>
                            </a:path>
                            <a:path w="285750" h="57150">
                              <a:moveTo>
                                <a:pt x="260773" y="57140"/>
                              </a:moveTo>
                              <a:lnTo>
                                <a:pt x="253195" y="57140"/>
                              </a:lnTo>
                              <a:lnTo>
                                <a:pt x="249550" y="56415"/>
                              </a:lnTo>
                              <a:lnTo>
                                <a:pt x="228409" y="32361"/>
                              </a:lnTo>
                              <a:lnTo>
                                <a:pt x="228409" y="24780"/>
                              </a:lnTo>
                              <a:lnTo>
                                <a:pt x="253195" y="0"/>
                              </a:lnTo>
                              <a:lnTo>
                                <a:pt x="260773" y="0"/>
                              </a:lnTo>
                              <a:lnTo>
                                <a:pt x="285559" y="24780"/>
                              </a:lnTo>
                              <a:lnTo>
                                <a:pt x="285559" y="32361"/>
                              </a:lnTo>
                              <a:lnTo>
                                <a:pt x="260773" y="5714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374035pt;width:22.5pt;height:4.5pt;mso-position-horizontal-relative:page;mso-position-vertical-relative:paragraph;z-index:-15719936;mso-wrap-distance-left:0;mso-wrap-distance-right:0" id="docshape14" coordorigin="1545,367" coordsize="450,90" path="m1596,457l1584,457,1578,456,1567,452,1562,449,1554,440,1551,435,1546,424,1545,418,1545,407,1546,401,1551,390,1554,385,1562,376,1567,373,1578,369,1584,367,1596,367,1602,369,1613,373,1618,376,1626,385,1629,390,1634,401,1635,407,1635,418,1634,424,1629,435,1626,440,1618,449,1613,452,1602,456,1596,457xm1776,457l1764,457,1758,456,1747,452,1742,449,1734,440,1731,435,1726,424,1725,418,1725,407,1726,401,1731,390,1734,385,1742,376,1747,373,1758,369,1764,367,1776,367,1782,369,1793,373,1797,376,1806,385,1809,390,1814,401,1815,407,1815,418,1814,424,1809,435,1806,440,1797,449,1793,452,1782,456,1776,457xm1956,457l1944,457,1938,456,1927,452,1922,449,1914,440,1910,435,1906,424,1905,418,1905,407,1906,401,1910,390,1914,385,1922,376,1927,373,1938,369,1944,367,1956,367,1961,369,1972,373,1977,376,1986,385,1989,390,1994,401,1995,407,1995,418,1994,424,1989,435,1986,440,1977,449,1972,452,1961,456,1956,457xe" filled="true" fillcolor="#bdb4d4" stroked="false">
                <v:path arrowok="t"/>
                <v:fill type="solid"/>
                <w10:wrap type="topAndBottom"/>
              </v:shape>
            </w:pict>
          </mc:Fallback>
        </mc:AlternateContent>
      </w:r>
    </w:p>
    <w:p>
      <w:pPr>
        <w:pStyle w:val="Heading3"/>
      </w:pPr>
      <w:r>
        <w:rPr>
          <w:color w:val="534089"/>
        </w:rPr>
        <w:t>MENOPAUSE</w:t>
      </w:r>
      <w:r>
        <w:rPr>
          <w:color w:val="534089"/>
          <w:spacing w:val="-8"/>
        </w:rPr>
        <w:t> </w:t>
      </w:r>
      <w:r>
        <w:rPr>
          <w:color w:val="534089"/>
        </w:rPr>
        <w:t>AS</w:t>
      </w:r>
      <w:r>
        <w:rPr>
          <w:color w:val="534089"/>
          <w:spacing w:val="-8"/>
        </w:rPr>
        <w:t> </w:t>
      </w:r>
      <w:r>
        <w:rPr>
          <w:color w:val="534089"/>
        </w:rPr>
        <w:t>AN</w:t>
      </w:r>
      <w:r>
        <w:rPr>
          <w:color w:val="534089"/>
          <w:spacing w:val="-7"/>
        </w:rPr>
        <w:t> </w:t>
      </w:r>
      <w:r>
        <w:rPr>
          <w:color w:val="534089"/>
          <w:spacing w:val="-2"/>
        </w:rPr>
        <w:t>OPPORTUNITY</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597056">
                <wp:simplePos x="0" y="0"/>
                <wp:positionH relativeFrom="page">
                  <wp:posOffset>981075</wp:posOffset>
                </wp:positionH>
                <wp:positionV relativeFrom="paragraph">
                  <wp:posOffset>45743</wp:posOffset>
                </wp:positionV>
                <wp:extent cx="5810250" cy="190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875pt;width:457.499964pt;height:1.5pt;mso-position-horizontal-relative:page;mso-position-vertical-relative:paragraph;z-index:-15719424;mso-wrap-distance-left:0;mso-wrap-distance-right:0" id="docshape15" filled="true" fillcolor="#534089" stroked="false">
                <v:fill type="solid"/>
                <w10:wrap type="topAndBottom"/>
              </v:rect>
            </w:pict>
          </mc:Fallback>
        </mc:AlternateContent>
      </w:r>
    </w:p>
    <w:p>
      <w:pPr>
        <w:pStyle w:val="BodyText"/>
        <w:spacing w:line="249" w:lineRule="auto" w:before="215"/>
        <w:ind w:right="100"/>
      </w:pPr>
      <w:r>
        <w:rPr>
          <w:b/>
        </w:rPr>
        <w:t>Menopause is a normal phase of life, much like puberty</w:t>
      </w:r>
      <w:r>
        <w:rPr/>
        <w:t>. For </w:t>
      </w:r>
      <w:r>
        <w:rPr/>
        <w:t>many women, the cessation of both menstruation and reproductive capacity is a welcome change—no further menses or premenstrual syndrome (PMS) and no need for contraception/concern for conceiving. Clinicians who interact with women at the time of menopause have a wonderful opportunity and, therefore, a significant obligation. Medical intervention at this point of life offers women years of benefit from preventive health care.</w:t>
      </w:r>
    </w:p>
    <w:p>
      <w:pPr>
        <w:spacing w:line="249" w:lineRule="auto" w:before="8"/>
        <w:ind w:left="99" w:right="104" w:firstLine="450"/>
        <w:jc w:val="both"/>
        <w:rPr>
          <w:b/>
          <w:sz w:val="30"/>
        </w:rPr>
      </w:pPr>
      <w:r>
        <w:rPr>
          <w:b/>
          <w:sz w:val="30"/>
        </w:rPr>
        <w:t>While not underrating the importance of good health habits among the young, we would argue that the impact of teaching preventive care is more observable and more tangible at middle age. The prospects of limited mortality and the morbidity of chronic diseases are viewed with belief, understanding, and appreciation during these older years. </w:t>
      </w:r>
      <w:r>
        <w:rPr>
          <w:b/>
          <w:sz w:val="30"/>
        </w:rPr>
        <w:t>The chance of illness is higher, but the impact of changes in lifestyle is </w:t>
      </w:r>
      <w:r>
        <w:rPr>
          <w:b/>
          <w:spacing w:val="-2"/>
          <w:sz w:val="30"/>
        </w:rPr>
        <w:t>greater.</w:t>
      </w:r>
    </w:p>
    <w:p>
      <w:pPr>
        <w:pStyle w:val="BodyText"/>
        <w:spacing w:before="52"/>
        <w:ind w:left="0"/>
        <w:jc w:val="left"/>
        <w:rPr>
          <w:b/>
        </w:rPr>
      </w:pPr>
    </w:p>
    <w:p>
      <w:pPr>
        <w:spacing w:line="249" w:lineRule="auto" w:before="1"/>
        <w:ind w:left="99" w:right="255" w:firstLine="0"/>
        <w:jc w:val="left"/>
        <w:rPr>
          <w:rFonts w:ascii="Arial" w:hAnsi="Arial"/>
          <w:b/>
          <w:i/>
          <w:sz w:val="30"/>
        </w:rPr>
      </w:pPr>
      <w:r>
        <w:rPr>
          <w:rFonts w:ascii="Arial" w:hAnsi="Arial"/>
          <w:b/>
          <w:color w:val="2674AE"/>
          <w:sz w:val="30"/>
        </w:rPr>
        <w:t>Stages of Reproductive Aging—</w:t>
      </w:r>
      <w:r>
        <w:rPr>
          <w:rFonts w:ascii="Arial" w:hAnsi="Arial"/>
          <w:b/>
          <w:i/>
          <w:color w:val="2674AE"/>
          <w:sz w:val="30"/>
        </w:rPr>
        <w:t>From Reproductive Years to</w:t>
      </w:r>
      <w:r>
        <w:rPr>
          <w:rFonts w:ascii="Arial" w:hAnsi="Arial"/>
          <w:b/>
          <w:i/>
          <w:color w:val="2674AE"/>
          <w:sz w:val="30"/>
        </w:rPr>
        <w:t> Perimenopause</w:t>
      </w:r>
      <w:r>
        <w:rPr>
          <w:rFonts w:ascii="Arial" w:hAnsi="Arial"/>
          <w:b/>
          <w:i/>
          <w:color w:val="2674AE"/>
          <w:spacing w:val="-11"/>
          <w:sz w:val="30"/>
        </w:rPr>
        <w:t> </w:t>
      </w:r>
      <w:r>
        <w:rPr>
          <w:rFonts w:ascii="Arial" w:hAnsi="Arial"/>
          <w:b/>
          <w:i/>
          <w:color w:val="2674AE"/>
          <w:sz w:val="30"/>
        </w:rPr>
        <w:t>(Older</w:t>
      </w:r>
      <w:r>
        <w:rPr>
          <w:rFonts w:ascii="Arial" w:hAnsi="Arial"/>
          <w:b/>
          <w:i/>
          <w:color w:val="2674AE"/>
          <w:spacing w:val="-11"/>
          <w:sz w:val="30"/>
        </w:rPr>
        <w:t> </w:t>
      </w:r>
      <w:r>
        <w:rPr>
          <w:rFonts w:ascii="Arial" w:hAnsi="Arial"/>
          <w:b/>
          <w:i/>
          <w:color w:val="2674AE"/>
          <w:sz w:val="30"/>
        </w:rPr>
        <w:t>Terminology)</w:t>
      </w:r>
      <w:r>
        <w:rPr>
          <w:rFonts w:ascii="Arial" w:hAnsi="Arial"/>
          <w:b/>
          <w:i/>
          <w:color w:val="2674AE"/>
          <w:spacing w:val="-11"/>
          <w:sz w:val="30"/>
        </w:rPr>
        <w:t> </w:t>
      </w:r>
      <w:r>
        <w:rPr>
          <w:rFonts w:ascii="Arial" w:hAnsi="Arial"/>
          <w:b/>
          <w:i/>
          <w:color w:val="2674AE"/>
          <w:sz w:val="30"/>
        </w:rPr>
        <w:t>or</w:t>
      </w:r>
      <w:r>
        <w:rPr>
          <w:rFonts w:ascii="Arial" w:hAnsi="Arial"/>
          <w:b/>
          <w:i/>
          <w:color w:val="2674AE"/>
          <w:spacing w:val="-11"/>
          <w:sz w:val="30"/>
        </w:rPr>
        <w:t> </w:t>
      </w:r>
      <w:r>
        <w:rPr>
          <w:rFonts w:ascii="Arial" w:hAnsi="Arial"/>
          <w:b/>
          <w:i/>
          <w:color w:val="2674AE"/>
          <w:sz w:val="30"/>
        </w:rPr>
        <w:t>Menopausal</w:t>
      </w:r>
      <w:r>
        <w:rPr>
          <w:rFonts w:ascii="Arial" w:hAnsi="Arial"/>
          <w:b/>
          <w:i/>
          <w:color w:val="2674AE"/>
          <w:spacing w:val="-11"/>
          <w:sz w:val="30"/>
        </w:rPr>
        <w:t> </w:t>
      </w:r>
      <w:r>
        <w:rPr>
          <w:rFonts w:ascii="Arial" w:hAnsi="Arial"/>
          <w:b/>
          <w:i/>
          <w:color w:val="2674AE"/>
          <w:sz w:val="30"/>
        </w:rPr>
        <w:t>Transition (Newer Term) to Menopause</w:t>
      </w:r>
    </w:p>
    <w:p>
      <w:pPr>
        <w:pStyle w:val="BodyText"/>
        <w:spacing w:line="249" w:lineRule="auto" w:before="155"/>
        <w:ind w:right="99"/>
      </w:pPr>
      <w:r>
        <w:rPr/>
        <w:t>In 2001, the Stages of Reproductive Aging Workshop (STRAW) standardized the nomenclature for the stages of the menopausal transition, categorizing the female lifespan into three broad phases: </w:t>
      </w:r>
      <w:r>
        <w:rPr>
          <w:i/>
        </w:rPr>
        <w:t>reproductive</w:t>
      </w:r>
      <w:r>
        <w:rPr>
          <w:i/>
        </w:rPr>
        <w:t> </w:t>
      </w:r>
      <w:r>
        <w:rPr/>
        <w:t>phase, </w:t>
      </w:r>
      <w:r>
        <w:rPr>
          <w:i/>
        </w:rPr>
        <w:t>menopausal transition </w:t>
      </w:r>
      <w:r>
        <w:rPr/>
        <w:t>phase, and </w:t>
      </w:r>
      <w:r>
        <w:rPr>
          <w:i/>
        </w:rPr>
        <w:t>postmenopausal </w:t>
      </w:r>
      <w:r>
        <w:rPr/>
        <w:t>phase</w:t>
      </w:r>
      <w:r>
        <w:rPr>
          <w:i/>
        </w:rPr>
        <w:t>. </w:t>
      </w:r>
      <w:r>
        <w:rPr/>
        <w:t>Each </w:t>
      </w:r>
      <w:r>
        <w:rPr/>
        <w:t>of</w:t>
      </w:r>
      <w:r>
        <w:rPr>
          <w:spacing w:val="40"/>
        </w:rPr>
        <w:t> </w:t>
      </w:r>
      <w:r>
        <w:rPr/>
        <w:t>the three phases is divided into stages based on clinical (menstrual cycle pattern</w:t>
      </w:r>
      <w:r>
        <w:rPr>
          <w:spacing w:val="-4"/>
        </w:rPr>
        <w:t> </w:t>
      </w:r>
      <w:r>
        <w:rPr/>
        <w:t>and</w:t>
      </w:r>
      <w:r>
        <w:rPr>
          <w:spacing w:val="-4"/>
        </w:rPr>
        <w:t> </w:t>
      </w:r>
      <w:r>
        <w:rPr/>
        <w:t>symptoms)</w:t>
      </w:r>
      <w:r>
        <w:rPr>
          <w:spacing w:val="-4"/>
        </w:rPr>
        <w:t> </w:t>
      </w:r>
      <w:r>
        <w:rPr/>
        <w:t>and</w:t>
      </w:r>
      <w:r>
        <w:rPr>
          <w:spacing w:val="-4"/>
        </w:rPr>
        <w:t> </w:t>
      </w:r>
      <w:r>
        <w:rPr/>
        <w:t>biochemical</w:t>
      </w:r>
      <w:r>
        <w:rPr>
          <w:spacing w:val="-4"/>
        </w:rPr>
        <w:t> </w:t>
      </w:r>
      <w:r>
        <w:rPr/>
        <w:t>(serum</w:t>
      </w:r>
      <w:r>
        <w:rPr>
          <w:spacing w:val="-4"/>
        </w:rPr>
        <w:t> </w:t>
      </w:r>
      <w:r>
        <w:rPr/>
        <w:t>levels</w:t>
      </w:r>
      <w:r>
        <w:rPr>
          <w:spacing w:val="-4"/>
        </w:rPr>
        <w:t> </w:t>
      </w:r>
      <w:r>
        <w:rPr/>
        <w:t>of</w:t>
      </w:r>
      <w:r>
        <w:rPr>
          <w:spacing w:val="-4"/>
        </w:rPr>
        <w:t> </w:t>
      </w:r>
      <w:r>
        <w:rPr/>
        <w:t>follicle</w:t>
      </w:r>
      <w:r>
        <w:rPr>
          <w:spacing w:val="-4"/>
        </w:rPr>
        <w:t> </w:t>
      </w:r>
      <w:r>
        <w:rPr/>
        <w:t>stimulating hormone [FSH] and inhibin B) indices.</w:t>
      </w:r>
      <w:r>
        <w:rPr>
          <w:vertAlign w:val="superscript"/>
        </w:rPr>
        <w:t>39</w:t>
      </w:r>
      <w:r>
        <w:rPr>
          <w:vertAlign w:val="baseline"/>
        </w:rPr>
        <w:t> In 2005, another classification system (PENN-5) was proposed based on analyses of the Penn Ovarian Aging Study. Investigators had noted significant changes in FSH and inhibin B levels in progression to the late premenopause stage that correlated</w:t>
      </w:r>
      <w:r>
        <w:rPr>
          <w:spacing w:val="62"/>
          <w:w w:val="150"/>
          <w:vertAlign w:val="baseline"/>
        </w:rPr>
        <w:t> </w:t>
      </w:r>
      <w:r>
        <w:rPr>
          <w:vertAlign w:val="baseline"/>
        </w:rPr>
        <w:t>with</w:t>
      </w:r>
      <w:r>
        <w:rPr>
          <w:spacing w:val="63"/>
          <w:w w:val="150"/>
          <w:vertAlign w:val="baseline"/>
        </w:rPr>
        <w:t> </w:t>
      </w:r>
      <w:r>
        <w:rPr>
          <w:vertAlign w:val="baseline"/>
        </w:rPr>
        <w:t>small</w:t>
      </w:r>
      <w:r>
        <w:rPr>
          <w:spacing w:val="62"/>
          <w:w w:val="150"/>
          <w:vertAlign w:val="baseline"/>
        </w:rPr>
        <w:t> </w:t>
      </w:r>
      <w:r>
        <w:rPr>
          <w:vertAlign w:val="baseline"/>
        </w:rPr>
        <w:t>alterations</w:t>
      </w:r>
      <w:r>
        <w:rPr>
          <w:spacing w:val="63"/>
          <w:w w:val="150"/>
          <w:vertAlign w:val="baseline"/>
        </w:rPr>
        <w:t> </w:t>
      </w:r>
      <w:r>
        <w:rPr>
          <w:vertAlign w:val="baseline"/>
        </w:rPr>
        <w:t>in</w:t>
      </w:r>
      <w:r>
        <w:rPr>
          <w:spacing w:val="62"/>
          <w:w w:val="150"/>
          <w:vertAlign w:val="baseline"/>
        </w:rPr>
        <w:t> </w:t>
      </w:r>
      <w:r>
        <w:rPr>
          <w:vertAlign w:val="baseline"/>
        </w:rPr>
        <w:t>the</w:t>
      </w:r>
      <w:r>
        <w:rPr>
          <w:spacing w:val="63"/>
          <w:w w:val="150"/>
          <w:vertAlign w:val="baseline"/>
        </w:rPr>
        <w:t> </w:t>
      </w:r>
      <w:r>
        <w:rPr>
          <w:vertAlign w:val="baseline"/>
        </w:rPr>
        <w:t>menstrual</w:t>
      </w:r>
      <w:r>
        <w:rPr>
          <w:spacing w:val="62"/>
          <w:w w:val="150"/>
          <w:vertAlign w:val="baseline"/>
        </w:rPr>
        <w:t> </w:t>
      </w:r>
      <w:r>
        <w:rPr>
          <w:vertAlign w:val="baseline"/>
        </w:rPr>
        <w:t>cycle</w:t>
      </w:r>
      <w:r>
        <w:rPr>
          <w:spacing w:val="63"/>
          <w:w w:val="150"/>
          <w:vertAlign w:val="baseline"/>
        </w:rPr>
        <w:t> </w:t>
      </w:r>
      <w:r>
        <w:rPr>
          <w:vertAlign w:val="baseline"/>
        </w:rPr>
        <w:t>and</w:t>
      </w:r>
      <w:r>
        <w:rPr>
          <w:spacing w:val="62"/>
          <w:w w:val="150"/>
          <w:vertAlign w:val="baseline"/>
        </w:rPr>
        <w:t> </w:t>
      </w:r>
      <w:r>
        <w:rPr>
          <w:spacing w:val="-2"/>
          <w:vertAlign w:val="baseline"/>
        </w:rPr>
        <w:t>proposed</w:t>
      </w:r>
    </w:p>
    <w:p>
      <w:pPr>
        <w:pStyle w:val="BodyText"/>
        <w:spacing w:after="0" w:line="249" w:lineRule="auto"/>
        <w:sectPr>
          <w:pgSz w:w="12240" w:h="15840"/>
          <w:pgMar w:top="1380" w:bottom="280" w:left="1440" w:right="1440"/>
        </w:sectPr>
      </w:pPr>
    </w:p>
    <w:p>
      <w:pPr>
        <w:pStyle w:val="BodyText"/>
        <w:spacing w:line="249" w:lineRule="auto"/>
        <w:ind w:right="102"/>
      </w:pPr>
      <w:r>
        <w:rPr/>
        <w:t>considering the late reproductive phase as a distinct entity.</w:t>
      </w:r>
      <w:r>
        <w:rPr>
          <w:vertAlign w:val="superscript"/>
        </w:rPr>
        <w:t>40,41</w:t>
      </w:r>
      <w:r>
        <w:rPr>
          <w:vertAlign w:val="baseline"/>
        </w:rPr>
        <w:t> In 2010, at </w:t>
      </w:r>
      <w:r>
        <w:rPr>
          <w:vertAlign w:val="baseline"/>
        </w:rPr>
        <w:t>a follow-up workshop (“STRAW + 10”), the original STRAW classification was updated to reflect advances in our understanding of the changes in the hypothalamic-pituitary-ovarian function occurring throughout the continuum of reproductive aging with incorporation of antimüllerian hormone (AMH) levels and ultrasound-based ovarian antral follicle count (AFC) data.</w:t>
      </w:r>
      <w:r>
        <w:rPr>
          <w:vertAlign w:val="superscript"/>
        </w:rPr>
        <w:t>42</w:t>
      </w:r>
    </w:p>
    <w:p>
      <w:pPr>
        <w:spacing w:line="249" w:lineRule="auto" w:before="8"/>
        <w:ind w:left="99" w:right="98" w:firstLine="450"/>
        <w:jc w:val="both"/>
        <w:rPr>
          <w:sz w:val="30"/>
        </w:rPr>
      </w:pPr>
      <w:r>
        <w:rPr>
          <w:sz w:val="30"/>
        </w:rPr>
        <w:t>The</w:t>
      </w:r>
      <w:r>
        <w:rPr>
          <w:spacing w:val="-3"/>
          <w:sz w:val="30"/>
        </w:rPr>
        <w:t> </w:t>
      </w:r>
      <w:r>
        <w:rPr>
          <w:i/>
          <w:sz w:val="30"/>
        </w:rPr>
        <w:t>menopausal</w:t>
      </w:r>
      <w:r>
        <w:rPr>
          <w:i/>
          <w:spacing w:val="-3"/>
          <w:sz w:val="30"/>
        </w:rPr>
        <w:t> </w:t>
      </w:r>
      <w:r>
        <w:rPr>
          <w:i/>
          <w:sz w:val="30"/>
        </w:rPr>
        <w:t>transition </w:t>
      </w:r>
      <w:r>
        <w:rPr>
          <w:sz w:val="30"/>
        </w:rPr>
        <w:t>is a finite period of physiologic changes </w:t>
      </w:r>
      <w:r>
        <w:rPr>
          <w:sz w:val="30"/>
        </w:rPr>
        <w:t>that eventually culminates in reproductive senescence. This phase of life can be associated with unique challenges that can have significant effects on individual women’s well-being and on quality of life.</w:t>
      </w:r>
      <w:r>
        <w:rPr>
          <w:sz w:val="30"/>
          <w:vertAlign w:val="superscript"/>
        </w:rPr>
        <w:t>39</w:t>
      </w:r>
      <w:r>
        <w:rPr>
          <w:sz w:val="30"/>
          <w:vertAlign w:val="baseline"/>
        </w:rPr>
        <w:t> A woman is said to have reached </w:t>
      </w:r>
      <w:r>
        <w:rPr>
          <w:i/>
          <w:sz w:val="30"/>
          <w:vertAlign w:val="baseline"/>
        </w:rPr>
        <w:t>menopause </w:t>
      </w:r>
      <w:r>
        <w:rPr>
          <w:sz w:val="30"/>
          <w:vertAlign w:val="baseline"/>
        </w:rPr>
        <w:t>if she has remained amenorrheic for 12 consecutive months and demonstrates biochemical evidence of hypergonadotropic (elevated FSH and luteinizing hormone [LH] levels) hypogonadism (low estradiol levels). The FMP is identified as stage “0,” marking a watershed between reproductive and postreproductive periods of life. The </w:t>
      </w:r>
      <w:r>
        <w:rPr>
          <w:i/>
          <w:sz w:val="30"/>
          <w:vertAlign w:val="baseline"/>
        </w:rPr>
        <w:t>reproductive </w:t>
      </w:r>
      <w:r>
        <w:rPr>
          <w:sz w:val="30"/>
          <w:vertAlign w:val="baseline"/>
        </w:rPr>
        <w:t>phase itself is broken down into five stages (early [−5], peak [−4], and late [−3]). The </w:t>
      </w:r>
      <w:r>
        <w:rPr>
          <w:i/>
          <w:sz w:val="30"/>
          <w:vertAlign w:val="baseline"/>
        </w:rPr>
        <w:t>menopause transition </w:t>
      </w:r>
      <w:r>
        <w:rPr>
          <w:sz w:val="30"/>
          <w:vertAlign w:val="baseline"/>
        </w:rPr>
        <w:t>phase is broken down into two stages (early [−2] and late [−1]). The </w:t>
      </w:r>
      <w:r>
        <w:rPr>
          <w:i/>
          <w:sz w:val="30"/>
          <w:vertAlign w:val="baseline"/>
        </w:rPr>
        <w:t>postmenopause </w:t>
      </w:r>
      <w:r>
        <w:rPr>
          <w:sz w:val="30"/>
          <w:vertAlign w:val="baseline"/>
        </w:rPr>
        <w:t>phase</w:t>
      </w:r>
      <w:r>
        <w:rPr>
          <w:spacing w:val="40"/>
          <w:sz w:val="30"/>
          <w:vertAlign w:val="baseline"/>
        </w:rPr>
        <w:t> </w:t>
      </w:r>
      <w:r>
        <w:rPr>
          <w:sz w:val="30"/>
          <w:vertAlign w:val="baseline"/>
        </w:rPr>
        <w:t>is also divided into two stages (early [+1] and late [+2]).</w:t>
      </w:r>
      <w:r>
        <w:rPr>
          <w:sz w:val="30"/>
          <w:vertAlign w:val="superscript"/>
        </w:rPr>
        <w:t>42</w:t>
      </w:r>
      <w:r>
        <w:rPr>
          <w:sz w:val="30"/>
          <w:vertAlign w:val="baseline"/>
        </w:rPr>
        <w:t> </w:t>
      </w:r>
      <w:r>
        <w:rPr>
          <w:b/>
          <w:sz w:val="30"/>
          <w:vertAlign w:val="baseline"/>
        </w:rPr>
        <w:t>The FMP thus serves as the reference point for interpretation of the rest of the stages across the three phases of reproductive aging </w:t>
      </w:r>
      <w:r>
        <w:rPr>
          <w:b/>
          <w:color w:val="256E60"/>
          <w:sz w:val="30"/>
          <w:vertAlign w:val="baseline"/>
        </w:rPr>
        <w:t>(Figure 21.6)</w:t>
      </w:r>
      <w:r>
        <w:rPr>
          <w:sz w:val="30"/>
          <w:vertAlign w:val="baseline"/>
        </w:rPr>
        <w:t>.</w:t>
      </w:r>
    </w:p>
    <w:p>
      <w:pPr>
        <w:spacing w:before="317"/>
        <w:ind w:left="99" w:right="0" w:firstLine="0"/>
        <w:jc w:val="both"/>
        <w:rPr>
          <w:rFonts w:ascii="Arial" w:hAnsi="Arial"/>
          <w:b/>
          <w:i/>
          <w:sz w:val="22"/>
        </w:rPr>
      </w:pPr>
      <w:r>
        <w:rPr>
          <w:rFonts w:ascii="Arial" w:hAnsi="Arial"/>
          <w:b/>
          <w:i/>
          <w:color w:val="A0234E"/>
          <w:sz w:val="22"/>
        </w:rPr>
        <w:t>Late</w:t>
      </w:r>
      <w:r>
        <w:rPr>
          <w:rFonts w:ascii="Arial" w:hAnsi="Arial"/>
          <w:b/>
          <w:i/>
          <w:color w:val="A0234E"/>
          <w:spacing w:val="13"/>
          <w:sz w:val="22"/>
        </w:rPr>
        <w:t> </w:t>
      </w:r>
      <w:r>
        <w:rPr>
          <w:rFonts w:ascii="Arial" w:hAnsi="Arial"/>
          <w:b/>
          <w:i/>
          <w:color w:val="A0234E"/>
          <w:sz w:val="22"/>
        </w:rPr>
        <w:t>Reproductive</w:t>
      </w:r>
      <w:r>
        <w:rPr>
          <w:rFonts w:ascii="Arial" w:hAnsi="Arial"/>
          <w:b/>
          <w:i/>
          <w:color w:val="A0234E"/>
          <w:spacing w:val="14"/>
          <w:sz w:val="22"/>
        </w:rPr>
        <w:t> </w:t>
      </w:r>
      <w:r>
        <w:rPr>
          <w:rFonts w:ascii="Arial" w:hAnsi="Arial"/>
          <w:b/>
          <w:i/>
          <w:color w:val="A0234E"/>
          <w:sz w:val="22"/>
        </w:rPr>
        <w:t>Stage</w:t>
      </w:r>
      <w:r>
        <w:rPr>
          <w:rFonts w:ascii="Arial" w:hAnsi="Arial"/>
          <w:b/>
          <w:i/>
          <w:color w:val="A0234E"/>
          <w:spacing w:val="14"/>
          <w:sz w:val="22"/>
        </w:rPr>
        <w:t> </w:t>
      </w:r>
      <w:r>
        <w:rPr>
          <w:rFonts w:ascii="Arial" w:hAnsi="Arial"/>
          <w:b/>
          <w:i/>
          <w:color w:val="A0234E"/>
          <w:sz w:val="22"/>
        </w:rPr>
        <w:t>(STRAW</w:t>
      </w:r>
      <w:r>
        <w:rPr>
          <w:rFonts w:ascii="Arial" w:hAnsi="Arial"/>
          <w:b/>
          <w:i/>
          <w:color w:val="A0234E"/>
          <w:spacing w:val="14"/>
          <w:sz w:val="22"/>
        </w:rPr>
        <w:t> </w:t>
      </w:r>
      <w:r>
        <w:rPr>
          <w:rFonts w:ascii="Arial" w:hAnsi="Arial"/>
          <w:b/>
          <w:i/>
          <w:color w:val="A0234E"/>
          <w:sz w:val="22"/>
        </w:rPr>
        <w:t>Stage</w:t>
      </w:r>
      <w:r>
        <w:rPr>
          <w:rFonts w:ascii="Arial" w:hAnsi="Arial"/>
          <w:b/>
          <w:i/>
          <w:color w:val="A0234E"/>
          <w:spacing w:val="14"/>
          <w:sz w:val="22"/>
        </w:rPr>
        <w:t> </w:t>
      </w:r>
      <w:r>
        <w:rPr>
          <w:rFonts w:ascii="Arial" w:hAnsi="Arial"/>
          <w:b/>
          <w:i/>
          <w:color w:val="A0234E"/>
          <w:sz w:val="22"/>
        </w:rPr>
        <w:t>−3,</w:t>
      </w:r>
      <w:r>
        <w:rPr>
          <w:rFonts w:ascii="Arial" w:hAnsi="Arial"/>
          <w:b/>
          <w:i/>
          <w:color w:val="A0234E"/>
          <w:spacing w:val="14"/>
          <w:sz w:val="22"/>
        </w:rPr>
        <w:t> </w:t>
      </w:r>
      <w:r>
        <w:rPr>
          <w:rFonts w:ascii="Arial" w:hAnsi="Arial"/>
          <w:b/>
          <w:i/>
          <w:color w:val="A0234E"/>
          <w:sz w:val="22"/>
        </w:rPr>
        <w:t>Substages</w:t>
      </w:r>
      <w:r>
        <w:rPr>
          <w:rFonts w:ascii="Arial" w:hAnsi="Arial"/>
          <w:b/>
          <w:i/>
          <w:color w:val="A0234E"/>
          <w:spacing w:val="14"/>
          <w:sz w:val="22"/>
        </w:rPr>
        <w:t> </w:t>
      </w:r>
      <w:r>
        <w:rPr>
          <w:rFonts w:ascii="Arial" w:hAnsi="Arial"/>
          <w:b/>
          <w:i/>
          <w:color w:val="A0234E"/>
          <w:sz w:val="22"/>
        </w:rPr>
        <w:t>−3b,</w:t>
      </w:r>
      <w:r>
        <w:rPr>
          <w:rFonts w:ascii="Arial" w:hAnsi="Arial"/>
          <w:b/>
          <w:i/>
          <w:color w:val="A0234E"/>
          <w:spacing w:val="14"/>
          <w:sz w:val="22"/>
        </w:rPr>
        <w:t> </w:t>
      </w:r>
      <w:r>
        <w:rPr>
          <w:rFonts w:ascii="Arial" w:hAnsi="Arial"/>
          <w:b/>
          <w:i/>
          <w:color w:val="A0234E"/>
          <w:spacing w:val="-4"/>
          <w:sz w:val="22"/>
        </w:rPr>
        <w:t>−3a)</w:t>
      </w:r>
    </w:p>
    <w:p>
      <w:pPr>
        <w:pStyle w:val="BodyText"/>
        <w:spacing w:line="249" w:lineRule="auto" w:before="124"/>
        <w:ind w:right="99"/>
      </w:pPr>
      <w:r>
        <w:rPr/>
        <w:t>A decline in fecundability is apparent as the earliest hallmark of </w:t>
      </w:r>
      <w:r>
        <w:rPr/>
        <w:t>transition followed by a spectrum of clinically apparent phenomena, such as changes in menstrual cycle pattern. As covert endocrinologic changes set in well before noticeable and clinically apparent features (such as changes in the menstrual cycle length and/or pattern), STRAW +10 divided the late reproductive stage into substages −3b and −3a that reflect the endocrinologic changes that are seen prior to overt clinical manifestations. In stage −3b, the menstrual cycles are relatively unchanged; while serum levels</w:t>
      </w:r>
      <w:r>
        <w:rPr>
          <w:spacing w:val="-1"/>
        </w:rPr>
        <w:t> </w:t>
      </w:r>
      <w:r>
        <w:rPr/>
        <w:t>of</w:t>
      </w:r>
      <w:r>
        <w:rPr>
          <w:spacing w:val="-1"/>
        </w:rPr>
        <w:t> </w:t>
      </w:r>
      <w:r>
        <w:rPr/>
        <w:t>FSH</w:t>
      </w:r>
      <w:r>
        <w:rPr>
          <w:spacing w:val="-1"/>
        </w:rPr>
        <w:t> </w:t>
      </w:r>
      <w:r>
        <w:rPr/>
        <w:t>are</w:t>
      </w:r>
      <w:r>
        <w:rPr>
          <w:spacing w:val="-1"/>
        </w:rPr>
        <w:t> </w:t>
      </w:r>
      <w:r>
        <w:rPr/>
        <w:t>in</w:t>
      </w:r>
      <w:r>
        <w:rPr>
          <w:spacing w:val="-1"/>
        </w:rPr>
        <w:t> </w:t>
      </w:r>
      <w:r>
        <w:rPr/>
        <w:t>the</w:t>
      </w:r>
      <w:r>
        <w:rPr>
          <w:spacing w:val="-1"/>
        </w:rPr>
        <w:t> </w:t>
      </w:r>
      <w:r>
        <w:rPr/>
        <w:t>premenopausal</w:t>
      </w:r>
      <w:r>
        <w:rPr>
          <w:spacing w:val="-1"/>
        </w:rPr>
        <w:t> </w:t>
      </w:r>
      <w:r>
        <w:rPr/>
        <w:t>range,</w:t>
      </w:r>
      <w:r>
        <w:rPr>
          <w:spacing w:val="-1"/>
        </w:rPr>
        <w:t> </w:t>
      </w:r>
      <w:r>
        <w:rPr/>
        <w:t>levels</w:t>
      </w:r>
      <w:r>
        <w:rPr>
          <w:spacing w:val="-1"/>
        </w:rPr>
        <w:t> </w:t>
      </w:r>
      <w:r>
        <w:rPr/>
        <w:t>of</w:t>
      </w:r>
      <w:r>
        <w:rPr>
          <w:spacing w:val="-1"/>
        </w:rPr>
        <w:t> </w:t>
      </w:r>
      <w:r>
        <w:rPr/>
        <w:t>AMH</w:t>
      </w:r>
      <w:r>
        <w:rPr>
          <w:spacing w:val="-1"/>
        </w:rPr>
        <w:t> </w:t>
      </w:r>
      <w:r>
        <w:rPr/>
        <w:t>and</w:t>
      </w:r>
      <w:r>
        <w:rPr>
          <w:spacing w:val="-1"/>
        </w:rPr>
        <w:t> </w:t>
      </w:r>
      <w:r>
        <w:rPr/>
        <w:t>inhibin</w:t>
      </w:r>
      <w:r>
        <w:rPr>
          <w:spacing w:val="-1"/>
        </w:rPr>
        <w:t> </w:t>
      </w:r>
      <w:r>
        <w:rPr/>
        <w:t>B are low, as is the AFC.</w:t>
      </w:r>
      <w:r>
        <w:rPr>
          <w:vertAlign w:val="superscript"/>
        </w:rPr>
        <w:t>42</w:t>
      </w:r>
      <w:r>
        <w:rPr>
          <w:vertAlign w:val="baseline"/>
        </w:rPr>
        <w:t> In stage −3a, shortening in the length of menstrual cycles and increases in early follicular FSH levels become noticeable.</w:t>
      </w:r>
      <w:r>
        <w:rPr>
          <w:vertAlign w:val="superscript"/>
        </w:rPr>
        <w:t>42</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5828059" cy="249364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5828059" cy="2493645"/>
                    </a:xfrm>
                    <a:prstGeom prst="rect">
                      <a:avLst/>
                    </a:prstGeom>
                  </pic:spPr>
                </pic:pic>
              </a:graphicData>
            </a:graphic>
          </wp:inline>
        </w:drawing>
      </w:r>
      <w:r>
        <w:rPr>
          <w:sz w:val="20"/>
        </w:rPr>
      </w:r>
    </w:p>
    <w:p>
      <w:pPr>
        <w:pStyle w:val="BodyText"/>
        <w:spacing w:before="34"/>
        <w:ind w:left="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981075</wp:posOffset>
                </wp:positionH>
                <wp:positionV relativeFrom="paragraph">
                  <wp:posOffset>182880</wp:posOffset>
                </wp:positionV>
                <wp:extent cx="856615" cy="5715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856615" cy="57150"/>
                        </a:xfrm>
                        <a:custGeom>
                          <a:avLst/>
                          <a:gdLst/>
                          <a:ahLst/>
                          <a:cxnLst/>
                          <a:rect l="l" t="t" r="r" b="b"/>
                          <a:pathLst>
                            <a:path w="856615" h="57150">
                              <a:moveTo>
                                <a:pt x="32364" y="57140"/>
                              </a:moveTo>
                              <a:lnTo>
                                <a:pt x="24785" y="57140"/>
                              </a:lnTo>
                              <a:lnTo>
                                <a:pt x="21140" y="56415"/>
                              </a:lnTo>
                              <a:lnTo>
                                <a:pt x="0" y="32351"/>
                              </a:lnTo>
                              <a:lnTo>
                                <a:pt x="0" y="24780"/>
                              </a:lnTo>
                              <a:lnTo>
                                <a:pt x="24785" y="0"/>
                              </a:lnTo>
                              <a:lnTo>
                                <a:pt x="32364" y="0"/>
                              </a:lnTo>
                              <a:lnTo>
                                <a:pt x="57149" y="24780"/>
                              </a:lnTo>
                              <a:lnTo>
                                <a:pt x="57149" y="32351"/>
                              </a:lnTo>
                              <a:lnTo>
                                <a:pt x="32364" y="57140"/>
                              </a:lnTo>
                              <a:close/>
                            </a:path>
                            <a:path w="856615" h="57150">
                              <a:moveTo>
                                <a:pt x="146569" y="57140"/>
                              </a:moveTo>
                              <a:lnTo>
                                <a:pt x="138990" y="57140"/>
                              </a:lnTo>
                              <a:lnTo>
                                <a:pt x="135345" y="56415"/>
                              </a:lnTo>
                              <a:lnTo>
                                <a:pt x="114204" y="32351"/>
                              </a:lnTo>
                              <a:lnTo>
                                <a:pt x="114204" y="24780"/>
                              </a:lnTo>
                              <a:lnTo>
                                <a:pt x="138990" y="0"/>
                              </a:lnTo>
                              <a:lnTo>
                                <a:pt x="146569" y="0"/>
                              </a:lnTo>
                              <a:lnTo>
                                <a:pt x="171354" y="24780"/>
                              </a:lnTo>
                              <a:lnTo>
                                <a:pt x="171354" y="32351"/>
                              </a:lnTo>
                              <a:lnTo>
                                <a:pt x="146569" y="57140"/>
                              </a:lnTo>
                              <a:close/>
                            </a:path>
                            <a:path w="856615" h="57150">
                              <a:moveTo>
                                <a:pt x="260773" y="57140"/>
                              </a:moveTo>
                              <a:lnTo>
                                <a:pt x="253195" y="57140"/>
                              </a:lnTo>
                              <a:lnTo>
                                <a:pt x="249550" y="56415"/>
                              </a:lnTo>
                              <a:lnTo>
                                <a:pt x="228409" y="32351"/>
                              </a:lnTo>
                              <a:lnTo>
                                <a:pt x="228409" y="24780"/>
                              </a:lnTo>
                              <a:lnTo>
                                <a:pt x="253195" y="0"/>
                              </a:lnTo>
                              <a:lnTo>
                                <a:pt x="260773" y="0"/>
                              </a:lnTo>
                              <a:lnTo>
                                <a:pt x="285559" y="24780"/>
                              </a:lnTo>
                              <a:lnTo>
                                <a:pt x="285559" y="32351"/>
                              </a:lnTo>
                              <a:lnTo>
                                <a:pt x="260773" y="57140"/>
                              </a:lnTo>
                              <a:close/>
                            </a:path>
                            <a:path w="856615" h="57150">
                              <a:moveTo>
                                <a:pt x="374978" y="57140"/>
                              </a:moveTo>
                              <a:lnTo>
                                <a:pt x="367399" y="57140"/>
                              </a:lnTo>
                              <a:lnTo>
                                <a:pt x="363754" y="56415"/>
                              </a:lnTo>
                              <a:lnTo>
                                <a:pt x="342614" y="32351"/>
                              </a:lnTo>
                              <a:lnTo>
                                <a:pt x="342614" y="24780"/>
                              </a:lnTo>
                              <a:lnTo>
                                <a:pt x="367399" y="0"/>
                              </a:lnTo>
                              <a:lnTo>
                                <a:pt x="374978" y="0"/>
                              </a:lnTo>
                              <a:lnTo>
                                <a:pt x="399764" y="24780"/>
                              </a:lnTo>
                              <a:lnTo>
                                <a:pt x="399764" y="32351"/>
                              </a:lnTo>
                              <a:lnTo>
                                <a:pt x="374978" y="57140"/>
                              </a:lnTo>
                              <a:close/>
                            </a:path>
                            <a:path w="856615" h="57150">
                              <a:moveTo>
                                <a:pt x="489183" y="57140"/>
                              </a:moveTo>
                              <a:lnTo>
                                <a:pt x="481604" y="57140"/>
                              </a:lnTo>
                              <a:lnTo>
                                <a:pt x="477959" y="56415"/>
                              </a:lnTo>
                              <a:lnTo>
                                <a:pt x="456818" y="32351"/>
                              </a:lnTo>
                              <a:lnTo>
                                <a:pt x="456818" y="24780"/>
                              </a:lnTo>
                              <a:lnTo>
                                <a:pt x="481604" y="0"/>
                              </a:lnTo>
                              <a:lnTo>
                                <a:pt x="489183" y="0"/>
                              </a:lnTo>
                              <a:lnTo>
                                <a:pt x="513968" y="24780"/>
                              </a:lnTo>
                              <a:lnTo>
                                <a:pt x="513968" y="32351"/>
                              </a:lnTo>
                              <a:lnTo>
                                <a:pt x="489183" y="57140"/>
                              </a:lnTo>
                              <a:close/>
                            </a:path>
                            <a:path w="856615" h="57150">
                              <a:moveTo>
                                <a:pt x="603387" y="57140"/>
                              </a:moveTo>
                              <a:lnTo>
                                <a:pt x="595809" y="57140"/>
                              </a:lnTo>
                              <a:lnTo>
                                <a:pt x="592164" y="56415"/>
                              </a:lnTo>
                              <a:lnTo>
                                <a:pt x="571023" y="32351"/>
                              </a:lnTo>
                              <a:lnTo>
                                <a:pt x="571023" y="24780"/>
                              </a:lnTo>
                              <a:lnTo>
                                <a:pt x="595809" y="0"/>
                              </a:lnTo>
                              <a:lnTo>
                                <a:pt x="603387" y="0"/>
                              </a:lnTo>
                              <a:lnTo>
                                <a:pt x="628173" y="24780"/>
                              </a:lnTo>
                              <a:lnTo>
                                <a:pt x="628173" y="32351"/>
                              </a:lnTo>
                              <a:lnTo>
                                <a:pt x="603387" y="57140"/>
                              </a:lnTo>
                              <a:close/>
                            </a:path>
                            <a:path w="856615" h="57150">
                              <a:moveTo>
                                <a:pt x="717592" y="57140"/>
                              </a:moveTo>
                              <a:lnTo>
                                <a:pt x="710014" y="57140"/>
                              </a:lnTo>
                              <a:lnTo>
                                <a:pt x="706369" y="56415"/>
                              </a:lnTo>
                              <a:lnTo>
                                <a:pt x="685228" y="32351"/>
                              </a:lnTo>
                              <a:lnTo>
                                <a:pt x="685228" y="24780"/>
                              </a:lnTo>
                              <a:lnTo>
                                <a:pt x="710014" y="0"/>
                              </a:lnTo>
                              <a:lnTo>
                                <a:pt x="717592" y="0"/>
                              </a:lnTo>
                              <a:lnTo>
                                <a:pt x="742378" y="24780"/>
                              </a:lnTo>
                              <a:lnTo>
                                <a:pt x="742378" y="32351"/>
                              </a:lnTo>
                              <a:lnTo>
                                <a:pt x="717592" y="57140"/>
                              </a:lnTo>
                              <a:close/>
                            </a:path>
                            <a:path w="856615" h="57150">
                              <a:moveTo>
                                <a:pt x="831797" y="57140"/>
                              </a:moveTo>
                              <a:lnTo>
                                <a:pt x="824218" y="57140"/>
                              </a:lnTo>
                              <a:lnTo>
                                <a:pt x="820573" y="56415"/>
                              </a:lnTo>
                              <a:lnTo>
                                <a:pt x="799433" y="32351"/>
                              </a:lnTo>
                              <a:lnTo>
                                <a:pt x="799433" y="24780"/>
                              </a:lnTo>
                              <a:lnTo>
                                <a:pt x="824218" y="0"/>
                              </a:lnTo>
                              <a:lnTo>
                                <a:pt x="831797" y="0"/>
                              </a:lnTo>
                              <a:lnTo>
                                <a:pt x="856583" y="24780"/>
                              </a:lnTo>
                              <a:lnTo>
                                <a:pt x="856583" y="32351"/>
                              </a:lnTo>
                              <a:lnTo>
                                <a:pt x="831797" y="5714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4.400007pt;width:67.45pt;height:4.5pt;mso-position-horizontal-relative:page;mso-position-vertical-relative:paragraph;z-index:-15718912;mso-wrap-distance-left:0;mso-wrap-distance-right:0" id="docshape16" coordorigin="1545,288" coordsize="1349,90" path="m1596,378l1584,378,1578,377,1567,372,1562,369,1554,361,1551,356,1546,345,1545,339,1545,327,1546,321,1551,310,1554,305,1562,297,1567,294,1578,289,1584,288,1596,288,1602,289,1613,294,1618,297,1626,305,1629,310,1634,321,1635,327,1635,339,1634,345,1629,356,1626,361,1618,369,1613,372,1602,377,1596,378xm1776,378l1764,378,1758,377,1747,372,1742,369,1734,361,1731,356,1726,345,1725,339,1725,327,1726,321,1731,310,1734,305,1742,297,1747,294,1758,289,1764,288,1776,288,1781,289,1793,294,1797,297,1806,305,1809,310,1814,321,1815,327,1815,339,1814,345,1809,356,1806,361,1797,369,1793,372,1782,377,1776,378xm1956,378l1944,378,1938,377,1927,372,1922,369,1914,361,1910,356,1906,345,1905,339,1905,327,1906,321,1910,310,1914,305,1922,297,1927,294,1938,289,1944,288,1956,288,1961,289,1972,294,1977,297,1986,305,1989,310,1994,321,1995,327,1995,339,1994,345,1989,356,1986,361,1977,369,1972,372,1961,377,1956,378xm2136,378l2124,378,2118,377,2107,372,2102,369,2094,361,2090,356,2086,345,2085,339,2085,327,2086,321,2090,310,2094,305,2102,297,2107,294,2118,289,2124,288,2136,288,2141,289,2152,294,2157,297,2166,305,2169,310,2173,321,2175,327,2175,339,2173,345,2169,356,2166,361,2157,369,2152,372,2141,377,2136,378xm2315,378l2303,378,2298,377,2287,372,2282,369,2273,361,2270,356,2266,345,2264,339,2264,327,2266,321,2270,310,2273,305,2282,297,2287,294,2298,289,2303,288,2315,288,2321,289,2332,294,2337,297,2345,305,2349,310,2353,321,2354,327,2354,339,2353,345,2349,356,2345,361,2337,369,2332,372,2321,377,2315,378xm2495,378l2483,378,2478,377,2467,372,2462,369,2453,361,2450,356,2445,345,2444,339,2444,327,2445,321,2450,310,2453,305,2462,297,2467,294,2478,289,2483,288,2495,288,2501,289,2512,294,2517,297,2525,305,2529,310,2533,321,2534,327,2534,339,2533,345,2529,356,2525,361,2517,369,2512,372,2501,377,2495,378xm2675,378l2663,378,2657,377,2646,372,2641,369,2633,361,2630,356,2625,345,2624,339,2624,327,2625,321,2630,310,2633,305,2641,297,2646,294,2657,289,2663,288,2675,288,2681,289,2692,294,2697,297,2705,305,2708,310,2713,321,2714,327,2714,339,2713,345,2708,356,2705,361,2697,369,2692,372,2681,377,2675,378xm2855,378l2843,378,2837,377,2826,372,2821,369,2813,361,2810,356,2805,345,2804,339,2804,327,2805,321,2810,310,2813,305,2821,297,2826,294,2837,289,2843,288,2855,288,2861,289,2872,294,2877,297,2885,305,2888,310,2893,321,2894,327,2894,339,2893,345,2888,356,2885,361,2877,369,2872,372,2861,377,2855,378xe" filled="true" fillcolor="#2b816f" stroked="false">
                <v:path arrowok="t"/>
                <v:fill type="solid"/>
                <w10:wrap type="topAndBottom"/>
              </v:shape>
            </w:pict>
          </mc:Fallback>
        </mc:AlternateContent>
      </w:r>
    </w:p>
    <w:p>
      <w:pPr>
        <w:spacing w:line="256" w:lineRule="auto" w:before="78"/>
        <w:ind w:left="99" w:right="255" w:firstLine="0"/>
        <w:jc w:val="left"/>
        <w:rPr>
          <w:sz w:val="22"/>
        </w:rPr>
      </w:pPr>
      <w:r>
        <w:rPr>
          <w:rFonts w:ascii="Arial"/>
          <w:b/>
          <w:color w:val="2B816F"/>
          <w:sz w:val="22"/>
        </w:rPr>
        <w:t>FIGURE 21.6 </w:t>
      </w:r>
      <w:r>
        <w:rPr>
          <w:sz w:val="22"/>
        </w:rPr>
        <w:t>Adapted and modified from Harlow SD, Gass M, Hall JE, et al; STRAW + 10 Collaborative Group. Executive summary of the stages of reproductive aging workshop + 10: addressing the unfinished agenda of staging reproductive aging. </w:t>
      </w:r>
      <w:r>
        <w:rPr>
          <w:i/>
          <w:sz w:val="22"/>
        </w:rPr>
        <w:t>Climacteric</w:t>
      </w:r>
      <w:r>
        <w:rPr>
          <w:sz w:val="22"/>
        </w:rPr>
        <w:t>. 2012;15(2):105-</w:t>
      </w:r>
      <w:r>
        <w:rPr>
          <w:sz w:val="22"/>
        </w:rPr>
        <w:t>114.</w:t>
      </w:r>
    </w:p>
    <w:p>
      <w:pPr>
        <w:pStyle w:val="BodyText"/>
        <w:spacing w:before="194"/>
        <w:ind w:left="0"/>
        <w:jc w:val="left"/>
        <w:rPr>
          <w:sz w:val="22"/>
        </w:rPr>
      </w:pPr>
    </w:p>
    <w:p>
      <w:pPr>
        <w:spacing w:before="0"/>
        <w:ind w:left="99" w:right="0" w:firstLine="0"/>
        <w:jc w:val="left"/>
        <w:rPr>
          <w:rFonts w:ascii="Arial" w:hAnsi="Arial"/>
          <w:b/>
          <w:i/>
          <w:sz w:val="22"/>
        </w:rPr>
      </w:pPr>
      <w:r>
        <w:rPr>
          <w:rFonts w:ascii="Arial" w:hAnsi="Arial"/>
          <w:b/>
          <w:i/>
          <w:color w:val="A0234E"/>
          <w:sz w:val="22"/>
        </w:rPr>
        <w:t>Early</w:t>
      </w:r>
      <w:r>
        <w:rPr>
          <w:rFonts w:ascii="Arial" w:hAnsi="Arial"/>
          <w:b/>
          <w:i/>
          <w:color w:val="A0234E"/>
          <w:spacing w:val="14"/>
          <w:sz w:val="22"/>
        </w:rPr>
        <w:t> </w:t>
      </w:r>
      <w:r>
        <w:rPr>
          <w:rFonts w:ascii="Arial" w:hAnsi="Arial"/>
          <w:b/>
          <w:i/>
          <w:color w:val="A0234E"/>
          <w:sz w:val="22"/>
        </w:rPr>
        <w:t>Menopausal</w:t>
      </w:r>
      <w:r>
        <w:rPr>
          <w:rFonts w:ascii="Arial" w:hAnsi="Arial"/>
          <w:b/>
          <w:i/>
          <w:color w:val="A0234E"/>
          <w:spacing w:val="15"/>
          <w:sz w:val="22"/>
        </w:rPr>
        <w:t> </w:t>
      </w:r>
      <w:r>
        <w:rPr>
          <w:rFonts w:ascii="Arial" w:hAnsi="Arial"/>
          <w:b/>
          <w:i/>
          <w:color w:val="A0234E"/>
          <w:sz w:val="22"/>
        </w:rPr>
        <w:t>Transition</w:t>
      </w:r>
      <w:r>
        <w:rPr>
          <w:rFonts w:ascii="Arial" w:hAnsi="Arial"/>
          <w:b/>
          <w:i/>
          <w:color w:val="A0234E"/>
          <w:spacing w:val="15"/>
          <w:sz w:val="22"/>
        </w:rPr>
        <w:t> </w:t>
      </w:r>
      <w:r>
        <w:rPr>
          <w:rFonts w:ascii="Arial" w:hAnsi="Arial"/>
          <w:b/>
          <w:i/>
          <w:color w:val="A0234E"/>
          <w:sz w:val="22"/>
        </w:rPr>
        <w:t>(STRAW</w:t>
      </w:r>
      <w:r>
        <w:rPr>
          <w:rFonts w:ascii="Arial" w:hAnsi="Arial"/>
          <w:b/>
          <w:i/>
          <w:color w:val="A0234E"/>
          <w:spacing w:val="15"/>
          <w:sz w:val="22"/>
        </w:rPr>
        <w:t> </w:t>
      </w:r>
      <w:r>
        <w:rPr>
          <w:rFonts w:ascii="Arial" w:hAnsi="Arial"/>
          <w:b/>
          <w:i/>
          <w:color w:val="A0234E"/>
          <w:sz w:val="22"/>
        </w:rPr>
        <w:t>Stage</w:t>
      </w:r>
      <w:r>
        <w:rPr>
          <w:rFonts w:ascii="Arial" w:hAnsi="Arial"/>
          <w:b/>
          <w:i/>
          <w:color w:val="A0234E"/>
          <w:spacing w:val="15"/>
          <w:sz w:val="22"/>
        </w:rPr>
        <w:t> </w:t>
      </w:r>
      <w:r>
        <w:rPr>
          <w:rFonts w:ascii="Arial" w:hAnsi="Arial"/>
          <w:b/>
          <w:i/>
          <w:color w:val="A0234E"/>
          <w:spacing w:val="-5"/>
          <w:sz w:val="22"/>
        </w:rPr>
        <w:t>−2)</w:t>
      </w:r>
    </w:p>
    <w:p>
      <w:pPr>
        <w:pStyle w:val="BodyText"/>
        <w:spacing w:line="249" w:lineRule="auto" w:before="124"/>
        <w:ind w:right="104"/>
      </w:pPr>
      <w:r>
        <w:rPr/>
        <w:t>This stage is characterized by increasing irregularity of the menstrual cycle length. This irregularity is defined as a recurrence of 7-day difference </w:t>
      </w:r>
      <w:r>
        <w:rPr/>
        <w:t>in cycle length over 10 cycles. This stage is also characterized by variable elevations in early follicular phase FSH levels, with persistently low AMH levels and low AFC.</w:t>
      </w:r>
      <w:r>
        <w:rPr>
          <w:vertAlign w:val="superscript"/>
        </w:rPr>
        <w:t>42</w:t>
      </w:r>
    </w:p>
    <w:p>
      <w:pPr>
        <w:spacing w:before="305"/>
        <w:ind w:left="99" w:right="0" w:firstLine="0"/>
        <w:jc w:val="both"/>
        <w:rPr>
          <w:rFonts w:ascii="Arial" w:hAnsi="Arial"/>
          <w:b/>
          <w:i/>
          <w:sz w:val="22"/>
        </w:rPr>
      </w:pPr>
      <w:r>
        <w:rPr>
          <w:rFonts w:ascii="Arial" w:hAnsi="Arial"/>
          <w:b/>
          <w:i/>
          <w:color w:val="A0234E"/>
          <w:sz w:val="22"/>
        </w:rPr>
        <w:t>Late</w:t>
      </w:r>
      <w:r>
        <w:rPr>
          <w:rFonts w:ascii="Arial" w:hAnsi="Arial"/>
          <w:b/>
          <w:i/>
          <w:color w:val="A0234E"/>
          <w:spacing w:val="14"/>
          <w:sz w:val="22"/>
        </w:rPr>
        <w:t> </w:t>
      </w:r>
      <w:r>
        <w:rPr>
          <w:rFonts w:ascii="Arial" w:hAnsi="Arial"/>
          <w:b/>
          <w:i/>
          <w:color w:val="A0234E"/>
          <w:sz w:val="22"/>
        </w:rPr>
        <w:t>Menopausal</w:t>
      </w:r>
      <w:r>
        <w:rPr>
          <w:rFonts w:ascii="Arial" w:hAnsi="Arial"/>
          <w:b/>
          <w:i/>
          <w:color w:val="A0234E"/>
          <w:spacing w:val="14"/>
          <w:sz w:val="22"/>
        </w:rPr>
        <w:t> </w:t>
      </w:r>
      <w:r>
        <w:rPr>
          <w:rFonts w:ascii="Arial" w:hAnsi="Arial"/>
          <w:b/>
          <w:i/>
          <w:color w:val="A0234E"/>
          <w:sz w:val="22"/>
        </w:rPr>
        <w:t>Transition</w:t>
      </w:r>
      <w:r>
        <w:rPr>
          <w:rFonts w:ascii="Arial" w:hAnsi="Arial"/>
          <w:b/>
          <w:i/>
          <w:color w:val="A0234E"/>
          <w:spacing w:val="15"/>
          <w:sz w:val="22"/>
        </w:rPr>
        <w:t> </w:t>
      </w:r>
      <w:r>
        <w:rPr>
          <w:rFonts w:ascii="Arial" w:hAnsi="Arial"/>
          <w:b/>
          <w:i/>
          <w:color w:val="A0234E"/>
          <w:sz w:val="22"/>
        </w:rPr>
        <w:t>(STRAW</w:t>
      </w:r>
      <w:r>
        <w:rPr>
          <w:rFonts w:ascii="Arial" w:hAnsi="Arial"/>
          <w:b/>
          <w:i/>
          <w:color w:val="A0234E"/>
          <w:spacing w:val="14"/>
          <w:sz w:val="22"/>
        </w:rPr>
        <w:t> </w:t>
      </w:r>
      <w:r>
        <w:rPr>
          <w:rFonts w:ascii="Arial" w:hAnsi="Arial"/>
          <w:b/>
          <w:i/>
          <w:color w:val="A0234E"/>
          <w:sz w:val="22"/>
        </w:rPr>
        <w:t>Stage</w:t>
      </w:r>
      <w:r>
        <w:rPr>
          <w:rFonts w:ascii="Arial" w:hAnsi="Arial"/>
          <w:b/>
          <w:i/>
          <w:color w:val="A0234E"/>
          <w:spacing w:val="15"/>
          <w:sz w:val="22"/>
        </w:rPr>
        <w:t> </w:t>
      </w:r>
      <w:r>
        <w:rPr>
          <w:rFonts w:ascii="Arial" w:hAnsi="Arial"/>
          <w:b/>
          <w:i/>
          <w:color w:val="A0234E"/>
          <w:spacing w:val="-5"/>
          <w:sz w:val="22"/>
        </w:rPr>
        <w:t>−1)</w:t>
      </w:r>
    </w:p>
    <w:p>
      <w:pPr>
        <w:pStyle w:val="BodyText"/>
        <w:spacing w:line="249" w:lineRule="auto" w:before="123"/>
        <w:ind w:right="98"/>
      </w:pPr>
      <w:r>
        <w:rPr/>
        <w:t>The late menopausal transition is characterized by missed menses with periods of amenorrhea lasting at least 60 days. This degree of irregularity in menstrual cycles is due to variability in reproductive hormonal levels and </w:t>
      </w:r>
      <w:r>
        <w:rPr/>
        <w:t>a high incidence of anovulatory cycles. FSH levels are elevated, often to above 25 IU/L. In contrast, AMH and inhibin B levels are often undetectable.</w:t>
      </w:r>
      <w:r>
        <w:rPr>
          <w:spacing w:val="-4"/>
        </w:rPr>
        <w:t> </w:t>
      </w:r>
      <w:r>
        <w:rPr/>
        <w:t>Serum levels of LH may still be in the normal premenopausal range. Estradiol levels can vary from low to even high.</w:t>
      </w:r>
      <w:r>
        <w:rPr>
          <w:vertAlign w:val="superscript"/>
        </w:rPr>
        <w:t>43-49</w:t>
      </w:r>
      <w:r>
        <w:rPr>
          <w:vertAlign w:val="baseline"/>
        </w:rPr>
        <w:t> The persistent hypoestrogenemia that is an endocrinologic hallmark of menopause may</w:t>
      </w:r>
      <w:r>
        <w:rPr>
          <w:spacing w:val="40"/>
          <w:vertAlign w:val="baseline"/>
        </w:rPr>
        <w:t> </w:t>
      </w:r>
      <w:r>
        <w:rPr>
          <w:vertAlign w:val="baseline"/>
        </w:rPr>
        <w:t>not be reached until late in this stage prior to the FMP </w:t>
      </w:r>
      <w:r>
        <w:rPr>
          <w:b/>
          <w:color w:val="256E60"/>
          <w:vertAlign w:val="baseline"/>
        </w:rPr>
        <w:t>(Figure 21.7)</w:t>
      </w:r>
      <w:r>
        <w:rPr>
          <w:vertAlign w:val="baseline"/>
        </w:rPr>
        <w:t>. An exaggerated response of the residual ovarian follicles to elevated circulating levels of FSH, and thereby multifollicular recruitment and growth, are mechanisms</w:t>
      </w:r>
      <w:r>
        <w:rPr>
          <w:spacing w:val="53"/>
          <w:vertAlign w:val="baseline"/>
        </w:rPr>
        <w:t> </w:t>
      </w:r>
      <w:r>
        <w:rPr>
          <w:vertAlign w:val="baseline"/>
        </w:rPr>
        <w:t>to</w:t>
      </w:r>
      <w:r>
        <w:rPr>
          <w:spacing w:val="53"/>
          <w:vertAlign w:val="baseline"/>
        </w:rPr>
        <w:t> </w:t>
      </w:r>
      <w:r>
        <w:rPr>
          <w:vertAlign w:val="baseline"/>
        </w:rPr>
        <w:t>explain</w:t>
      </w:r>
      <w:r>
        <w:rPr>
          <w:spacing w:val="53"/>
          <w:vertAlign w:val="baseline"/>
        </w:rPr>
        <w:t> </w:t>
      </w:r>
      <w:r>
        <w:rPr>
          <w:vertAlign w:val="baseline"/>
        </w:rPr>
        <w:t>elevations</w:t>
      </w:r>
      <w:r>
        <w:rPr>
          <w:spacing w:val="53"/>
          <w:vertAlign w:val="baseline"/>
        </w:rPr>
        <w:t> </w:t>
      </w:r>
      <w:r>
        <w:rPr>
          <w:vertAlign w:val="baseline"/>
        </w:rPr>
        <w:t>in</w:t>
      </w:r>
      <w:r>
        <w:rPr>
          <w:spacing w:val="53"/>
          <w:vertAlign w:val="baseline"/>
        </w:rPr>
        <w:t> </w:t>
      </w:r>
      <w:r>
        <w:rPr>
          <w:vertAlign w:val="baseline"/>
        </w:rPr>
        <w:t>estradiol</w:t>
      </w:r>
      <w:r>
        <w:rPr>
          <w:spacing w:val="53"/>
          <w:vertAlign w:val="baseline"/>
        </w:rPr>
        <w:t> </w:t>
      </w:r>
      <w:r>
        <w:rPr>
          <w:vertAlign w:val="baseline"/>
        </w:rPr>
        <w:t>that</w:t>
      </w:r>
      <w:r>
        <w:rPr>
          <w:spacing w:val="53"/>
          <w:vertAlign w:val="baseline"/>
        </w:rPr>
        <w:t> </w:t>
      </w:r>
      <w:r>
        <w:rPr>
          <w:vertAlign w:val="baseline"/>
        </w:rPr>
        <w:t>may</w:t>
      </w:r>
      <w:r>
        <w:rPr>
          <w:spacing w:val="53"/>
          <w:vertAlign w:val="baseline"/>
        </w:rPr>
        <w:t> </w:t>
      </w:r>
      <w:r>
        <w:rPr>
          <w:vertAlign w:val="baseline"/>
        </w:rPr>
        <w:t>be</w:t>
      </w:r>
      <w:r>
        <w:rPr>
          <w:spacing w:val="53"/>
          <w:vertAlign w:val="baseline"/>
        </w:rPr>
        <w:t> </w:t>
      </w:r>
      <w:r>
        <w:rPr>
          <w:spacing w:val="-2"/>
          <w:vertAlign w:val="baseline"/>
        </w:rPr>
        <w:t>inconsistently</w:t>
      </w:r>
    </w:p>
    <w:p>
      <w:pPr>
        <w:pStyle w:val="BodyText"/>
        <w:spacing w:after="0" w:line="249" w:lineRule="auto"/>
        <w:sectPr>
          <w:pgSz w:w="12240" w:h="15840"/>
          <w:pgMar w:top="1440" w:bottom="280" w:left="1440" w:right="1440"/>
        </w:sectPr>
      </w:pPr>
    </w:p>
    <w:p>
      <w:pPr>
        <w:pStyle w:val="BodyText"/>
        <w:spacing w:line="249" w:lineRule="auto"/>
        <w:ind w:right="98"/>
      </w:pPr>
      <w:r>
        <w:rPr/>
        <w:t>noticeable. The persistent hypoestrogenemia, one of the </w:t>
      </w:r>
      <w:r>
        <w:rPr/>
        <w:t>endocrinologic hallmarks of the menopausal state, may not be reached until late in this stage.</w:t>
      </w:r>
      <w:r>
        <w:rPr>
          <w:spacing w:val="-3"/>
        </w:rPr>
        <w:t> </w:t>
      </w:r>
      <w:r>
        <w:rPr/>
        <w:t>This stage can last 1 to 3 years and is when the vasomotor symptoms (VMS), such as hot flushes and night sweats, often begin to occur.</w:t>
      </w:r>
      <w:r>
        <w:rPr>
          <w:vertAlign w:val="superscript"/>
        </w:rPr>
        <w:t>42</w:t>
      </w:r>
    </w:p>
    <w:p>
      <w:pPr>
        <w:spacing w:before="303"/>
        <w:ind w:left="99" w:right="0" w:firstLine="0"/>
        <w:jc w:val="both"/>
        <w:rPr>
          <w:rFonts w:ascii="Arial"/>
          <w:b/>
          <w:i/>
          <w:sz w:val="22"/>
        </w:rPr>
      </w:pPr>
      <w:r>
        <w:rPr>
          <w:rFonts w:ascii="Arial"/>
          <w:b/>
          <w:i/>
          <w:color w:val="A0234E"/>
          <w:sz w:val="22"/>
        </w:rPr>
        <w:t>Early</w:t>
      </w:r>
      <w:r>
        <w:rPr>
          <w:rFonts w:ascii="Arial"/>
          <w:b/>
          <w:i/>
          <w:color w:val="A0234E"/>
          <w:spacing w:val="14"/>
          <w:sz w:val="22"/>
        </w:rPr>
        <w:t> </w:t>
      </w:r>
      <w:r>
        <w:rPr>
          <w:rFonts w:ascii="Arial"/>
          <w:b/>
          <w:i/>
          <w:color w:val="A0234E"/>
          <w:sz w:val="22"/>
        </w:rPr>
        <w:t>Postmenopause</w:t>
      </w:r>
      <w:r>
        <w:rPr>
          <w:rFonts w:ascii="Arial"/>
          <w:b/>
          <w:i/>
          <w:color w:val="A0234E"/>
          <w:spacing w:val="14"/>
          <w:sz w:val="22"/>
        </w:rPr>
        <w:t> </w:t>
      </w:r>
      <w:r>
        <w:rPr>
          <w:rFonts w:ascii="Arial"/>
          <w:b/>
          <w:i/>
          <w:color w:val="A0234E"/>
          <w:sz w:val="22"/>
        </w:rPr>
        <w:t>(STRAW</w:t>
      </w:r>
      <w:r>
        <w:rPr>
          <w:rFonts w:ascii="Arial"/>
          <w:b/>
          <w:i/>
          <w:color w:val="A0234E"/>
          <w:spacing w:val="14"/>
          <w:sz w:val="22"/>
        </w:rPr>
        <w:t> </w:t>
      </w:r>
      <w:r>
        <w:rPr>
          <w:rFonts w:ascii="Arial"/>
          <w:b/>
          <w:i/>
          <w:color w:val="A0234E"/>
          <w:sz w:val="22"/>
        </w:rPr>
        <w:t>Stage</w:t>
      </w:r>
      <w:r>
        <w:rPr>
          <w:rFonts w:ascii="Arial"/>
          <w:b/>
          <w:i/>
          <w:color w:val="A0234E"/>
          <w:spacing w:val="14"/>
          <w:sz w:val="22"/>
        </w:rPr>
        <w:t> </w:t>
      </w:r>
      <w:r>
        <w:rPr>
          <w:rFonts w:ascii="Arial"/>
          <w:b/>
          <w:i/>
          <w:color w:val="A0234E"/>
          <w:sz w:val="22"/>
        </w:rPr>
        <w:t>1,</w:t>
      </w:r>
      <w:r>
        <w:rPr>
          <w:rFonts w:ascii="Arial"/>
          <w:b/>
          <w:i/>
          <w:color w:val="A0234E"/>
          <w:spacing w:val="14"/>
          <w:sz w:val="22"/>
        </w:rPr>
        <w:t> </w:t>
      </w:r>
      <w:r>
        <w:rPr>
          <w:rFonts w:ascii="Arial"/>
          <w:b/>
          <w:i/>
          <w:color w:val="A0234E"/>
          <w:sz w:val="22"/>
        </w:rPr>
        <w:t>Substages</w:t>
      </w:r>
      <w:r>
        <w:rPr>
          <w:rFonts w:ascii="Arial"/>
          <w:b/>
          <w:i/>
          <w:color w:val="A0234E"/>
          <w:spacing w:val="14"/>
          <w:sz w:val="22"/>
        </w:rPr>
        <w:t> </w:t>
      </w:r>
      <w:r>
        <w:rPr>
          <w:rFonts w:ascii="Arial"/>
          <w:b/>
          <w:i/>
          <w:color w:val="A0234E"/>
          <w:sz w:val="22"/>
        </w:rPr>
        <w:t>+1a,</w:t>
      </w:r>
      <w:r>
        <w:rPr>
          <w:rFonts w:ascii="Arial"/>
          <w:b/>
          <w:i/>
          <w:color w:val="A0234E"/>
          <w:spacing w:val="14"/>
          <w:sz w:val="22"/>
        </w:rPr>
        <w:t> </w:t>
      </w:r>
      <w:r>
        <w:rPr>
          <w:rFonts w:ascii="Arial"/>
          <w:b/>
          <w:i/>
          <w:color w:val="A0234E"/>
          <w:sz w:val="22"/>
        </w:rPr>
        <w:t>+1b,</w:t>
      </w:r>
      <w:r>
        <w:rPr>
          <w:rFonts w:ascii="Arial"/>
          <w:b/>
          <w:i/>
          <w:color w:val="A0234E"/>
          <w:spacing w:val="14"/>
          <w:sz w:val="22"/>
        </w:rPr>
        <w:t> </w:t>
      </w:r>
      <w:r>
        <w:rPr>
          <w:rFonts w:ascii="Arial"/>
          <w:b/>
          <w:i/>
          <w:color w:val="A0234E"/>
          <w:spacing w:val="-4"/>
          <w:sz w:val="22"/>
        </w:rPr>
        <w:t>+1c)</w:t>
      </w:r>
    </w:p>
    <w:p>
      <w:pPr>
        <w:pStyle w:val="BodyText"/>
        <w:spacing w:line="249" w:lineRule="auto" w:before="124"/>
        <w:ind w:right="99"/>
      </w:pPr>
      <w:r>
        <w:rPr/>
        <w:t>In early postmenopause, FSH levels continue to rise, while estradiol </w:t>
      </w:r>
      <w:r>
        <w:rPr/>
        <w:t>levels decline until 2 years after the FMP, after which these hormone levels stabilize. The substages +1a and +1b in early menopause last 1 year each and culminate once fluctuations in FSH levels stabilize. </w:t>
      </w:r>
      <w:r>
        <w:rPr>
          <w:b/>
        </w:rPr>
        <w:t>Stage </w:t>
      </w:r>
      <w:r>
        <w:rPr/>
        <w:t>+</w:t>
      </w:r>
      <w:r>
        <w:rPr>
          <w:b/>
        </w:rPr>
        <w:t>1a marks the completion of the 12-month interval required to define the FMP</w:t>
      </w:r>
      <w:r>
        <w:rPr/>
        <w:t>. This substage also marks the end of the </w:t>
      </w:r>
      <w:r>
        <w:rPr>
          <w:i/>
        </w:rPr>
        <w:t>perimenopause </w:t>
      </w:r>
      <w:r>
        <w:rPr/>
        <w:t>(ie, the time near menopause, which starts at stage −2 and ends 12 at months following the FMP).</w:t>
      </w:r>
      <w:r>
        <w:rPr>
          <w:vertAlign w:val="superscript"/>
        </w:rPr>
        <w:t>42</w:t>
      </w:r>
      <w:r>
        <w:rPr>
          <w:vertAlign w:val="baseline"/>
        </w:rPr>
        <w:t> Blood levels of FSH and estradiol can continue to fluctuate somewhat during stage +1b. VMS are most common in stages +1a and +1b. It is in stage +1c that the elevated FSH and low estradiol levels become the new</w:t>
      </w:r>
      <w:r>
        <w:rPr>
          <w:spacing w:val="-3"/>
          <w:vertAlign w:val="baseline"/>
        </w:rPr>
        <w:t> </w:t>
      </w:r>
      <w:r>
        <w:rPr>
          <w:vertAlign w:val="baseline"/>
        </w:rPr>
        <w:t>normal.</w:t>
      </w:r>
      <w:r>
        <w:rPr>
          <w:spacing w:val="-3"/>
          <w:vertAlign w:val="baseline"/>
        </w:rPr>
        <w:t> </w:t>
      </w:r>
      <w:r>
        <w:rPr>
          <w:vertAlign w:val="baseline"/>
        </w:rPr>
        <w:t>This</w:t>
      </w:r>
      <w:r>
        <w:rPr>
          <w:spacing w:val="-3"/>
          <w:vertAlign w:val="baseline"/>
        </w:rPr>
        <w:t> </w:t>
      </w:r>
      <w:r>
        <w:rPr>
          <w:vertAlign w:val="baseline"/>
        </w:rPr>
        <w:t>substage</w:t>
      </w:r>
      <w:r>
        <w:rPr>
          <w:spacing w:val="-3"/>
          <w:vertAlign w:val="baseline"/>
        </w:rPr>
        <w:t> </w:t>
      </w:r>
      <w:r>
        <w:rPr>
          <w:vertAlign w:val="baseline"/>
        </w:rPr>
        <w:t>can</w:t>
      </w:r>
      <w:r>
        <w:rPr>
          <w:spacing w:val="-3"/>
          <w:vertAlign w:val="baseline"/>
        </w:rPr>
        <w:t> </w:t>
      </w:r>
      <w:r>
        <w:rPr>
          <w:vertAlign w:val="baseline"/>
        </w:rPr>
        <w:t>last</w:t>
      </w:r>
      <w:r>
        <w:rPr>
          <w:spacing w:val="-3"/>
          <w:vertAlign w:val="baseline"/>
        </w:rPr>
        <w:t> </w:t>
      </w:r>
      <w:r>
        <w:rPr>
          <w:vertAlign w:val="baseline"/>
        </w:rPr>
        <w:t>for</w:t>
      </w:r>
      <w:r>
        <w:rPr>
          <w:spacing w:val="-3"/>
          <w:vertAlign w:val="baseline"/>
        </w:rPr>
        <w:t> </w:t>
      </w:r>
      <w:r>
        <w:rPr>
          <w:vertAlign w:val="baseline"/>
        </w:rPr>
        <w:t>up</w:t>
      </w:r>
      <w:r>
        <w:rPr>
          <w:spacing w:val="-3"/>
          <w:vertAlign w:val="baseline"/>
        </w:rPr>
        <w:t> </w:t>
      </w:r>
      <w:r>
        <w:rPr>
          <w:vertAlign w:val="baseline"/>
        </w:rPr>
        <w:t>to</w:t>
      </w:r>
      <w:r>
        <w:rPr>
          <w:spacing w:val="-3"/>
          <w:vertAlign w:val="baseline"/>
        </w:rPr>
        <w:t> </w:t>
      </w:r>
      <w:r>
        <w:rPr>
          <w:vertAlign w:val="baseline"/>
        </w:rPr>
        <w:t>3</w:t>
      </w:r>
      <w:r>
        <w:rPr>
          <w:spacing w:val="-3"/>
          <w:vertAlign w:val="baseline"/>
        </w:rPr>
        <w:t> </w:t>
      </w:r>
      <w:r>
        <w:rPr>
          <w:vertAlign w:val="baseline"/>
        </w:rPr>
        <w:t>to</w:t>
      </w:r>
      <w:r>
        <w:rPr>
          <w:spacing w:val="-3"/>
          <w:vertAlign w:val="baseline"/>
        </w:rPr>
        <w:t> </w:t>
      </w:r>
      <w:r>
        <w:rPr>
          <w:vertAlign w:val="baseline"/>
        </w:rPr>
        <w:t>6</w:t>
      </w:r>
      <w:r>
        <w:rPr>
          <w:spacing w:val="-3"/>
          <w:vertAlign w:val="baseline"/>
        </w:rPr>
        <w:t> </w:t>
      </w:r>
      <w:r>
        <w:rPr>
          <w:vertAlign w:val="baseline"/>
        </w:rPr>
        <w:t>years.</w:t>
      </w:r>
      <w:r>
        <w:rPr>
          <w:spacing w:val="-3"/>
          <w:vertAlign w:val="baseline"/>
        </w:rPr>
        <w:t> </w:t>
      </w:r>
      <w:r>
        <w:rPr>
          <w:vertAlign w:val="baseline"/>
        </w:rPr>
        <w:t>As</w:t>
      </w:r>
      <w:r>
        <w:rPr>
          <w:spacing w:val="-3"/>
          <w:vertAlign w:val="baseline"/>
        </w:rPr>
        <w:t> </w:t>
      </w:r>
      <w:r>
        <w:rPr>
          <w:vertAlign w:val="baseline"/>
        </w:rPr>
        <w:t>such,</w:t>
      </w:r>
      <w:r>
        <w:rPr>
          <w:spacing w:val="-3"/>
          <w:vertAlign w:val="baseline"/>
        </w:rPr>
        <w:t> </w:t>
      </w:r>
      <w:r>
        <w:rPr>
          <w:vertAlign w:val="baseline"/>
        </w:rPr>
        <w:t>the</w:t>
      </w:r>
      <w:r>
        <w:rPr>
          <w:spacing w:val="-3"/>
          <w:vertAlign w:val="baseline"/>
        </w:rPr>
        <w:t> </w:t>
      </w:r>
      <w:r>
        <w:rPr>
          <w:vertAlign w:val="baseline"/>
        </w:rPr>
        <w:t>entire early postmenopause stage spans a total of 5 to 8 years.</w:t>
      </w:r>
      <w:r>
        <w:rPr>
          <w:vertAlign w:val="superscript"/>
        </w:rPr>
        <w:t>42</w:t>
      </w:r>
    </w:p>
    <w:p>
      <w:pPr>
        <w:spacing w:before="313"/>
        <w:ind w:left="99" w:right="0" w:firstLine="0"/>
        <w:jc w:val="both"/>
        <w:rPr>
          <w:rFonts w:ascii="Arial"/>
          <w:b/>
          <w:i/>
          <w:sz w:val="22"/>
        </w:rPr>
      </w:pPr>
      <w:r>
        <w:rPr>
          <w:rFonts w:ascii="Arial"/>
          <w:b/>
          <w:i/>
          <w:color w:val="A0234E"/>
          <w:sz w:val="22"/>
        </w:rPr>
        <w:t>Late</w:t>
      </w:r>
      <w:r>
        <w:rPr>
          <w:rFonts w:ascii="Arial"/>
          <w:b/>
          <w:i/>
          <w:color w:val="A0234E"/>
          <w:spacing w:val="19"/>
          <w:sz w:val="22"/>
        </w:rPr>
        <w:t> </w:t>
      </w:r>
      <w:r>
        <w:rPr>
          <w:rFonts w:ascii="Arial"/>
          <w:b/>
          <w:i/>
          <w:color w:val="A0234E"/>
          <w:sz w:val="22"/>
        </w:rPr>
        <w:t>Postmenopause</w:t>
      </w:r>
      <w:r>
        <w:rPr>
          <w:rFonts w:ascii="Arial"/>
          <w:b/>
          <w:i/>
          <w:color w:val="A0234E"/>
          <w:spacing w:val="20"/>
          <w:sz w:val="22"/>
        </w:rPr>
        <w:t> </w:t>
      </w:r>
      <w:r>
        <w:rPr>
          <w:rFonts w:ascii="Arial"/>
          <w:b/>
          <w:i/>
          <w:color w:val="A0234E"/>
          <w:sz w:val="22"/>
        </w:rPr>
        <w:t>(Stage</w:t>
      </w:r>
      <w:r>
        <w:rPr>
          <w:rFonts w:ascii="Arial"/>
          <w:b/>
          <w:i/>
          <w:color w:val="A0234E"/>
          <w:spacing w:val="20"/>
          <w:sz w:val="22"/>
        </w:rPr>
        <w:t> </w:t>
      </w:r>
      <w:r>
        <w:rPr>
          <w:rFonts w:ascii="Arial"/>
          <w:b/>
          <w:i/>
          <w:color w:val="A0234E"/>
          <w:spacing w:val="-5"/>
          <w:sz w:val="22"/>
        </w:rPr>
        <w:t>+2)</w:t>
      </w:r>
    </w:p>
    <w:p>
      <w:pPr>
        <w:pStyle w:val="BodyText"/>
        <w:spacing w:line="249" w:lineRule="auto" w:before="123"/>
        <w:ind w:right="99"/>
      </w:pPr>
      <w:r>
        <w:rPr/>
        <w:t>During</w:t>
      </w:r>
      <w:r>
        <w:rPr>
          <w:spacing w:val="-3"/>
        </w:rPr>
        <w:t> </w:t>
      </w:r>
      <w:r>
        <w:rPr/>
        <w:t>this</w:t>
      </w:r>
      <w:r>
        <w:rPr>
          <w:spacing w:val="-3"/>
        </w:rPr>
        <w:t> </w:t>
      </w:r>
      <w:r>
        <w:rPr/>
        <w:t>stage,</w:t>
      </w:r>
      <w:r>
        <w:rPr>
          <w:spacing w:val="-3"/>
        </w:rPr>
        <w:t> </w:t>
      </w:r>
      <w:r>
        <w:rPr/>
        <w:t>reproductive</w:t>
      </w:r>
      <w:r>
        <w:rPr>
          <w:spacing w:val="-3"/>
        </w:rPr>
        <w:t> </w:t>
      </w:r>
      <w:r>
        <w:rPr/>
        <w:t>hormone</w:t>
      </w:r>
      <w:r>
        <w:rPr>
          <w:spacing w:val="-3"/>
        </w:rPr>
        <w:t> </w:t>
      </w:r>
      <w:r>
        <w:rPr/>
        <w:t>levels</w:t>
      </w:r>
      <w:r>
        <w:rPr>
          <w:spacing w:val="-3"/>
        </w:rPr>
        <w:t> </w:t>
      </w:r>
      <w:r>
        <w:rPr/>
        <w:t>are</w:t>
      </w:r>
      <w:r>
        <w:rPr>
          <w:spacing w:val="-3"/>
        </w:rPr>
        <w:t> </w:t>
      </w:r>
      <w:r>
        <w:rPr/>
        <w:t>essentially</w:t>
      </w:r>
      <w:r>
        <w:rPr>
          <w:spacing w:val="-3"/>
        </w:rPr>
        <w:t> </w:t>
      </w:r>
      <w:r>
        <w:rPr/>
        <w:t>plateaued</w:t>
      </w:r>
      <w:r>
        <w:rPr>
          <w:spacing w:val="-3"/>
        </w:rPr>
        <w:t> </w:t>
      </w:r>
      <w:r>
        <w:rPr/>
        <w:t>and stable. While the burden of VMS eases off for many, physical symptoms attributable to lack of estrogen, such as vaginal dryness and </w:t>
      </w:r>
      <w:r>
        <w:rPr/>
        <w:t>urogenital symptoms, become more prominent at and with progression into this stage. Interestingly, FSH levels may actually decline further with advancing age, although more research is needed to confirm this observation.</w:t>
      </w:r>
      <w:r>
        <w:rPr>
          <w:vertAlign w:val="superscript"/>
        </w:rPr>
        <w:t>42</w:t>
      </w:r>
    </w:p>
    <w:p>
      <w:pPr>
        <w:pStyle w:val="BodyText"/>
        <w:spacing w:before="0"/>
        <w:ind w:left="0"/>
        <w:jc w:val="left"/>
        <w:rPr>
          <w:sz w:val="20"/>
        </w:rPr>
      </w:pPr>
    </w:p>
    <w:p>
      <w:pPr>
        <w:pStyle w:val="BodyText"/>
        <w:spacing w:before="119"/>
        <w:ind w:left="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981075</wp:posOffset>
                </wp:positionH>
                <wp:positionV relativeFrom="paragraph">
                  <wp:posOffset>236939</wp:posOffset>
                </wp:positionV>
                <wp:extent cx="285750" cy="571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85750" cy="57150"/>
                        </a:xfrm>
                        <a:custGeom>
                          <a:avLst/>
                          <a:gdLst/>
                          <a:ahLst/>
                          <a:cxnLst/>
                          <a:rect l="l" t="t" r="r" b="b"/>
                          <a:pathLst>
                            <a:path w="285750" h="57150">
                              <a:moveTo>
                                <a:pt x="32364" y="57140"/>
                              </a:moveTo>
                              <a:lnTo>
                                <a:pt x="24785" y="57140"/>
                              </a:lnTo>
                              <a:lnTo>
                                <a:pt x="21140" y="56406"/>
                              </a:lnTo>
                              <a:lnTo>
                                <a:pt x="0" y="32361"/>
                              </a:lnTo>
                              <a:lnTo>
                                <a:pt x="0" y="24770"/>
                              </a:lnTo>
                              <a:lnTo>
                                <a:pt x="24785" y="0"/>
                              </a:lnTo>
                              <a:lnTo>
                                <a:pt x="32364" y="0"/>
                              </a:lnTo>
                              <a:lnTo>
                                <a:pt x="57149" y="24770"/>
                              </a:lnTo>
                              <a:lnTo>
                                <a:pt x="57149" y="32361"/>
                              </a:lnTo>
                              <a:lnTo>
                                <a:pt x="32364" y="57140"/>
                              </a:lnTo>
                              <a:close/>
                            </a:path>
                            <a:path w="285750" h="57150">
                              <a:moveTo>
                                <a:pt x="146569" y="57140"/>
                              </a:moveTo>
                              <a:lnTo>
                                <a:pt x="138990" y="57140"/>
                              </a:lnTo>
                              <a:lnTo>
                                <a:pt x="135345" y="56406"/>
                              </a:lnTo>
                              <a:lnTo>
                                <a:pt x="114204" y="32361"/>
                              </a:lnTo>
                              <a:lnTo>
                                <a:pt x="114204" y="24770"/>
                              </a:lnTo>
                              <a:lnTo>
                                <a:pt x="138990" y="0"/>
                              </a:lnTo>
                              <a:lnTo>
                                <a:pt x="146569" y="0"/>
                              </a:lnTo>
                              <a:lnTo>
                                <a:pt x="171354" y="24770"/>
                              </a:lnTo>
                              <a:lnTo>
                                <a:pt x="171354" y="32361"/>
                              </a:lnTo>
                              <a:lnTo>
                                <a:pt x="146569" y="57140"/>
                              </a:lnTo>
                              <a:close/>
                            </a:path>
                            <a:path w="285750" h="57150">
                              <a:moveTo>
                                <a:pt x="260773" y="57140"/>
                              </a:moveTo>
                              <a:lnTo>
                                <a:pt x="253195" y="57140"/>
                              </a:lnTo>
                              <a:lnTo>
                                <a:pt x="249550" y="56406"/>
                              </a:lnTo>
                              <a:lnTo>
                                <a:pt x="228409" y="32361"/>
                              </a:lnTo>
                              <a:lnTo>
                                <a:pt x="228409" y="24770"/>
                              </a:lnTo>
                              <a:lnTo>
                                <a:pt x="253195" y="0"/>
                              </a:lnTo>
                              <a:lnTo>
                                <a:pt x="260773" y="0"/>
                              </a:lnTo>
                              <a:lnTo>
                                <a:pt x="285559" y="24770"/>
                              </a:lnTo>
                              <a:lnTo>
                                <a:pt x="285559" y="32361"/>
                              </a:lnTo>
                              <a:lnTo>
                                <a:pt x="260773" y="5714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656637pt;width:22.5pt;height:4.5pt;mso-position-horizontal-relative:page;mso-position-vertical-relative:paragraph;z-index:-15718400;mso-wrap-distance-left:0;mso-wrap-distance-right:0" id="docshape17" coordorigin="1545,373" coordsize="450,90" path="m1596,463l1584,463,1578,462,1567,457,1562,454,1554,446,1551,441,1546,430,1545,424,1545,412,1546,406,1551,395,1554,391,1562,382,1567,379,1578,374,1584,373,1596,373,1602,374,1613,379,1618,382,1626,391,1629,395,1634,406,1635,412,1635,424,1634,430,1629,441,1626,446,1618,454,1613,457,1602,462,1596,463xm1776,463l1764,463,1758,462,1747,457,1742,454,1734,446,1731,441,1726,430,1725,424,1725,412,1726,406,1731,395,1734,391,1742,382,1747,379,1758,374,1764,373,1776,373,1781,374,1793,379,1797,382,1806,391,1809,395,1814,406,1815,412,1815,424,1814,430,1809,441,1806,446,1797,454,1793,457,1782,462,1776,463xm1956,463l1944,463,1938,462,1927,457,1922,454,1914,446,1910,441,1906,430,1905,424,1905,412,1906,406,1910,395,1914,391,1922,382,1927,379,1938,374,1944,373,1956,373,1961,374,1972,379,1977,382,1986,391,1989,395,1994,406,1995,412,1995,424,1994,430,1989,441,1986,446,1977,454,1972,457,1961,462,1956,463xe" filled="true" fillcolor="#bdb4d4" stroked="false">
                <v:path arrowok="t"/>
                <v:fill type="solid"/>
                <w10:wrap type="topAndBottom"/>
              </v:shape>
            </w:pict>
          </mc:Fallback>
        </mc:AlternateContent>
      </w:r>
    </w:p>
    <w:p>
      <w:pPr>
        <w:pStyle w:val="Heading3"/>
        <w:jc w:val="both"/>
      </w:pPr>
      <w:r>
        <w:rPr>
          <w:color w:val="534089"/>
        </w:rPr>
        <w:t>THE</w:t>
      </w:r>
      <w:r>
        <w:rPr>
          <w:color w:val="534089"/>
          <w:spacing w:val="-14"/>
        </w:rPr>
        <w:t> </w:t>
      </w:r>
      <w:r>
        <w:rPr>
          <w:color w:val="534089"/>
        </w:rPr>
        <w:t>MENOPAUSAL</w:t>
      </w:r>
      <w:r>
        <w:rPr>
          <w:color w:val="534089"/>
          <w:spacing w:val="-11"/>
        </w:rPr>
        <w:t> </w:t>
      </w:r>
      <w:r>
        <w:rPr>
          <w:color w:val="534089"/>
          <w:spacing w:val="-2"/>
        </w:rPr>
        <w:t>TRANSITION</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598592">
                <wp:simplePos x="0" y="0"/>
                <wp:positionH relativeFrom="page">
                  <wp:posOffset>981075</wp:posOffset>
                </wp:positionH>
                <wp:positionV relativeFrom="paragraph">
                  <wp:posOffset>45742</wp:posOffset>
                </wp:positionV>
                <wp:extent cx="5810250" cy="1905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781pt;width:457.499964pt;height:1.5pt;mso-position-horizontal-relative:page;mso-position-vertical-relative:paragraph;z-index:-15717888;mso-wrap-distance-left:0;mso-wrap-distance-right:0" id="docshape18" filled="true" fillcolor="#534089" stroked="false">
                <v:fill type="solid"/>
                <w10:wrap type="topAndBottom"/>
              </v:rect>
            </w:pict>
          </mc:Fallback>
        </mc:AlternateContent>
      </w:r>
    </w:p>
    <w:p>
      <w:pPr>
        <w:pStyle w:val="BodyText"/>
        <w:spacing w:line="249" w:lineRule="auto" w:before="215"/>
        <w:ind w:right="99"/>
      </w:pPr>
      <w:r>
        <w:rPr/>
        <w:t>There is only one marker, menstrual irregularity, that can be used </w:t>
      </w:r>
      <w:r>
        <w:rPr/>
        <w:t>to objectively define and establish what is called the menopausal transition. This irregularity will be perceived by patients as skipped menstrual periods or longer durations (~40-60 days) between periods.</w:t>
      </w:r>
      <w:r>
        <w:rPr>
          <w:vertAlign w:val="superscript"/>
        </w:rPr>
        <w:t>50</w:t>
      </w:r>
      <w:r>
        <w:rPr>
          <w:vertAlign w:val="baseline"/>
        </w:rPr>
        <w:t> There is no universal pattern; each woman will perceive a change that is her own individual characteristic alteration.</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5076825" cy="393382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5076825" cy="3933825"/>
                    </a:xfrm>
                    <a:prstGeom prst="rect">
                      <a:avLst/>
                    </a:prstGeom>
                  </pic:spPr>
                </pic:pic>
              </a:graphicData>
            </a:graphic>
          </wp:inline>
        </w:drawing>
      </w:r>
      <w:r>
        <w:rPr>
          <w:sz w:val="20"/>
        </w:rPr>
      </w:r>
    </w:p>
    <w:p>
      <w:pPr>
        <w:pStyle w:val="BodyText"/>
        <w:spacing w:before="46"/>
        <w:ind w:left="0"/>
        <w:jc w:val="left"/>
        <w:rPr>
          <w:sz w:val="20"/>
        </w:rPr>
      </w:pPr>
      <w:r>
        <w:rPr>
          <w:sz w:val="20"/>
        </w:rPr>
        <mc:AlternateContent>
          <mc:Choice Requires="wps">
            <w:drawing>
              <wp:anchor distT="0" distB="0" distL="0" distR="0" allowOverlap="1" layoutInCell="1" locked="0" behindDoc="1" simplePos="0" relativeHeight="487599104">
                <wp:simplePos x="0" y="0"/>
                <wp:positionH relativeFrom="page">
                  <wp:posOffset>981075</wp:posOffset>
                </wp:positionH>
                <wp:positionV relativeFrom="paragraph">
                  <wp:posOffset>190500</wp:posOffset>
                </wp:positionV>
                <wp:extent cx="856615" cy="571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856615" cy="57150"/>
                        </a:xfrm>
                        <a:custGeom>
                          <a:avLst/>
                          <a:gdLst/>
                          <a:ahLst/>
                          <a:cxnLst/>
                          <a:rect l="l" t="t" r="r" b="b"/>
                          <a:pathLst>
                            <a:path w="856615" h="57150">
                              <a:moveTo>
                                <a:pt x="32364" y="57140"/>
                              </a:moveTo>
                              <a:lnTo>
                                <a:pt x="24785" y="57140"/>
                              </a:lnTo>
                              <a:lnTo>
                                <a:pt x="21140" y="56415"/>
                              </a:lnTo>
                              <a:lnTo>
                                <a:pt x="0" y="32361"/>
                              </a:lnTo>
                              <a:lnTo>
                                <a:pt x="0" y="24770"/>
                              </a:lnTo>
                              <a:lnTo>
                                <a:pt x="24785" y="0"/>
                              </a:lnTo>
                              <a:lnTo>
                                <a:pt x="32364" y="0"/>
                              </a:lnTo>
                              <a:lnTo>
                                <a:pt x="57149" y="24770"/>
                              </a:lnTo>
                              <a:lnTo>
                                <a:pt x="57149" y="32361"/>
                              </a:lnTo>
                              <a:lnTo>
                                <a:pt x="32364" y="57140"/>
                              </a:lnTo>
                              <a:close/>
                            </a:path>
                            <a:path w="856615" h="57150">
                              <a:moveTo>
                                <a:pt x="146569" y="57140"/>
                              </a:moveTo>
                              <a:lnTo>
                                <a:pt x="138990" y="57140"/>
                              </a:lnTo>
                              <a:lnTo>
                                <a:pt x="135345" y="56415"/>
                              </a:lnTo>
                              <a:lnTo>
                                <a:pt x="114204" y="32361"/>
                              </a:lnTo>
                              <a:lnTo>
                                <a:pt x="114204" y="24770"/>
                              </a:lnTo>
                              <a:lnTo>
                                <a:pt x="138990" y="0"/>
                              </a:lnTo>
                              <a:lnTo>
                                <a:pt x="146569" y="0"/>
                              </a:lnTo>
                              <a:lnTo>
                                <a:pt x="171354" y="24770"/>
                              </a:lnTo>
                              <a:lnTo>
                                <a:pt x="171354" y="32361"/>
                              </a:lnTo>
                              <a:lnTo>
                                <a:pt x="146569" y="57140"/>
                              </a:lnTo>
                              <a:close/>
                            </a:path>
                            <a:path w="856615" h="57150">
                              <a:moveTo>
                                <a:pt x="260773" y="57140"/>
                              </a:moveTo>
                              <a:lnTo>
                                <a:pt x="253195" y="57140"/>
                              </a:lnTo>
                              <a:lnTo>
                                <a:pt x="249550" y="56415"/>
                              </a:lnTo>
                              <a:lnTo>
                                <a:pt x="228409" y="32361"/>
                              </a:lnTo>
                              <a:lnTo>
                                <a:pt x="228409" y="24770"/>
                              </a:lnTo>
                              <a:lnTo>
                                <a:pt x="253195" y="0"/>
                              </a:lnTo>
                              <a:lnTo>
                                <a:pt x="260773" y="0"/>
                              </a:lnTo>
                              <a:lnTo>
                                <a:pt x="285559" y="24770"/>
                              </a:lnTo>
                              <a:lnTo>
                                <a:pt x="285559" y="32361"/>
                              </a:lnTo>
                              <a:lnTo>
                                <a:pt x="260773" y="57140"/>
                              </a:lnTo>
                              <a:close/>
                            </a:path>
                            <a:path w="856615" h="57150">
                              <a:moveTo>
                                <a:pt x="374978" y="57140"/>
                              </a:moveTo>
                              <a:lnTo>
                                <a:pt x="367399" y="57140"/>
                              </a:lnTo>
                              <a:lnTo>
                                <a:pt x="363754" y="56415"/>
                              </a:lnTo>
                              <a:lnTo>
                                <a:pt x="342614" y="32361"/>
                              </a:lnTo>
                              <a:lnTo>
                                <a:pt x="342614" y="24770"/>
                              </a:lnTo>
                              <a:lnTo>
                                <a:pt x="367399" y="0"/>
                              </a:lnTo>
                              <a:lnTo>
                                <a:pt x="374978" y="0"/>
                              </a:lnTo>
                              <a:lnTo>
                                <a:pt x="399764" y="24770"/>
                              </a:lnTo>
                              <a:lnTo>
                                <a:pt x="399764" y="32361"/>
                              </a:lnTo>
                              <a:lnTo>
                                <a:pt x="374978" y="57140"/>
                              </a:lnTo>
                              <a:close/>
                            </a:path>
                            <a:path w="856615" h="57150">
                              <a:moveTo>
                                <a:pt x="489183" y="57140"/>
                              </a:moveTo>
                              <a:lnTo>
                                <a:pt x="481604" y="57140"/>
                              </a:lnTo>
                              <a:lnTo>
                                <a:pt x="477959" y="56415"/>
                              </a:lnTo>
                              <a:lnTo>
                                <a:pt x="456818" y="32361"/>
                              </a:lnTo>
                              <a:lnTo>
                                <a:pt x="456818" y="24770"/>
                              </a:lnTo>
                              <a:lnTo>
                                <a:pt x="481604" y="0"/>
                              </a:lnTo>
                              <a:lnTo>
                                <a:pt x="489183" y="0"/>
                              </a:lnTo>
                              <a:lnTo>
                                <a:pt x="513968" y="24770"/>
                              </a:lnTo>
                              <a:lnTo>
                                <a:pt x="513968" y="32361"/>
                              </a:lnTo>
                              <a:lnTo>
                                <a:pt x="489183" y="57140"/>
                              </a:lnTo>
                              <a:close/>
                            </a:path>
                            <a:path w="856615" h="57150">
                              <a:moveTo>
                                <a:pt x="603387" y="57140"/>
                              </a:moveTo>
                              <a:lnTo>
                                <a:pt x="595809" y="57140"/>
                              </a:lnTo>
                              <a:lnTo>
                                <a:pt x="592164" y="56415"/>
                              </a:lnTo>
                              <a:lnTo>
                                <a:pt x="571023" y="32361"/>
                              </a:lnTo>
                              <a:lnTo>
                                <a:pt x="571023" y="24770"/>
                              </a:lnTo>
                              <a:lnTo>
                                <a:pt x="595809" y="0"/>
                              </a:lnTo>
                              <a:lnTo>
                                <a:pt x="603387" y="0"/>
                              </a:lnTo>
                              <a:lnTo>
                                <a:pt x="628173" y="24770"/>
                              </a:lnTo>
                              <a:lnTo>
                                <a:pt x="628173" y="32361"/>
                              </a:lnTo>
                              <a:lnTo>
                                <a:pt x="603387" y="57140"/>
                              </a:lnTo>
                              <a:close/>
                            </a:path>
                            <a:path w="856615" h="57150">
                              <a:moveTo>
                                <a:pt x="717592" y="57140"/>
                              </a:moveTo>
                              <a:lnTo>
                                <a:pt x="710014" y="57140"/>
                              </a:lnTo>
                              <a:lnTo>
                                <a:pt x="706369" y="56415"/>
                              </a:lnTo>
                              <a:lnTo>
                                <a:pt x="685228" y="32361"/>
                              </a:lnTo>
                              <a:lnTo>
                                <a:pt x="685228" y="24770"/>
                              </a:lnTo>
                              <a:lnTo>
                                <a:pt x="710014" y="0"/>
                              </a:lnTo>
                              <a:lnTo>
                                <a:pt x="717592" y="0"/>
                              </a:lnTo>
                              <a:lnTo>
                                <a:pt x="742378" y="24770"/>
                              </a:lnTo>
                              <a:lnTo>
                                <a:pt x="742378" y="32361"/>
                              </a:lnTo>
                              <a:lnTo>
                                <a:pt x="717592" y="57140"/>
                              </a:lnTo>
                              <a:close/>
                            </a:path>
                            <a:path w="856615" h="57150">
                              <a:moveTo>
                                <a:pt x="831797" y="57140"/>
                              </a:moveTo>
                              <a:lnTo>
                                <a:pt x="824218" y="57140"/>
                              </a:lnTo>
                              <a:lnTo>
                                <a:pt x="820573" y="56415"/>
                              </a:lnTo>
                              <a:lnTo>
                                <a:pt x="799433" y="32361"/>
                              </a:lnTo>
                              <a:lnTo>
                                <a:pt x="799433" y="24770"/>
                              </a:lnTo>
                              <a:lnTo>
                                <a:pt x="824218" y="0"/>
                              </a:lnTo>
                              <a:lnTo>
                                <a:pt x="831797" y="0"/>
                              </a:lnTo>
                              <a:lnTo>
                                <a:pt x="856583" y="24770"/>
                              </a:lnTo>
                              <a:lnTo>
                                <a:pt x="856583" y="32361"/>
                              </a:lnTo>
                              <a:lnTo>
                                <a:pt x="831797" y="5714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5.000006pt;width:67.45pt;height:4.5pt;mso-position-horizontal-relative:page;mso-position-vertical-relative:paragraph;z-index:-15717376;mso-wrap-distance-left:0;mso-wrap-distance-right:0" id="docshape19" coordorigin="1545,300" coordsize="1349,90" path="m1596,390l1584,390,1578,389,1567,384,1562,381,1554,373,1551,368,1546,357,1545,351,1545,339,1546,333,1551,322,1554,317,1562,309,1567,306,1578,301,1584,300,1596,300,1602,301,1613,306,1618,309,1626,317,1629,322,1634,333,1635,339,1635,351,1634,357,1629,368,1626,373,1618,381,1613,384,1602,389,1596,390xm1776,390l1764,390,1758,389,1747,384,1742,381,1734,373,1731,368,1726,357,1725,351,1725,339,1726,333,1731,322,1734,317,1742,309,1747,306,1758,301,1764,300,1776,300,1782,301,1793,306,1797,309,1806,317,1809,322,1814,333,1815,339,1815,351,1814,357,1809,368,1806,373,1797,381,1793,384,1782,389,1776,390xm1956,390l1944,390,1938,389,1927,384,1922,381,1914,373,1910,368,1906,357,1905,351,1905,339,1906,333,1910,322,1914,317,1922,309,1927,306,1938,301,1944,300,1956,300,1961,301,1972,306,1977,309,1986,317,1989,322,1994,333,1995,339,1995,351,1994,357,1989,368,1986,373,1977,381,1972,384,1961,389,1956,390xm2136,390l2124,390,2118,389,2107,384,2102,381,2094,373,2090,368,2086,357,2085,351,2085,339,2086,333,2090,322,2094,317,2102,309,2107,306,2118,301,2124,300,2136,300,2141,301,2152,306,2157,309,2166,317,2169,322,2173,333,2175,339,2175,351,2173,357,2169,368,2166,373,2157,381,2152,384,2141,389,2136,390xm2315,390l2303,390,2298,389,2287,384,2282,381,2273,373,2270,368,2266,357,2264,351,2264,339,2266,333,2270,322,2273,317,2282,309,2287,306,2298,301,2303,300,2315,300,2321,301,2332,306,2337,309,2345,317,2349,322,2353,333,2354,339,2354,351,2353,357,2349,368,2345,373,2337,381,2332,384,2321,389,2315,390xm2495,390l2483,390,2478,389,2467,384,2462,381,2453,373,2450,368,2445,357,2444,351,2444,339,2445,333,2450,322,2453,317,2462,309,2467,306,2478,301,2483,300,2495,300,2501,301,2512,306,2517,309,2525,317,2529,322,2533,333,2534,339,2534,351,2533,357,2529,368,2525,373,2517,381,2512,384,2501,389,2495,390xm2675,390l2663,390,2657,389,2646,384,2641,381,2633,373,2630,368,2625,357,2624,351,2624,339,2625,333,2630,322,2633,317,2641,309,2646,306,2657,301,2663,300,2675,300,2681,301,2692,306,2697,309,2705,317,2708,322,2713,333,2714,339,2714,351,2713,357,2708,368,2705,373,2697,381,2692,384,2681,389,2675,390xm2855,390l2843,390,2837,389,2826,384,2821,381,2813,373,2810,368,2805,357,2804,351,2804,339,2805,333,2810,322,2813,317,2821,309,2826,306,2837,301,2843,300,2855,300,2861,301,2872,306,2877,309,2885,317,2888,322,2893,333,2894,339,2894,351,2893,357,2888,368,2885,373,2877,381,2872,384,2861,389,2855,390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21.7</w:t>
      </w:r>
    </w:p>
    <w:p>
      <w:pPr>
        <w:pStyle w:val="BodyText"/>
        <w:spacing w:before="215"/>
        <w:ind w:left="0"/>
        <w:jc w:val="left"/>
        <w:rPr>
          <w:rFonts w:ascii="Arial"/>
          <w:b/>
          <w:sz w:val="22"/>
        </w:rPr>
      </w:pPr>
    </w:p>
    <w:p>
      <w:pPr>
        <w:pStyle w:val="BodyText"/>
        <w:spacing w:line="249" w:lineRule="auto" w:before="1"/>
        <w:ind w:right="99" w:firstLine="450"/>
      </w:pPr>
      <w:r>
        <w:rPr/>
        <w:t>M</w:t>
      </w:r>
      <w:r>
        <w:rPr>
          <w:b/>
        </w:rPr>
        <w:t>enopause </w:t>
      </w:r>
      <w:r>
        <w:rPr/>
        <w:t>is that point in time when permanent cessation of menstruation occurs following the loss of ovarian activity. Menopause is derived from the Greek words </w:t>
      </w:r>
      <w:r>
        <w:rPr>
          <w:i/>
        </w:rPr>
        <w:t>men </w:t>
      </w:r>
      <w:r>
        <w:rPr/>
        <w:t>(month) and </w:t>
      </w:r>
      <w:r>
        <w:rPr>
          <w:i/>
        </w:rPr>
        <w:t>pausis </w:t>
      </w:r>
      <w:r>
        <w:rPr/>
        <w:t>(cessation). </w:t>
      </w:r>
      <w:r>
        <w:rPr>
          <w:b/>
        </w:rPr>
        <w:t>Climacteric</w:t>
      </w:r>
      <w:r>
        <w:rPr/>
        <w:t>, an older, more general, and less precise term, indicates the period of time when a woman passes from the reproductive stage of life through the menopausal transition and the menopause to the postmenopausal years. Climacteric is from the Greek word for ladder. </w:t>
      </w:r>
      <w:r>
        <w:rPr>
          <w:b/>
        </w:rPr>
        <w:t>Perimenopause </w:t>
      </w:r>
      <w:r>
        <w:rPr/>
        <w:t>is the newer term that includes the years prior to the FMP during which menstrual cycles progress from a regular ovulatory and predictable pattern to irregular and increasingly anovulatory cycles to eventual cessation of menses.</w:t>
      </w:r>
      <w:r>
        <w:rPr>
          <w:vertAlign w:val="superscript"/>
        </w:rPr>
        <w:t>42</w:t>
      </w:r>
    </w:p>
    <w:p>
      <w:pPr>
        <w:pStyle w:val="BodyText"/>
        <w:spacing w:line="249" w:lineRule="auto" w:before="13"/>
        <w:ind w:right="100" w:firstLine="450"/>
      </w:pPr>
      <w:r>
        <w:rPr/>
        <w:t>Menstrual</w:t>
      </w:r>
      <w:r>
        <w:rPr>
          <w:spacing w:val="-4"/>
        </w:rPr>
        <w:t> </w:t>
      </w:r>
      <w:r>
        <w:rPr/>
        <w:t>cycle</w:t>
      </w:r>
      <w:r>
        <w:rPr>
          <w:spacing w:val="-4"/>
        </w:rPr>
        <w:t> </w:t>
      </w:r>
      <w:r>
        <w:rPr/>
        <w:t>length</w:t>
      </w:r>
      <w:r>
        <w:rPr>
          <w:spacing w:val="-4"/>
        </w:rPr>
        <w:t> </w:t>
      </w:r>
      <w:r>
        <w:rPr/>
        <w:t>is</w:t>
      </w:r>
      <w:r>
        <w:rPr>
          <w:spacing w:val="-4"/>
        </w:rPr>
        <w:t> </w:t>
      </w:r>
      <w:r>
        <w:rPr/>
        <w:t>determined</w:t>
      </w:r>
      <w:r>
        <w:rPr>
          <w:spacing w:val="-4"/>
        </w:rPr>
        <w:t> </w:t>
      </w:r>
      <w:r>
        <w:rPr/>
        <w:t>by</w:t>
      </w:r>
      <w:r>
        <w:rPr>
          <w:spacing w:val="-4"/>
        </w:rPr>
        <w:t> </w:t>
      </w:r>
      <w:r>
        <w:rPr/>
        <w:t>the</w:t>
      </w:r>
      <w:r>
        <w:rPr>
          <w:spacing w:val="-4"/>
        </w:rPr>
        <w:t> </w:t>
      </w:r>
      <w:r>
        <w:rPr/>
        <w:t>rate</w:t>
      </w:r>
      <w:r>
        <w:rPr>
          <w:spacing w:val="-4"/>
        </w:rPr>
        <w:t> </w:t>
      </w:r>
      <w:r>
        <w:rPr/>
        <w:t>and</w:t>
      </w:r>
      <w:r>
        <w:rPr>
          <w:spacing w:val="-4"/>
        </w:rPr>
        <w:t> </w:t>
      </w:r>
      <w:r>
        <w:rPr/>
        <w:t>quality</w:t>
      </w:r>
      <w:r>
        <w:rPr>
          <w:spacing w:val="-4"/>
        </w:rPr>
        <w:t> </w:t>
      </w:r>
      <w:r>
        <w:rPr/>
        <w:t>of</w:t>
      </w:r>
      <w:r>
        <w:rPr>
          <w:spacing w:val="-4"/>
        </w:rPr>
        <w:t> </w:t>
      </w:r>
      <w:r>
        <w:rPr/>
        <w:t>follicular growth and development. It is normal for the cycle to vary in individual women.</w:t>
      </w:r>
      <w:r>
        <w:rPr>
          <w:spacing w:val="-5"/>
        </w:rPr>
        <w:t> </w:t>
      </w:r>
      <w:r>
        <w:rPr/>
        <w:t>Informative data come from two seminal longitudinal studies (with very</w:t>
      </w:r>
      <w:r>
        <w:rPr>
          <w:spacing w:val="63"/>
        </w:rPr>
        <w:t> </w:t>
      </w:r>
      <w:r>
        <w:rPr/>
        <w:t>similar</w:t>
      </w:r>
      <w:r>
        <w:rPr>
          <w:spacing w:val="65"/>
        </w:rPr>
        <w:t> </w:t>
      </w:r>
      <w:r>
        <w:rPr/>
        <w:t>results):</w:t>
      </w:r>
      <w:r>
        <w:rPr>
          <w:spacing w:val="66"/>
        </w:rPr>
        <w:t> </w:t>
      </w:r>
      <w:r>
        <w:rPr/>
        <w:t>the</w:t>
      </w:r>
      <w:r>
        <w:rPr>
          <w:spacing w:val="65"/>
        </w:rPr>
        <w:t> </w:t>
      </w:r>
      <w:r>
        <w:rPr/>
        <w:t>study</w:t>
      </w:r>
      <w:r>
        <w:rPr>
          <w:spacing w:val="66"/>
        </w:rPr>
        <w:t> </w:t>
      </w:r>
      <w:r>
        <w:rPr/>
        <w:t>of</w:t>
      </w:r>
      <w:r>
        <w:rPr>
          <w:spacing w:val="65"/>
        </w:rPr>
        <w:t> </w:t>
      </w:r>
      <w:r>
        <w:rPr/>
        <w:t>Vollman</w:t>
      </w:r>
      <w:r>
        <w:rPr>
          <w:spacing w:val="66"/>
        </w:rPr>
        <w:t> </w:t>
      </w:r>
      <w:r>
        <w:rPr/>
        <w:t>of</w:t>
      </w:r>
      <w:r>
        <w:rPr>
          <w:spacing w:val="65"/>
        </w:rPr>
        <w:t> </w:t>
      </w:r>
      <w:r>
        <w:rPr/>
        <w:t>more</w:t>
      </w:r>
      <w:r>
        <w:rPr>
          <w:spacing w:val="66"/>
        </w:rPr>
        <w:t> </w:t>
      </w:r>
      <w:r>
        <w:rPr/>
        <w:t>than</w:t>
      </w:r>
      <w:r>
        <w:rPr>
          <w:spacing w:val="65"/>
        </w:rPr>
        <w:t> </w:t>
      </w:r>
      <w:r>
        <w:rPr/>
        <w:t>30,000</w:t>
      </w:r>
      <w:r>
        <w:rPr>
          <w:spacing w:val="66"/>
        </w:rPr>
        <w:t> </w:t>
      </w:r>
      <w:r>
        <w:rPr>
          <w:spacing w:val="-2"/>
        </w:rPr>
        <w:t>cycles</w:t>
      </w:r>
    </w:p>
    <w:p>
      <w:pPr>
        <w:pStyle w:val="BodyText"/>
        <w:spacing w:after="0" w:line="249" w:lineRule="auto"/>
        <w:sectPr>
          <w:pgSz w:w="12240" w:h="15840"/>
          <w:pgMar w:top="1440" w:bottom="280" w:left="1440" w:right="1440"/>
        </w:sectPr>
      </w:pPr>
    </w:p>
    <w:p>
      <w:pPr>
        <w:pStyle w:val="BodyText"/>
        <w:spacing w:line="249" w:lineRule="auto"/>
        <w:ind w:right="98"/>
      </w:pPr>
      <w:r>
        <w:rPr/>
        <w:t>recorded by 650 women and the study of Treloar of more than </w:t>
      </w:r>
      <w:r>
        <w:rPr/>
        <w:t>25,000 woman-years in a little over 2,700 women.</w:t>
      </w:r>
      <w:r>
        <w:rPr>
          <w:vertAlign w:val="superscript"/>
        </w:rPr>
        <w:t>51,52</w:t>
      </w:r>
      <w:r>
        <w:rPr>
          <w:vertAlign w:val="baseline"/>
        </w:rPr>
        <w:t> The earlier observations of Vollman and Treloar that documented a normal evolution in length and variation in menstrual cycles were subsequently confirmed by Cole et al</w:t>
      </w:r>
      <w:r>
        <w:rPr>
          <w:vertAlign w:val="superscript"/>
        </w:rPr>
        <w:t>53</w:t>
      </w:r>
      <w:r>
        <w:rPr>
          <w:vertAlign w:val="baseline"/>
        </w:rPr>
        <w:t> </w:t>
      </w:r>
      <w:r>
        <w:rPr>
          <w:b/>
          <w:color w:val="256E60"/>
          <w:vertAlign w:val="baseline"/>
        </w:rPr>
        <w:t>(Figure 21.7)</w:t>
      </w:r>
      <w:r>
        <w:rPr>
          <w:vertAlign w:val="baseline"/>
        </w:rPr>
        <w:t>.</w:t>
      </w:r>
    </w:p>
    <w:p>
      <w:pPr>
        <w:pStyle w:val="BodyText"/>
        <w:spacing w:line="249" w:lineRule="auto" w:before="6"/>
        <w:ind w:right="97" w:firstLine="450"/>
        <w:rPr>
          <w:b/>
        </w:rPr>
      </w:pPr>
      <w:r>
        <w:rPr/>
        <w:t>Following the onset of menarche, there is an approximately 2- to 3-year period of relatively longer menstrual cycles at first, after which there </w:t>
      </w:r>
      <w:r>
        <w:rPr/>
        <w:t>is increasing regularity as cycles shorten to reach the usual reproductive age pattern. In the 40s, cycle length may begin to alter again. The highest incidence of anovulatory cycles is under age 20 and over age 40.</w:t>
      </w:r>
      <w:r>
        <w:rPr>
          <w:vertAlign w:val="superscript"/>
        </w:rPr>
        <w:t>54,55</w:t>
      </w:r>
      <w:r>
        <w:rPr>
          <w:vertAlign w:val="baseline"/>
        </w:rPr>
        <w:t> By age 25, over 40% of cycles are between 25 and 28 days in length; from 25 to 35 years, over 60% are between 25 and 28 days. Although a 28-day cycle length is deemed as the standard for normal, overall, only approximately 15% of reproductive age cycles are 28 days in length. Only 0.5% of women experience a cycle less than 21-days long and only 0.9% a cycle greater</w:t>
      </w:r>
      <w:r>
        <w:rPr>
          <w:spacing w:val="40"/>
          <w:vertAlign w:val="baseline"/>
        </w:rPr>
        <w:t> </w:t>
      </w:r>
      <w:r>
        <w:rPr>
          <w:vertAlign w:val="baseline"/>
        </w:rPr>
        <w:t>than</w:t>
      </w:r>
      <w:r>
        <w:rPr>
          <w:spacing w:val="-3"/>
          <w:vertAlign w:val="baseline"/>
        </w:rPr>
        <w:t> </w:t>
      </w:r>
      <w:r>
        <w:rPr>
          <w:vertAlign w:val="baseline"/>
        </w:rPr>
        <w:t>35</w:t>
      </w:r>
      <w:r>
        <w:rPr>
          <w:spacing w:val="-3"/>
          <w:vertAlign w:val="baseline"/>
        </w:rPr>
        <w:t> </w:t>
      </w:r>
      <w:r>
        <w:rPr>
          <w:vertAlign w:val="baseline"/>
        </w:rPr>
        <w:t>days.</w:t>
      </w:r>
      <w:r>
        <w:rPr>
          <w:vertAlign w:val="superscript"/>
        </w:rPr>
        <w:t>56</w:t>
      </w:r>
      <w:r>
        <w:rPr>
          <w:vertAlign w:val="baseline"/>
        </w:rPr>
        <w:t> Most women have cycles that last from 24 to 35 days, but at least</w:t>
      </w:r>
      <w:r>
        <w:rPr>
          <w:spacing w:val="-4"/>
          <w:vertAlign w:val="baseline"/>
        </w:rPr>
        <w:t> </w:t>
      </w:r>
      <w:r>
        <w:rPr>
          <w:vertAlign w:val="baseline"/>
        </w:rPr>
        <w:t>20%</w:t>
      </w:r>
      <w:r>
        <w:rPr>
          <w:spacing w:val="-4"/>
          <w:vertAlign w:val="baseline"/>
        </w:rPr>
        <w:t> </w:t>
      </w:r>
      <w:r>
        <w:rPr>
          <w:vertAlign w:val="baseline"/>
        </w:rPr>
        <w:t>of</w:t>
      </w:r>
      <w:r>
        <w:rPr>
          <w:spacing w:val="-4"/>
          <w:vertAlign w:val="baseline"/>
        </w:rPr>
        <w:t> </w:t>
      </w:r>
      <w:r>
        <w:rPr>
          <w:vertAlign w:val="baseline"/>
        </w:rPr>
        <w:t>women</w:t>
      </w:r>
      <w:r>
        <w:rPr>
          <w:spacing w:val="-4"/>
          <w:vertAlign w:val="baseline"/>
        </w:rPr>
        <w:t> </w:t>
      </w:r>
      <w:r>
        <w:rPr>
          <w:vertAlign w:val="baseline"/>
        </w:rPr>
        <w:t>experience</w:t>
      </w:r>
      <w:r>
        <w:rPr>
          <w:spacing w:val="-4"/>
          <w:vertAlign w:val="baseline"/>
        </w:rPr>
        <w:t> </w:t>
      </w:r>
      <w:r>
        <w:rPr>
          <w:vertAlign w:val="baseline"/>
        </w:rPr>
        <w:t>irregular</w:t>
      </w:r>
      <w:r>
        <w:rPr>
          <w:spacing w:val="-4"/>
          <w:vertAlign w:val="baseline"/>
        </w:rPr>
        <w:t> </w:t>
      </w:r>
      <w:r>
        <w:rPr>
          <w:vertAlign w:val="baseline"/>
        </w:rPr>
        <w:t>cycles.</w:t>
      </w:r>
      <w:r>
        <w:rPr>
          <w:vertAlign w:val="superscript"/>
        </w:rPr>
        <w:t>57</w:t>
      </w:r>
      <w:r>
        <w:rPr>
          <w:spacing w:val="-2"/>
          <w:vertAlign w:val="baseline"/>
        </w:rPr>
        <w:t> </w:t>
      </w:r>
      <w:r>
        <w:rPr>
          <w:vertAlign w:val="baseline"/>
        </w:rPr>
        <w:t>When</w:t>
      </w:r>
      <w:r>
        <w:rPr>
          <w:spacing w:val="-1"/>
          <w:vertAlign w:val="baseline"/>
        </w:rPr>
        <w:t> </w:t>
      </w:r>
      <w:r>
        <w:rPr>
          <w:vertAlign w:val="baseline"/>
        </w:rPr>
        <w:t>women</w:t>
      </w:r>
      <w:r>
        <w:rPr>
          <w:spacing w:val="-1"/>
          <w:vertAlign w:val="baseline"/>
        </w:rPr>
        <w:t> </w:t>
      </w:r>
      <w:r>
        <w:rPr>
          <w:vertAlign w:val="baseline"/>
        </w:rPr>
        <w:t>are</w:t>
      </w:r>
      <w:r>
        <w:rPr>
          <w:spacing w:val="-1"/>
          <w:vertAlign w:val="baseline"/>
        </w:rPr>
        <w:t> </w:t>
      </w:r>
      <w:r>
        <w:rPr>
          <w:vertAlign w:val="baseline"/>
        </w:rPr>
        <w:t>in</w:t>
      </w:r>
      <w:r>
        <w:rPr>
          <w:spacing w:val="-1"/>
          <w:vertAlign w:val="baseline"/>
        </w:rPr>
        <w:t> </w:t>
      </w:r>
      <w:r>
        <w:rPr>
          <w:vertAlign w:val="baseline"/>
        </w:rPr>
        <w:t>their 40s, anovulation becomes more prevalent, and menstrual cycle length increases, beginning 2 to 8 years before menopause.</w:t>
      </w:r>
      <w:r>
        <w:rPr>
          <w:vertAlign w:val="superscript"/>
        </w:rPr>
        <w:t>52</w:t>
      </w:r>
      <w:r>
        <w:rPr>
          <w:vertAlign w:val="baseline"/>
        </w:rPr>
        <w:t> Follicular phase and overall cycle length reach their nadir at approximately age 42. Over the subsequent 8 to 10 years preceding the FMP, average cycle length and variability steadily increase as ovulations become less frequent.</w:t>
      </w:r>
      <w:r>
        <w:rPr>
          <w:vertAlign w:val="superscript"/>
        </w:rPr>
        <w:t>51</w:t>
      </w:r>
      <w:r>
        <w:rPr>
          <w:vertAlign w:val="baseline"/>
        </w:rPr>
        <w:t> Cycles greater than 40 days in length are quite prevalent in the year before menopause and anything exceeding 42 days in length is suggestive of impending FMP within the next 1 to 2 years.</w:t>
      </w:r>
      <w:r>
        <w:rPr>
          <w:vertAlign w:val="superscript"/>
        </w:rPr>
        <w:t>58,59</w:t>
      </w:r>
      <w:r>
        <w:rPr>
          <w:vertAlign w:val="baseline"/>
        </w:rPr>
        <w:t> This period of longer cycles commonly precedes menopause no matter at what age menses cease, whether menopause is early or late.</w:t>
      </w:r>
      <w:r>
        <w:rPr>
          <w:vertAlign w:val="superscript"/>
        </w:rPr>
        <w:t>60</w:t>
      </w:r>
      <w:r>
        <w:rPr>
          <w:vertAlign w:val="baseline"/>
        </w:rPr>
        <w:t> However, the prognostic time frame for FMP may be influenced by factors such as tobacco use, ethnicity (increased time frame in Black women), a history of longer cycles, as well as age at the onset of menopausal transition.</w:t>
      </w:r>
      <w:r>
        <w:rPr>
          <w:vertAlign w:val="superscript"/>
        </w:rPr>
        <w:t>61,62</w:t>
      </w:r>
      <w:r>
        <w:rPr>
          <w:vertAlign w:val="baseline"/>
        </w:rPr>
        <w:t> </w:t>
      </w:r>
      <w:r>
        <w:rPr>
          <w:i/>
          <w:vertAlign w:val="baseline"/>
        </w:rPr>
        <w:t>The duration of the</w:t>
      </w:r>
      <w:r>
        <w:rPr>
          <w:i/>
          <w:vertAlign w:val="baseline"/>
        </w:rPr>
        <w:t> follicular phase is the major determinant of cycle length</w:t>
      </w:r>
      <w:r>
        <w:rPr>
          <w:vertAlign w:val="baseline"/>
        </w:rPr>
        <w:t>.</w:t>
      </w:r>
      <w:r>
        <w:rPr>
          <w:vertAlign w:val="superscript"/>
        </w:rPr>
        <w:t>63,43</w:t>
      </w:r>
      <w:r>
        <w:rPr>
          <w:vertAlign w:val="baseline"/>
        </w:rPr>
        <w:t> This period of menstrual cycle change prior to FMP is marked by elevated FSH levels and decreased levels of inhibin but normal levels of LH and slightly elevated levels of estradiol.</w:t>
      </w:r>
      <w:r>
        <w:rPr>
          <w:vertAlign w:val="superscript"/>
        </w:rPr>
        <w:t>44-49,64</w:t>
      </w:r>
      <w:r>
        <w:rPr>
          <w:vertAlign w:val="baseline"/>
        </w:rPr>
        <w:t> </w:t>
      </w:r>
      <w:r>
        <w:rPr>
          <w:b/>
          <w:vertAlign w:val="baseline"/>
        </w:rPr>
        <w:t>Importantly, up to 25% of irregular cycles with intervals of over 50 to 60 days can still be ovulatory, and late perimenopausal</w:t>
      </w:r>
      <w:r>
        <w:rPr>
          <w:b/>
          <w:spacing w:val="38"/>
          <w:vertAlign w:val="baseline"/>
        </w:rPr>
        <w:t>  </w:t>
      </w:r>
      <w:r>
        <w:rPr>
          <w:b/>
          <w:vertAlign w:val="baseline"/>
        </w:rPr>
        <w:t>women</w:t>
      </w:r>
      <w:r>
        <w:rPr>
          <w:b/>
          <w:spacing w:val="38"/>
          <w:vertAlign w:val="baseline"/>
        </w:rPr>
        <w:t>  </w:t>
      </w:r>
      <w:r>
        <w:rPr>
          <w:b/>
          <w:vertAlign w:val="baseline"/>
        </w:rPr>
        <w:t>therefore</w:t>
      </w:r>
      <w:r>
        <w:rPr>
          <w:b/>
          <w:spacing w:val="38"/>
          <w:vertAlign w:val="baseline"/>
        </w:rPr>
        <w:t>  </w:t>
      </w:r>
      <w:r>
        <w:rPr>
          <w:b/>
          <w:vertAlign w:val="baseline"/>
        </w:rPr>
        <w:t>remain</w:t>
      </w:r>
      <w:r>
        <w:rPr>
          <w:b/>
          <w:spacing w:val="38"/>
          <w:vertAlign w:val="baseline"/>
        </w:rPr>
        <w:t>  </w:t>
      </w:r>
      <w:r>
        <w:rPr>
          <w:b/>
          <w:vertAlign w:val="baseline"/>
        </w:rPr>
        <w:t>at</w:t>
      </w:r>
      <w:r>
        <w:rPr>
          <w:b/>
          <w:spacing w:val="39"/>
          <w:vertAlign w:val="baseline"/>
        </w:rPr>
        <w:t>  </w:t>
      </w:r>
      <w:r>
        <w:rPr>
          <w:b/>
          <w:vertAlign w:val="baseline"/>
        </w:rPr>
        <w:t>risk</w:t>
      </w:r>
      <w:r>
        <w:rPr>
          <w:b/>
          <w:spacing w:val="38"/>
          <w:vertAlign w:val="baseline"/>
        </w:rPr>
        <w:t>  </w:t>
      </w:r>
      <w:r>
        <w:rPr>
          <w:b/>
          <w:vertAlign w:val="baseline"/>
        </w:rPr>
        <w:t>for</w:t>
      </w:r>
      <w:r>
        <w:rPr>
          <w:b/>
          <w:spacing w:val="38"/>
          <w:vertAlign w:val="baseline"/>
        </w:rPr>
        <w:t>  </w:t>
      </w:r>
      <w:r>
        <w:rPr>
          <w:b/>
          <w:spacing w:val="-2"/>
          <w:vertAlign w:val="baseline"/>
        </w:rPr>
        <w:t>unplanned</w:t>
      </w:r>
    </w:p>
    <w:p>
      <w:pPr>
        <w:pStyle w:val="BodyText"/>
        <w:spacing w:after="0" w:line="249" w:lineRule="auto"/>
        <w:rPr>
          <w:b/>
        </w:rPr>
        <w:sectPr>
          <w:pgSz w:w="12240" w:h="15840"/>
          <w:pgMar w:top="1380" w:bottom="280" w:left="1440" w:right="1440"/>
        </w:sectPr>
      </w:pPr>
    </w:p>
    <w:p>
      <w:pPr>
        <w:spacing w:line="249" w:lineRule="auto" w:before="65"/>
        <w:ind w:left="99" w:right="101" w:firstLine="0"/>
        <w:jc w:val="both"/>
        <w:rPr>
          <w:sz w:val="30"/>
        </w:rPr>
      </w:pPr>
      <w:r>
        <w:rPr>
          <w:b/>
          <w:sz w:val="30"/>
        </w:rPr>
        <w:t>pregnancy despite low fecundability.</w:t>
      </w:r>
      <w:r>
        <w:rPr>
          <w:sz w:val="30"/>
          <w:vertAlign w:val="superscript"/>
        </w:rPr>
        <w:t>65</w:t>
      </w:r>
      <w:r>
        <w:rPr>
          <w:sz w:val="30"/>
          <w:vertAlign w:val="baseline"/>
        </w:rPr>
        <w:t> </w:t>
      </w:r>
      <w:r>
        <w:rPr>
          <w:b/>
          <w:sz w:val="30"/>
          <w:vertAlign w:val="baseline"/>
        </w:rPr>
        <w:t>Late perimenopausal </w:t>
      </w:r>
      <w:r>
        <w:rPr>
          <w:b/>
          <w:sz w:val="30"/>
          <w:vertAlign w:val="baseline"/>
        </w:rPr>
        <w:t>women remain at risk for unplanned pregnancy. </w:t>
      </w:r>
      <w:r>
        <w:rPr>
          <w:sz w:val="30"/>
          <w:vertAlign w:val="baseline"/>
        </w:rPr>
        <w:t>According to the </w:t>
      </w:r>
      <w:r>
        <w:rPr>
          <w:i/>
          <w:sz w:val="30"/>
          <w:vertAlign w:val="baseline"/>
        </w:rPr>
        <w:t>Guinness</w:t>
      </w:r>
      <w:r>
        <w:rPr>
          <w:i/>
          <w:spacing w:val="40"/>
          <w:sz w:val="30"/>
          <w:vertAlign w:val="baseline"/>
        </w:rPr>
        <w:t> </w:t>
      </w:r>
      <w:r>
        <w:rPr>
          <w:i/>
          <w:sz w:val="30"/>
          <w:vertAlign w:val="baseline"/>
        </w:rPr>
        <w:t>Book of World Records</w:t>
      </w:r>
      <w:r>
        <w:rPr>
          <w:sz w:val="30"/>
          <w:vertAlign w:val="baseline"/>
        </w:rPr>
        <w:t>, a woman from the United Kingdom holds the modern record for the oldest spontaneous pregnancy, conceiving at 59.</w:t>
      </w:r>
      <w:r>
        <w:rPr>
          <w:sz w:val="30"/>
          <w:vertAlign w:val="superscript"/>
        </w:rPr>
        <w:t>66,67</w:t>
      </w:r>
    </w:p>
    <w:p>
      <w:pPr>
        <w:spacing w:line="249" w:lineRule="auto" w:before="5"/>
        <w:ind w:left="99" w:right="99" w:firstLine="450"/>
        <w:jc w:val="both"/>
        <w:rPr>
          <w:sz w:val="30"/>
        </w:rPr>
      </w:pPr>
      <w:r>
        <w:rPr>
          <w:b/>
          <w:sz w:val="30"/>
        </w:rPr>
        <w:t>In the average woman, a decline in fertility begins around ages </w:t>
      </w:r>
      <w:r>
        <w:rPr>
          <w:b/>
          <w:sz w:val="30"/>
        </w:rPr>
        <w:t>37 and 38, and menopause follows approximately 13 years later (average age 51). </w:t>
      </w:r>
      <w:r>
        <w:rPr>
          <w:sz w:val="30"/>
        </w:rPr>
        <w:t>However, in epidemiologic studies, approximately 10% of women in the general population become menopausal by the age of 45 years.</w:t>
      </w:r>
      <w:r>
        <w:rPr>
          <w:sz w:val="30"/>
          <w:vertAlign w:val="superscript"/>
        </w:rPr>
        <w:t>65,66</w:t>
      </w:r>
      <w:r>
        <w:rPr>
          <w:sz w:val="30"/>
          <w:vertAlign w:val="baseline"/>
        </w:rPr>
        <w:t> While the exact mechanisms underlying spontaneous early menopause (before age 45) remain unclear, and are not generalizable, it is probable that some women are born with a smaller than normal ovarian follicular pool that gets functionally depleted at an earlier age. Menopause occurs when</w:t>
      </w:r>
      <w:r>
        <w:rPr>
          <w:spacing w:val="40"/>
          <w:sz w:val="30"/>
          <w:vertAlign w:val="baseline"/>
        </w:rPr>
        <w:t> </w:t>
      </w:r>
      <w:r>
        <w:rPr>
          <w:sz w:val="30"/>
          <w:vertAlign w:val="baseline"/>
        </w:rPr>
        <w:t>the number of remaining ovarian follicles falls below a critical threshold, about 1,000, regardless of age.</w:t>
      </w:r>
    </w:p>
    <w:p>
      <w:pPr>
        <w:spacing w:line="249" w:lineRule="auto" w:before="12"/>
        <w:ind w:left="99" w:right="97" w:firstLine="450"/>
        <w:jc w:val="both"/>
        <w:rPr>
          <w:sz w:val="30"/>
        </w:rPr>
      </w:pPr>
      <w:r>
        <w:rPr>
          <w:b/>
          <w:sz w:val="30"/>
        </w:rPr>
        <w:t>Contrary to older belief (based on a seminal report by Sherman </w:t>
      </w:r>
      <w:r>
        <w:rPr>
          <w:b/>
          <w:sz w:val="30"/>
        </w:rPr>
        <w:t>et al in 1976),</w:t>
      </w:r>
      <w:r>
        <w:rPr>
          <w:sz w:val="30"/>
          <w:vertAlign w:val="superscript"/>
        </w:rPr>
        <w:t>61</w:t>
      </w:r>
      <w:r>
        <w:rPr>
          <w:sz w:val="30"/>
          <w:vertAlign w:val="baseline"/>
        </w:rPr>
        <w:t> </w:t>
      </w:r>
      <w:r>
        <w:rPr>
          <w:b/>
          <w:sz w:val="30"/>
          <w:vertAlign w:val="baseline"/>
        </w:rPr>
        <w:t>estradiol levels do not gradually wane in the years before menopause, but remain in the normal range, and can even be slightly elevated, until about 1 year before follicular growth and development cease.</w:t>
      </w:r>
      <w:r>
        <w:rPr>
          <w:b/>
          <w:spacing w:val="-2"/>
          <w:sz w:val="30"/>
          <w:vertAlign w:val="baseline"/>
        </w:rPr>
        <w:t> </w:t>
      </w:r>
      <w:r>
        <w:rPr>
          <w:sz w:val="30"/>
          <w:vertAlign w:val="baseline"/>
        </w:rPr>
        <w:t>Sherman</w:t>
      </w:r>
      <w:r>
        <w:rPr>
          <w:spacing w:val="-2"/>
          <w:sz w:val="30"/>
          <w:vertAlign w:val="baseline"/>
        </w:rPr>
        <w:t> </w:t>
      </w:r>
      <w:r>
        <w:rPr>
          <w:sz w:val="30"/>
          <w:vertAlign w:val="baseline"/>
        </w:rPr>
        <w:t>et</w:t>
      </w:r>
      <w:r>
        <w:rPr>
          <w:spacing w:val="-2"/>
          <w:sz w:val="30"/>
          <w:vertAlign w:val="baseline"/>
        </w:rPr>
        <w:t> </w:t>
      </w:r>
      <w:r>
        <w:rPr>
          <w:sz w:val="30"/>
          <w:vertAlign w:val="baseline"/>
        </w:rPr>
        <w:t>al</w:t>
      </w:r>
      <w:r>
        <w:rPr>
          <w:spacing w:val="-2"/>
          <w:sz w:val="30"/>
          <w:vertAlign w:val="baseline"/>
        </w:rPr>
        <w:t> </w:t>
      </w:r>
      <w:r>
        <w:rPr>
          <w:sz w:val="30"/>
          <w:vertAlign w:val="baseline"/>
        </w:rPr>
        <w:t>conducted</w:t>
      </w:r>
      <w:r>
        <w:rPr>
          <w:spacing w:val="-2"/>
          <w:sz w:val="30"/>
          <w:vertAlign w:val="baseline"/>
        </w:rPr>
        <w:t> </w:t>
      </w:r>
      <w:r>
        <w:rPr>
          <w:sz w:val="30"/>
          <w:vertAlign w:val="baseline"/>
        </w:rPr>
        <w:t>a</w:t>
      </w:r>
      <w:r>
        <w:rPr>
          <w:spacing w:val="-2"/>
          <w:sz w:val="30"/>
          <w:vertAlign w:val="baseline"/>
        </w:rPr>
        <w:t> </w:t>
      </w:r>
      <w:r>
        <w:rPr>
          <w:sz w:val="30"/>
          <w:vertAlign w:val="baseline"/>
        </w:rPr>
        <w:t>small</w:t>
      </w:r>
      <w:r>
        <w:rPr>
          <w:spacing w:val="-2"/>
          <w:sz w:val="30"/>
          <w:vertAlign w:val="baseline"/>
        </w:rPr>
        <w:t> </w:t>
      </w:r>
      <w:r>
        <w:rPr>
          <w:sz w:val="30"/>
          <w:vertAlign w:val="baseline"/>
        </w:rPr>
        <w:t>cross-sectional</w:t>
      </w:r>
      <w:r>
        <w:rPr>
          <w:spacing w:val="-2"/>
          <w:sz w:val="30"/>
          <w:vertAlign w:val="baseline"/>
        </w:rPr>
        <w:t> </w:t>
      </w:r>
      <w:r>
        <w:rPr>
          <w:sz w:val="30"/>
          <w:vertAlign w:val="baseline"/>
        </w:rPr>
        <w:t>study</w:t>
      </w:r>
      <w:r>
        <w:rPr>
          <w:spacing w:val="-2"/>
          <w:sz w:val="30"/>
          <w:vertAlign w:val="baseline"/>
        </w:rPr>
        <w:t> </w:t>
      </w:r>
      <w:r>
        <w:rPr>
          <w:sz w:val="30"/>
          <w:vertAlign w:val="baseline"/>
        </w:rPr>
        <w:t>wherein</w:t>
      </w:r>
      <w:r>
        <w:rPr>
          <w:spacing w:val="-2"/>
          <w:sz w:val="30"/>
          <w:vertAlign w:val="baseline"/>
        </w:rPr>
        <w:t> </w:t>
      </w:r>
      <w:r>
        <w:rPr>
          <w:sz w:val="30"/>
          <w:vertAlign w:val="baseline"/>
        </w:rPr>
        <w:t>serum samples were collected over a single menstrual cycle from eight women, aged 46 to 56 years, for the study of reproductive hormones. More recent longitudinal studies of women as they pass through the menopausal transition reveal that estrogen levels do not begin a major decline until</w:t>
      </w:r>
      <w:r>
        <w:rPr>
          <w:spacing w:val="40"/>
          <w:sz w:val="30"/>
          <w:vertAlign w:val="baseline"/>
        </w:rPr>
        <w:t> </w:t>
      </w:r>
      <w:r>
        <w:rPr>
          <w:sz w:val="30"/>
          <w:vertAlign w:val="baseline"/>
        </w:rPr>
        <w:t>about a year before menopause </w:t>
      </w:r>
      <w:r>
        <w:rPr>
          <w:b/>
          <w:color w:val="256E60"/>
          <w:sz w:val="30"/>
          <w:vertAlign w:val="baseline"/>
        </w:rPr>
        <w:t>(Figure 21.8)</w:t>
      </w:r>
      <w:r>
        <w:rPr>
          <w:sz w:val="30"/>
          <w:vertAlign w:val="baseline"/>
        </w:rPr>
        <w:t>.</w:t>
      </w:r>
      <w:r>
        <w:rPr>
          <w:sz w:val="30"/>
          <w:vertAlign w:val="superscript"/>
        </w:rPr>
        <w:t>47,68,69</w:t>
      </w:r>
      <w:r>
        <w:rPr>
          <w:sz w:val="30"/>
          <w:vertAlign w:val="baseline"/>
        </w:rPr>
        <w:t> Indeed, women experiencing the menopausal transition actually have higher overall estrogen levels, a response that is logically explained by an increased ovarian follicular reaction in response to the higher circulating FSH levels during this period.</w:t>
      </w:r>
      <w:r>
        <w:rPr>
          <w:sz w:val="30"/>
          <w:vertAlign w:val="superscript"/>
        </w:rPr>
        <w:t>70</w:t>
      </w:r>
      <w:r>
        <w:rPr>
          <w:sz w:val="30"/>
          <w:vertAlign w:val="baseline"/>
        </w:rPr>
        <w:t> Variability in estrogen levels is characteristic of the menopausal transition, with greater hormonal variability observed in menstrual cycles that display greater irregularity.</w:t>
      </w:r>
      <w:r>
        <w:rPr>
          <w:sz w:val="30"/>
          <w:vertAlign w:val="superscript"/>
        </w:rPr>
        <w:t>71</w:t>
      </w:r>
    </w:p>
    <w:p>
      <w:pPr>
        <w:pStyle w:val="BodyText"/>
        <w:spacing w:line="249" w:lineRule="auto" w:before="20"/>
        <w:ind w:right="98" w:firstLine="450"/>
      </w:pPr>
      <w:r>
        <w:rPr/>
        <w:t>As noted, most women experience a 2- to 8-year period of time prior to the FMP when the occurrence of anovulation becomes common.</w:t>
      </w:r>
      <w:r>
        <w:rPr>
          <w:vertAlign w:val="superscript"/>
        </w:rPr>
        <w:t>52</w:t>
      </w:r>
      <w:r>
        <w:rPr>
          <w:vertAlign w:val="baseline"/>
        </w:rPr>
        <w:t> During this time, ovarian follicles continue their rate of loss until the reservoir </w:t>
      </w:r>
      <w:r>
        <w:rPr>
          <w:vertAlign w:val="baseline"/>
        </w:rPr>
        <w:t>is finally depleted.</w:t>
      </w:r>
      <w:r>
        <w:rPr>
          <w:vertAlign w:val="superscript"/>
        </w:rPr>
        <w:t>72,73</w:t>
      </w:r>
      <w:r>
        <w:rPr>
          <w:vertAlign w:val="baseline"/>
        </w:rPr>
        <w:t> In a study of human ovaries, the loss that began when the total number of follicles reached approximately 25,000, usually at ages 37</w:t>
      </w:r>
      <w:r>
        <w:rPr>
          <w:spacing w:val="15"/>
          <w:vertAlign w:val="baseline"/>
        </w:rPr>
        <w:t> </w:t>
      </w:r>
      <w:r>
        <w:rPr>
          <w:vertAlign w:val="baseline"/>
        </w:rPr>
        <w:t>and</w:t>
      </w:r>
      <w:r>
        <w:rPr>
          <w:spacing w:val="15"/>
          <w:vertAlign w:val="baseline"/>
        </w:rPr>
        <w:t> </w:t>
      </w:r>
      <w:r>
        <w:rPr>
          <w:vertAlign w:val="baseline"/>
        </w:rPr>
        <w:t>38,</w:t>
      </w:r>
      <w:r>
        <w:rPr>
          <w:spacing w:val="15"/>
          <w:vertAlign w:val="baseline"/>
        </w:rPr>
        <w:t> </w:t>
      </w:r>
      <w:r>
        <w:rPr>
          <w:vertAlign w:val="baseline"/>
        </w:rPr>
        <w:t>correlated</w:t>
      </w:r>
      <w:r>
        <w:rPr>
          <w:spacing w:val="15"/>
          <w:vertAlign w:val="baseline"/>
        </w:rPr>
        <w:t> </w:t>
      </w:r>
      <w:r>
        <w:rPr>
          <w:vertAlign w:val="baseline"/>
        </w:rPr>
        <w:t>with</w:t>
      </w:r>
      <w:r>
        <w:rPr>
          <w:spacing w:val="15"/>
          <w:vertAlign w:val="baseline"/>
        </w:rPr>
        <w:t> </w:t>
      </w:r>
      <w:r>
        <w:rPr>
          <w:vertAlign w:val="baseline"/>
        </w:rPr>
        <w:t>a</w:t>
      </w:r>
      <w:r>
        <w:rPr>
          <w:spacing w:val="15"/>
          <w:vertAlign w:val="baseline"/>
        </w:rPr>
        <w:t> </w:t>
      </w:r>
      <w:r>
        <w:rPr>
          <w:vertAlign w:val="baseline"/>
        </w:rPr>
        <w:t>subtle</w:t>
      </w:r>
      <w:r>
        <w:rPr>
          <w:spacing w:val="15"/>
          <w:vertAlign w:val="baseline"/>
        </w:rPr>
        <w:t> </w:t>
      </w:r>
      <w:r>
        <w:rPr>
          <w:vertAlign w:val="baseline"/>
        </w:rPr>
        <w:t>but</w:t>
      </w:r>
      <w:r>
        <w:rPr>
          <w:spacing w:val="14"/>
          <w:vertAlign w:val="baseline"/>
        </w:rPr>
        <w:t> </w:t>
      </w:r>
      <w:r>
        <w:rPr>
          <w:vertAlign w:val="baseline"/>
        </w:rPr>
        <w:t>real</w:t>
      </w:r>
      <w:r>
        <w:rPr>
          <w:spacing w:val="15"/>
          <w:vertAlign w:val="baseline"/>
        </w:rPr>
        <w:t> </w:t>
      </w:r>
      <w:r>
        <w:rPr>
          <w:vertAlign w:val="baseline"/>
        </w:rPr>
        <w:t>increase</w:t>
      </w:r>
      <w:r>
        <w:rPr>
          <w:spacing w:val="15"/>
          <w:vertAlign w:val="baseline"/>
        </w:rPr>
        <w:t> </w:t>
      </w:r>
      <w:r>
        <w:rPr>
          <w:vertAlign w:val="baseline"/>
        </w:rPr>
        <w:t>in</w:t>
      </w:r>
      <w:r>
        <w:rPr>
          <w:spacing w:val="15"/>
          <w:vertAlign w:val="baseline"/>
        </w:rPr>
        <w:t> </w:t>
      </w:r>
      <w:r>
        <w:rPr>
          <w:vertAlign w:val="baseline"/>
        </w:rPr>
        <w:t>FSH</w:t>
      </w:r>
      <w:r>
        <w:rPr>
          <w:spacing w:val="15"/>
          <w:vertAlign w:val="baseline"/>
        </w:rPr>
        <w:t> </w:t>
      </w:r>
      <w:r>
        <w:rPr>
          <w:vertAlign w:val="baseline"/>
        </w:rPr>
        <w:t>and</w:t>
      </w:r>
      <w:r>
        <w:rPr>
          <w:spacing w:val="15"/>
          <w:vertAlign w:val="baseline"/>
        </w:rPr>
        <w:t> </w:t>
      </w:r>
      <w:r>
        <w:rPr>
          <w:vertAlign w:val="baseline"/>
        </w:rPr>
        <w:t>a</w:t>
      </w:r>
      <w:r>
        <w:rPr>
          <w:spacing w:val="15"/>
          <w:vertAlign w:val="baseline"/>
        </w:rPr>
        <w:t> </w:t>
      </w:r>
      <w:r>
        <w:rPr>
          <w:spacing w:val="-2"/>
          <w:vertAlign w:val="baseline"/>
        </w:rPr>
        <w:t>decrease</w:t>
      </w:r>
    </w:p>
    <w:p>
      <w:pPr>
        <w:pStyle w:val="BodyText"/>
        <w:spacing w:after="0" w:line="249" w:lineRule="auto"/>
        <w:sectPr>
          <w:pgSz w:w="12240" w:h="15840"/>
          <w:pgMar w:top="1380" w:bottom="280" w:left="1440" w:right="1440"/>
        </w:sectPr>
      </w:pPr>
    </w:p>
    <w:p>
      <w:pPr>
        <w:pStyle w:val="BodyText"/>
        <w:spacing w:line="249" w:lineRule="auto"/>
        <w:ind w:right="99"/>
      </w:pPr>
      <w:r>
        <w:rPr/>
        <w:t>in inhibin levels.</w:t>
      </w:r>
      <w:r>
        <w:rPr>
          <w:vertAlign w:val="superscript"/>
        </w:rPr>
        <w:t>74</w:t>
      </w:r>
      <w:r>
        <w:rPr>
          <w:vertAlign w:val="baseline"/>
        </w:rPr>
        <w:t> These changes begin around age 35 but accelerate </w:t>
      </w:r>
      <w:r>
        <w:rPr>
          <w:vertAlign w:val="baseline"/>
        </w:rPr>
        <w:t>after 40 and parallel the decline in fecundity that occurs with aging. Aging-related decline in the </w:t>
      </w:r>
      <w:r>
        <w:rPr>
          <w:i/>
          <w:vertAlign w:val="baseline"/>
        </w:rPr>
        <w:t>quantity </w:t>
      </w:r>
      <w:r>
        <w:rPr>
          <w:vertAlign w:val="baseline"/>
        </w:rPr>
        <w:t>of ovarian follicles is directly related to the rise in FSH levels that occurs with advancing age; this rise in FSH results from reduced secretion of inhibin, a granulosa cell product that exerts important negative feedback on FSH secretion by the pituitary gland. It is possible that both inhibin A and inhibin B may be involved, because luteal phase levels of inhibin A and follicular phase levels of inhibin B decrease with aging and predate the rise in FSH.</w:t>
      </w:r>
      <w:r>
        <w:rPr>
          <w:vertAlign w:val="superscript"/>
        </w:rPr>
        <w:t>75-77</w:t>
      </w:r>
      <w:r>
        <w:rPr>
          <w:vertAlign w:val="baseline"/>
        </w:rPr>
        <w:t> A careful study in Australia, however, indicated that the increase in FSH was correlated only with a decrease in inhibin B, and in response to elevated FSH, estradiol levels increased slightly.</w:t>
      </w:r>
      <w:r>
        <w:rPr>
          <w:vertAlign w:val="superscript"/>
        </w:rPr>
        <w:t>68</w:t>
      </w:r>
    </w:p>
    <w:p>
      <w:pPr>
        <w:pStyle w:val="BodyText"/>
        <w:spacing w:before="0"/>
        <w:ind w:left="0"/>
        <w:jc w:val="left"/>
        <w:rPr>
          <w:sz w:val="20"/>
        </w:rPr>
      </w:pPr>
    </w:p>
    <w:p>
      <w:pPr>
        <w:pStyle w:val="BodyText"/>
        <w:spacing w:before="125"/>
        <w:ind w:left="0"/>
        <w:jc w:val="left"/>
        <w:rPr>
          <w:sz w:val="20"/>
        </w:rPr>
      </w:pPr>
      <w:r>
        <w:rPr>
          <w:sz w:val="20"/>
        </w:rPr>
        <w:drawing>
          <wp:anchor distT="0" distB="0" distL="0" distR="0" allowOverlap="1" layoutInCell="1" locked="0" behindDoc="1" simplePos="0" relativeHeight="487599616">
            <wp:simplePos x="0" y="0"/>
            <wp:positionH relativeFrom="page">
              <wp:posOffset>981075</wp:posOffset>
            </wp:positionH>
            <wp:positionV relativeFrom="paragraph">
              <wp:posOffset>241175</wp:posOffset>
            </wp:positionV>
            <wp:extent cx="5819933" cy="446512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4" cstate="print"/>
                    <a:stretch>
                      <a:fillRect/>
                    </a:stretch>
                  </pic:blipFill>
                  <pic:spPr>
                    <a:xfrm>
                      <a:off x="0" y="0"/>
                      <a:ext cx="5819933" cy="446512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0128">
                <wp:simplePos x="0" y="0"/>
                <wp:positionH relativeFrom="page">
                  <wp:posOffset>981075</wp:posOffset>
                </wp:positionH>
                <wp:positionV relativeFrom="paragraph">
                  <wp:posOffset>4889375</wp:posOffset>
                </wp:positionV>
                <wp:extent cx="856615" cy="571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856615" cy="57150"/>
                        </a:xfrm>
                        <a:custGeom>
                          <a:avLst/>
                          <a:gdLst/>
                          <a:ahLst/>
                          <a:cxnLst/>
                          <a:rect l="l" t="t" r="r" b="b"/>
                          <a:pathLst>
                            <a:path w="856615" h="57150">
                              <a:moveTo>
                                <a:pt x="32364" y="57130"/>
                              </a:moveTo>
                              <a:lnTo>
                                <a:pt x="24785" y="57130"/>
                              </a:lnTo>
                              <a:lnTo>
                                <a:pt x="21140" y="56407"/>
                              </a:lnTo>
                              <a:lnTo>
                                <a:pt x="0" y="32346"/>
                              </a:lnTo>
                              <a:lnTo>
                                <a:pt x="0" y="24784"/>
                              </a:lnTo>
                              <a:lnTo>
                                <a:pt x="24785" y="0"/>
                              </a:lnTo>
                              <a:lnTo>
                                <a:pt x="32364" y="0"/>
                              </a:lnTo>
                              <a:lnTo>
                                <a:pt x="57149" y="24784"/>
                              </a:lnTo>
                              <a:lnTo>
                                <a:pt x="57149" y="32346"/>
                              </a:lnTo>
                              <a:lnTo>
                                <a:pt x="32364" y="57130"/>
                              </a:lnTo>
                              <a:close/>
                            </a:path>
                            <a:path w="856615" h="57150">
                              <a:moveTo>
                                <a:pt x="146569" y="57130"/>
                              </a:moveTo>
                              <a:lnTo>
                                <a:pt x="138990" y="57130"/>
                              </a:lnTo>
                              <a:lnTo>
                                <a:pt x="135345" y="56407"/>
                              </a:lnTo>
                              <a:lnTo>
                                <a:pt x="114204" y="32346"/>
                              </a:lnTo>
                              <a:lnTo>
                                <a:pt x="114204" y="24784"/>
                              </a:lnTo>
                              <a:lnTo>
                                <a:pt x="138990" y="0"/>
                              </a:lnTo>
                              <a:lnTo>
                                <a:pt x="146569" y="0"/>
                              </a:lnTo>
                              <a:lnTo>
                                <a:pt x="171354" y="24784"/>
                              </a:lnTo>
                              <a:lnTo>
                                <a:pt x="171354" y="32346"/>
                              </a:lnTo>
                              <a:lnTo>
                                <a:pt x="146569" y="57130"/>
                              </a:lnTo>
                              <a:close/>
                            </a:path>
                            <a:path w="856615" h="57150">
                              <a:moveTo>
                                <a:pt x="260773" y="57130"/>
                              </a:moveTo>
                              <a:lnTo>
                                <a:pt x="253195" y="57130"/>
                              </a:lnTo>
                              <a:lnTo>
                                <a:pt x="249550" y="56407"/>
                              </a:lnTo>
                              <a:lnTo>
                                <a:pt x="228409" y="32346"/>
                              </a:lnTo>
                              <a:lnTo>
                                <a:pt x="228409" y="24784"/>
                              </a:lnTo>
                              <a:lnTo>
                                <a:pt x="253195" y="0"/>
                              </a:lnTo>
                              <a:lnTo>
                                <a:pt x="260773" y="0"/>
                              </a:lnTo>
                              <a:lnTo>
                                <a:pt x="285559" y="24784"/>
                              </a:lnTo>
                              <a:lnTo>
                                <a:pt x="285559" y="32346"/>
                              </a:lnTo>
                              <a:lnTo>
                                <a:pt x="260773" y="57130"/>
                              </a:lnTo>
                              <a:close/>
                            </a:path>
                            <a:path w="856615" h="57150">
                              <a:moveTo>
                                <a:pt x="374978" y="57130"/>
                              </a:moveTo>
                              <a:lnTo>
                                <a:pt x="367399" y="57130"/>
                              </a:lnTo>
                              <a:lnTo>
                                <a:pt x="363754" y="56407"/>
                              </a:lnTo>
                              <a:lnTo>
                                <a:pt x="342614" y="32346"/>
                              </a:lnTo>
                              <a:lnTo>
                                <a:pt x="342614" y="24784"/>
                              </a:lnTo>
                              <a:lnTo>
                                <a:pt x="367399" y="0"/>
                              </a:lnTo>
                              <a:lnTo>
                                <a:pt x="374978" y="0"/>
                              </a:lnTo>
                              <a:lnTo>
                                <a:pt x="399764" y="24784"/>
                              </a:lnTo>
                              <a:lnTo>
                                <a:pt x="399764" y="32346"/>
                              </a:lnTo>
                              <a:lnTo>
                                <a:pt x="374978" y="57130"/>
                              </a:lnTo>
                              <a:close/>
                            </a:path>
                            <a:path w="856615" h="57150">
                              <a:moveTo>
                                <a:pt x="489183" y="57130"/>
                              </a:moveTo>
                              <a:lnTo>
                                <a:pt x="481604" y="57130"/>
                              </a:lnTo>
                              <a:lnTo>
                                <a:pt x="477959" y="56407"/>
                              </a:lnTo>
                              <a:lnTo>
                                <a:pt x="456818" y="32346"/>
                              </a:lnTo>
                              <a:lnTo>
                                <a:pt x="456818" y="24784"/>
                              </a:lnTo>
                              <a:lnTo>
                                <a:pt x="481604" y="0"/>
                              </a:lnTo>
                              <a:lnTo>
                                <a:pt x="489183" y="0"/>
                              </a:lnTo>
                              <a:lnTo>
                                <a:pt x="513968" y="24784"/>
                              </a:lnTo>
                              <a:lnTo>
                                <a:pt x="513968" y="32346"/>
                              </a:lnTo>
                              <a:lnTo>
                                <a:pt x="489183" y="57130"/>
                              </a:lnTo>
                              <a:close/>
                            </a:path>
                            <a:path w="856615" h="57150">
                              <a:moveTo>
                                <a:pt x="603387" y="57130"/>
                              </a:moveTo>
                              <a:lnTo>
                                <a:pt x="595809" y="57130"/>
                              </a:lnTo>
                              <a:lnTo>
                                <a:pt x="592164" y="56407"/>
                              </a:lnTo>
                              <a:lnTo>
                                <a:pt x="571023" y="32346"/>
                              </a:lnTo>
                              <a:lnTo>
                                <a:pt x="571023" y="24784"/>
                              </a:lnTo>
                              <a:lnTo>
                                <a:pt x="595809" y="0"/>
                              </a:lnTo>
                              <a:lnTo>
                                <a:pt x="603387" y="0"/>
                              </a:lnTo>
                              <a:lnTo>
                                <a:pt x="628173" y="24784"/>
                              </a:lnTo>
                              <a:lnTo>
                                <a:pt x="628173" y="32346"/>
                              </a:lnTo>
                              <a:lnTo>
                                <a:pt x="603387" y="57130"/>
                              </a:lnTo>
                              <a:close/>
                            </a:path>
                            <a:path w="856615" h="57150">
                              <a:moveTo>
                                <a:pt x="717592" y="57130"/>
                              </a:moveTo>
                              <a:lnTo>
                                <a:pt x="710014" y="57130"/>
                              </a:lnTo>
                              <a:lnTo>
                                <a:pt x="706369" y="56407"/>
                              </a:lnTo>
                              <a:lnTo>
                                <a:pt x="685228" y="32346"/>
                              </a:lnTo>
                              <a:lnTo>
                                <a:pt x="685228" y="24784"/>
                              </a:lnTo>
                              <a:lnTo>
                                <a:pt x="710014" y="0"/>
                              </a:lnTo>
                              <a:lnTo>
                                <a:pt x="717592" y="0"/>
                              </a:lnTo>
                              <a:lnTo>
                                <a:pt x="742378" y="24784"/>
                              </a:lnTo>
                              <a:lnTo>
                                <a:pt x="742378" y="32346"/>
                              </a:lnTo>
                              <a:lnTo>
                                <a:pt x="717592" y="57130"/>
                              </a:lnTo>
                              <a:close/>
                            </a:path>
                            <a:path w="856615" h="57150">
                              <a:moveTo>
                                <a:pt x="831797" y="57130"/>
                              </a:moveTo>
                              <a:lnTo>
                                <a:pt x="824218" y="57130"/>
                              </a:lnTo>
                              <a:lnTo>
                                <a:pt x="820573" y="56407"/>
                              </a:lnTo>
                              <a:lnTo>
                                <a:pt x="799433" y="32346"/>
                              </a:lnTo>
                              <a:lnTo>
                                <a:pt x="799433" y="24784"/>
                              </a:lnTo>
                              <a:lnTo>
                                <a:pt x="824218" y="0"/>
                              </a:lnTo>
                              <a:lnTo>
                                <a:pt x="831797" y="0"/>
                              </a:lnTo>
                              <a:lnTo>
                                <a:pt x="856583" y="24784"/>
                              </a:lnTo>
                              <a:lnTo>
                                <a:pt x="856583" y="32346"/>
                              </a:lnTo>
                              <a:lnTo>
                                <a:pt x="831797" y="5713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84.990204pt;width:67.45pt;height:4.5pt;mso-position-horizontal-relative:page;mso-position-vertical-relative:paragraph;z-index:-15716352;mso-wrap-distance-left:0;mso-wrap-distance-right:0" id="docshape20" coordorigin="1545,7700" coordsize="1349,90" path="m1596,7790l1584,7790,1578,7789,1567,7784,1562,7781,1558,7777,1554,7772,1551,7768,1546,7756,1545,7751,1545,7739,1546,7733,1551,7722,1554,7717,1562,7709,1567,7705,1578,7701,1584,7700,1596,7700,1602,7701,1613,7705,1618,7709,1626,7717,1629,7722,1634,7733,1635,7739,1635,7751,1634,7756,1629,7768,1626,7772,1622,7777,1618,7781,1613,7784,1602,7789,1596,7790xm1776,7790l1764,7790,1758,7789,1747,7784,1742,7781,1738,7777,1734,7772,1731,7768,1726,7756,1725,7751,1725,7739,1726,7733,1731,7722,1734,7717,1742,7709,1747,7705,1758,7701,1764,7700,1776,7700,1782,7701,1793,7705,1797,7709,1806,7717,1809,7722,1814,7733,1815,7739,1815,7751,1814,7756,1809,7768,1806,7772,1802,7777,1797,7781,1793,7784,1782,7789,1776,7790xm1956,7790l1944,7790,1938,7789,1927,7784,1922,7781,1918,7777,1914,7772,1910,7768,1906,7756,1905,7751,1905,7739,1906,7733,1910,7722,1914,7717,1922,7709,1927,7705,1938,7701,1944,7700,1956,7700,1961,7701,1972,7705,1977,7709,1986,7717,1989,7722,1994,7733,1995,7739,1995,7751,1994,7756,1989,7768,1986,7772,1982,7777,1977,7781,1972,7784,1961,7789,1956,7790xm2136,7790l2124,7790,2118,7789,2107,7784,2102,7781,2098,7777,2094,7772,2090,7768,2086,7756,2085,7751,2085,7739,2086,7733,2090,7722,2094,7717,2102,7709,2107,7705,2118,7701,2124,7700,2136,7700,2141,7701,2152,7705,2157,7709,2166,7717,2169,7722,2173,7733,2175,7739,2175,7751,2173,7756,2169,7768,2166,7772,2161,7777,2157,7781,2152,7784,2141,7789,2136,7790xm2315,7790l2303,7790,2298,7789,2287,7784,2282,7781,2278,7777,2273,7772,2270,7768,2266,7756,2264,7751,2264,7739,2266,7733,2270,7722,2273,7717,2282,7709,2287,7705,2298,7701,2303,7700,2315,7700,2321,7701,2332,7705,2337,7709,2345,7717,2349,7722,2353,7733,2354,7739,2354,7751,2353,7756,2349,7768,2345,7772,2341,7777,2337,7781,2332,7784,2321,7789,2315,7790xm2495,7790l2483,7790,2478,7789,2467,7784,2462,7781,2457,7777,2453,7772,2450,7768,2445,7756,2444,7751,2444,7739,2445,7733,2450,7722,2453,7717,2462,7709,2467,7705,2478,7701,2483,7700,2495,7700,2501,7701,2512,7705,2517,7709,2525,7717,2529,7722,2533,7733,2534,7739,2534,7751,2533,7756,2529,7768,2525,7772,2521,7777,2517,7781,2512,7784,2501,7789,2495,7790xm2675,7790l2663,7790,2657,7789,2646,7784,2641,7781,2637,7777,2633,7772,2630,7768,2625,7756,2624,7751,2624,7739,2625,7733,2630,7722,2633,7717,2641,7709,2646,7705,2657,7701,2663,7700,2675,7700,2681,7701,2692,7705,2697,7709,2705,7717,2708,7722,2713,7733,2714,7739,2714,7751,2713,7756,2708,7768,2705,7772,2701,7777,2697,7781,2692,7784,2681,7789,2675,7790xm2855,7790l2843,7790,2837,7789,2826,7784,2821,7781,2817,7777,2813,7772,2810,7768,2805,7756,2804,7751,2804,7739,2805,7733,2810,7722,2813,7717,2821,7709,2826,7705,2837,7701,2843,7700,2855,7700,2861,7701,2872,7705,2877,7709,2885,7717,2888,7722,2893,7733,2894,7739,2894,7751,2893,7756,2888,7768,2885,7772,2881,7777,2877,7781,2872,7784,2861,7789,2855,7790xe" filled="true" fillcolor="#2b816f" stroked="false">
                <v:path arrowok="t"/>
                <v:fill type="solid"/>
                <w10:wrap type="topAndBottom"/>
              </v:shape>
            </w:pict>
          </mc:Fallback>
        </mc:AlternateContent>
      </w:r>
    </w:p>
    <w:p>
      <w:pPr>
        <w:pStyle w:val="BodyText"/>
        <w:spacing w:before="34"/>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21.8</w:t>
      </w:r>
    </w:p>
    <w:p>
      <w:pPr>
        <w:spacing w:after="0"/>
        <w:jc w:val="left"/>
        <w:rPr>
          <w:rFonts w:ascii="Arial"/>
          <w:b/>
          <w:sz w:val="22"/>
        </w:rPr>
        <w:sectPr>
          <w:pgSz w:w="12240" w:h="15840"/>
          <w:pgMar w:top="1380" w:bottom="280" w:left="1440" w:right="1440"/>
        </w:sectPr>
      </w:pPr>
    </w:p>
    <w:p>
      <w:pPr>
        <w:pStyle w:val="BodyText"/>
        <w:spacing w:line="249" w:lineRule="auto"/>
        <w:ind w:right="98" w:firstLine="450"/>
      </w:pPr>
      <w:r>
        <w:rPr/>
        <w:t>A decrease in inhibin production by the follicular granulosa cells could reflect a shrinking number of ovarian follicles or a reduced </w:t>
      </w:r>
      <w:r>
        <w:rPr/>
        <w:t>functional capacity</w:t>
      </w:r>
      <w:r>
        <w:rPr>
          <w:spacing w:val="-6"/>
        </w:rPr>
        <w:t> </w:t>
      </w:r>
      <w:r>
        <w:rPr/>
        <w:t>of</w:t>
      </w:r>
      <w:r>
        <w:rPr>
          <w:spacing w:val="-6"/>
        </w:rPr>
        <w:t> </w:t>
      </w:r>
      <w:r>
        <w:rPr/>
        <w:t>the</w:t>
      </w:r>
      <w:r>
        <w:rPr>
          <w:spacing w:val="-6"/>
        </w:rPr>
        <w:t> </w:t>
      </w:r>
      <w:r>
        <w:rPr/>
        <w:t>older</w:t>
      </w:r>
      <w:r>
        <w:rPr>
          <w:spacing w:val="-6"/>
        </w:rPr>
        <w:t> </w:t>
      </w:r>
      <w:r>
        <w:rPr/>
        <w:t>follicles</w:t>
      </w:r>
      <w:r>
        <w:rPr>
          <w:spacing w:val="-6"/>
        </w:rPr>
        <w:t> </w:t>
      </w:r>
      <w:r>
        <w:rPr/>
        <w:t>or</w:t>
      </w:r>
      <w:r>
        <w:rPr>
          <w:spacing w:val="-6"/>
        </w:rPr>
        <w:t> </w:t>
      </w:r>
      <w:r>
        <w:rPr/>
        <w:t>both.</w:t>
      </w:r>
      <w:r>
        <w:rPr>
          <w:vertAlign w:val="superscript"/>
        </w:rPr>
        <w:t>78</w:t>
      </w:r>
      <w:r>
        <w:rPr>
          <w:spacing w:val="-7"/>
          <w:vertAlign w:val="baseline"/>
        </w:rPr>
        <w:t> </w:t>
      </w:r>
      <w:r>
        <w:rPr>
          <w:b/>
          <w:vertAlign w:val="baseline"/>
        </w:rPr>
        <w:t>The</w:t>
      </w:r>
      <w:r>
        <w:rPr>
          <w:b/>
          <w:spacing w:val="-6"/>
          <w:vertAlign w:val="baseline"/>
        </w:rPr>
        <w:t> </w:t>
      </w:r>
      <w:r>
        <w:rPr>
          <w:b/>
          <w:vertAlign w:val="baseline"/>
        </w:rPr>
        <w:t>observation</w:t>
      </w:r>
      <w:r>
        <w:rPr>
          <w:b/>
          <w:spacing w:val="-6"/>
          <w:vertAlign w:val="baseline"/>
        </w:rPr>
        <w:t> </w:t>
      </w:r>
      <w:r>
        <w:rPr>
          <w:b/>
          <w:vertAlign w:val="baseline"/>
        </w:rPr>
        <w:t>that</w:t>
      </w:r>
      <w:r>
        <w:rPr>
          <w:b/>
          <w:spacing w:val="-6"/>
          <w:vertAlign w:val="baseline"/>
        </w:rPr>
        <w:t> </w:t>
      </w:r>
      <w:r>
        <w:rPr>
          <w:b/>
          <w:vertAlign w:val="baseline"/>
        </w:rPr>
        <w:t>preovulatory follicular fluid inhibin concentrations are similar in young and older cycling women suggests that the number of remaining follicles is the most important factor.</w:t>
      </w:r>
      <w:r>
        <w:rPr>
          <w:vertAlign w:val="superscript"/>
        </w:rPr>
        <w:t>79</w:t>
      </w:r>
      <w:r>
        <w:rPr>
          <w:vertAlign w:val="baseline"/>
        </w:rPr>
        <w:t> In the late reproductive stage, driven by higher FSH levels, the process of follicular recruitment and development gets accelerated with resulting shortening of the follicular phase. This accelerated pace of follicular development in the late reproductive stage is reflected in higher estradiol levels being attained earlier in the follicular phase.</w:t>
      </w:r>
      <w:r>
        <w:rPr>
          <w:vertAlign w:val="superscript"/>
        </w:rPr>
        <w:t>80</w:t>
      </w:r>
      <w:r>
        <w:rPr>
          <w:vertAlign w:val="baseline"/>
        </w:rPr>
        <w:t> </w:t>
      </w:r>
      <w:r>
        <w:rPr>
          <w:b/>
          <w:vertAlign w:val="baseline"/>
        </w:rPr>
        <w:t>Careful studies indicated that the earlier acute rise in estradiol levels results from advanced follicular development at the beginning of the cycle and earlier selection of the dominant follicle. </w:t>
      </w:r>
      <w:r>
        <w:rPr>
          <w:vertAlign w:val="baseline"/>
        </w:rPr>
        <w:t>A rise in estradiol levels earlier in the follicular phase is a recognized hallmark of decreased ovarian reserve. With declining inhibin levels with advancing age, FSH levels start to rise in the late luteal phase of the menstrual cycle. This early rise in FSH initiates early follicular recruitment, accelerates follicular development and earlier selection of a dominant follicle in the succeeding cycle with resulting shortening of the follicular phase and of cycle length.</w:t>
      </w:r>
      <w:r>
        <w:rPr>
          <w:vertAlign w:val="superscript"/>
        </w:rPr>
        <w:t>81,82</w:t>
      </w:r>
      <w:r>
        <w:rPr>
          <w:vertAlign w:val="baseline"/>
        </w:rPr>
        <w:t> Follicular phase and overall cycle length reach their nadir at approximately age 42. Over the subsequent 8 to 10 years preceding the FMP, average cycle length and variability steadily increase as ovulations become less regular and less frequent.</w:t>
      </w:r>
      <w:r>
        <w:rPr>
          <w:vertAlign w:val="superscript"/>
        </w:rPr>
        <w:t>51</w:t>
      </w:r>
      <w:r>
        <w:rPr>
          <w:vertAlign w:val="baseline"/>
        </w:rPr>
        <w:t> The aging-related changes in the endocrine characteristics of the menstrual cycle that result from progressive follicular depletion correlate with a measurable decrease in the ovarian volume and in the number of antral follicles observed by transvaginal ultrasonography during the early follicular phase.</w:t>
      </w:r>
      <w:r>
        <w:rPr>
          <w:vertAlign w:val="superscript"/>
        </w:rPr>
        <w:t>83-89</w:t>
      </w:r>
    </w:p>
    <w:p>
      <w:pPr>
        <w:spacing w:line="249" w:lineRule="auto" w:before="33"/>
        <w:ind w:left="99" w:right="101" w:firstLine="450"/>
        <w:jc w:val="both"/>
        <w:rPr>
          <w:b/>
          <w:sz w:val="30"/>
        </w:rPr>
      </w:pPr>
      <w:r>
        <w:rPr>
          <w:sz w:val="30"/>
        </w:rPr>
        <w:t>The inverse and tight relationship between FSH and inhibin indicates that inhibin is a sensitive marker of ovarian follicular competence and, </w:t>
      </w:r>
      <w:r>
        <w:rPr>
          <w:sz w:val="30"/>
        </w:rPr>
        <w:t>in turn, that FSH measurement is a reflection of inhibin action.</w:t>
      </w:r>
      <w:r>
        <w:rPr>
          <w:sz w:val="30"/>
          <w:vertAlign w:val="superscript"/>
        </w:rPr>
        <w:t>44,45</w:t>
      </w:r>
      <w:r>
        <w:rPr>
          <w:sz w:val="30"/>
          <w:vertAlign w:val="baseline"/>
        </w:rPr>
        <w:t> The decrease in inhibin secretion by the ovarian follicles begins early (around age 35), but accelerates after age 40, and parallels the decline in fecundity that occurs with aging (as discussed in Chapter 28). </w:t>
      </w:r>
      <w:r>
        <w:rPr>
          <w:b/>
          <w:sz w:val="30"/>
          <w:vertAlign w:val="baseline"/>
        </w:rPr>
        <w:t>Furthermore, the ineffective ability to achieve suppression of gonadotropins with menopausal</w:t>
      </w:r>
      <w:r>
        <w:rPr>
          <w:b/>
          <w:spacing w:val="40"/>
          <w:sz w:val="30"/>
          <w:vertAlign w:val="baseline"/>
        </w:rPr>
        <w:t> </w:t>
      </w:r>
      <w:r>
        <w:rPr>
          <w:b/>
          <w:sz w:val="30"/>
          <w:vertAlign w:val="baseline"/>
        </w:rPr>
        <w:t>hormone</w:t>
      </w:r>
      <w:r>
        <w:rPr>
          <w:b/>
          <w:spacing w:val="40"/>
          <w:sz w:val="30"/>
          <w:vertAlign w:val="baseline"/>
        </w:rPr>
        <w:t> </w:t>
      </w:r>
      <w:r>
        <w:rPr>
          <w:b/>
          <w:sz w:val="30"/>
          <w:vertAlign w:val="baseline"/>
        </w:rPr>
        <w:t>therapy</w:t>
      </w:r>
      <w:r>
        <w:rPr>
          <w:b/>
          <w:spacing w:val="40"/>
          <w:sz w:val="30"/>
          <w:vertAlign w:val="baseline"/>
        </w:rPr>
        <w:t> </w:t>
      </w:r>
      <w:r>
        <w:rPr>
          <w:b/>
          <w:sz w:val="30"/>
          <w:vertAlign w:val="baseline"/>
        </w:rPr>
        <w:t>is</w:t>
      </w:r>
      <w:r>
        <w:rPr>
          <w:b/>
          <w:spacing w:val="40"/>
          <w:sz w:val="30"/>
          <w:vertAlign w:val="baseline"/>
        </w:rPr>
        <w:t> </w:t>
      </w:r>
      <w:r>
        <w:rPr>
          <w:b/>
          <w:sz w:val="30"/>
          <w:vertAlign w:val="baseline"/>
        </w:rPr>
        <w:t>a</w:t>
      </w:r>
      <w:r>
        <w:rPr>
          <w:b/>
          <w:spacing w:val="40"/>
          <w:sz w:val="30"/>
          <w:vertAlign w:val="baseline"/>
        </w:rPr>
        <w:t> </w:t>
      </w:r>
      <w:r>
        <w:rPr>
          <w:b/>
          <w:sz w:val="30"/>
          <w:vertAlign w:val="baseline"/>
        </w:rPr>
        <w:t>consequence</w:t>
      </w:r>
      <w:r>
        <w:rPr>
          <w:b/>
          <w:spacing w:val="40"/>
          <w:sz w:val="30"/>
          <w:vertAlign w:val="baseline"/>
        </w:rPr>
        <w:t> </w:t>
      </w:r>
      <w:r>
        <w:rPr>
          <w:b/>
          <w:sz w:val="30"/>
          <w:vertAlign w:val="baseline"/>
        </w:rPr>
        <w:t>of</w:t>
      </w:r>
      <w:r>
        <w:rPr>
          <w:b/>
          <w:spacing w:val="40"/>
          <w:sz w:val="30"/>
          <w:vertAlign w:val="baseline"/>
        </w:rPr>
        <w:t> </w:t>
      </w:r>
      <w:r>
        <w:rPr>
          <w:b/>
          <w:sz w:val="30"/>
          <w:vertAlign w:val="baseline"/>
        </w:rPr>
        <w:t>the</w:t>
      </w:r>
      <w:r>
        <w:rPr>
          <w:b/>
          <w:spacing w:val="40"/>
          <w:sz w:val="30"/>
          <w:vertAlign w:val="baseline"/>
        </w:rPr>
        <w:t> </w:t>
      </w:r>
      <w:r>
        <w:rPr>
          <w:b/>
          <w:sz w:val="30"/>
          <w:vertAlign w:val="baseline"/>
        </w:rPr>
        <w:t>loss</w:t>
      </w:r>
      <w:r>
        <w:rPr>
          <w:b/>
          <w:spacing w:val="40"/>
          <w:sz w:val="30"/>
          <w:vertAlign w:val="baseline"/>
        </w:rPr>
        <w:t> </w:t>
      </w:r>
      <w:r>
        <w:rPr>
          <w:b/>
          <w:sz w:val="30"/>
          <w:vertAlign w:val="baseline"/>
        </w:rPr>
        <w:t>of</w:t>
      </w:r>
      <w:r>
        <w:rPr>
          <w:b/>
          <w:spacing w:val="40"/>
          <w:sz w:val="30"/>
          <w:vertAlign w:val="baseline"/>
        </w:rPr>
        <w:t> </w:t>
      </w:r>
      <w:r>
        <w:rPr>
          <w:b/>
          <w:spacing w:val="-2"/>
          <w:sz w:val="30"/>
          <w:vertAlign w:val="baseline"/>
        </w:rPr>
        <w:t>inhibin,</w:t>
      </w:r>
    </w:p>
    <w:p>
      <w:pPr>
        <w:spacing w:after="0" w:line="249" w:lineRule="auto"/>
        <w:jc w:val="both"/>
        <w:rPr>
          <w:b/>
          <w:sz w:val="30"/>
        </w:rPr>
        <w:sectPr>
          <w:pgSz w:w="12240" w:h="15840"/>
          <w:pgMar w:top="1380" w:bottom="280" w:left="1440" w:right="1440"/>
        </w:sectPr>
      </w:pPr>
    </w:p>
    <w:p>
      <w:pPr>
        <w:spacing w:line="249" w:lineRule="auto" w:before="65"/>
        <w:ind w:left="99" w:right="104" w:firstLine="0"/>
        <w:jc w:val="both"/>
        <w:rPr>
          <w:b/>
          <w:sz w:val="30"/>
        </w:rPr>
      </w:pPr>
      <w:r>
        <w:rPr>
          <w:b/>
          <w:sz w:val="30"/>
        </w:rPr>
        <w:t>and for this reason, FSH levels cannot be used to titrate </w:t>
      </w:r>
      <w:r>
        <w:rPr>
          <w:b/>
          <w:sz w:val="30"/>
        </w:rPr>
        <w:t>estrogen</w:t>
      </w:r>
      <w:r>
        <w:rPr>
          <w:b/>
          <w:spacing w:val="40"/>
          <w:sz w:val="30"/>
        </w:rPr>
        <w:t> </w:t>
      </w:r>
      <w:r>
        <w:rPr>
          <w:b/>
          <w:sz w:val="30"/>
        </w:rPr>
        <w:t>dosage in menopausal women on standard hormone therapy regimens.</w:t>
      </w:r>
    </w:p>
    <w:p>
      <w:pPr>
        <w:pStyle w:val="BodyText"/>
        <w:spacing w:line="249" w:lineRule="auto" w:before="2"/>
        <w:ind w:right="98" w:firstLine="450"/>
      </w:pPr>
      <w:r>
        <w:rPr/>
        <w:t>The Michigan Bone Health and Metabolism Study is a </w:t>
      </w:r>
      <w:r>
        <w:rPr/>
        <w:t>longitudinal assessment of the menopausal transition in a cohort of 629 women, initiated in 1992 to 1993. The initial rise in FSH in these women was modest until 7 years prior to menopause but accelerated with an even greater increase in the 2 years before menopause, finally reaching a plateau about a year after menopause.</w:t>
      </w:r>
      <w:r>
        <w:rPr>
          <w:vertAlign w:val="superscript"/>
        </w:rPr>
        <w:t>90</w:t>
      </w:r>
      <w:r>
        <w:rPr>
          <w:vertAlign w:val="baseline"/>
        </w:rPr>
        <w:t> The major decrease in estradiol levels began about 2 years before</w:t>
      </w:r>
      <w:r>
        <w:rPr>
          <w:spacing w:val="-4"/>
          <w:vertAlign w:val="baseline"/>
        </w:rPr>
        <w:t> </w:t>
      </w:r>
      <w:r>
        <w:rPr>
          <w:vertAlign w:val="baseline"/>
        </w:rPr>
        <w:t>menopause.</w:t>
      </w:r>
      <w:r>
        <w:rPr>
          <w:vertAlign w:val="superscript"/>
        </w:rPr>
        <w:t>91</w:t>
      </w:r>
      <w:r>
        <w:rPr>
          <w:vertAlign w:val="baseline"/>
        </w:rPr>
        <w:t> Declining levels of inhibin B and AMH reached a low to nondetectable point about 5 years before menopause.</w:t>
      </w:r>
      <w:r>
        <w:rPr>
          <w:vertAlign w:val="superscript"/>
        </w:rPr>
        <w:t>92</w:t>
      </w:r>
      <w:r>
        <w:rPr>
          <w:vertAlign w:val="baseline"/>
        </w:rPr>
        <w:t> Although the inhibin B and AMH results are in agreement with other reports, an exactness of the timing is limited by the fact that the blood samples were obtained from only 50 women in the study. Furthermore, Depmann et al also demonstrated that while AMH can help in predicting impending menopause as it relates to aging, this predictability is far from robust.</w:t>
      </w:r>
      <w:r>
        <w:rPr>
          <w:vertAlign w:val="superscript"/>
        </w:rPr>
        <w:t>93</w:t>
      </w:r>
      <w:r>
        <w:rPr>
          <w:vertAlign w:val="baseline"/>
        </w:rPr>
        <w:t> Nevertheless,</w:t>
      </w:r>
      <w:r>
        <w:rPr>
          <w:spacing w:val="-3"/>
          <w:vertAlign w:val="baseline"/>
        </w:rPr>
        <w:t> </w:t>
      </w:r>
      <w:r>
        <w:rPr>
          <w:vertAlign w:val="baseline"/>
        </w:rPr>
        <w:t>the</w:t>
      </w:r>
      <w:r>
        <w:rPr>
          <w:spacing w:val="-3"/>
          <w:vertAlign w:val="baseline"/>
        </w:rPr>
        <w:t> </w:t>
      </w:r>
      <w:r>
        <w:rPr>
          <w:vertAlign w:val="baseline"/>
        </w:rPr>
        <w:t>Michigan</w:t>
      </w:r>
      <w:r>
        <w:rPr>
          <w:spacing w:val="-3"/>
          <w:vertAlign w:val="baseline"/>
        </w:rPr>
        <w:t> </w:t>
      </w:r>
      <w:r>
        <w:rPr>
          <w:vertAlign w:val="baseline"/>
        </w:rPr>
        <w:t>study</w:t>
      </w:r>
      <w:r>
        <w:rPr>
          <w:spacing w:val="-3"/>
          <w:vertAlign w:val="baseline"/>
        </w:rPr>
        <w:t> </w:t>
      </w:r>
      <w:r>
        <w:rPr>
          <w:vertAlign w:val="baseline"/>
        </w:rPr>
        <w:t>confirms</w:t>
      </w:r>
      <w:r>
        <w:rPr>
          <w:spacing w:val="-3"/>
          <w:vertAlign w:val="baseline"/>
        </w:rPr>
        <w:t> </w:t>
      </w:r>
      <w:r>
        <w:rPr>
          <w:vertAlign w:val="baseline"/>
        </w:rPr>
        <w:t>the</w:t>
      </w:r>
      <w:r>
        <w:rPr>
          <w:spacing w:val="-3"/>
          <w:vertAlign w:val="baseline"/>
        </w:rPr>
        <w:t> </w:t>
      </w:r>
      <w:r>
        <w:rPr>
          <w:vertAlign w:val="baseline"/>
        </w:rPr>
        <w:t>validity</w:t>
      </w:r>
      <w:r>
        <w:rPr>
          <w:spacing w:val="-3"/>
          <w:vertAlign w:val="baseline"/>
        </w:rPr>
        <w:t> </w:t>
      </w:r>
      <w:r>
        <w:rPr>
          <w:vertAlign w:val="baseline"/>
        </w:rPr>
        <w:t>of</w:t>
      </w:r>
      <w:r>
        <w:rPr>
          <w:spacing w:val="-3"/>
          <w:vertAlign w:val="baseline"/>
        </w:rPr>
        <w:t> </w:t>
      </w:r>
      <w:r>
        <w:rPr>
          <w:vertAlign w:val="baseline"/>
        </w:rPr>
        <w:t>AMH</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marker for residual ovarian follicles, a concept that is referred to as </w:t>
      </w:r>
      <w:r>
        <w:rPr>
          <w:i/>
          <w:vertAlign w:val="baseline"/>
        </w:rPr>
        <w:t>ovarian</w:t>
      </w:r>
      <w:r>
        <w:rPr>
          <w:i/>
          <w:spacing w:val="40"/>
          <w:vertAlign w:val="baseline"/>
        </w:rPr>
        <w:t> </w:t>
      </w:r>
      <w:r>
        <w:rPr>
          <w:i/>
          <w:vertAlign w:val="baseline"/>
        </w:rPr>
        <w:t>reserve</w:t>
      </w:r>
      <w:r>
        <w:rPr>
          <w:vertAlign w:val="baseline"/>
        </w:rPr>
        <w:t>. Unlike inhibin B, AMH is not a participant in the feedback relationship between the ovary and the pituitary gonadotropins; rather, AMH, a product of the granulosa cells, reflects the number of residual follicles awaiting FSH stimulation.</w:t>
      </w:r>
      <w:r>
        <w:rPr>
          <w:vertAlign w:val="superscript"/>
        </w:rPr>
        <w:t>94</w:t>
      </w:r>
      <w:r>
        <w:rPr>
          <w:vertAlign w:val="baseline"/>
        </w:rPr>
        <w:t> </w:t>
      </w:r>
      <w:r>
        <w:rPr>
          <w:b/>
          <w:vertAlign w:val="baseline"/>
        </w:rPr>
        <w:t>The variability in these hormone measurements from individual to individual, however, precludes the practical use of these biomarkers to predict with accuracy the future date of menopause.</w:t>
      </w:r>
      <w:r>
        <w:rPr>
          <w:vertAlign w:val="superscript"/>
        </w:rPr>
        <w:t>93</w:t>
      </w:r>
    </w:p>
    <w:p>
      <w:pPr>
        <w:pStyle w:val="BodyText"/>
        <w:spacing w:line="249" w:lineRule="auto" w:before="27"/>
        <w:ind w:right="100" w:firstLine="450"/>
        <w:rPr>
          <w:b/>
        </w:rPr>
      </w:pPr>
      <w:r>
        <w:rPr/>
        <w:t>During the transition or perimenopausal years, circulating FSH may reach postmenopausal levels (&gt;20 IU/L) despite ongoing menstrual cycles; LH levels, however, still remain in the normal premenopausal range. The frequency of anovulatory cycles increases, although occasionally, </w:t>
      </w:r>
      <w:r>
        <w:rPr/>
        <w:t>corpus luteum formation and function occur; the perimenopausal woman is thus</w:t>
      </w:r>
      <w:r>
        <w:rPr>
          <w:spacing w:val="40"/>
        </w:rPr>
        <w:t> </w:t>
      </w:r>
      <w:r>
        <w:rPr/>
        <w:t>not safely beyond the risk of an unplanned and unexpected pregnancy until persistently elevated levels of both FSH (25 IU/L) and LH (30 IU/L) can be demonstrated.</w:t>
      </w:r>
      <w:r>
        <w:rPr>
          <w:vertAlign w:val="superscript"/>
        </w:rPr>
        <w:t>46</w:t>
      </w:r>
      <w:r>
        <w:rPr>
          <w:vertAlign w:val="baseline"/>
        </w:rPr>
        <w:t> However, even under these circumstances, fluctuations can occur, with a transient period of ovarian failure (reflected in amenorrhea, elevated gonadotropins, and low estradiol levels), followed by spontaneous resumption of ovarian function for brief periods.</w:t>
      </w:r>
      <w:r>
        <w:rPr>
          <w:vertAlign w:val="superscript"/>
        </w:rPr>
        <w:t>45</w:t>
      </w:r>
      <w:r>
        <w:rPr>
          <w:vertAlign w:val="baseline"/>
        </w:rPr>
        <w:t> </w:t>
      </w:r>
      <w:r>
        <w:rPr>
          <w:b/>
          <w:vertAlign w:val="baseline"/>
        </w:rPr>
        <w:t>Because variability is the</w:t>
      </w:r>
      <w:r>
        <w:rPr>
          <w:b/>
          <w:spacing w:val="20"/>
          <w:vertAlign w:val="baseline"/>
        </w:rPr>
        <w:t> </w:t>
      </w:r>
      <w:r>
        <w:rPr>
          <w:b/>
          <w:vertAlign w:val="baseline"/>
        </w:rPr>
        <w:t>rule,</w:t>
      </w:r>
      <w:r>
        <w:rPr>
          <w:b/>
          <w:spacing w:val="21"/>
          <w:vertAlign w:val="baseline"/>
        </w:rPr>
        <w:t> </w:t>
      </w:r>
      <w:r>
        <w:rPr>
          <w:b/>
          <w:vertAlign w:val="baseline"/>
        </w:rPr>
        <w:t>it</w:t>
      </w:r>
      <w:r>
        <w:rPr>
          <w:b/>
          <w:spacing w:val="20"/>
          <w:vertAlign w:val="baseline"/>
        </w:rPr>
        <w:t> </w:t>
      </w:r>
      <w:r>
        <w:rPr>
          <w:b/>
          <w:vertAlign w:val="baseline"/>
        </w:rPr>
        <w:t>would</w:t>
      </w:r>
      <w:r>
        <w:rPr>
          <w:b/>
          <w:spacing w:val="21"/>
          <w:vertAlign w:val="baseline"/>
        </w:rPr>
        <w:t> </w:t>
      </w:r>
      <w:r>
        <w:rPr>
          <w:b/>
          <w:vertAlign w:val="baseline"/>
        </w:rPr>
        <w:t>be</w:t>
      </w:r>
      <w:r>
        <w:rPr>
          <w:b/>
          <w:spacing w:val="20"/>
          <w:vertAlign w:val="baseline"/>
        </w:rPr>
        <w:t> </w:t>
      </w:r>
      <w:r>
        <w:rPr>
          <w:b/>
          <w:vertAlign w:val="baseline"/>
        </w:rPr>
        <w:t>wise</w:t>
      </w:r>
      <w:r>
        <w:rPr>
          <w:b/>
          <w:spacing w:val="21"/>
          <w:vertAlign w:val="baseline"/>
        </w:rPr>
        <w:t> </w:t>
      </w:r>
      <w:r>
        <w:rPr>
          <w:b/>
          <w:vertAlign w:val="baseline"/>
        </w:rPr>
        <w:t>to</w:t>
      </w:r>
      <w:r>
        <w:rPr>
          <w:b/>
          <w:spacing w:val="20"/>
          <w:vertAlign w:val="baseline"/>
        </w:rPr>
        <w:t> </w:t>
      </w:r>
      <w:r>
        <w:rPr>
          <w:b/>
          <w:vertAlign w:val="baseline"/>
        </w:rPr>
        <w:t>recommend</w:t>
      </w:r>
      <w:r>
        <w:rPr>
          <w:b/>
          <w:spacing w:val="21"/>
          <w:vertAlign w:val="baseline"/>
        </w:rPr>
        <w:t> </w:t>
      </w:r>
      <w:r>
        <w:rPr>
          <w:b/>
          <w:vertAlign w:val="baseline"/>
        </w:rPr>
        <w:t>the</w:t>
      </w:r>
      <w:r>
        <w:rPr>
          <w:b/>
          <w:spacing w:val="20"/>
          <w:vertAlign w:val="baseline"/>
        </w:rPr>
        <w:t> </w:t>
      </w:r>
      <w:r>
        <w:rPr>
          <w:b/>
          <w:vertAlign w:val="baseline"/>
        </w:rPr>
        <w:t>use</w:t>
      </w:r>
      <w:r>
        <w:rPr>
          <w:b/>
          <w:spacing w:val="21"/>
          <w:vertAlign w:val="baseline"/>
        </w:rPr>
        <w:t> </w:t>
      </w:r>
      <w:r>
        <w:rPr>
          <w:b/>
          <w:vertAlign w:val="baseline"/>
        </w:rPr>
        <w:t>of</w:t>
      </w:r>
      <w:r>
        <w:rPr>
          <w:b/>
          <w:spacing w:val="20"/>
          <w:vertAlign w:val="baseline"/>
        </w:rPr>
        <w:t> </w:t>
      </w:r>
      <w:r>
        <w:rPr>
          <w:b/>
          <w:vertAlign w:val="baseline"/>
        </w:rPr>
        <w:t>contraception</w:t>
      </w:r>
      <w:r>
        <w:rPr>
          <w:b/>
          <w:spacing w:val="21"/>
          <w:vertAlign w:val="baseline"/>
        </w:rPr>
        <w:t> </w:t>
      </w:r>
      <w:r>
        <w:rPr>
          <w:b/>
          <w:spacing w:val="-4"/>
          <w:vertAlign w:val="baseline"/>
        </w:rPr>
        <w:t>until</w:t>
      </w:r>
    </w:p>
    <w:p>
      <w:pPr>
        <w:pStyle w:val="BodyText"/>
        <w:spacing w:after="0" w:line="249" w:lineRule="auto"/>
        <w:rPr>
          <w:b/>
        </w:rPr>
        <w:sectPr>
          <w:pgSz w:w="12240" w:h="15840"/>
          <w:pgMar w:top="1380" w:bottom="280" w:left="1440" w:right="1440"/>
        </w:sectPr>
      </w:pPr>
    </w:p>
    <w:p>
      <w:pPr>
        <w:spacing w:line="249" w:lineRule="auto" w:before="65"/>
        <w:ind w:left="99" w:right="98" w:firstLine="0"/>
        <w:jc w:val="both"/>
        <w:rPr>
          <w:sz w:val="30"/>
        </w:rPr>
      </w:pPr>
      <w:r>
        <w:rPr>
          <w:b/>
          <w:sz w:val="30"/>
        </w:rPr>
        <w:t>the postmenopausal stage is definitely established. Several months of amenorrhea together with a persistently elevated FSH level of 40 </w:t>
      </w:r>
      <w:r>
        <w:rPr>
          <w:b/>
          <w:sz w:val="30"/>
        </w:rPr>
        <w:t>IU/L or more are reliable signals that menopause is either near or has already happened.</w:t>
      </w:r>
      <w:r>
        <w:rPr>
          <w:sz w:val="30"/>
          <w:vertAlign w:val="superscript"/>
        </w:rPr>
        <w:t>95</w:t>
      </w:r>
    </w:p>
    <w:p>
      <w:pPr>
        <w:pStyle w:val="BodyText"/>
        <w:spacing w:line="249" w:lineRule="auto" w:before="5"/>
        <w:ind w:right="97" w:firstLine="450"/>
      </w:pPr>
      <w:r>
        <w:rPr/>
        <w:t>In the longitudinal Massachusetts Women’s Health Study, women who reported the onset of menstrual irregularity were considered to be in </w:t>
      </w:r>
      <w:r>
        <w:rPr/>
        <w:t>the perimenopausal period of life.</w:t>
      </w:r>
      <w:r>
        <w:rPr>
          <w:vertAlign w:val="superscript"/>
        </w:rPr>
        <w:t>96</w:t>
      </w:r>
      <w:r>
        <w:rPr>
          <w:vertAlign w:val="baseline"/>
        </w:rPr>
        <w:t> The median age for the onset of this period was</w:t>
      </w:r>
      <w:r>
        <w:rPr>
          <w:spacing w:val="-5"/>
          <w:vertAlign w:val="baseline"/>
        </w:rPr>
        <w:t> </w:t>
      </w:r>
      <w:r>
        <w:rPr>
          <w:vertAlign w:val="baseline"/>
        </w:rPr>
        <w:t>47.5</w:t>
      </w:r>
      <w:r>
        <w:rPr>
          <w:spacing w:val="-5"/>
          <w:vertAlign w:val="baseline"/>
        </w:rPr>
        <w:t> </w:t>
      </w:r>
      <w:r>
        <w:rPr>
          <w:vertAlign w:val="baseline"/>
        </w:rPr>
        <w:t>years.</w:t>
      </w:r>
      <w:r>
        <w:rPr>
          <w:spacing w:val="-6"/>
          <w:vertAlign w:val="baseline"/>
        </w:rPr>
        <w:t> </w:t>
      </w:r>
      <w:r>
        <w:rPr>
          <w:b/>
          <w:vertAlign w:val="baseline"/>
        </w:rPr>
        <w:t>Only</w:t>
      </w:r>
      <w:r>
        <w:rPr>
          <w:b/>
          <w:spacing w:val="-3"/>
          <w:vertAlign w:val="baseline"/>
        </w:rPr>
        <w:t> </w:t>
      </w:r>
      <w:r>
        <w:rPr>
          <w:b/>
          <w:vertAlign w:val="baseline"/>
        </w:rPr>
        <w:t>10%</w:t>
      </w:r>
      <w:r>
        <w:rPr>
          <w:b/>
          <w:spacing w:val="-3"/>
          <w:vertAlign w:val="baseline"/>
        </w:rPr>
        <w:t> </w:t>
      </w:r>
      <w:r>
        <w:rPr>
          <w:b/>
          <w:vertAlign w:val="baseline"/>
        </w:rPr>
        <w:t>of</w:t>
      </w:r>
      <w:r>
        <w:rPr>
          <w:b/>
          <w:spacing w:val="-3"/>
          <w:vertAlign w:val="baseline"/>
        </w:rPr>
        <w:t> </w:t>
      </w:r>
      <w:r>
        <w:rPr>
          <w:b/>
          <w:vertAlign w:val="baseline"/>
        </w:rPr>
        <w:t>women</w:t>
      </w:r>
      <w:r>
        <w:rPr>
          <w:b/>
          <w:spacing w:val="-3"/>
          <w:vertAlign w:val="baseline"/>
        </w:rPr>
        <w:t> </w:t>
      </w:r>
      <w:r>
        <w:rPr>
          <w:b/>
          <w:vertAlign w:val="baseline"/>
        </w:rPr>
        <w:t>ceased</w:t>
      </w:r>
      <w:r>
        <w:rPr>
          <w:b/>
          <w:spacing w:val="-3"/>
          <w:vertAlign w:val="baseline"/>
        </w:rPr>
        <w:t> </w:t>
      </w:r>
      <w:r>
        <w:rPr>
          <w:b/>
          <w:vertAlign w:val="baseline"/>
        </w:rPr>
        <w:t>menstruating</w:t>
      </w:r>
      <w:r>
        <w:rPr>
          <w:b/>
          <w:spacing w:val="-3"/>
          <w:vertAlign w:val="baseline"/>
        </w:rPr>
        <w:t> </w:t>
      </w:r>
      <w:r>
        <w:rPr>
          <w:b/>
          <w:vertAlign w:val="baseline"/>
        </w:rPr>
        <w:t>abruptly,</w:t>
      </w:r>
      <w:r>
        <w:rPr>
          <w:b/>
          <w:spacing w:val="-3"/>
          <w:vertAlign w:val="baseline"/>
        </w:rPr>
        <w:t> </w:t>
      </w:r>
      <w:r>
        <w:rPr>
          <w:b/>
          <w:vertAlign w:val="baseline"/>
        </w:rPr>
        <w:t>with no period of prolonged irregularity. </w:t>
      </w:r>
      <w:r>
        <w:rPr>
          <w:vertAlign w:val="baseline"/>
        </w:rPr>
        <w:t>The menopausal transition from reproductive to postreproductive status was, for most women, approximately 4 years in duration. In the study by Treloar, the average age for entry into the menopausal transition was 45.1, and the age range that included 95% of the women was 39 to 51.</w:t>
      </w:r>
      <w:r>
        <w:rPr>
          <w:vertAlign w:val="superscript"/>
        </w:rPr>
        <w:t>65</w:t>
      </w:r>
      <w:r>
        <w:rPr>
          <w:vertAlign w:val="baseline"/>
        </w:rPr>
        <w:t> The mean duration of the menopausal transition was 5.0 years, with a range of 2 to 8 years </w:t>
      </w:r>
      <w:r>
        <w:rPr>
          <w:b/>
          <w:color w:val="256E60"/>
          <w:vertAlign w:val="baseline"/>
        </w:rPr>
        <w:t>(Table </w:t>
      </w:r>
      <w:r>
        <w:rPr>
          <w:b/>
          <w:color w:val="256E60"/>
          <w:spacing w:val="-2"/>
          <w:vertAlign w:val="baseline"/>
        </w:rPr>
        <w:t>21.3)</w:t>
      </w:r>
      <w:r>
        <w:rPr>
          <w:spacing w:val="-2"/>
          <w:vertAlign w:val="baseline"/>
        </w:rPr>
        <w:t>.</w:t>
      </w:r>
    </w:p>
    <w:p>
      <w:pPr>
        <w:pStyle w:val="BodyText"/>
        <w:spacing w:before="57"/>
        <w:ind w:left="0"/>
        <w:jc w:val="left"/>
      </w:pPr>
    </w:p>
    <w:p>
      <w:pPr>
        <w:spacing w:before="0"/>
        <w:ind w:left="99" w:right="0" w:firstLine="0"/>
        <w:jc w:val="both"/>
        <w:rPr>
          <w:rFonts w:ascii="Arial"/>
          <w:b/>
          <w:sz w:val="30"/>
        </w:rPr>
      </w:pPr>
      <w:r>
        <w:rPr>
          <w:rFonts w:ascii="Arial"/>
          <w:b/>
          <w:color w:val="2674AE"/>
          <w:sz w:val="30"/>
        </w:rPr>
        <w:t>Timing</w:t>
      </w:r>
      <w:r>
        <w:rPr>
          <w:rFonts w:ascii="Arial"/>
          <w:b/>
          <w:color w:val="2674AE"/>
          <w:spacing w:val="-2"/>
          <w:sz w:val="30"/>
        </w:rPr>
        <w:t> </w:t>
      </w:r>
      <w:r>
        <w:rPr>
          <w:rFonts w:ascii="Arial"/>
          <w:b/>
          <w:color w:val="2674AE"/>
          <w:sz w:val="30"/>
        </w:rPr>
        <w:t>of</w:t>
      </w:r>
      <w:r>
        <w:rPr>
          <w:rFonts w:ascii="Arial"/>
          <w:b/>
          <w:color w:val="2674AE"/>
          <w:spacing w:val="-2"/>
          <w:sz w:val="30"/>
        </w:rPr>
        <w:t> </w:t>
      </w:r>
      <w:r>
        <w:rPr>
          <w:rFonts w:ascii="Arial"/>
          <w:b/>
          <w:color w:val="2674AE"/>
          <w:sz w:val="30"/>
        </w:rPr>
        <w:t>Natural</w:t>
      </w:r>
      <w:r>
        <w:rPr>
          <w:rFonts w:ascii="Arial"/>
          <w:b/>
          <w:color w:val="2674AE"/>
          <w:spacing w:val="-2"/>
          <w:sz w:val="30"/>
        </w:rPr>
        <w:t> Menopause</w:t>
      </w:r>
    </w:p>
    <w:p>
      <w:pPr>
        <w:pStyle w:val="BodyText"/>
        <w:spacing w:line="249" w:lineRule="auto" w:before="166"/>
        <w:ind w:right="100"/>
      </w:pPr>
      <w:r>
        <w:rPr/>
        <w:t>Designating the average age of menopause has been somewhat </w:t>
      </w:r>
      <w:r>
        <w:rPr/>
        <w:t>difficult. Based on cross-sectional studies, the median age was estimated to be somewhere between 50 and 52.</w:t>
      </w:r>
      <w:r>
        <w:rPr>
          <w:vertAlign w:val="superscript"/>
        </w:rPr>
        <w:t>97</w:t>
      </w:r>
      <w:r>
        <w:rPr>
          <w:vertAlign w:val="baseline"/>
        </w:rPr>
        <w:t> These studies relied on retrospective memories and the subjective vagaries of the individual being interviewed. Until recently, studies with longitudinal follow-up to observe women and record their experiences as they pass through menopause were hampered by relatively small numbers. The Massachusetts Women’s Health Study provides us with data from 2,570 women.</w:t>
      </w:r>
      <w:r>
        <w:rPr>
          <w:vertAlign w:val="superscript"/>
        </w:rPr>
        <w:t>96</w:t>
      </w:r>
    </w:p>
    <w:p>
      <w:pPr>
        <w:pStyle w:val="BodyText"/>
        <w:spacing w:line="249" w:lineRule="auto" w:before="10"/>
        <w:ind w:right="97" w:firstLine="450"/>
      </w:pPr>
      <w:r>
        <w:rPr/>
        <w:t>The median age for menopause in the Massachusetts Study was 51.3 years. Only current smoking could be identified as a cause of </w:t>
      </w:r>
      <w:r>
        <w:rPr/>
        <w:t>earlier menopause, a shift of approximately 1.5 years. Those factors that did not affect the age of menopause in this study included the use of oral contraception,</w:t>
      </w:r>
      <w:r>
        <w:rPr>
          <w:spacing w:val="-1"/>
        </w:rPr>
        <w:t> </w:t>
      </w:r>
      <w:r>
        <w:rPr/>
        <w:t>socioeconomic</w:t>
      </w:r>
      <w:r>
        <w:rPr>
          <w:spacing w:val="-1"/>
        </w:rPr>
        <w:t> </w:t>
      </w:r>
      <w:r>
        <w:rPr/>
        <w:t>status,</w:t>
      </w:r>
      <w:r>
        <w:rPr>
          <w:spacing w:val="-1"/>
        </w:rPr>
        <w:t> </w:t>
      </w:r>
      <w:r>
        <w:rPr/>
        <w:t>and</w:t>
      </w:r>
      <w:r>
        <w:rPr>
          <w:spacing w:val="-1"/>
        </w:rPr>
        <w:t> </w:t>
      </w:r>
      <w:r>
        <w:rPr/>
        <w:t>marital</w:t>
      </w:r>
      <w:r>
        <w:rPr>
          <w:spacing w:val="-1"/>
        </w:rPr>
        <w:t> </w:t>
      </w:r>
      <w:r>
        <w:rPr/>
        <w:t>status.</w:t>
      </w:r>
      <w:r>
        <w:rPr>
          <w:spacing w:val="-1"/>
        </w:rPr>
        <w:t> </w:t>
      </w:r>
      <w:r>
        <w:rPr/>
        <w:t>Keep in mind that a </w:t>
      </w:r>
      <w:r>
        <w:rPr>
          <w:b/>
        </w:rPr>
        <w:t>median </w:t>
      </w:r>
      <w:r>
        <w:rPr/>
        <w:t>age of menopause means that only half the women have reached menopause at this age. In the classic longitudinal study by Treloar, the </w:t>
      </w:r>
      <w:r>
        <w:rPr>
          <w:b/>
        </w:rPr>
        <w:t>average </w:t>
      </w:r>
      <w:r>
        <w:rPr/>
        <w:t>age of menopause was 50.7 years, and the range that included 95% of</w:t>
      </w:r>
      <w:r>
        <w:rPr>
          <w:spacing w:val="52"/>
        </w:rPr>
        <w:t> </w:t>
      </w:r>
      <w:r>
        <w:rPr/>
        <w:t>the</w:t>
      </w:r>
      <w:r>
        <w:rPr>
          <w:spacing w:val="52"/>
        </w:rPr>
        <w:t> </w:t>
      </w:r>
      <w:r>
        <w:rPr/>
        <w:t>women</w:t>
      </w:r>
      <w:r>
        <w:rPr>
          <w:spacing w:val="52"/>
        </w:rPr>
        <w:t> </w:t>
      </w:r>
      <w:r>
        <w:rPr/>
        <w:t>was</w:t>
      </w:r>
      <w:r>
        <w:rPr>
          <w:spacing w:val="52"/>
        </w:rPr>
        <w:t> </w:t>
      </w:r>
      <w:r>
        <w:rPr/>
        <w:t>44</w:t>
      </w:r>
      <w:r>
        <w:rPr>
          <w:spacing w:val="52"/>
        </w:rPr>
        <w:t> </w:t>
      </w:r>
      <w:r>
        <w:rPr/>
        <w:t>to</w:t>
      </w:r>
      <w:r>
        <w:rPr>
          <w:spacing w:val="52"/>
        </w:rPr>
        <w:t> </w:t>
      </w:r>
      <w:r>
        <w:rPr/>
        <w:t>56</w:t>
      </w:r>
      <w:r>
        <w:rPr>
          <w:spacing w:val="52"/>
        </w:rPr>
        <w:t> </w:t>
      </w:r>
      <w:r>
        <w:rPr/>
        <w:t>years.</w:t>
      </w:r>
      <w:r>
        <w:rPr>
          <w:vertAlign w:val="superscript"/>
        </w:rPr>
        <w:t>98</w:t>
      </w:r>
      <w:r>
        <w:rPr>
          <w:spacing w:val="52"/>
          <w:vertAlign w:val="baseline"/>
        </w:rPr>
        <w:t> </w:t>
      </w:r>
      <w:r>
        <w:rPr>
          <w:vertAlign w:val="baseline"/>
        </w:rPr>
        <w:t>In</w:t>
      </w:r>
      <w:r>
        <w:rPr>
          <w:spacing w:val="53"/>
          <w:vertAlign w:val="baseline"/>
        </w:rPr>
        <w:t> </w:t>
      </w:r>
      <w:r>
        <w:rPr>
          <w:vertAlign w:val="baseline"/>
        </w:rPr>
        <w:t>a</w:t>
      </w:r>
      <w:r>
        <w:rPr>
          <w:spacing w:val="52"/>
          <w:vertAlign w:val="baseline"/>
        </w:rPr>
        <w:t> </w:t>
      </w:r>
      <w:r>
        <w:rPr>
          <w:vertAlign w:val="baseline"/>
        </w:rPr>
        <w:t>survey</w:t>
      </w:r>
      <w:r>
        <w:rPr>
          <w:spacing w:val="52"/>
          <w:vertAlign w:val="baseline"/>
        </w:rPr>
        <w:t> </w:t>
      </w:r>
      <w:r>
        <w:rPr>
          <w:vertAlign w:val="baseline"/>
        </w:rPr>
        <w:t>in</w:t>
      </w:r>
      <w:r>
        <w:rPr>
          <w:spacing w:val="52"/>
          <w:vertAlign w:val="baseline"/>
        </w:rPr>
        <w:t> </w:t>
      </w:r>
      <w:r>
        <w:rPr>
          <w:vertAlign w:val="baseline"/>
        </w:rPr>
        <w:t>the</w:t>
      </w:r>
      <w:r>
        <w:rPr>
          <w:spacing w:val="52"/>
          <w:vertAlign w:val="baseline"/>
        </w:rPr>
        <w:t> </w:t>
      </w:r>
      <w:r>
        <w:rPr>
          <w:vertAlign w:val="baseline"/>
        </w:rPr>
        <w:t>Netherlands,</w:t>
      </w:r>
      <w:r>
        <w:rPr>
          <w:spacing w:val="52"/>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jc w:val="left"/>
      </w:pPr>
      <w:r>
        <w:rPr/>
        <w:t>average age of menopause was 50.2, and in an Italian longitudinal study, </w:t>
      </w:r>
      <w:r>
        <w:rPr/>
        <w:t>it was 50.9 years.</w:t>
      </w:r>
      <w:r>
        <w:rPr>
          <w:vertAlign w:val="superscript"/>
        </w:rPr>
        <w:t>66,99</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600640">
                <wp:simplePos x="0" y="0"/>
                <wp:positionH relativeFrom="page">
                  <wp:posOffset>981075</wp:posOffset>
                </wp:positionH>
                <wp:positionV relativeFrom="paragraph">
                  <wp:posOffset>233354</wp:posOffset>
                </wp:positionV>
                <wp:extent cx="5810250" cy="28575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810250" cy="285750"/>
                        </a:xfrm>
                        <a:prstGeom prst="rect">
                          <a:avLst/>
                        </a:prstGeom>
                        <a:solidFill>
                          <a:srgbClr val="256E60"/>
                        </a:solidFill>
                      </wps:spPr>
                      <wps:txbx>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21.3</w:t>
                            </w:r>
                            <w:r>
                              <w:rPr>
                                <w:rFonts w:ascii="Arial"/>
                                <w:b/>
                                <w:color w:val="FFFFFF"/>
                                <w:sz w:val="22"/>
                              </w:rPr>
                              <w:tab/>
                            </w:r>
                            <w:r>
                              <w:rPr>
                                <w:rFonts w:ascii="Arial"/>
                                <w:color w:val="FFFFFF"/>
                                <w:sz w:val="22"/>
                              </w:rPr>
                              <w:t>The</w:t>
                            </w:r>
                            <w:r>
                              <w:rPr>
                                <w:rFonts w:ascii="Arial"/>
                                <w:color w:val="FFFFFF"/>
                                <w:spacing w:val="12"/>
                                <w:sz w:val="22"/>
                              </w:rPr>
                              <w:t> </w:t>
                            </w:r>
                            <w:r>
                              <w:rPr>
                                <w:rFonts w:ascii="Arial"/>
                                <w:color w:val="FFFFFF"/>
                                <w:sz w:val="22"/>
                              </w:rPr>
                              <w:t>Menopause</w:t>
                            </w:r>
                            <w:r>
                              <w:rPr>
                                <w:rFonts w:ascii="Arial"/>
                                <w:color w:val="FFFFFF"/>
                                <w:spacing w:val="13"/>
                                <w:sz w:val="22"/>
                              </w:rPr>
                              <w:t> </w:t>
                            </w:r>
                            <w:r>
                              <w:rPr>
                                <w:rFonts w:ascii="Arial"/>
                                <w:color w:val="FFFFFF"/>
                                <w:sz w:val="22"/>
                              </w:rPr>
                              <w:t>Transition</w:t>
                            </w:r>
                            <w:r>
                              <w:rPr>
                                <w:rFonts w:ascii="Arial"/>
                                <w:color w:val="FFFFFF"/>
                                <w:spacing w:val="12"/>
                                <w:sz w:val="22"/>
                              </w:rPr>
                              <w:t> </w:t>
                            </w:r>
                            <w:r>
                              <w:rPr>
                                <w:rFonts w:ascii="Arial"/>
                                <w:color w:val="FFFFFF"/>
                                <w:sz w:val="22"/>
                              </w:rPr>
                              <w:t>(or</w:t>
                            </w:r>
                            <w:r>
                              <w:rPr>
                                <w:rFonts w:ascii="Arial"/>
                                <w:color w:val="FFFFFF"/>
                                <w:spacing w:val="13"/>
                                <w:sz w:val="22"/>
                              </w:rPr>
                              <w:t> </w:t>
                            </w:r>
                            <w:r>
                              <w:rPr>
                                <w:rFonts w:ascii="Arial"/>
                                <w:color w:val="FFFFFF"/>
                                <w:spacing w:val="-2"/>
                                <w:sz w:val="22"/>
                              </w:rPr>
                              <w:t>Perimenopause)</w:t>
                            </w:r>
                          </w:p>
                        </w:txbxContent>
                      </wps:txbx>
                      <wps:bodyPr wrap="square" lIns="0" tIns="0" rIns="0" bIns="0" rtlCol="0">
                        <a:noAutofit/>
                      </wps:bodyPr>
                    </wps:wsp>
                  </a:graphicData>
                </a:graphic>
              </wp:anchor>
            </w:drawing>
          </mc:Choice>
          <mc:Fallback>
            <w:pict>
              <v:shape style="position:absolute;margin-left:77.25pt;margin-top:18.374388pt;width:457.5pt;height:22.5pt;mso-position-horizontal-relative:page;mso-position-vertical-relative:paragraph;z-index:-15715840;mso-wrap-distance-left:0;mso-wrap-distance-right:0" type="#_x0000_t202" id="docshape21" filled="true" fillcolor="#256e60" stroked="false">
                <v:textbox inset="0,0,0,0">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21.3</w:t>
                      </w:r>
                      <w:r>
                        <w:rPr>
                          <w:rFonts w:ascii="Arial"/>
                          <w:b/>
                          <w:color w:val="FFFFFF"/>
                          <w:sz w:val="22"/>
                        </w:rPr>
                        <w:tab/>
                      </w:r>
                      <w:r>
                        <w:rPr>
                          <w:rFonts w:ascii="Arial"/>
                          <w:color w:val="FFFFFF"/>
                          <w:sz w:val="22"/>
                        </w:rPr>
                        <w:t>The</w:t>
                      </w:r>
                      <w:r>
                        <w:rPr>
                          <w:rFonts w:ascii="Arial"/>
                          <w:color w:val="FFFFFF"/>
                          <w:spacing w:val="12"/>
                          <w:sz w:val="22"/>
                        </w:rPr>
                        <w:t> </w:t>
                      </w:r>
                      <w:r>
                        <w:rPr>
                          <w:rFonts w:ascii="Arial"/>
                          <w:color w:val="FFFFFF"/>
                          <w:sz w:val="22"/>
                        </w:rPr>
                        <w:t>Menopause</w:t>
                      </w:r>
                      <w:r>
                        <w:rPr>
                          <w:rFonts w:ascii="Arial"/>
                          <w:color w:val="FFFFFF"/>
                          <w:spacing w:val="13"/>
                          <w:sz w:val="22"/>
                        </w:rPr>
                        <w:t> </w:t>
                      </w:r>
                      <w:r>
                        <w:rPr>
                          <w:rFonts w:ascii="Arial"/>
                          <w:color w:val="FFFFFF"/>
                          <w:sz w:val="22"/>
                        </w:rPr>
                        <w:t>Transition</w:t>
                      </w:r>
                      <w:r>
                        <w:rPr>
                          <w:rFonts w:ascii="Arial"/>
                          <w:color w:val="FFFFFF"/>
                          <w:spacing w:val="12"/>
                          <w:sz w:val="22"/>
                        </w:rPr>
                        <w:t> </w:t>
                      </w:r>
                      <w:r>
                        <w:rPr>
                          <w:rFonts w:ascii="Arial"/>
                          <w:color w:val="FFFFFF"/>
                          <w:sz w:val="22"/>
                        </w:rPr>
                        <w:t>(or</w:t>
                      </w:r>
                      <w:r>
                        <w:rPr>
                          <w:rFonts w:ascii="Arial"/>
                          <w:color w:val="FFFFFF"/>
                          <w:spacing w:val="13"/>
                          <w:sz w:val="22"/>
                        </w:rPr>
                        <w:t> </w:t>
                      </w:r>
                      <w:r>
                        <w:rPr>
                          <w:rFonts w:ascii="Arial"/>
                          <w:color w:val="FFFFFF"/>
                          <w:spacing w:val="-2"/>
                          <w:sz w:val="22"/>
                        </w:rPr>
                        <w:t>Perimenopause)</w:t>
                      </w:r>
                    </w:p>
                  </w:txbxContent>
                </v:textbox>
                <v:fill type="solid"/>
                <w10:wrap type="topAndBottom"/>
              </v:shape>
            </w:pict>
          </mc:Fallback>
        </mc:AlternateContent>
      </w:r>
    </w:p>
    <w:p>
      <w:pPr>
        <w:spacing w:before="139"/>
        <w:ind w:left="189" w:right="0" w:firstLine="0"/>
        <w:jc w:val="left"/>
        <w:rPr>
          <w:sz w:val="22"/>
        </w:rPr>
      </w:pPr>
      <w:r>
        <w:rPr>
          <w:sz w:val="22"/>
        </w:rPr>
        <w:t>Average</w:t>
      </w:r>
      <w:r>
        <w:rPr>
          <w:spacing w:val="5"/>
          <w:sz w:val="22"/>
        </w:rPr>
        <w:t> </w:t>
      </w:r>
      <w:r>
        <w:rPr>
          <w:sz w:val="22"/>
        </w:rPr>
        <w:t>age</w:t>
      </w:r>
      <w:r>
        <w:rPr>
          <w:spacing w:val="6"/>
          <w:sz w:val="22"/>
        </w:rPr>
        <w:t> </w:t>
      </w:r>
      <w:r>
        <w:rPr>
          <w:sz w:val="22"/>
        </w:rPr>
        <w:t>of</w:t>
      </w:r>
      <w:r>
        <w:rPr>
          <w:spacing w:val="5"/>
          <w:sz w:val="22"/>
        </w:rPr>
        <w:t> </w:t>
      </w:r>
      <w:r>
        <w:rPr>
          <w:sz w:val="22"/>
        </w:rPr>
        <w:t>onset:</w:t>
      </w:r>
      <w:r>
        <w:rPr>
          <w:spacing w:val="6"/>
          <w:sz w:val="22"/>
        </w:rPr>
        <w:t> </w:t>
      </w:r>
      <w:r>
        <w:rPr>
          <w:sz w:val="22"/>
        </w:rPr>
        <w:t>46</w:t>
      </w:r>
      <w:r>
        <w:rPr>
          <w:spacing w:val="5"/>
          <w:sz w:val="22"/>
        </w:rPr>
        <w:t> </w:t>
      </w:r>
      <w:r>
        <w:rPr>
          <w:spacing w:val="-10"/>
          <w:sz w:val="22"/>
        </w:rPr>
        <w:t>y</w:t>
      </w:r>
    </w:p>
    <w:p>
      <w:pPr>
        <w:spacing w:line="570" w:lineRule="atLeast" w:before="0"/>
        <w:ind w:left="189" w:right="4701" w:firstLine="0"/>
        <w:jc w:val="left"/>
        <w:rPr>
          <w:sz w:val="22"/>
        </w:rPr>
      </w:pPr>
      <w:r>
        <w:rPr>
          <w:sz w:val="22"/>
        </w:rPr>
        <mc:AlternateContent>
          <mc:Choice Requires="wps">
            <w:drawing>
              <wp:anchor distT="0" distB="0" distL="0" distR="0" allowOverlap="1" layoutInCell="1" locked="0" behindDoc="0" simplePos="0" relativeHeight="15742976">
                <wp:simplePos x="0" y="0"/>
                <wp:positionH relativeFrom="page">
                  <wp:posOffset>981075</wp:posOffset>
                </wp:positionH>
                <wp:positionV relativeFrom="paragraph">
                  <wp:posOffset>465468</wp:posOffset>
                </wp:positionV>
                <wp:extent cx="5810250" cy="95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rect style="position:absolute;margin-left:77.25pt;margin-top:36.651070pt;width:457.499964pt;height:.75pt;mso-position-horizontal-relative:page;mso-position-vertical-relative:paragraph;z-index:15742976" id="docshape22" filled="true" fillcolor="#1c5349" stroked="false">
                <v:fill type="solid"/>
                <w10:wrap type="none"/>
              </v:rect>
            </w:pict>
          </mc:Fallback>
        </mc:AlternateContent>
      </w:r>
      <w:r>
        <w:rPr>
          <w:sz w:val="22"/>
        </w:rPr>
        <mc:AlternateContent>
          <mc:Choice Requires="wps">
            <w:drawing>
              <wp:anchor distT="0" distB="0" distL="0" distR="0" allowOverlap="1" layoutInCell="1" locked="0" behindDoc="0" simplePos="0" relativeHeight="15743488">
                <wp:simplePos x="0" y="0"/>
                <wp:positionH relativeFrom="page">
                  <wp:posOffset>981075</wp:posOffset>
                </wp:positionH>
                <wp:positionV relativeFrom="paragraph">
                  <wp:posOffset>103518</wp:posOffset>
                </wp:positionV>
                <wp:extent cx="5810250"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rect style="position:absolute;margin-left:77.25pt;margin-top:8.151072pt;width:457.499964pt;height:.75pt;mso-position-horizontal-relative:page;mso-position-vertical-relative:paragraph;z-index:15743488" id="docshape23" filled="true" fillcolor="#1c5349" stroked="false">
                <v:fill type="solid"/>
                <w10:wrap type="none"/>
              </v:rect>
            </w:pict>
          </mc:Fallback>
        </mc:AlternateContent>
      </w:r>
      <w:r>
        <w:rPr>
          <w:w w:val="105"/>
          <w:sz w:val="22"/>
        </w:rPr>
        <w:t>Age</w:t>
      </w:r>
      <w:r>
        <w:rPr>
          <w:spacing w:val="-13"/>
          <w:w w:val="105"/>
          <w:sz w:val="22"/>
        </w:rPr>
        <w:t> </w:t>
      </w:r>
      <w:r>
        <w:rPr>
          <w:w w:val="105"/>
          <w:sz w:val="22"/>
        </w:rPr>
        <w:t>of</w:t>
      </w:r>
      <w:r>
        <w:rPr>
          <w:spacing w:val="-13"/>
          <w:w w:val="105"/>
          <w:sz w:val="22"/>
        </w:rPr>
        <w:t> </w:t>
      </w:r>
      <w:r>
        <w:rPr>
          <w:w w:val="105"/>
          <w:sz w:val="22"/>
        </w:rPr>
        <w:t>onset</w:t>
      </w:r>
      <w:r>
        <w:rPr>
          <w:spacing w:val="-13"/>
          <w:w w:val="105"/>
          <w:sz w:val="22"/>
        </w:rPr>
        <w:t> </w:t>
      </w:r>
      <w:r>
        <w:rPr>
          <w:w w:val="105"/>
          <w:sz w:val="22"/>
        </w:rPr>
        <w:t>for</w:t>
      </w:r>
      <w:r>
        <w:rPr>
          <w:spacing w:val="-13"/>
          <w:w w:val="105"/>
          <w:sz w:val="22"/>
        </w:rPr>
        <w:t> </w:t>
      </w:r>
      <w:r>
        <w:rPr>
          <w:w w:val="105"/>
          <w:sz w:val="22"/>
        </w:rPr>
        <w:t>95%</w:t>
      </w:r>
      <w:r>
        <w:rPr>
          <w:spacing w:val="-13"/>
          <w:w w:val="105"/>
          <w:sz w:val="22"/>
        </w:rPr>
        <w:t> </w:t>
      </w:r>
      <w:r>
        <w:rPr>
          <w:w w:val="105"/>
          <w:sz w:val="22"/>
        </w:rPr>
        <w:t>of</w:t>
      </w:r>
      <w:r>
        <w:rPr>
          <w:spacing w:val="-13"/>
          <w:w w:val="105"/>
          <w:sz w:val="22"/>
        </w:rPr>
        <w:t> </w:t>
      </w:r>
      <w:r>
        <w:rPr>
          <w:w w:val="105"/>
          <w:sz w:val="22"/>
        </w:rPr>
        <w:t>women:</w:t>
      </w:r>
      <w:r>
        <w:rPr>
          <w:spacing w:val="-13"/>
          <w:w w:val="105"/>
          <w:sz w:val="22"/>
        </w:rPr>
        <w:t> </w:t>
      </w:r>
      <w:r>
        <w:rPr>
          <w:w w:val="105"/>
          <w:sz w:val="22"/>
        </w:rPr>
        <w:t>39-51</w:t>
      </w:r>
      <w:r>
        <w:rPr>
          <w:spacing w:val="-13"/>
          <w:w w:val="105"/>
          <w:sz w:val="22"/>
        </w:rPr>
        <w:t> </w:t>
      </w:r>
      <w:r>
        <w:rPr>
          <w:w w:val="105"/>
          <w:sz w:val="22"/>
        </w:rPr>
        <w:t>y Average duration: 5 y</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1152">
                <wp:simplePos x="0" y="0"/>
                <wp:positionH relativeFrom="page">
                  <wp:posOffset>981075</wp:posOffset>
                </wp:positionH>
                <wp:positionV relativeFrom="paragraph">
                  <wp:posOffset>103518</wp:posOffset>
                </wp:positionV>
                <wp:extent cx="581025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rect style="position:absolute;margin-left:77.25pt;margin-top:8.151068pt;width:457.499964pt;height:.75pt;mso-position-horizontal-relative:page;mso-position-vertical-relative:paragraph;z-index:-15715328;mso-wrap-distance-left:0;mso-wrap-distance-right:0" id="docshape24" filled="true" fillcolor="#1c5349" stroked="false">
                <v:fill type="solid"/>
                <w10:wrap type="topAndBottom"/>
              </v:rect>
            </w:pict>
          </mc:Fallback>
        </mc:AlternateContent>
      </w:r>
    </w:p>
    <w:p>
      <w:pPr>
        <w:spacing w:before="139"/>
        <w:ind w:left="189" w:right="0" w:firstLine="0"/>
        <w:jc w:val="left"/>
        <w:rPr>
          <w:sz w:val="22"/>
        </w:rPr>
      </w:pPr>
      <w:r>
        <w:rPr>
          <w:w w:val="105"/>
          <w:sz w:val="22"/>
        </w:rPr>
        <w:t>Duration</w:t>
      </w:r>
      <w:r>
        <w:rPr>
          <w:spacing w:val="-9"/>
          <w:w w:val="105"/>
          <w:sz w:val="22"/>
        </w:rPr>
        <w:t> </w:t>
      </w:r>
      <w:r>
        <w:rPr>
          <w:w w:val="105"/>
          <w:sz w:val="22"/>
        </w:rPr>
        <w:t>for</w:t>
      </w:r>
      <w:r>
        <w:rPr>
          <w:spacing w:val="-9"/>
          <w:w w:val="105"/>
          <w:sz w:val="22"/>
        </w:rPr>
        <w:t> </w:t>
      </w:r>
      <w:r>
        <w:rPr>
          <w:w w:val="105"/>
          <w:sz w:val="22"/>
        </w:rPr>
        <w:t>95%</w:t>
      </w:r>
      <w:r>
        <w:rPr>
          <w:spacing w:val="-8"/>
          <w:w w:val="105"/>
          <w:sz w:val="22"/>
        </w:rPr>
        <w:t> </w:t>
      </w:r>
      <w:r>
        <w:rPr>
          <w:w w:val="105"/>
          <w:sz w:val="22"/>
        </w:rPr>
        <w:t>of</w:t>
      </w:r>
      <w:r>
        <w:rPr>
          <w:spacing w:val="-9"/>
          <w:w w:val="105"/>
          <w:sz w:val="22"/>
        </w:rPr>
        <w:t> </w:t>
      </w:r>
      <w:r>
        <w:rPr>
          <w:w w:val="105"/>
          <w:sz w:val="22"/>
        </w:rPr>
        <w:t>women:</w:t>
      </w:r>
      <w:r>
        <w:rPr>
          <w:spacing w:val="-8"/>
          <w:w w:val="105"/>
          <w:sz w:val="22"/>
        </w:rPr>
        <w:t> </w:t>
      </w:r>
      <w:r>
        <w:rPr>
          <w:w w:val="105"/>
          <w:sz w:val="22"/>
        </w:rPr>
        <w:t>2-8</w:t>
      </w:r>
      <w:r>
        <w:rPr>
          <w:spacing w:val="-9"/>
          <w:w w:val="105"/>
          <w:sz w:val="22"/>
        </w:rPr>
        <w:t> </w:t>
      </w:r>
      <w:r>
        <w:rPr>
          <w:spacing w:val="-10"/>
          <w:w w:val="105"/>
          <w:sz w:val="22"/>
        </w:rPr>
        <w:t>y</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1664">
                <wp:simplePos x="0" y="0"/>
                <wp:positionH relativeFrom="page">
                  <wp:posOffset>981075</wp:posOffset>
                </wp:positionH>
                <wp:positionV relativeFrom="paragraph">
                  <wp:posOffset>103518</wp:posOffset>
                </wp:positionV>
                <wp:extent cx="581025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810250" cy="9525"/>
                        </a:xfrm>
                        <a:custGeom>
                          <a:avLst/>
                          <a:gdLst/>
                          <a:ahLst/>
                          <a:cxnLst/>
                          <a:rect l="l" t="t" r="r" b="b"/>
                          <a:pathLst>
                            <a:path w="5810250" h="9525">
                              <a:moveTo>
                                <a:pt x="5810249" y="9524"/>
                              </a:moveTo>
                              <a:lnTo>
                                <a:pt x="0" y="9524"/>
                              </a:lnTo>
                              <a:lnTo>
                                <a:pt x="0" y="0"/>
                              </a:lnTo>
                              <a:lnTo>
                                <a:pt x="5810249" y="0"/>
                              </a:lnTo>
                              <a:lnTo>
                                <a:pt x="5810249" y="9524"/>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rect style="position:absolute;margin-left:77.25pt;margin-top:8.151072pt;width:457.499964pt;height:.75pt;mso-position-horizontal-relative:page;mso-position-vertical-relative:paragraph;z-index:-15714816;mso-wrap-distance-left:0;mso-wrap-distance-right:0" id="docshape25" filled="true" fillcolor="#1c5349" stroked="false">
                <v:fill type="solid"/>
                <w10:wrap type="topAndBottom"/>
              </v:rect>
            </w:pict>
          </mc:Fallback>
        </mc:AlternateContent>
      </w:r>
    </w:p>
    <w:p>
      <w:pPr>
        <w:spacing w:line="256" w:lineRule="auto" w:before="154"/>
        <w:ind w:left="99" w:right="255" w:firstLine="0"/>
        <w:jc w:val="left"/>
        <w:rPr>
          <w:sz w:val="22"/>
        </w:rPr>
      </w:pPr>
      <w:r>
        <w:rPr>
          <w:sz w:val="22"/>
        </w:rPr>
        <w:t>Data from Treloar AE, Boynton RE, Behn BG, Brown BW. Variation of the human menstrual cycle through reproductive life. </w:t>
      </w:r>
      <w:r>
        <w:rPr>
          <w:i/>
          <w:sz w:val="22"/>
        </w:rPr>
        <w:t>Int J Fertil</w:t>
      </w:r>
      <w:r>
        <w:rPr>
          <w:sz w:val="22"/>
        </w:rPr>
        <w:t>. 1967;12(1 Pt 2): 77-126; Treloar AE. Menstrual cyclicity </w:t>
      </w:r>
      <w:r>
        <w:rPr>
          <w:sz w:val="22"/>
        </w:rPr>
        <w:t>and the pre-menopause. </w:t>
      </w:r>
      <w:r>
        <w:rPr>
          <w:i/>
          <w:sz w:val="22"/>
        </w:rPr>
        <w:t>Maturitas</w:t>
      </w:r>
      <w:r>
        <w:rPr>
          <w:sz w:val="22"/>
        </w:rPr>
        <w:t>. 1981;3(3-4):249-264; and McKinlay SM, Brambilla DJ, Posner JG. The normal menopause transition. </w:t>
      </w:r>
      <w:r>
        <w:rPr>
          <w:i/>
          <w:sz w:val="22"/>
        </w:rPr>
        <w:t>Maturitas</w:t>
      </w:r>
      <w:r>
        <w:rPr>
          <w:sz w:val="22"/>
        </w:rPr>
        <w:t>. 1992;14(2):103-115.</w:t>
      </w:r>
    </w:p>
    <w:p>
      <w:pPr>
        <w:pStyle w:val="BodyText"/>
        <w:spacing w:before="195"/>
        <w:ind w:left="0"/>
        <w:jc w:val="left"/>
        <w:rPr>
          <w:sz w:val="22"/>
        </w:rPr>
      </w:pPr>
    </w:p>
    <w:p>
      <w:pPr>
        <w:pStyle w:val="BodyText"/>
        <w:spacing w:line="249" w:lineRule="auto" w:before="0"/>
        <w:ind w:right="99" w:firstLine="450"/>
      </w:pPr>
      <w:r>
        <w:rPr/>
        <w:t>The Study of Women’s Health Across the Nation (SWAN) is an ongoing, national study, recording the health of American women of</w:t>
      </w:r>
      <w:r>
        <w:rPr>
          <w:spacing w:val="40"/>
        </w:rPr>
        <w:t> </w:t>
      </w:r>
      <w:r>
        <w:rPr/>
        <w:t>diverse backgrounds as they pass through the perimenopausal transition (</w:t>
      </w:r>
      <w:hyperlink r:id="rId15">
        <w:r>
          <w:rPr/>
          <w:t>http://www.edc.gsph.pitt.edu/swan/</w:t>
        </w:r>
      </w:hyperlink>
      <w:r>
        <w:rPr/>
        <w:t>). The study began in 1994 in seven research centers and enrolled 3,302 participants with five racial/ethnic groups and a variety of backgrounds for an initial cross-sectional survey. In 1996, these women began a longitudinal, follow-up study with </w:t>
      </w:r>
      <w:r>
        <w:rPr/>
        <w:t>extensive data collection occurring annually.</w:t>
      </w:r>
    </w:p>
    <w:p>
      <w:pPr>
        <w:pStyle w:val="BodyText"/>
        <w:spacing w:line="249" w:lineRule="auto" w:before="10"/>
        <w:ind w:right="99" w:firstLine="450"/>
      </w:pPr>
      <w:r>
        <w:rPr/>
        <w:t>In the SWAN study, the median age of menopause was 51.4, with an earlier onset associated with current smoking, lower education, and </w:t>
      </w:r>
      <w:r>
        <w:rPr/>
        <w:t>lower socioeconomic status, whereas a later age was associated with parity and prior use of oral contraceptives.</w:t>
      </w:r>
      <w:r>
        <w:rPr>
          <w:vertAlign w:val="superscript"/>
        </w:rPr>
        <w:t>100</w:t>
      </w:r>
      <w:r>
        <w:rPr>
          <w:vertAlign w:val="baseline"/>
        </w:rPr>
        <w:t> In contrast, a Dutch study concluded that prior use of oral contraceptives was associated with earlier (&lt;1 year) menopause.</w:t>
      </w:r>
      <w:r>
        <w:rPr>
          <w:vertAlign w:val="superscript"/>
        </w:rPr>
        <w:t>101</w:t>
      </w:r>
      <w:r>
        <w:rPr>
          <w:vertAlign w:val="baseline"/>
        </w:rPr>
        <w:t> About 1% of women have been reported to experience menopause before the age of 40.</w:t>
      </w:r>
      <w:r>
        <w:rPr>
          <w:vertAlign w:val="superscript"/>
        </w:rPr>
        <w:t>102</w:t>
      </w:r>
      <w:r>
        <w:rPr>
          <w:vertAlign w:val="baseline"/>
        </w:rPr>
        <w:t> The SWAN study reported a similar percentage of 1.1%, with a slightly higher rate in Black and Hispanic women and a lower rate of 0.5% in Chinese women and 0.1% in Japanese women.</w:t>
      </w:r>
      <w:r>
        <w:rPr>
          <w:vertAlign w:val="superscript"/>
        </w:rPr>
        <w:t>103</w:t>
      </w:r>
      <w:r>
        <w:rPr>
          <w:vertAlign w:val="baseline"/>
        </w:rPr>
        <w:t> Hispanic women experienced menopause about 6 months earlier compared with other ethnic groups, whereas Japanese women were about 3 months later.</w:t>
      </w:r>
    </w:p>
    <w:p>
      <w:pPr>
        <w:pStyle w:val="BodyText"/>
        <w:spacing w:after="0" w:line="249" w:lineRule="auto"/>
        <w:sectPr>
          <w:pgSz w:w="12240" w:h="15840"/>
          <w:pgMar w:top="1380" w:bottom="280" w:left="1440" w:right="1440"/>
        </w:sectPr>
      </w:pPr>
    </w:p>
    <w:p>
      <w:pPr>
        <w:pStyle w:val="BodyText"/>
        <w:spacing w:line="249" w:lineRule="auto"/>
        <w:ind w:right="97" w:firstLine="450"/>
      </w:pPr>
      <w:r>
        <w:rPr/>
        <w:t>Two large cohorts of European women reported average ages of menopause in various countries that centered around age 51 years, slightly higher in Northern Europe and slightly lower in Southern Europe.</w:t>
      </w:r>
      <w:r>
        <w:rPr>
          <w:vertAlign w:val="superscript"/>
        </w:rPr>
        <w:t>104</w:t>
      </w:r>
      <w:r>
        <w:rPr>
          <w:vertAlign w:val="baseline"/>
        </w:rPr>
        <w:t> </w:t>
      </w:r>
      <w:r>
        <w:rPr>
          <w:vertAlign w:val="baseline"/>
        </w:rPr>
        <w:t>Some countries, like India, report an average age of menopause as much as 5</w:t>
      </w:r>
      <w:r>
        <w:rPr>
          <w:spacing w:val="40"/>
          <w:vertAlign w:val="baseline"/>
        </w:rPr>
        <w:t> </w:t>
      </w:r>
      <w:r>
        <w:rPr>
          <w:vertAlign w:val="baseline"/>
        </w:rPr>
        <w:t>years earlier.</w:t>
      </w:r>
      <w:r>
        <w:rPr>
          <w:vertAlign w:val="superscript"/>
        </w:rPr>
        <w:t>105</w:t>
      </w:r>
      <w:r>
        <w:rPr>
          <w:vertAlign w:val="baseline"/>
        </w:rPr>
        <w:t> In epidemiologic studies, approximately 10% of women in the general population become menopausal by the age of 45 years.</w:t>
      </w:r>
      <w:r>
        <w:rPr>
          <w:vertAlign w:val="superscript"/>
        </w:rPr>
        <w:t>65,66</w:t>
      </w:r>
      <w:r>
        <w:rPr>
          <w:vertAlign w:val="baseline"/>
        </w:rPr>
        <w:t> Pedigree analysis has revealed that the genetic features of early menopause (age 40-45) and premature ovarian insufficiency (POI) or failure (cessation of ovarian function occurring at an age &lt;40) are similar and suggest a dominant pattern of inheritance through maternal or paternal relatives.</w:t>
      </w:r>
      <w:r>
        <w:rPr>
          <w:vertAlign w:val="superscript"/>
        </w:rPr>
        <w:t>106,107</w:t>
      </w:r>
      <w:r>
        <w:rPr>
          <w:vertAlign w:val="baseline"/>
        </w:rPr>
        <w:t> There are two studies indicating that daughters of mothers with an early menopause (before age 46) also have an early menopause, with up to 15% of women having a first-degree relative with early menopause.</w:t>
      </w:r>
      <w:r>
        <w:rPr>
          <w:vertAlign w:val="superscript"/>
        </w:rPr>
        <w:t>108-111</w:t>
      </w:r>
    </w:p>
    <w:p>
      <w:pPr>
        <w:pStyle w:val="BodyText"/>
        <w:spacing w:line="249" w:lineRule="auto" w:before="16"/>
        <w:ind w:right="98" w:firstLine="450"/>
      </w:pPr>
      <w:r>
        <w:rPr/>
        <w:t>There is sufficient evidence to suggest that chronically undernourished women</w:t>
      </w:r>
      <w:r>
        <w:rPr>
          <w:spacing w:val="-8"/>
        </w:rPr>
        <w:t> </w:t>
      </w:r>
      <w:r>
        <w:rPr/>
        <w:t>and</w:t>
      </w:r>
      <w:r>
        <w:rPr>
          <w:spacing w:val="-8"/>
        </w:rPr>
        <w:t> </w:t>
      </w:r>
      <w:r>
        <w:rPr/>
        <w:t>vegetarians</w:t>
      </w:r>
      <w:r>
        <w:rPr>
          <w:spacing w:val="-8"/>
        </w:rPr>
        <w:t> </w:t>
      </w:r>
      <w:r>
        <w:rPr/>
        <w:t>may</w:t>
      </w:r>
      <w:r>
        <w:rPr>
          <w:spacing w:val="-8"/>
        </w:rPr>
        <w:t> </w:t>
      </w:r>
      <w:r>
        <w:rPr/>
        <w:t>experience</w:t>
      </w:r>
      <w:r>
        <w:rPr>
          <w:spacing w:val="-8"/>
        </w:rPr>
        <w:t> </w:t>
      </w:r>
      <w:r>
        <w:rPr/>
        <w:t>an</w:t>
      </w:r>
      <w:r>
        <w:rPr>
          <w:spacing w:val="-8"/>
        </w:rPr>
        <w:t> </w:t>
      </w:r>
      <w:r>
        <w:rPr/>
        <w:t>earlier</w:t>
      </w:r>
      <w:r>
        <w:rPr>
          <w:spacing w:val="-8"/>
        </w:rPr>
        <w:t> </w:t>
      </w:r>
      <w:r>
        <w:rPr/>
        <w:t>menopause.</w:t>
      </w:r>
      <w:r>
        <w:rPr>
          <w:vertAlign w:val="superscript"/>
        </w:rPr>
        <w:t>108,112</w:t>
      </w:r>
      <w:r>
        <w:rPr>
          <w:spacing w:val="-11"/>
          <w:vertAlign w:val="baseline"/>
        </w:rPr>
        <w:t> </w:t>
      </w:r>
      <w:r>
        <w:rPr>
          <w:vertAlign w:val="baseline"/>
        </w:rPr>
        <w:t>Because of the contribution of body fat to estrogen production, thinner women experience</w:t>
      </w:r>
      <w:r>
        <w:rPr>
          <w:spacing w:val="-5"/>
          <w:vertAlign w:val="baseline"/>
        </w:rPr>
        <w:t> </w:t>
      </w:r>
      <w:r>
        <w:rPr>
          <w:vertAlign w:val="baseline"/>
        </w:rPr>
        <w:t>a</w:t>
      </w:r>
      <w:r>
        <w:rPr>
          <w:spacing w:val="-5"/>
          <w:vertAlign w:val="baseline"/>
        </w:rPr>
        <w:t> </w:t>
      </w:r>
      <w:r>
        <w:rPr>
          <w:vertAlign w:val="baseline"/>
        </w:rPr>
        <w:t>slightly</w:t>
      </w:r>
      <w:r>
        <w:rPr>
          <w:spacing w:val="-5"/>
          <w:vertAlign w:val="baseline"/>
        </w:rPr>
        <w:t> </w:t>
      </w:r>
      <w:r>
        <w:rPr>
          <w:vertAlign w:val="baseline"/>
        </w:rPr>
        <w:t>earlier</w:t>
      </w:r>
      <w:r>
        <w:rPr>
          <w:spacing w:val="-5"/>
          <w:vertAlign w:val="baseline"/>
        </w:rPr>
        <w:t> </w:t>
      </w:r>
      <w:r>
        <w:rPr>
          <w:vertAlign w:val="baseline"/>
        </w:rPr>
        <w:t>menopause.</w:t>
      </w:r>
      <w:r>
        <w:rPr>
          <w:vertAlign w:val="superscript"/>
        </w:rPr>
        <w:t>113</w:t>
      </w:r>
      <w:r>
        <w:rPr>
          <w:spacing w:val="-5"/>
          <w:vertAlign w:val="baseline"/>
        </w:rPr>
        <w:t> </w:t>
      </w:r>
      <w:r>
        <w:rPr>
          <w:vertAlign w:val="baseline"/>
        </w:rPr>
        <w:t>Frequent</w:t>
      </w:r>
      <w:r>
        <w:rPr>
          <w:spacing w:val="-5"/>
          <w:vertAlign w:val="baseline"/>
        </w:rPr>
        <w:t> </w:t>
      </w:r>
      <w:r>
        <w:rPr>
          <w:vertAlign w:val="baseline"/>
        </w:rPr>
        <w:t>consumption</w:t>
      </w:r>
      <w:r>
        <w:rPr>
          <w:spacing w:val="-5"/>
          <w:vertAlign w:val="baseline"/>
        </w:rPr>
        <w:t> </w:t>
      </w:r>
      <w:r>
        <w:rPr>
          <w:vertAlign w:val="baseline"/>
        </w:rPr>
        <w:t>of</w:t>
      </w:r>
      <w:r>
        <w:rPr>
          <w:spacing w:val="-5"/>
          <w:vertAlign w:val="baseline"/>
        </w:rPr>
        <w:t> </w:t>
      </w:r>
      <w:r>
        <w:rPr>
          <w:vertAlign w:val="baseline"/>
        </w:rPr>
        <w:t>alcohol is associated with a later menopause.</w:t>
      </w:r>
      <w:r>
        <w:rPr>
          <w:vertAlign w:val="superscript"/>
        </w:rPr>
        <w:t>109</w:t>
      </w:r>
      <w:r>
        <w:rPr>
          <w:vertAlign w:val="baseline"/>
        </w:rPr>
        <w:t> This is consistent with the reports that women who consume alcohol have higher blood and urinary levels of </w:t>
      </w:r>
      <w:r>
        <w:rPr>
          <w:spacing w:val="-2"/>
          <w:vertAlign w:val="baseline"/>
        </w:rPr>
        <w:t>estrogen.</w:t>
      </w:r>
      <w:r>
        <w:rPr>
          <w:spacing w:val="-2"/>
          <w:vertAlign w:val="superscript"/>
        </w:rPr>
        <w:t>114-118</w:t>
      </w:r>
    </w:p>
    <w:p>
      <w:pPr>
        <w:pStyle w:val="BodyText"/>
        <w:spacing w:line="249" w:lineRule="auto" w:before="8"/>
        <w:ind w:right="99" w:firstLine="450"/>
      </w:pPr>
      <w:r>
        <w:rPr/>
        <w:t>In multiple studies, there has been no correlation between age of menarche and age of menopause, with the exception of one Swedish study concluding that an earlier menarche and earlier menopause go together.</w:t>
      </w:r>
      <w:r>
        <w:rPr>
          <w:vertAlign w:val="superscript"/>
        </w:rPr>
        <w:t>66,98,108,119,120</w:t>
      </w:r>
      <w:r>
        <w:rPr>
          <w:vertAlign w:val="baseline"/>
        </w:rPr>
        <w:t> In most studies, race, parity, and height have </w:t>
      </w:r>
      <w:r>
        <w:rPr>
          <w:vertAlign w:val="baseline"/>
        </w:rPr>
        <w:t>no influence on the age of menopause; however, three cross-sectional studies found later menopause to be associated with increasing parity.</w:t>
      </w:r>
      <w:r>
        <w:rPr>
          <w:vertAlign w:val="superscript"/>
        </w:rPr>
        <w:t>66,96,100,108,113</w:t>
      </w:r>
      <w:r>
        <w:rPr>
          <w:vertAlign w:val="baseline"/>
        </w:rPr>
        <w:t> Two studies found that irregular menses among women in their early 40s predict</w:t>
      </w:r>
      <w:r>
        <w:rPr>
          <w:spacing w:val="-8"/>
          <w:vertAlign w:val="baseline"/>
        </w:rPr>
        <w:t> </w:t>
      </w:r>
      <w:r>
        <w:rPr>
          <w:vertAlign w:val="baseline"/>
        </w:rPr>
        <w:t>an</w:t>
      </w:r>
      <w:r>
        <w:rPr>
          <w:spacing w:val="-8"/>
          <w:vertAlign w:val="baseline"/>
        </w:rPr>
        <w:t> </w:t>
      </w:r>
      <w:r>
        <w:rPr>
          <w:vertAlign w:val="baseline"/>
        </w:rPr>
        <w:t>earlier</w:t>
      </w:r>
      <w:r>
        <w:rPr>
          <w:spacing w:val="-8"/>
          <w:vertAlign w:val="baseline"/>
        </w:rPr>
        <w:t> </w:t>
      </w:r>
      <w:r>
        <w:rPr>
          <w:vertAlign w:val="baseline"/>
        </w:rPr>
        <w:t>menopause.</w:t>
      </w:r>
      <w:r>
        <w:rPr>
          <w:vertAlign w:val="superscript"/>
        </w:rPr>
        <w:t>121,122</w:t>
      </w:r>
      <w:r>
        <w:rPr>
          <w:spacing w:val="-7"/>
          <w:vertAlign w:val="baseline"/>
        </w:rPr>
        <w:t> </w:t>
      </w:r>
      <w:r>
        <w:rPr>
          <w:vertAlign w:val="baseline"/>
        </w:rPr>
        <w:t>A</w:t>
      </w:r>
      <w:r>
        <w:rPr>
          <w:spacing w:val="-7"/>
          <w:vertAlign w:val="baseline"/>
        </w:rPr>
        <w:t> </w:t>
      </w:r>
      <w:r>
        <w:rPr>
          <w:vertAlign w:val="baseline"/>
        </w:rPr>
        <w:t>French</w:t>
      </w:r>
      <w:r>
        <w:rPr>
          <w:spacing w:val="-7"/>
          <w:vertAlign w:val="baseline"/>
        </w:rPr>
        <w:t> </w:t>
      </w:r>
      <w:r>
        <w:rPr>
          <w:vertAlign w:val="baseline"/>
        </w:rPr>
        <w:t>survey</w:t>
      </w:r>
      <w:r>
        <w:rPr>
          <w:spacing w:val="-7"/>
          <w:vertAlign w:val="baseline"/>
        </w:rPr>
        <w:t> </w:t>
      </w:r>
      <w:r>
        <w:rPr>
          <w:vertAlign w:val="baseline"/>
        </w:rPr>
        <w:t>detected</w:t>
      </w:r>
      <w:r>
        <w:rPr>
          <w:spacing w:val="-7"/>
          <w:vertAlign w:val="baseline"/>
        </w:rPr>
        <w:t> </w:t>
      </w:r>
      <w:r>
        <w:rPr>
          <w:vertAlign w:val="baseline"/>
        </w:rPr>
        <w:t>no</w:t>
      </w:r>
      <w:r>
        <w:rPr>
          <w:spacing w:val="-7"/>
          <w:vertAlign w:val="baseline"/>
        </w:rPr>
        <w:t> </w:t>
      </w:r>
      <w:r>
        <w:rPr>
          <w:vertAlign w:val="baseline"/>
        </w:rPr>
        <w:t>influence</w:t>
      </w:r>
      <w:r>
        <w:rPr>
          <w:spacing w:val="-7"/>
          <w:vertAlign w:val="baseline"/>
        </w:rPr>
        <w:t> </w:t>
      </w:r>
      <w:r>
        <w:rPr>
          <w:vertAlign w:val="baseline"/>
        </w:rPr>
        <w:t>of heavy physical work on early menopause (before age 45).</w:t>
      </w:r>
      <w:r>
        <w:rPr>
          <w:vertAlign w:val="superscript"/>
        </w:rPr>
        <w:t>123</w:t>
      </w:r>
      <w:r>
        <w:rPr>
          <w:vertAlign w:val="baseline"/>
        </w:rPr>
        <w:t> An earlier menopause has been reported to be associated with living at high altitudes.</w:t>
      </w:r>
      <w:r>
        <w:rPr>
          <w:vertAlign w:val="superscript"/>
        </w:rPr>
        <w:t>124,125</w:t>
      </w:r>
      <w:r>
        <w:rPr>
          <w:vertAlign w:val="baseline"/>
        </w:rPr>
        <w:t> In addition, most intriguingly, an earlier age of menopause has been reported in left-handed women compared with right-handed women.</w:t>
      </w:r>
      <w:r>
        <w:rPr>
          <w:vertAlign w:val="superscript"/>
        </w:rPr>
        <w:t>126,127</w:t>
      </w:r>
      <w:r>
        <w:rPr>
          <w:vertAlign w:val="baseline"/>
        </w:rPr>
        <w:t> Finally, intrauterine growth restriction in late gestation may predispose the affected female progeny to earlier menopause.</w:t>
      </w:r>
      <w:r>
        <w:rPr>
          <w:vertAlign w:val="superscript"/>
        </w:rPr>
        <w:t>128</w:t>
      </w:r>
    </w:p>
    <w:p>
      <w:pPr>
        <w:pStyle w:val="BodyText"/>
        <w:spacing w:line="249" w:lineRule="auto" w:before="17"/>
        <w:ind w:right="103" w:firstLine="450"/>
      </w:pPr>
      <w:r>
        <w:rPr/>
        <w:t>It has been suggested, albeit inconsistently, that time to FMP may get accelerated</w:t>
      </w:r>
      <w:r>
        <w:rPr>
          <w:spacing w:val="18"/>
        </w:rPr>
        <w:t> </w:t>
      </w:r>
      <w:r>
        <w:rPr/>
        <w:t>in</w:t>
      </w:r>
      <w:r>
        <w:rPr>
          <w:spacing w:val="18"/>
        </w:rPr>
        <w:t> </w:t>
      </w:r>
      <w:r>
        <w:rPr/>
        <w:t>women</w:t>
      </w:r>
      <w:r>
        <w:rPr>
          <w:spacing w:val="18"/>
        </w:rPr>
        <w:t> </w:t>
      </w:r>
      <w:r>
        <w:rPr/>
        <w:t>undergoing</w:t>
      </w:r>
      <w:r>
        <w:rPr>
          <w:spacing w:val="18"/>
        </w:rPr>
        <w:t> </w:t>
      </w:r>
      <w:r>
        <w:rPr/>
        <w:t>pelvic</w:t>
      </w:r>
      <w:r>
        <w:rPr>
          <w:spacing w:val="18"/>
        </w:rPr>
        <w:t> </w:t>
      </w:r>
      <w:r>
        <w:rPr/>
        <w:t>surgery,</w:t>
      </w:r>
      <w:r>
        <w:rPr>
          <w:spacing w:val="18"/>
        </w:rPr>
        <w:t> </w:t>
      </w:r>
      <w:r>
        <w:rPr/>
        <w:t>wherein</w:t>
      </w:r>
      <w:r>
        <w:rPr>
          <w:spacing w:val="18"/>
        </w:rPr>
        <w:t> </w:t>
      </w:r>
      <w:r>
        <w:rPr/>
        <w:t>ovarian</w:t>
      </w:r>
      <w:r>
        <w:rPr>
          <w:spacing w:val="18"/>
        </w:rPr>
        <w:t> </w:t>
      </w:r>
      <w:r>
        <w:rPr>
          <w:spacing w:val="-2"/>
        </w:rPr>
        <w:t>vascular</w:t>
      </w:r>
    </w:p>
    <w:p>
      <w:pPr>
        <w:pStyle w:val="BodyText"/>
        <w:spacing w:after="0" w:line="249" w:lineRule="auto"/>
        <w:sectPr>
          <w:pgSz w:w="12240" w:h="15840"/>
          <w:pgMar w:top="1380" w:bottom="280" w:left="1440" w:right="1440"/>
        </w:sectPr>
      </w:pPr>
    </w:p>
    <w:p>
      <w:pPr>
        <w:pStyle w:val="BodyText"/>
        <w:spacing w:line="249" w:lineRule="auto"/>
        <w:ind w:right="98"/>
      </w:pPr>
      <w:r>
        <w:rPr/>
        <w:t>supply may get compromised, such as following an </w:t>
      </w:r>
      <w:r>
        <w:rPr/>
        <w:t>abdominal hysterectomy. Effects of pelvic surgery on biomarkers of ovarian reserve have been examined, with mixed results. A prospective study could find no elevations</w:t>
      </w:r>
      <w:r>
        <w:rPr>
          <w:spacing w:val="-8"/>
        </w:rPr>
        <w:t> </w:t>
      </w:r>
      <w:r>
        <w:rPr/>
        <w:t>of</w:t>
      </w:r>
      <w:r>
        <w:rPr>
          <w:spacing w:val="-8"/>
        </w:rPr>
        <w:t> </w:t>
      </w:r>
      <w:r>
        <w:rPr/>
        <w:t>FSH</w:t>
      </w:r>
      <w:r>
        <w:rPr>
          <w:spacing w:val="-8"/>
        </w:rPr>
        <w:t> </w:t>
      </w:r>
      <w:r>
        <w:rPr/>
        <w:t>within</w:t>
      </w:r>
      <w:r>
        <w:rPr>
          <w:spacing w:val="-8"/>
        </w:rPr>
        <w:t> </w:t>
      </w:r>
      <w:r>
        <w:rPr/>
        <w:t>the</w:t>
      </w:r>
      <w:r>
        <w:rPr>
          <w:spacing w:val="-8"/>
        </w:rPr>
        <w:t> </w:t>
      </w:r>
      <w:r>
        <w:rPr/>
        <w:t>first</w:t>
      </w:r>
      <w:r>
        <w:rPr>
          <w:spacing w:val="-8"/>
        </w:rPr>
        <w:t> </w:t>
      </w:r>
      <w:r>
        <w:rPr/>
        <w:t>2</w:t>
      </w:r>
      <w:r>
        <w:rPr>
          <w:spacing w:val="-8"/>
        </w:rPr>
        <w:t> </w:t>
      </w:r>
      <w:r>
        <w:rPr/>
        <w:t>years</w:t>
      </w:r>
      <w:r>
        <w:rPr>
          <w:spacing w:val="-8"/>
        </w:rPr>
        <w:t> </w:t>
      </w:r>
      <w:r>
        <w:rPr/>
        <w:t>after</w:t>
      </w:r>
      <w:r>
        <w:rPr>
          <w:spacing w:val="-8"/>
        </w:rPr>
        <w:t> </w:t>
      </w:r>
      <w:r>
        <w:rPr/>
        <w:t>surgery.</w:t>
      </w:r>
      <w:r>
        <w:rPr>
          <w:vertAlign w:val="superscript"/>
        </w:rPr>
        <w:t>129-131</w:t>
      </w:r>
      <w:r>
        <w:rPr>
          <w:spacing w:val="-9"/>
          <w:vertAlign w:val="baseline"/>
        </w:rPr>
        <w:t> </w:t>
      </w:r>
      <w:r>
        <w:rPr>
          <w:vertAlign w:val="baseline"/>
        </w:rPr>
        <w:t>Furthermore,</w:t>
      </w:r>
      <w:r>
        <w:rPr>
          <w:spacing w:val="-8"/>
          <w:vertAlign w:val="baseline"/>
        </w:rPr>
        <w:t> </w:t>
      </w:r>
      <w:r>
        <w:rPr>
          <w:vertAlign w:val="baseline"/>
        </w:rPr>
        <w:t>in a cross-sectional study assessing ovarian reserve following ovarian cystectomy (for cysts other than endometriomas) and, or salpingectomy, there was no appreciable effect on ovarian reserve.</w:t>
      </w:r>
      <w:r>
        <w:rPr>
          <w:vertAlign w:val="superscript"/>
        </w:rPr>
        <w:t>132</w:t>
      </w:r>
    </w:p>
    <w:p>
      <w:pPr>
        <w:pStyle w:val="BodyText"/>
        <w:spacing w:line="249" w:lineRule="auto" w:before="8"/>
        <w:ind w:right="100" w:firstLine="450"/>
      </w:pPr>
      <w:r>
        <w:rPr/>
        <w:t>Multiple studies have consistently documented that an earlier menopause (an average of 1.5 years earlier) is a consequence of smoking. There is a dose-response relationship with the number of cigarettes </w:t>
      </w:r>
      <w:r>
        <w:rPr/>
        <w:t>smoked and the duration of smoking.</w:t>
      </w:r>
      <w:r>
        <w:rPr>
          <w:vertAlign w:val="superscript"/>
        </w:rPr>
        <w:t>133,134</w:t>
      </w:r>
      <w:r>
        <w:rPr>
          <w:vertAlign w:val="baseline"/>
        </w:rPr>
        <w:t> Even former smokers show evidence of an impact.</w:t>
      </w:r>
      <w:r>
        <w:rPr>
          <w:vertAlign w:val="superscript"/>
        </w:rPr>
        <w:t>104</w:t>
      </w:r>
    </w:p>
    <w:p>
      <w:pPr>
        <w:pStyle w:val="BodyText"/>
        <w:spacing w:line="249" w:lineRule="auto" w:before="6"/>
        <w:ind w:right="97" w:firstLine="450"/>
      </w:pPr>
      <w:r>
        <w:rPr/>
        <w:t>Unlike the decline in age of menarche that occurred with </w:t>
      </w:r>
      <w:r>
        <w:rPr/>
        <w:t>an improvement in health and living conditions, most historical investigation indicates that the age of menopause has changed little since early Greek times.</w:t>
      </w:r>
      <w:r>
        <w:rPr>
          <w:vertAlign w:val="superscript"/>
        </w:rPr>
        <w:t>135,136</w:t>
      </w:r>
      <w:r>
        <w:rPr>
          <w:vertAlign w:val="baseline"/>
        </w:rPr>
        <w:t> Others (a minority) have disagreed, concluding that the age of menopause did undergo a change, starting with an average age of about 40 years in ancient times, and in Sweden, an increase of about 1 year over a span</w:t>
      </w:r>
      <w:r>
        <w:rPr>
          <w:spacing w:val="-3"/>
          <w:vertAlign w:val="baseline"/>
        </w:rPr>
        <w:t> </w:t>
      </w:r>
      <w:r>
        <w:rPr>
          <w:vertAlign w:val="baseline"/>
        </w:rPr>
        <w:t>of</w:t>
      </w:r>
      <w:r>
        <w:rPr>
          <w:spacing w:val="-3"/>
          <w:vertAlign w:val="baseline"/>
        </w:rPr>
        <w:t> </w:t>
      </w:r>
      <w:r>
        <w:rPr>
          <w:vertAlign w:val="baseline"/>
        </w:rPr>
        <w:t>80</w:t>
      </w:r>
      <w:r>
        <w:rPr>
          <w:spacing w:val="-3"/>
          <w:vertAlign w:val="baseline"/>
        </w:rPr>
        <w:t> </w:t>
      </w:r>
      <w:r>
        <w:rPr>
          <w:vertAlign w:val="baseline"/>
        </w:rPr>
        <w:t>years.</w:t>
      </w:r>
      <w:r>
        <w:rPr>
          <w:vertAlign w:val="superscript"/>
        </w:rPr>
        <w:t>120,137</w:t>
      </w:r>
      <w:r>
        <w:rPr>
          <w:spacing w:val="-4"/>
          <w:vertAlign w:val="baseline"/>
        </w:rPr>
        <w:t> </w:t>
      </w:r>
      <w:r>
        <w:rPr>
          <w:vertAlign w:val="baseline"/>
        </w:rPr>
        <w:t>If</w:t>
      </w:r>
      <w:r>
        <w:rPr>
          <w:spacing w:val="-3"/>
          <w:vertAlign w:val="baseline"/>
        </w:rPr>
        <w:t> </w:t>
      </w:r>
      <w:r>
        <w:rPr>
          <w:vertAlign w:val="baseline"/>
        </w:rPr>
        <w:t>there</w:t>
      </w:r>
      <w:r>
        <w:rPr>
          <w:spacing w:val="-3"/>
          <w:vertAlign w:val="baseline"/>
        </w:rPr>
        <w:t> </w:t>
      </w:r>
      <w:r>
        <w:rPr>
          <w:vertAlign w:val="baseline"/>
        </w:rPr>
        <w:t>has</w:t>
      </w:r>
      <w:r>
        <w:rPr>
          <w:spacing w:val="-3"/>
          <w:vertAlign w:val="baseline"/>
        </w:rPr>
        <w:t> </w:t>
      </w:r>
      <w:r>
        <w:rPr>
          <w:vertAlign w:val="baseline"/>
        </w:rPr>
        <w:t>been</w:t>
      </w:r>
      <w:r>
        <w:rPr>
          <w:spacing w:val="-3"/>
          <w:vertAlign w:val="baseline"/>
        </w:rPr>
        <w:t> </w:t>
      </w:r>
      <w:r>
        <w:rPr>
          <w:vertAlign w:val="baseline"/>
        </w:rPr>
        <w:t>a</w:t>
      </w:r>
      <w:r>
        <w:rPr>
          <w:spacing w:val="-3"/>
          <w:vertAlign w:val="baseline"/>
        </w:rPr>
        <w:t> </w:t>
      </w:r>
      <w:r>
        <w:rPr>
          <w:vertAlign w:val="baseline"/>
        </w:rPr>
        <w:t>change,</w:t>
      </w:r>
      <w:r>
        <w:rPr>
          <w:spacing w:val="-3"/>
          <w:vertAlign w:val="baseline"/>
        </w:rPr>
        <w:t> </w:t>
      </w:r>
      <w:r>
        <w:rPr>
          <w:vertAlign w:val="baseline"/>
        </w:rPr>
        <w:t>however,</w:t>
      </w:r>
      <w:r>
        <w:rPr>
          <w:spacing w:val="-3"/>
          <w:vertAlign w:val="baseline"/>
        </w:rPr>
        <w:t> </w:t>
      </w:r>
      <w:r>
        <w:rPr>
          <w:vertAlign w:val="baseline"/>
        </w:rPr>
        <w:t>history</w:t>
      </w:r>
      <w:r>
        <w:rPr>
          <w:spacing w:val="-3"/>
          <w:vertAlign w:val="baseline"/>
        </w:rPr>
        <w:t> </w:t>
      </w:r>
      <w:r>
        <w:rPr>
          <w:vertAlign w:val="baseline"/>
        </w:rPr>
        <w:t>indicates that it has been minimal. Even in ancient writings, 50 years is not uncommonly cited as the age of menopause.</w:t>
      </w:r>
    </w:p>
    <w:p>
      <w:pPr>
        <w:pStyle w:val="BodyText"/>
        <w:spacing w:before="55"/>
        <w:ind w:left="0"/>
        <w:jc w:val="left"/>
      </w:pPr>
    </w:p>
    <w:p>
      <w:pPr>
        <w:spacing w:before="0"/>
        <w:ind w:left="99" w:right="0" w:firstLine="0"/>
        <w:jc w:val="both"/>
        <w:rPr>
          <w:rFonts w:ascii="Arial"/>
          <w:b/>
          <w:sz w:val="30"/>
        </w:rPr>
      </w:pPr>
      <w:r>
        <w:rPr>
          <w:rFonts w:ascii="Arial"/>
          <w:b/>
          <w:color w:val="2674AE"/>
          <w:sz w:val="30"/>
        </w:rPr>
        <w:t>Sexuality,</w:t>
      </w:r>
      <w:r>
        <w:rPr>
          <w:rFonts w:ascii="Arial"/>
          <w:b/>
          <w:color w:val="2674AE"/>
          <w:spacing w:val="-8"/>
          <w:sz w:val="30"/>
        </w:rPr>
        <w:t> </w:t>
      </w:r>
      <w:r>
        <w:rPr>
          <w:rFonts w:ascii="Arial"/>
          <w:b/>
          <w:color w:val="2674AE"/>
          <w:sz w:val="30"/>
        </w:rPr>
        <w:t>Aging,</w:t>
      </w:r>
      <w:r>
        <w:rPr>
          <w:rFonts w:ascii="Arial"/>
          <w:b/>
          <w:color w:val="2674AE"/>
          <w:spacing w:val="-8"/>
          <w:sz w:val="30"/>
        </w:rPr>
        <w:t> </w:t>
      </w:r>
      <w:r>
        <w:rPr>
          <w:rFonts w:ascii="Arial"/>
          <w:b/>
          <w:color w:val="2674AE"/>
          <w:sz w:val="30"/>
        </w:rPr>
        <w:t>and</w:t>
      </w:r>
      <w:r>
        <w:rPr>
          <w:rFonts w:ascii="Arial"/>
          <w:b/>
          <w:color w:val="2674AE"/>
          <w:spacing w:val="-7"/>
          <w:sz w:val="30"/>
        </w:rPr>
        <w:t> </w:t>
      </w:r>
      <w:r>
        <w:rPr>
          <w:rFonts w:ascii="Arial"/>
          <w:b/>
          <w:color w:val="2674AE"/>
          <w:spacing w:val="-2"/>
          <w:sz w:val="30"/>
        </w:rPr>
        <w:t>Menopause</w:t>
      </w:r>
    </w:p>
    <w:p>
      <w:pPr>
        <w:pStyle w:val="BodyText"/>
        <w:spacing w:line="249" w:lineRule="auto" w:before="167"/>
        <w:ind w:right="102"/>
      </w:pPr>
      <w:r>
        <w:rPr/>
        <w:t>Sexuality is behavior that evolves and chances across the lifespan. It </w:t>
      </w:r>
      <w:r>
        <w:rPr/>
        <w:t>begins with birth (maybe before) and ends with death. The notion that sexuality ends with aging is inherently illogical. The need for closeness, caring, and companionship is lifelong. Old people today live longer, are healthier, have more education and leisure time, and have had their consciousness raised in regard to sexuality.</w:t>
      </w:r>
    </w:p>
    <w:p>
      <w:pPr>
        <w:pStyle w:val="BodyText"/>
        <w:spacing w:line="249" w:lineRule="auto" w:before="7"/>
        <w:ind w:right="99" w:firstLine="450"/>
      </w:pPr>
      <w:r>
        <w:rPr/>
        <w:t>Younger people, especially physicians, underrate the extent of sexual interest in older people. In a random sample of women aged 50 to 82 years in Madison, Wisconsin, nearly one-half of the women reported an ongoing sexual</w:t>
      </w:r>
      <w:r>
        <w:rPr>
          <w:spacing w:val="-5"/>
        </w:rPr>
        <w:t> </w:t>
      </w:r>
      <w:r>
        <w:rPr/>
        <w:t>relationship.</w:t>
      </w:r>
      <w:r>
        <w:rPr>
          <w:vertAlign w:val="superscript"/>
        </w:rPr>
        <w:t>138</w:t>
      </w:r>
      <w:r>
        <w:rPr>
          <w:vertAlign w:val="baseline"/>
        </w:rPr>
        <w:t> In the Duke longitudinal study on aging, 70% of </w:t>
      </w:r>
      <w:r>
        <w:rPr>
          <w:vertAlign w:val="baseline"/>
        </w:rPr>
        <w:t>men in the 67 to 77 age group were sexually active, and 80% reported</w:t>
      </w:r>
      <w:r>
        <w:rPr>
          <w:spacing w:val="40"/>
          <w:vertAlign w:val="baseline"/>
        </w:rPr>
        <w:t> </w:t>
      </w:r>
      <w:r>
        <w:rPr>
          <w:vertAlign w:val="baseline"/>
        </w:rPr>
        <w:t>continuing</w:t>
      </w:r>
      <w:r>
        <w:rPr>
          <w:spacing w:val="69"/>
          <w:w w:val="150"/>
          <w:vertAlign w:val="baseline"/>
        </w:rPr>
        <w:t> </w:t>
      </w:r>
      <w:r>
        <w:rPr>
          <w:vertAlign w:val="baseline"/>
        </w:rPr>
        <w:t>sexual</w:t>
      </w:r>
      <w:r>
        <w:rPr>
          <w:spacing w:val="72"/>
          <w:w w:val="150"/>
          <w:vertAlign w:val="baseline"/>
        </w:rPr>
        <w:t> </w:t>
      </w:r>
      <w:r>
        <w:rPr>
          <w:vertAlign w:val="baseline"/>
        </w:rPr>
        <w:t>interest,</w:t>
      </w:r>
      <w:r>
        <w:rPr>
          <w:spacing w:val="71"/>
          <w:w w:val="150"/>
          <w:vertAlign w:val="baseline"/>
        </w:rPr>
        <w:t> </w:t>
      </w:r>
      <w:r>
        <w:rPr>
          <w:vertAlign w:val="baseline"/>
        </w:rPr>
        <w:t>while</w:t>
      </w:r>
      <w:r>
        <w:rPr>
          <w:spacing w:val="72"/>
          <w:w w:val="150"/>
          <w:vertAlign w:val="baseline"/>
        </w:rPr>
        <w:t> </w:t>
      </w:r>
      <w:r>
        <w:rPr>
          <w:vertAlign w:val="baseline"/>
        </w:rPr>
        <w:t>50%</w:t>
      </w:r>
      <w:r>
        <w:rPr>
          <w:spacing w:val="71"/>
          <w:w w:val="150"/>
          <w:vertAlign w:val="baseline"/>
        </w:rPr>
        <w:t> </w:t>
      </w:r>
      <w:r>
        <w:rPr>
          <w:vertAlign w:val="baseline"/>
        </w:rPr>
        <w:t>of</w:t>
      </w:r>
      <w:r>
        <w:rPr>
          <w:spacing w:val="72"/>
          <w:w w:val="150"/>
          <w:vertAlign w:val="baseline"/>
        </w:rPr>
        <w:t> </w:t>
      </w:r>
      <w:r>
        <w:rPr>
          <w:vertAlign w:val="baseline"/>
        </w:rPr>
        <w:t>all</w:t>
      </w:r>
      <w:r>
        <w:rPr>
          <w:spacing w:val="71"/>
          <w:w w:val="150"/>
          <w:vertAlign w:val="baseline"/>
        </w:rPr>
        <w:t> </w:t>
      </w:r>
      <w:r>
        <w:rPr>
          <w:vertAlign w:val="baseline"/>
        </w:rPr>
        <w:t>older</w:t>
      </w:r>
      <w:r>
        <w:rPr>
          <w:spacing w:val="72"/>
          <w:w w:val="150"/>
          <w:vertAlign w:val="baseline"/>
        </w:rPr>
        <w:t> </w:t>
      </w:r>
      <w:r>
        <w:rPr>
          <w:vertAlign w:val="baseline"/>
        </w:rPr>
        <w:t>women</w:t>
      </w:r>
      <w:r>
        <w:rPr>
          <w:spacing w:val="71"/>
          <w:w w:val="150"/>
          <w:vertAlign w:val="baseline"/>
        </w:rPr>
        <w:t> </w:t>
      </w:r>
      <w:r>
        <w:rPr>
          <w:vertAlign w:val="baseline"/>
        </w:rPr>
        <w:t>were</w:t>
      </w:r>
      <w:r>
        <w:rPr>
          <w:spacing w:val="72"/>
          <w:w w:val="150"/>
          <w:vertAlign w:val="baseline"/>
        </w:rPr>
        <w:t> </w:t>
      </w:r>
      <w:r>
        <w:rPr>
          <w:spacing w:val="-2"/>
          <w:vertAlign w:val="baseline"/>
        </w:rPr>
        <w:t>still</w:t>
      </w:r>
    </w:p>
    <w:p>
      <w:pPr>
        <w:pStyle w:val="BodyText"/>
        <w:spacing w:after="0" w:line="249" w:lineRule="auto"/>
        <w:sectPr>
          <w:pgSz w:w="12240" w:h="15840"/>
          <w:pgMar w:top="1380" w:bottom="280" w:left="1440" w:right="1440"/>
        </w:sectPr>
      </w:pPr>
    </w:p>
    <w:p>
      <w:pPr>
        <w:pStyle w:val="BodyText"/>
        <w:spacing w:line="249" w:lineRule="auto"/>
        <w:ind w:left="111" w:right="99"/>
        <w:jc w:val="right"/>
      </w:pPr>
      <w:r>
        <w:rPr/>
        <w:t>interested</w:t>
      </w:r>
      <w:r>
        <w:rPr>
          <w:spacing w:val="-1"/>
        </w:rPr>
        <w:t> </w:t>
      </w:r>
      <w:r>
        <w:rPr/>
        <w:t>in</w:t>
      </w:r>
      <w:r>
        <w:rPr>
          <w:spacing w:val="-1"/>
        </w:rPr>
        <w:t> </w:t>
      </w:r>
      <w:r>
        <w:rPr/>
        <w:t>sex.</w:t>
      </w:r>
      <w:r>
        <w:rPr>
          <w:vertAlign w:val="superscript"/>
        </w:rPr>
        <w:t>139</w:t>
      </w:r>
      <w:r>
        <w:rPr>
          <w:vertAlign w:val="baseline"/>
        </w:rPr>
        <w:t> In the Postmenopausal Estrogen/Progestin </w:t>
      </w:r>
      <w:r>
        <w:rPr>
          <w:vertAlign w:val="baseline"/>
        </w:rPr>
        <w:t>Interventions (PEPI) trial, 60% of women 55 to 64 years old were sexually active.</w:t>
      </w:r>
      <w:r>
        <w:rPr>
          <w:vertAlign w:val="superscript"/>
        </w:rPr>
        <w:t>140</w:t>
      </w:r>
      <w:r>
        <w:rPr>
          <w:vertAlign w:val="baseline"/>
        </w:rPr>
        <w:t> In a national</w:t>
      </w:r>
      <w:r>
        <w:rPr>
          <w:spacing w:val="40"/>
          <w:vertAlign w:val="baseline"/>
        </w:rPr>
        <w:t> </w:t>
      </w:r>
      <w:r>
        <w:rPr>
          <w:vertAlign w:val="baseline"/>
        </w:rPr>
        <w:t>sample</w:t>
      </w:r>
      <w:r>
        <w:rPr>
          <w:spacing w:val="40"/>
          <w:vertAlign w:val="baseline"/>
        </w:rPr>
        <w:t> </w:t>
      </w:r>
      <w:r>
        <w:rPr>
          <w:vertAlign w:val="baseline"/>
        </w:rPr>
        <w:t>of</w:t>
      </w:r>
      <w:r>
        <w:rPr>
          <w:spacing w:val="40"/>
          <w:vertAlign w:val="baseline"/>
        </w:rPr>
        <w:t> </w:t>
      </w:r>
      <w:r>
        <w:rPr>
          <w:vertAlign w:val="baseline"/>
        </w:rPr>
        <w:t>American</w:t>
      </w:r>
      <w:r>
        <w:rPr>
          <w:spacing w:val="40"/>
          <w:vertAlign w:val="baseline"/>
        </w:rPr>
        <w:t> </w:t>
      </w:r>
      <w:r>
        <w:rPr>
          <w:vertAlign w:val="baseline"/>
        </w:rPr>
        <w:t>men</w:t>
      </w:r>
      <w:r>
        <w:rPr>
          <w:spacing w:val="40"/>
          <w:vertAlign w:val="baseline"/>
        </w:rPr>
        <w:t> </w:t>
      </w:r>
      <w:r>
        <w:rPr>
          <w:vertAlign w:val="baseline"/>
        </w:rPr>
        <w:t>and</w:t>
      </w:r>
      <w:r>
        <w:rPr>
          <w:spacing w:val="40"/>
          <w:vertAlign w:val="baseline"/>
        </w:rPr>
        <w:t> </w:t>
      </w:r>
      <w:r>
        <w:rPr>
          <w:vertAlign w:val="baseline"/>
        </w:rPr>
        <w:t>women,</w:t>
      </w:r>
      <w:r>
        <w:rPr>
          <w:spacing w:val="40"/>
          <w:vertAlign w:val="baseline"/>
        </w:rPr>
        <w:t> </w:t>
      </w:r>
      <w:r>
        <w:rPr>
          <w:vertAlign w:val="baseline"/>
        </w:rPr>
        <w:t>the</w:t>
      </w:r>
      <w:r>
        <w:rPr>
          <w:spacing w:val="40"/>
          <w:vertAlign w:val="baseline"/>
        </w:rPr>
        <w:t> </w:t>
      </w:r>
      <w:r>
        <w:rPr>
          <w:vertAlign w:val="baseline"/>
        </w:rPr>
        <w:t>prevalence</w:t>
      </w:r>
      <w:r>
        <w:rPr>
          <w:spacing w:val="40"/>
          <w:vertAlign w:val="baseline"/>
        </w:rPr>
        <w:t> </w:t>
      </w:r>
      <w:r>
        <w:rPr>
          <w:vertAlign w:val="baseline"/>
        </w:rPr>
        <w:t>of</w:t>
      </w:r>
      <w:r>
        <w:rPr>
          <w:spacing w:val="40"/>
          <w:vertAlign w:val="baseline"/>
        </w:rPr>
        <w:t> </w:t>
      </w:r>
      <w:r>
        <w:rPr>
          <w:vertAlign w:val="baseline"/>
        </w:rPr>
        <w:t>sexual behavior declined with aging; however, 26% of individuals aged 75 to 85</w:t>
      </w:r>
      <w:r>
        <w:rPr>
          <w:spacing w:val="80"/>
          <w:w w:val="150"/>
          <w:vertAlign w:val="baseline"/>
        </w:rPr>
        <w:t> </w:t>
      </w:r>
      <w:r>
        <w:rPr>
          <w:vertAlign w:val="baseline"/>
        </w:rPr>
        <w:t>years</w:t>
      </w:r>
      <w:r>
        <w:rPr>
          <w:spacing w:val="40"/>
          <w:vertAlign w:val="baseline"/>
        </w:rPr>
        <w:t> </w:t>
      </w:r>
      <w:r>
        <w:rPr>
          <w:vertAlign w:val="baseline"/>
        </w:rPr>
        <w:t>were</w:t>
      </w:r>
      <w:r>
        <w:rPr>
          <w:spacing w:val="40"/>
          <w:vertAlign w:val="baseline"/>
        </w:rPr>
        <w:t> </w:t>
      </w:r>
      <w:r>
        <w:rPr>
          <w:vertAlign w:val="baseline"/>
        </w:rPr>
        <w:t>still</w:t>
      </w:r>
      <w:r>
        <w:rPr>
          <w:spacing w:val="40"/>
          <w:vertAlign w:val="baseline"/>
        </w:rPr>
        <w:t> </w:t>
      </w:r>
      <w:r>
        <w:rPr>
          <w:vertAlign w:val="baseline"/>
        </w:rPr>
        <w:t>sexually</w:t>
      </w:r>
      <w:r>
        <w:rPr>
          <w:spacing w:val="40"/>
          <w:vertAlign w:val="baseline"/>
        </w:rPr>
        <w:t> </w:t>
      </w:r>
      <w:r>
        <w:rPr>
          <w:vertAlign w:val="baseline"/>
        </w:rPr>
        <w:t>active.</w:t>
      </w:r>
      <w:r>
        <w:rPr>
          <w:vertAlign w:val="superscript"/>
        </w:rPr>
        <w:t>141</w:t>
      </w:r>
      <w:r>
        <w:rPr>
          <w:spacing w:val="40"/>
          <w:vertAlign w:val="baseline"/>
        </w:rPr>
        <w:t> </w:t>
      </w:r>
      <w:r>
        <w:rPr>
          <w:vertAlign w:val="baseline"/>
        </w:rPr>
        <w:t>The</w:t>
      </w:r>
      <w:r>
        <w:rPr>
          <w:spacing w:val="40"/>
          <w:vertAlign w:val="baseline"/>
        </w:rPr>
        <w:t> </w:t>
      </w:r>
      <w:r>
        <w:rPr>
          <w:vertAlign w:val="baseline"/>
        </w:rPr>
        <w:t>prevalence</w:t>
      </w:r>
      <w:r>
        <w:rPr>
          <w:spacing w:val="40"/>
          <w:vertAlign w:val="baseline"/>
        </w:rPr>
        <w:t> </w:t>
      </w:r>
      <w:r>
        <w:rPr>
          <w:vertAlign w:val="baseline"/>
        </w:rPr>
        <w:t>of</w:t>
      </w:r>
      <w:r>
        <w:rPr>
          <w:spacing w:val="40"/>
          <w:vertAlign w:val="baseline"/>
        </w:rPr>
        <w:t> </w:t>
      </w:r>
      <w:r>
        <w:rPr>
          <w:vertAlign w:val="baseline"/>
        </w:rPr>
        <w:t>self-reported</w:t>
      </w:r>
      <w:r>
        <w:rPr>
          <w:spacing w:val="40"/>
          <w:vertAlign w:val="baseline"/>
        </w:rPr>
        <w:t> </w:t>
      </w:r>
      <w:r>
        <w:rPr>
          <w:vertAlign w:val="baseline"/>
        </w:rPr>
        <w:t>sexual problems peaks in middle-aged women, sufficient to cause distress in about 22% of US women and about 12% of women aged 45 to 64.</w:t>
      </w:r>
      <w:r>
        <w:rPr>
          <w:vertAlign w:val="superscript"/>
        </w:rPr>
        <w:t>142</w:t>
      </w:r>
      <w:r>
        <w:rPr>
          <w:vertAlign w:val="baseline"/>
        </w:rPr>
        <w:t> Up to 23%</w:t>
      </w:r>
      <w:r>
        <w:rPr>
          <w:spacing w:val="40"/>
          <w:vertAlign w:val="baseline"/>
        </w:rPr>
        <w:t> </w:t>
      </w:r>
      <w:r>
        <w:rPr>
          <w:vertAlign w:val="baseline"/>
        </w:rPr>
        <w:t>of</w:t>
      </w:r>
      <w:r>
        <w:rPr>
          <w:spacing w:val="-3"/>
          <w:vertAlign w:val="baseline"/>
        </w:rPr>
        <w:t> </w:t>
      </w:r>
      <w:r>
        <w:rPr>
          <w:vertAlign w:val="baseline"/>
        </w:rPr>
        <w:t>menopausal</w:t>
      </w:r>
      <w:r>
        <w:rPr>
          <w:spacing w:val="-3"/>
          <w:vertAlign w:val="baseline"/>
        </w:rPr>
        <w:t> </w:t>
      </w:r>
      <w:r>
        <w:rPr>
          <w:vertAlign w:val="baseline"/>
        </w:rPr>
        <w:t>women</w:t>
      </w:r>
      <w:r>
        <w:rPr>
          <w:spacing w:val="-3"/>
          <w:vertAlign w:val="baseline"/>
        </w:rPr>
        <w:t> </w:t>
      </w:r>
      <w:r>
        <w:rPr>
          <w:vertAlign w:val="baseline"/>
        </w:rPr>
        <w:t>are</w:t>
      </w:r>
      <w:r>
        <w:rPr>
          <w:spacing w:val="-3"/>
          <w:vertAlign w:val="baseline"/>
        </w:rPr>
        <w:t> </w:t>
      </w:r>
      <w:r>
        <w:rPr>
          <w:vertAlign w:val="baseline"/>
        </w:rPr>
        <w:t>negatively</w:t>
      </w:r>
      <w:r>
        <w:rPr>
          <w:spacing w:val="-3"/>
          <w:vertAlign w:val="baseline"/>
        </w:rPr>
        <w:t> </w:t>
      </w:r>
      <w:r>
        <w:rPr>
          <w:vertAlign w:val="baseline"/>
        </w:rPr>
        <w:t>affected</w:t>
      </w:r>
      <w:r>
        <w:rPr>
          <w:spacing w:val="-3"/>
          <w:vertAlign w:val="baseline"/>
        </w:rPr>
        <w:t> </w:t>
      </w:r>
      <w:r>
        <w:rPr>
          <w:vertAlign w:val="baseline"/>
        </w:rPr>
        <w:t>by</w:t>
      </w:r>
      <w:r>
        <w:rPr>
          <w:spacing w:val="-3"/>
          <w:vertAlign w:val="baseline"/>
        </w:rPr>
        <w:t> </w:t>
      </w:r>
      <w:r>
        <w:rPr>
          <w:vertAlign w:val="baseline"/>
        </w:rPr>
        <w:t>decreased</w:t>
      </w:r>
      <w:r>
        <w:rPr>
          <w:spacing w:val="-3"/>
          <w:vertAlign w:val="baseline"/>
        </w:rPr>
        <w:t> </w:t>
      </w:r>
      <w:r>
        <w:rPr>
          <w:vertAlign w:val="baseline"/>
        </w:rPr>
        <w:t>sexual</w:t>
      </w:r>
      <w:r>
        <w:rPr>
          <w:spacing w:val="-3"/>
          <w:vertAlign w:val="baseline"/>
        </w:rPr>
        <w:t> </w:t>
      </w:r>
      <w:r>
        <w:rPr>
          <w:vertAlign w:val="baseline"/>
        </w:rPr>
        <w:t>desire.</w:t>
      </w:r>
      <w:r>
        <w:rPr>
          <w:vertAlign w:val="superscript"/>
        </w:rPr>
        <w:t>143</w:t>
      </w:r>
      <w:r>
        <w:rPr>
          <w:vertAlign w:val="baseline"/>
        </w:rPr>
        <w:t> The</w:t>
      </w:r>
      <w:r>
        <w:rPr>
          <w:spacing w:val="40"/>
          <w:vertAlign w:val="baseline"/>
        </w:rPr>
        <w:t> </w:t>
      </w:r>
      <w:r>
        <w:rPr>
          <w:vertAlign w:val="baseline"/>
        </w:rPr>
        <w:t>decline</w:t>
      </w:r>
      <w:r>
        <w:rPr>
          <w:spacing w:val="40"/>
          <w:vertAlign w:val="baseline"/>
        </w:rPr>
        <w:t> </w:t>
      </w:r>
      <w:r>
        <w:rPr>
          <w:vertAlign w:val="baseline"/>
        </w:rPr>
        <w:t>in</w:t>
      </w:r>
      <w:r>
        <w:rPr>
          <w:spacing w:val="40"/>
          <w:vertAlign w:val="baseline"/>
        </w:rPr>
        <w:t> </w:t>
      </w:r>
      <w:r>
        <w:rPr>
          <w:vertAlign w:val="baseline"/>
        </w:rPr>
        <w:t>sexual</w:t>
      </w:r>
      <w:r>
        <w:rPr>
          <w:spacing w:val="40"/>
          <w:vertAlign w:val="baseline"/>
        </w:rPr>
        <w:t> </w:t>
      </w:r>
      <w:r>
        <w:rPr>
          <w:vertAlign w:val="baseline"/>
        </w:rPr>
        <w:t>activity</w:t>
      </w:r>
      <w:r>
        <w:rPr>
          <w:spacing w:val="40"/>
          <w:vertAlign w:val="baseline"/>
        </w:rPr>
        <w:t> </w:t>
      </w:r>
      <w:r>
        <w:rPr>
          <w:vertAlign w:val="baseline"/>
        </w:rPr>
        <w:t>with</w:t>
      </w:r>
      <w:r>
        <w:rPr>
          <w:spacing w:val="40"/>
          <w:vertAlign w:val="baseline"/>
        </w:rPr>
        <w:t> </w:t>
      </w:r>
      <w:r>
        <w:rPr>
          <w:vertAlign w:val="baseline"/>
        </w:rPr>
        <w:t>aging</w:t>
      </w:r>
      <w:r>
        <w:rPr>
          <w:spacing w:val="40"/>
          <w:vertAlign w:val="baseline"/>
        </w:rPr>
        <w:t> </w:t>
      </w:r>
      <w:r>
        <w:rPr>
          <w:vertAlign w:val="baseline"/>
        </w:rPr>
        <w:t>is</w:t>
      </w:r>
      <w:r>
        <w:rPr>
          <w:spacing w:val="40"/>
          <w:vertAlign w:val="baseline"/>
        </w:rPr>
        <w:t> </w:t>
      </w:r>
      <w:r>
        <w:rPr>
          <w:vertAlign w:val="baseline"/>
        </w:rPr>
        <w:t>influenced</w:t>
      </w:r>
      <w:r>
        <w:rPr>
          <w:spacing w:val="40"/>
          <w:vertAlign w:val="baseline"/>
        </w:rPr>
        <w:t> </w:t>
      </w:r>
      <w:r>
        <w:rPr>
          <w:vertAlign w:val="baseline"/>
        </w:rPr>
        <w:t>by</w:t>
      </w:r>
      <w:r>
        <w:rPr>
          <w:spacing w:val="40"/>
          <w:vertAlign w:val="baseline"/>
        </w:rPr>
        <w:t> </w:t>
      </w:r>
      <w:r>
        <w:rPr>
          <w:vertAlign w:val="baseline"/>
        </w:rPr>
        <w:t>culture</w:t>
      </w:r>
      <w:r>
        <w:rPr>
          <w:spacing w:val="40"/>
          <w:vertAlign w:val="baseline"/>
        </w:rPr>
        <w:t> </w:t>
      </w:r>
      <w:r>
        <w:rPr>
          <w:vertAlign w:val="baseline"/>
        </w:rPr>
        <w:t>and attitudes, as well as by nature and physiology (or hormones). As estradiol</w:t>
      </w:r>
      <w:r>
        <w:rPr>
          <w:spacing w:val="80"/>
          <w:w w:val="150"/>
          <w:vertAlign w:val="baseline"/>
        </w:rPr>
        <w:t> </w:t>
      </w:r>
      <w:r>
        <w:rPr>
          <w:vertAlign w:val="baseline"/>
        </w:rPr>
        <w:t>regulates</w:t>
      </w:r>
      <w:r>
        <w:rPr>
          <w:spacing w:val="-6"/>
          <w:vertAlign w:val="baseline"/>
        </w:rPr>
        <w:t> </w:t>
      </w:r>
      <w:r>
        <w:rPr>
          <w:vertAlign w:val="baseline"/>
        </w:rPr>
        <w:t>serotonergic</w:t>
      </w:r>
      <w:r>
        <w:rPr>
          <w:spacing w:val="-6"/>
          <w:vertAlign w:val="baseline"/>
        </w:rPr>
        <w:t> </w:t>
      </w:r>
      <w:r>
        <w:rPr>
          <w:vertAlign w:val="baseline"/>
        </w:rPr>
        <w:t>function,</w:t>
      </w:r>
      <w:r>
        <w:rPr>
          <w:spacing w:val="-6"/>
          <w:vertAlign w:val="baseline"/>
        </w:rPr>
        <w:t> </w:t>
      </w:r>
      <w:r>
        <w:rPr>
          <w:vertAlign w:val="baseline"/>
        </w:rPr>
        <w:t>it</w:t>
      </w:r>
      <w:r>
        <w:rPr>
          <w:spacing w:val="-6"/>
          <w:vertAlign w:val="baseline"/>
        </w:rPr>
        <w:t> </w:t>
      </w:r>
      <w:r>
        <w:rPr>
          <w:vertAlign w:val="baseline"/>
        </w:rPr>
        <w:t>can</w:t>
      </w:r>
      <w:r>
        <w:rPr>
          <w:spacing w:val="-6"/>
          <w:vertAlign w:val="baseline"/>
        </w:rPr>
        <w:t> </w:t>
      </w:r>
      <w:r>
        <w:rPr>
          <w:vertAlign w:val="baseline"/>
        </w:rPr>
        <w:t>affect</w:t>
      </w:r>
      <w:r>
        <w:rPr>
          <w:spacing w:val="-6"/>
          <w:vertAlign w:val="baseline"/>
        </w:rPr>
        <w:t> </w:t>
      </w:r>
      <w:r>
        <w:rPr>
          <w:vertAlign w:val="baseline"/>
        </w:rPr>
        <w:t>desire</w:t>
      </w:r>
      <w:r>
        <w:rPr>
          <w:spacing w:val="-6"/>
          <w:vertAlign w:val="baseline"/>
        </w:rPr>
        <w:t> </w:t>
      </w:r>
      <w:r>
        <w:rPr>
          <w:vertAlign w:val="baseline"/>
        </w:rPr>
        <w:t>and</w:t>
      </w:r>
      <w:r>
        <w:rPr>
          <w:spacing w:val="-6"/>
          <w:vertAlign w:val="baseline"/>
        </w:rPr>
        <w:t> </w:t>
      </w:r>
      <w:r>
        <w:rPr>
          <w:vertAlign w:val="baseline"/>
        </w:rPr>
        <w:t>sexual</w:t>
      </w:r>
      <w:r>
        <w:rPr>
          <w:spacing w:val="-6"/>
          <w:vertAlign w:val="baseline"/>
        </w:rPr>
        <w:t> </w:t>
      </w:r>
      <w:r>
        <w:rPr>
          <w:vertAlign w:val="baseline"/>
        </w:rPr>
        <w:t>function.</w:t>
      </w:r>
      <w:r>
        <w:rPr>
          <w:vertAlign w:val="superscript"/>
        </w:rPr>
        <w:t>143</w:t>
      </w:r>
      <w:r>
        <w:rPr>
          <w:spacing w:val="-7"/>
          <w:vertAlign w:val="baseline"/>
        </w:rPr>
        <w:t> </w:t>
      </w:r>
      <w:r>
        <w:rPr>
          <w:vertAlign w:val="baseline"/>
        </w:rPr>
        <w:t>In addition, the discomfort resulting from vaginal dryness and tissue atrophy</w:t>
      </w:r>
      <w:r>
        <w:rPr>
          <w:spacing w:val="80"/>
          <w:vertAlign w:val="baseline"/>
        </w:rPr>
        <w:t> </w:t>
      </w:r>
      <w:r>
        <w:rPr>
          <w:vertAlign w:val="baseline"/>
        </w:rPr>
        <w:t>consequent to low estradiol levels can make coitus unwelcome, even to the point</w:t>
      </w:r>
      <w:r>
        <w:rPr>
          <w:spacing w:val="40"/>
          <w:vertAlign w:val="baseline"/>
        </w:rPr>
        <w:t> </w:t>
      </w:r>
      <w:r>
        <w:rPr>
          <w:vertAlign w:val="baseline"/>
        </w:rPr>
        <w:t>of</w:t>
      </w:r>
      <w:r>
        <w:rPr>
          <w:spacing w:val="40"/>
          <w:vertAlign w:val="baseline"/>
        </w:rPr>
        <w:t> </w:t>
      </w:r>
      <w:r>
        <w:rPr>
          <w:vertAlign w:val="baseline"/>
        </w:rPr>
        <w:t>avoidance.</w:t>
      </w:r>
      <w:r>
        <w:rPr>
          <w:spacing w:val="40"/>
          <w:vertAlign w:val="baseline"/>
        </w:rPr>
        <w:t> </w:t>
      </w:r>
      <w:r>
        <w:rPr>
          <w:vertAlign w:val="baseline"/>
        </w:rPr>
        <w:t>Thus,</w:t>
      </w:r>
      <w:r>
        <w:rPr>
          <w:spacing w:val="40"/>
          <w:vertAlign w:val="baseline"/>
        </w:rPr>
        <w:t> </w:t>
      </w:r>
      <w:r>
        <w:rPr>
          <w:vertAlign w:val="baseline"/>
        </w:rPr>
        <w:t>a</w:t>
      </w:r>
      <w:r>
        <w:rPr>
          <w:spacing w:val="40"/>
          <w:vertAlign w:val="baseline"/>
        </w:rPr>
        <w:t> </w:t>
      </w:r>
      <w:r>
        <w:rPr>
          <w:vertAlign w:val="baseline"/>
        </w:rPr>
        <w:t>significant</w:t>
      </w:r>
      <w:r>
        <w:rPr>
          <w:spacing w:val="40"/>
          <w:vertAlign w:val="baseline"/>
        </w:rPr>
        <w:t> </w:t>
      </w:r>
      <w:r>
        <w:rPr>
          <w:vertAlign w:val="baseline"/>
        </w:rPr>
        <w:t>component</w:t>
      </w:r>
      <w:r>
        <w:rPr>
          <w:spacing w:val="40"/>
          <w:vertAlign w:val="baseline"/>
        </w:rPr>
        <w:t> </w:t>
      </w:r>
      <w:r>
        <w:rPr>
          <w:vertAlign w:val="baseline"/>
        </w:rPr>
        <w:t>of</w:t>
      </w:r>
      <w:r>
        <w:rPr>
          <w:spacing w:val="40"/>
          <w:vertAlign w:val="baseline"/>
        </w:rPr>
        <w:t> </w:t>
      </w:r>
      <w:r>
        <w:rPr>
          <w:vertAlign w:val="baseline"/>
        </w:rPr>
        <w:t>decline</w:t>
      </w:r>
      <w:r>
        <w:rPr>
          <w:spacing w:val="40"/>
          <w:vertAlign w:val="baseline"/>
        </w:rPr>
        <w:t> </w:t>
      </w:r>
      <w:r>
        <w:rPr>
          <w:vertAlign w:val="baseline"/>
        </w:rPr>
        <w:t>in</w:t>
      </w:r>
      <w:r>
        <w:rPr>
          <w:spacing w:val="40"/>
          <w:vertAlign w:val="baseline"/>
        </w:rPr>
        <w:t> </w:t>
      </w:r>
      <w:r>
        <w:rPr>
          <w:vertAlign w:val="baseline"/>
        </w:rPr>
        <w:t>sexual</w:t>
      </w:r>
      <w:r>
        <w:rPr>
          <w:spacing w:val="80"/>
          <w:vertAlign w:val="baseline"/>
        </w:rPr>
        <w:t> </w:t>
      </w:r>
      <w:r>
        <w:rPr>
          <w:vertAlign w:val="baseline"/>
        </w:rPr>
        <w:t>activity</w:t>
      </w:r>
      <w:r>
        <w:rPr>
          <w:spacing w:val="40"/>
          <w:vertAlign w:val="baseline"/>
        </w:rPr>
        <w:t> </w:t>
      </w:r>
      <w:r>
        <w:rPr>
          <w:vertAlign w:val="baseline"/>
        </w:rPr>
        <w:t>in</w:t>
      </w:r>
      <w:r>
        <w:rPr>
          <w:spacing w:val="40"/>
          <w:vertAlign w:val="baseline"/>
        </w:rPr>
        <w:t> </w:t>
      </w:r>
      <w:r>
        <w:rPr>
          <w:vertAlign w:val="baseline"/>
        </w:rPr>
        <w:t>reproductively</w:t>
      </w:r>
      <w:r>
        <w:rPr>
          <w:spacing w:val="40"/>
          <w:vertAlign w:val="baseline"/>
        </w:rPr>
        <w:t> </w:t>
      </w:r>
      <w:r>
        <w:rPr>
          <w:vertAlign w:val="baseline"/>
        </w:rPr>
        <w:t>aging</w:t>
      </w:r>
      <w:r>
        <w:rPr>
          <w:spacing w:val="40"/>
          <w:vertAlign w:val="baseline"/>
        </w:rPr>
        <w:t> </w:t>
      </w:r>
      <w:r>
        <w:rPr>
          <w:vertAlign w:val="baseline"/>
        </w:rPr>
        <w:t>women</w:t>
      </w:r>
      <w:r>
        <w:rPr>
          <w:spacing w:val="40"/>
          <w:vertAlign w:val="baseline"/>
        </w:rPr>
        <w:t> </w:t>
      </w:r>
      <w:r>
        <w:rPr>
          <w:vertAlign w:val="baseline"/>
        </w:rPr>
        <w:t>can</w:t>
      </w:r>
      <w:r>
        <w:rPr>
          <w:spacing w:val="40"/>
          <w:vertAlign w:val="baseline"/>
        </w:rPr>
        <w:t> </w:t>
      </w:r>
      <w:r>
        <w:rPr>
          <w:vertAlign w:val="baseline"/>
        </w:rPr>
        <w:t>be</w:t>
      </w:r>
      <w:r>
        <w:rPr>
          <w:spacing w:val="40"/>
          <w:vertAlign w:val="baseline"/>
        </w:rPr>
        <w:t> </w:t>
      </w:r>
      <w:r>
        <w:rPr>
          <w:vertAlign w:val="baseline"/>
        </w:rPr>
        <w:t>attributed</w:t>
      </w:r>
      <w:r>
        <w:rPr>
          <w:spacing w:val="40"/>
          <w:vertAlign w:val="baseline"/>
        </w:rPr>
        <w:t> </w:t>
      </w:r>
      <w:r>
        <w:rPr>
          <w:vertAlign w:val="baseline"/>
        </w:rPr>
        <w:t>to</w:t>
      </w:r>
      <w:r>
        <w:rPr>
          <w:spacing w:val="40"/>
          <w:vertAlign w:val="baseline"/>
        </w:rPr>
        <w:t> </w:t>
      </w:r>
      <w:r>
        <w:rPr>
          <w:vertAlign w:val="baseline"/>
        </w:rPr>
        <w:t>menopausal symptoms</w:t>
      </w:r>
      <w:r>
        <w:rPr>
          <w:spacing w:val="68"/>
          <w:vertAlign w:val="baseline"/>
        </w:rPr>
        <w:t> </w:t>
      </w:r>
      <w:r>
        <w:rPr>
          <w:vertAlign w:val="baseline"/>
        </w:rPr>
        <w:t>associated</w:t>
      </w:r>
      <w:r>
        <w:rPr>
          <w:spacing w:val="68"/>
          <w:vertAlign w:val="baseline"/>
        </w:rPr>
        <w:t> </w:t>
      </w:r>
      <w:r>
        <w:rPr>
          <w:vertAlign w:val="baseline"/>
        </w:rPr>
        <w:t>with</w:t>
      </w:r>
      <w:r>
        <w:rPr>
          <w:spacing w:val="68"/>
          <w:vertAlign w:val="baseline"/>
        </w:rPr>
        <w:t> </w:t>
      </w:r>
      <w:r>
        <w:rPr>
          <w:vertAlign w:val="baseline"/>
        </w:rPr>
        <w:t>decreasing</w:t>
      </w:r>
      <w:r>
        <w:rPr>
          <w:spacing w:val="68"/>
          <w:vertAlign w:val="baseline"/>
        </w:rPr>
        <w:t> </w:t>
      </w:r>
      <w:r>
        <w:rPr>
          <w:vertAlign w:val="baseline"/>
        </w:rPr>
        <w:t>estrogen</w:t>
      </w:r>
      <w:r>
        <w:rPr>
          <w:spacing w:val="68"/>
          <w:vertAlign w:val="baseline"/>
        </w:rPr>
        <w:t> </w:t>
      </w:r>
      <w:r>
        <w:rPr>
          <w:vertAlign w:val="baseline"/>
        </w:rPr>
        <w:t>levels,</w:t>
      </w:r>
      <w:r>
        <w:rPr>
          <w:spacing w:val="68"/>
          <w:vertAlign w:val="baseline"/>
        </w:rPr>
        <w:t> </w:t>
      </w:r>
      <w:r>
        <w:rPr>
          <w:vertAlign w:val="baseline"/>
        </w:rPr>
        <w:t>a</w:t>
      </w:r>
      <w:r>
        <w:rPr>
          <w:spacing w:val="68"/>
          <w:vertAlign w:val="baseline"/>
        </w:rPr>
        <w:t> </w:t>
      </w:r>
      <w:r>
        <w:rPr>
          <w:vertAlign w:val="baseline"/>
        </w:rPr>
        <w:t>problem</w:t>
      </w:r>
      <w:r>
        <w:rPr>
          <w:spacing w:val="68"/>
          <w:vertAlign w:val="baseline"/>
        </w:rPr>
        <w:t> </w:t>
      </w:r>
      <w:r>
        <w:rPr>
          <w:vertAlign w:val="baseline"/>
        </w:rPr>
        <w:t>that</w:t>
      </w:r>
      <w:r>
        <w:rPr>
          <w:spacing w:val="68"/>
          <w:vertAlign w:val="baseline"/>
        </w:rPr>
        <w:t> </w:t>
      </w:r>
      <w:r>
        <w:rPr>
          <w:spacing w:val="-7"/>
          <w:vertAlign w:val="baseline"/>
        </w:rPr>
        <w:t>is</w:t>
      </w:r>
    </w:p>
    <w:p>
      <w:pPr>
        <w:pStyle w:val="BodyText"/>
        <w:spacing w:before="19"/>
      </w:pPr>
      <w:r>
        <w:rPr/>
        <w:t>easily</w:t>
      </w:r>
      <w:r>
        <w:rPr>
          <w:spacing w:val="-4"/>
        </w:rPr>
        <w:t> </w:t>
      </w:r>
      <w:r>
        <w:rPr/>
        <w:t>ameliorated</w:t>
      </w:r>
      <w:r>
        <w:rPr>
          <w:spacing w:val="-1"/>
        </w:rPr>
        <w:t> </w:t>
      </w:r>
      <w:r>
        <w:rPr/>
        <w:t>by</w:t>
      </w:r>
      <w:r>
        <w:rPr>
          <w:spacing w:val="-2"/>
        </w:rPr>
        <w:t> </w:t>
      </w:r>
      <w:r>
        <w:rPr/>
        <w:t>targeted</w:t>
      </w:r>
      <w:r>
        <w:rPr>
          <w:spacing w:val="-1"/>
        </w:rPr>
        <w:t> </w:t>
      </w:r>
      <w:r>
        <w:rPr>
          <w:spacing w:val="-2"/>
        </w:rPr>
        <w:t>treatment.</w:t>
      </w:r>
    </w:p>
    <w:p>
      <w:pPr>
        <w:pStyle w:val="BodyText"/>
        <w:spacing w:line="249" w:lineRule="auto" w:before="15"/>
        <w:ind w:right="97" w:firstLine="450"/>
      </w:pPr>
      <w:r>
        <w:rPr/>
        <w:t>There are two main sexual changes in the aging woman. There is </w:t>
      </w:r>
      <w:r>
        <w:rPr/>
        <w:t>a reduction in the rate of production and volume of vaginal lubricating fluid, and there is some loss of vaginal elasticity and thickness of the epithelium. Less vaginal atrophy is noted in sexually active women than in inactive women; presumably, the activity maintains vaginal vasculature and circulation. The spectrum of uncomfortable symptoms that are often described by transitioning and menopausal women with evidence of genital atrophy include a feeling of dryness and tightness, vaginal irritation and burning with penetration, and postcoital spotting and soreness. Given that these symptoms are the direct result of tissue estrogen deprivation, the underlying tissue changes can be effectively prevented by focal estrogen treatment. Systemic estrogen therapy may even have a positive impact on sexuality beyond effects on vaginal tissue.</w:t>
      </w:r>
      <w:r>
        <w:rPr>
          <w:vertAlign w:val="superscript"/>
        </w:rPr>
        <w:t>140</w:t>
      </w:r>
      <w:r>
        <w:rPr>
          <w:vertAlign w:val="baseline"/>
        </w:rPr>
        <w:t> In an ancillary sexual study of the Kronos Early Estrogen Prevention Study (KEEPS)—a randomized, double-blinded, placebo-controlled trial—early menopausal women were randomized to receive either low-dose oral conjugated equine estrogen (CEE) or transdermal estradiol (transdermal E2), over the 4 years of intervention. While both routes of estrogen treatment resulted in an improvement</w:t>
      </w:r>
      <w:r>
        <w:rPr>
          <w:spacing w:val="3"/>
          <w:vertAlign w:val="baseline"/>
        </w:rPr>
        <w:t> </w:t>
      </w:r>
      <w:r>
        <w:rPr>
          <w:vertAlign w:val="baseline"/>
        </w:rPr>
        <w:t>in</w:t>
      </w:r>
      <w:r>
        <w:rPr>
          <w:spacing w:val="3"/>
          <w:vertAlign w:val="baseline"/>
        </w:rPr>
        <w:t> </w:t>
      </w:r>
      <w:r>
        <w:rPr>
          <w:vertAlign w:val="baseline"/>
        </w:rPr>
        <w:t>vaginal</w:t>
      </w:r>
      <w:r>
        <w:rPr>
          <w:spacing w:val="4"/>
          <w:vertAlign w:val="baseline"/>
        </w:rPr>
        <w:t> </w:t>
      </w:r>
      <w:r>
        <w:rPr>
          <w:vertAlign w:val="baseline"/>
        </w:rPr>
        <w:t>dryness</w:t>
      </w:r>
      <w:r>
        <w:rPr>
          <w:spacing w:val="3"/>
          <w:vertAlign w:val="baseline"/>
        </w:rPr>
        <w:t> </w:t>
      </w:r>
      <w:r>
        <w:rPr>
          <w:vertAlign w:val="baseline"/>
        </w:rPr>
        <w:t>and</w:t>
      </w:r>
      <w:r>
        <w:rPr>
          <w:spacing w:val="4"/>
          <w:vertAlign w:val="baseline"/>
        </w:rPr>
        <w:t> </w:t>
      </w:r>
      <w:r>
        <w:rPr>
          <w:vertAlign w:val="baseline"/>
        </w:rPr>
        <w:t>dyspareunia,</w:t>
      </w:r>
      <w:r>
        <w:rPr>
          <w:vertAlign w:val="superscript"/>
        </w:rPr>
        <w:t>143</w:t>
      </w:r>
      <w:r>
        <w:rPr>
          <w:spacing w:val="1"/>
          <w:vertAlign w:val="baseline"/>
        </w:rPr>
        <w:t> </w:t>
      </w:r>
      <w:r>
        <w:rPr>
          <w:vertAlign w:val="baseline"/>
        </w:rPr>
        <w:t>improvements</w:t>
      </w:r>
      <w:r>
        <w:rPr>
          <w:spacing w:val="3"/>
          <w:vertAlign w:val="baseline"/>
        </w:rPr>
        <w:t> </w:t>
      </w:r>
      <w:r>
        <w:rPr>
          <w:vertAlign w:val="baseline"/>
        </w:rPr>
        <w:t>in</w:t>
      </w:r>
      <w:r>
        <w:rPr>
          <w:spacing w:val="2"/>
          <w:vertAlign w:val="baseline"/>
        </w:rPr>
        <w:t> </w:t>
      </w:r>
      <w:r>
        <w:rPr>
          <w:spacing w:val="-2"/>
          <w:vertAlign w:val="baseline"/>
        </w:rPr>
        <w:t>libido</w:t>
      </w:r>
    </w:p>
    <w:p>
      <w:pPr>
        <w:pStyle w:val="BodyText"/>
        <w:spacing w:after="0" w:line="249" w:lineRule="auto"/>
        <w:sectPr>
          <w:pgSz w:w="12240" w:h="15840"/>
          <w:pgMar w:top="1380" w:bottom="280" w:left="1440" w:right="1440"/>
        </w:sectPr>
      </w:pPr>
    </w:p>
    <w:p>
      <w:pPr>
        <w:pStyle w:val="BodyText"/>
        <w:spacing w:line="249" w:lineRule="auto"/>
        <w:ind w:right="98"/>
      </w:pPr>
      <w:r>
        <w:rPr/>
        <w:t>and sexual satisfaction were observed only in transdermal E2 users.</w:t>
      </w:r>
      <w:r>
        <w:rPr>
          <w:vertAlign w:val="superscript"/>
        </w:rPr>
        <w:t>143</w:t>
      </w:r>
      <w:r>
        <w:rPr>
          <w:vertAlign w:val="baseline"/>
        </w:rPr>
        <w:t> In an Australian study assessing changes in sexual functioning during the menopausal transition, a correlation with a decline in sexuality </w:t>
      </w:r>
      <w:r>
        <w:rPr>
          <w:vertAlign w:val="baseline"/>
        </w:rPr>
        <w:t>was demonstrated with estradiol levels but not with testosterone levels. There are likely many important factors other than hormone levels that are relevant in determining midlife sexual function.</w:t>
      </w:r>
      <w:r>
        <w:rPr>
          <w:vertAlign w:val="superscript"/>
        </w:rPr>
        <w:t>143,144</w:t>
      </w:r>
    </w:p>
    <w:p>
      <w:pPr>
        <w:spacing w:before="306"/>
        <w:ind w:left="99" w:right="0" w:firstLine="0"/>
        <w:jc w:val="both"/>
        <w:rPr>
          <w:rFonts w:ascii="Arial"/>
          <w:b/>
          <w:i/>
          <w:sz w:val="22"/>
        </w:rPr>
      </w:pPr>
      <w:r>
        <w:rPr>
          <w:rFonts w:ascii="Arial"/>
          <w:b/>
          <w:i/>
          <w:color w:val="A0234E"/>
          <w:sz w:val="22"/>
        </w:rPr>
        <w:t>Illness</w:t>
      </w:r>
      <w:r>
        <w:rPr>
          <w:rFonts w:ascii="Arial"/>
          <w:b/>
          <w:i/>
          <w:color w:val="A0234E"/>
          <w:spacing w:val="11"/>
          <w:sz w:val="22"/>
        </w:rPr>
        <w:t> </w:t>
      </w:r>
      <w:r>
        <w:rPr>
          <w:rFonts w:ascii="Arial"/>
          <w:b/>
          <w:i/>
          <w:color w:val="A0234E"/>
          <w:sz w:val="22"/>
        </w:rPr>
        <w:t>and</w:t>
      </w:r>
      <w:r>
        <w:rPr>
          <w:rFonts w:ascii="Arial"/>
          <w:b/>
          <w:i/>
          <w:color w:val="A0234E"/>
          <w:spacing w:val="12"/>
          <w:sz w:val="22"/>
        </w:rPr>
        <w:t> </w:t>
      </w:r>
      <w:r>
        <w:rPr>
          <w:rFonts w:ascii="Arial"/>
          <w:b/>
          <w:i/>
          <w:color w:val="A0234E"/>
          <w:spacing w:val="-5"/>
          <w:sz w:val="22"/>
        </w:rPr>
        <w:t>Sex</w:t>
      </w:r>
    </w:p>
    <w:p>
      <w:pPr>
        <w:pStyle w:val="BodyText"/>
        <w:spacing w:line="249" w:lineRule="auto" w:before="123"/>
        <w:ind w:right="97"/>
      </w:pPr>
      <w:r>
        <w:rPr/>
        <w:t>It is not uncommon to encounter medical or surgical underpinnings </w:t>
      </w:r>
      <w:r>
        <w:rPr/>
        <w:t>to disorders of sexuality. Surgical menopause (removal of both ovaries in premenopausal women) is probably one of the most commonly encountered iatrogenic contributors to altered sexual function in reproductive age women. Remember that vaginal lubrication is an important physiologic sexual response, and, therefore, vaginal dryness is a likely consequence following total hysterectomy even if the premenopausal ovaries are</w:t>
      </w:r>
      <w:r>
        <w:rPr>
          <w:spacing w:val="40"/>
        </w:rPr>
        <w:t> </w:t>
      </w:r>
      <w:r>
        <w:rPr/>
        <w:t>retained. Sexual problems are not limited, however, to surgical procedures and illnesses of the genitalia. Altered self-image such as following vulvectomy or mastectomy can also impact sexual function. However, studies have not found postmenopausal hysterectomy to have a detrimental impact on sexuality.</w:t>
      </w:r>
      <w:r>
        <w:rPr>
          <w:vertAlign w:val="superscript"/>
        </w:rPr>
        <w:t>140,145</w:t>
      </w:r>
    </w:p>
    <w:p>
      <w:pPr>
        <w:pStyle w:val="BodyText"/>
        <w:spacing w:line="249" w:lineRule="auto" w:before="15"/>
        <w:ind w:right="101" w:firstLine="450"/>
      </w:pPr>
      <w:r>
        <w:rPr/>
        <w:t>Sexual counseling, to be effective, must be provided to couples </w:t>
      </w:r>
      <w:r>
        <w:rPr/>
        <w:t>both before and after surgery. It is not unexpected that the surgeon may not be fully capable of providing this counseling. A major contribution from an older woman’s primary clinician is to arrange for competent and experienced sexual counseling. Unfortunately, most physicians operate on the principle that if no questions are raised, there is no problem. The expert surgeon should be grateful for the help of experts in psychosexual therapy. Seek</w:t>
      </w:r>
      <w:r>
        <w:rPr>
          <w:spacing w:val="-6"/>
        </w:rPr>
        <w:t> </w:t>
      </w:r>
      <w:r>
        <w:rPr/>
        <w:t>out</w:t>
      </w:r>
      <w:r>
        <w:rPr>
          <w:spacing w:val="-6"/>
        </w:rPr>
        <w:t> </w:t>
      </w:r>
      <w:r>
        <w:rPr/>
        <w:t>the</w:t>
      </w:r>
      <w:r>
        <w:rPr>
          <w:spacing w:val="-6"/>
        </w:rPr>
        <w:t> </w:t>
      </w:r>
      <w:r>
        <w:rPr/>
        <w:t>potential</w:t>
      </w:r>
      <w:r>
        <w:rPr>
          <w:spacing w:val="-6"/>
        </w:rPr>
        <w:t> </w:t>
      </w:r>
      <w:r>
        <w:rPr/>
        <w:t>for</w:t>
      </w:r>
      <w:r>
        <w:rPr>
          <w:spacing w:val="-6"/>
        </w:rPr>
        <w:t> </w:t>
      </w:r>
      <w:r>
        <w:rPr/>
        <w:t>posttreatment</w:t>
      </w:r>
      <w:r>
        <w:rPr>
          <w:spacing w:val="-6"/>
        </w:rPr>
        <w:t> </w:t>
      </w:r>
      <w:r>
        <w:rPr/>
        <w:t>sexual</w:t>
      </w:r>
      <w:r>
        <w:rPr>
          <w:spacing w:val="-6"/>
        </w:rPr>
        <w:t> </w:t>
      </w:r>
      <w:r>
        <w:rPr/>
        <w:t>morbidity</w:t>
      </w:r>
      <w:r>
        <w:rPr>
          <w:spacing w:val="-6"/>
        </w:rPr>
        <w:t> </w:t>
      </w:r>
      <w:r>
        <w:rPr/>
        <w:t>before</w:t>
      </w:r>
      <w:r>
        <w:rPr>
          <w:spacing w:val="-6"/>
        </w:rPr>
        <w:t> </w:t>
      </w:r>
      <w:r>
        <w:rPr/>
        <w:t>the</w:t>
      </w:r>
      <w:r>
        <w:rPr>
          <w:spacing w:val="-6"/>
        </w:rPr>
        <w:t> </w:t>
      </w:r>
      <w:r>
        <w:rPr/>
        <w:t>surgery. Assess the patient’s abilities for coping and her sense of body image. Consider the quality of the patient’s relationship, and be sensitive to the absence of a relationship. This entire effort may take some time. The</w:t>
      </w:r>
      <w:r>
        <w:rPr>
          <w:spacing w:val="40"/>
        </w:rPr>
        <w:t> </w:t>
      </w:r>
      <w:r>
        <w:rPr/>
        <w:t>normal state of presurgical anxiety, fear, and denial hampers good </w:t>
      </w:r>
      <w:r>
        <w:rPr>
          <w:spacing w:val="-2"/>
        </w:rPr>
        <w:t>communication.</w:t>
      </w:r>
    </w:p>
    <w:p>
      <w:pPr>
        <w:pStyle w:val="BodyText"/>
        <w:spacing w:line="249" w:lineRule="auto" w:before="16"/>
        <w:ind w:right="102" w:firstLine="450"/>
      </w:pPr>
      <w:r>
        <w:rPr/>
        <w:t>Increasing use of SSRI (selective serotonin reuptake </w:t>
      </w:r>
      <w:r>
        <w:rPr/>
        <w:t>inhibitor) antidepressants is another iatrogenic contributor to female sexual dysfunction that merits attention.</w:t>
      </w:r>
      <w:r>
        <w:rPr>
          <w:vertAlign w:val="superscript"/>
        </w:rPr>
        <w:t>146</w:t>
      </w:r>
    </w:p>
    <w:p>
      <w:pPr>
        <w:pStyle w:val="BodyText"/>
        <w:spacing w:after="0" w:line="249" w:lineRule="auto"/>
        <w:sectPr>
          <w:pgSz w:w="12240" w:h="15840"/>
          <w:pgMar w:top="1380" w:bottom="280" w:left="1440" w:right="1440"/>
        </w:sectPr>
      </w:pPr>
    </w:p>
    <w:p>
      <w:pPr>
        <w:pStyle w:val="BodyText"/>
        <w:spacing w:line="249" w:lineRule="auto"/>
        <w:ind w:right="100" w:firstLine="450"/>
      </w:pPr>
      <w:r>
        <w:rPr/>
        <w:t>Antihypertensive agents are frequently responsible for male sexual dysfunction, but little information is available regarding female sexual function. Adrenergic blocking agents are especially noted to affect </w:t>
      </w:r>
      <w:r>
        <w:rPr/>
        <w:t>libido and potency in men. Similarly, psychotropic drugs of all categories have been associated with inhibition of sexual function. Finally, one should always suspect alcoholism when patients complain of sexual dysfunction. Androgen treatment for decreased female sexuality is discussed later in this </w:t>
      </w:r>
      <w:r>
        <w:rPr>
          <w:spacing w:val="-2"/>
        </w:rPr>
        <w:t>chapter.</w:t>
      </w:r>
    </w:p>
    <w:p>
      <w:pPr>
        <w:pStyle w:val="BodyText"/>
        <w:spacing w:line="249" w:lineRule="auto" w:before="9"/>
        <w:ind w:right="97" w:firstLine="450"/>
        <w:rPr>
          <w:sz w:val="17"/>
        </w:rPr>
      </w:pPr>
      <w:r>
        <w:rPr/>
        <w:t>The two most important influences on sexual satisfaction in aging couples are the strength of relationship and the physical condition of each partner.</w:t>
      </w:r>
      <w:r>
        <w:rPr>
          <w:vertAlign w:val="superscript"/>
        </w:rPr>
        <w:t>140,141,147</w:t>
      </w:r>
      <w:r>
        <w:rPr>
          <w:vertAlign w:val="baseline"/>
        </w:rPr>
        <w:t> The single most significant determinant of sexual </w:t>
      </w:r>
      <w:r>
        <w:rPr>
          <w:vertAlign w:val="baseline"/>
        </w:rPr>
        <w:t>activity for older women is the lack of availability of partners due to divorce or demise as women are outliving men. Given availability of a partner, the same general high or low rate of sexual activity can be maintained throughout life.</w:t>
      </w:r>
      <w:r>
        <w:rPr>
          <w:vertAlign w:val="superscript"/>
        </w:rPr>
        <w:t>4,148</w:t>
      </w:r>
      <w:r>
        <w:rPr>
          <w:vertAlign w:val="baseline"/>
        </w:rPr>
        <w:t> Longitudinal studies indicate that the level of sexual activity</w:t>
      </w:r>
      <w:r>
        <w:rPr>
          <w:spacing w:val="-7"/>
          <w:vertAlign w:val="baseline"/>
        </w:rPr>
        <w:t> </w:t>
      </w:r>
      <w:r>
        <w:rPr>
          <w:vertAlign w:val="baseline"/>
        </w:rPr>
        <w:t>is</w:t>
      </w:r>
      <w:r>
        <w:rPr>
          <w:spacing w:val="-7"/>
          <w:vertAlign w:val="baseline"/>
        </w:rPr>
        <w:t> </w:t>
      </w:r>
      <w:r>
        <w:rPr>
          <w:vertAlign w:val="baseline"/>
        </w:rPr>
        <w:t>more</w:t>
      </w:r>
      <w:r>
        <w:rPr>
          <w:spacing w:val="-7"/>
          <w:vertAlign w:val="baseline"/>
        </w:rPr>
        <w:t> </w:t>
      </w:r>
      <w:r>
        <w:rPr>
          <w:vertAlign w:val="baseline"/>
        </w:rPr>
        <w:t>stable</w:t>
      </w:r>
      <w:r>
        <w:rPr>
          <w:spacing w:val="-7"/>
          <w:vertAlign w:val="baseline"/>
        </w:rPr>
        <w:t> </w:t>
      </w:r>
      <w:r>
        <w:rPr>
          <w:vertAlign w:val="baseline"/>
        </w:rPr>
        <w:t>over</w:t>
      </w:r>
      <w:r>
        <w:rPr>
          <w:spacing w:val="-7"/>
          <w:vertAlign w:val="baseline"/>
        </w:rPr>
        <w:t> </w:t>
      </w:r>
      <w:r>
        <w:rPr>
          <w:vertAlign w:val="baseline"/>
        </w:rPr>
        <w:t>time</w:t>
      </w:r>
      <w:r>
        <w:rPr>
          <w:spacing w:val="-7"/>
          <w:vertAlign w:val="baseline"/>
        </w:rPr>
        <w:t> </w:t>
      </w:r>
      <w:r>
        <w:rPr>
          <w:vertAlign w:val="baseline"/>
        </w:rPr>
        <w:t>than</w:t>
      </w:r>
      <w:r>
        <w:rPr>
          <w:spacing w:val="-7"/>
          <w:vertAlign w:val="baseline"/>
        </w:rPr>
        <w:t> </w:t>
      </w:r>
      <w:r>
        <w:rPr>
          <w:vertAlign w:val="baseline"/>
        </w:rPr>
        <w:t>previously</w:t>
      </w:r>
      <w:r>
        <w:rPr>
          <w:spacing w:val="-7"/>
          <w:vertAlign w:val="baseline"/>
        </w:rPr>
        <w:t> </w:t>
      </w:r>
      <w:r>
        <w:rPr>
          <w:vertAlign w:val="baseline"/>
        </w:rPr>
        <w:t>suggested.</w:t>
      </w:r>
      <w:r>
        <w:rPr>
          <w:vertAlign w:val="superscript"/>
        </w:rPr>
        <w:t>149-151</w:t>
      </w:r>
      <w:r>
        <w:rPr>
          <w:spacing w:val="-8"/>
          <w:vertAlign w:val="baseline"/>
        </w:rPr>
        <w:t> </w:t>
      </w:r>
      <w:r>
        <w:rPr>
          <w:vertAlign w:val="baseline"/>
        </w:rPr>
        <w:t>Individuals who are sexually active earlier in life continue to be so into old age. However, aging is associated with a decline in sexual function in many women, and this decline has been documented in the years well before the </w:t>
      </w:r>
      <w:r>
        <w:rPr>
          <w:spacing w:val="-2"/>
          <w:position w:val="-10"/>
          <w:vertAlign w:val="baseline"/>
        </w:rPr>
        <w:t>FMP.</w:t>
      </w:r>
      <w:r>
        <w:rPr>
          <w:spacing w:val="-2"/>
          <w:sz w:val="17"/>
          <w:vertAlign w:val="baseline"/>
        </w:rPr>
        <w:t>152,153</w:t>
      </w:r>
    </w:p>
    <w:p>
      <w:pPr>
        <w:pStyle w:val="BodyText"/>
        <w:spacing w:before="0"/>
        <w:ind w:left="0"/>
        <w:jc w:val="left"/>
        <w:rPr>
          <w:sz w:val="20"/>
        </w:rPr>
      </w:pPr>
    </w:p>
    <w:p>
      <w:pPr>
        <w:pStyle w:val="BodyText"/>
        <w:spacing w:before="126"/>
        <w:ind w:left="0"/>
        <w:jc w:val="left"/>
        <w:rPr>
          <w:sz w:val="20"/>
        </w:rPr>
      </w:pPr>
      <w:r>
        <w:rPr>
          <w:sz w:val="20"/>
        </w:rPr>
        <mc:AlternateContent>
          <mc:Choice Requires="wps">
            <w:drawing>
              <wp:anchor distT="0" distB="0" distL="0" distR="0" allowOverlap="1" layoutInCell="1" locked="0" behindDoc="1" simplePos="0" relativeHeight="487603200">
                <wp:simplePos x="0" y="0"/>
                <wp:positionH relativeFrom="page">
                  <wp:posOffset>981075</wp:posOffset>
                </wp:positionH>
                <wp:positionV relativeFrom="paragraph">
                  <wp:posOffset>241699</wp:posOffset>
                </wp:positionV>
                <wp:extent cx="285750" cy="571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285750" cy="57150"/>
                        </a:xfrm>
                        <a:custGeom>
                          <a:avLst/>
                          <a:gdLst/>
                          <a:ahLst/>
                          <a:cxnLst/>
                          <a:rect l="l" t="t" r="r" b="b"/>
                          <a:pathLst>
                            <a:path w="285750" h="57150">
                              <a:moveTo>
                                <a:pt x="32364" y="57130"/>
                              </a:moveTo>
                              <a:lnTo>
                                <a:pt x="24785" y="57130"/>
                              </a:lnTo>
                              <a:lnTo>
                                <a:pt x="21140" y="56387"/>
                              </a:lnTo>
                              <a:lnTo>
                                <a:pt x="0" y="32346"/>
                              </a:lnTo>
                              <a:lnTo>
                                <a:pt x="0" y="24764"/>
                              </a:lnTo>
                              <a:lnTo>
                                <a:pt x="24785" y="0"/>
                              </a:lnTo>
                              <a:lnTo>
                                <a:pt x="32364" y="0"/>
                              </a:lnTo>
                              <a:lnTo>
                                <a:pt x="57149" y="24764"/>
                              </a:lnTo>
                              <a:lnTo>
                                <a:pt x="57149" y="32346"/>
                              </a:lnTo>
                              <a:lnTo>
                                <a:pt x="32364" y="57130"/>
                              </a:lnTo>
                              <a:close/>
                            </a:path>
                            <a:path w="285750" h="57150">
                              <a:moveTo>
                                <a:pt x="146569" y="57130"/>
                              </a:moveTo>
                              <a:lnTo>
                                <a:pt x="138990" y="57130"/>
                              </a:lnTo>
                              <a:lnTo>
                                <a:pt x="135345" y="56387"/>
                              </a:lnTo>
                              <a:lnTo>
                                <a:pt x="114204" y="32346"/>
                              </a:lnTo>
                              <a:lnTo>
                                <a:pt x="114204" y="24764"/>
                              </a:lnTo>
                              <a:lnTo>
                                <a:pt x="138990" y="0"/>
                              </a:lnTo>
                              <a:lnTo>
                                <a:pt x="146569" y="0"/>
                              </a:lnTo>
                              <a:lnTo>
                                <a:pt x="171354" y="24764"/>
                              </a:lnTo>
                              <a:lnTo>
                                <a:pt x="171354" y="32346"/>
                              </a:lnTo>
                              <a:lnTo>
                                <a:pt x="146569" y="57130"/>
                              </a:lnTo>
                              <a:close/>
                            </a:path>
                            <a:path w="285750" h="57150">
                              <a:moveTo>
                                <a:pt x="260773" y="57130"/>
                              </a:moveTo>
                              <a:lnTo>
                                <a:pt x="253195" y="57130"/>
                              </a:lnTo>
                              <a:lnTo>
                                <a:pt x="249550" y="56387"/>
                              </a:lnTo>
                              <a:lnTo>
                                <a:pt x="228409" y="32346"/>
                              </a:lnTo>
                              <a:lnTo>
                                <a:pt x="228409" y="24764"/>
                              </a:lnTo>
                              <a:lnTo>
                                <a:pt x="253195" y="0"/>
                              </a:lnTo>
                              <a:lnTo>
                                <a:pt x="260773" y="0"/>
                              </a:lnTo>
                              <a:lnTo>
                                <a:pt x="285559" y="24764"/>
                              </a:lnTo>
                              <a:lnTo>
                                <a:pt x="285559" y="32346"/>
                              </a:lnTo>
                              <a:lnTo>
                                <a:pt x="260773" y="5713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031464pt;width:22.5pt;height:4.5pt;mso-position-horizontal-relative:page;mso-position-vertical-relative:paragraph;z-index:-15713280;mso-wrap-distance-left:0;mso-wrap-distance-right:0" id="docshape26" coordorigin="1545,381" coordsize="450,90" path="m1596,471l1584,471,1578,469,1567,465,1562,462,1558,457,1554,453,1551,448,1546,437,1545,432,1545,420,1546,414,1551,403,1554,398,1562,390,1567,386,1578,382,1584,381,1596,381,1602,382,1613,386,1618,390,1626,398,1629,403,1634,414,1635,420,1635,432,1634,437,1629,448,1626,453,1622,457,1618,462,1613,465,1602,469,1596,471xm1776,471l1764,471,1758,469,1747,465,1742,462,1738,457,1734,453,1731,448,1726,437,1725,432,1725,420,1726,414,1731,403,1734,398,1742,390,1747,386,1758,382,1764,381,1776,381,1782,382,1793,386,1797,390,1806,398,1809,403,1814,414,1815,420,1815,432,1814,437,1809,448,1806,453,1802,457,1797,462,1793,465,1782,469,1776,471xm1956,471l1944,471,1938,469,1927,465,1922,462,1918,457,1914,453,1910,448,1906,437,1905,432,1905,420,1906,414,1910,403,1914,398,1922,390,1927,386,1938,382,1944,381,1956,381,1961,382,1972,386,1977,390,1986,398,1989,403,1994,414,1995,420,1995,432,1994,437,1989,448,1986,453,1982,457,1977,462,1972,465,1961,469,1956,471xe" filled="true" fillcolor="#bdb4d4" stroked="false">
                <v:path arrowok="t"/>
                <v:fill type="solid"/>
                <w10:wrap type="topAndBottom"/>
              </v:shape>
            </w:pict>
          </mc:Fallback>
        </mc:AlternateContent>
      </w:r>
    </w:p>
    <w:p>
      <w:pPr>
        <w:pStyle w:val="Heading3"/>
        <w:spacing w:line="249" w:lineRule="auto" w:after="59"/>
        <w:ind w:right="255"/>
      </w:pPr>
      <w:r>
        <w:rPr>
          <w:color w:val="534089"/>
        </w:rPr>
        <w:t>HORMONE</w:t>
      </w:r>
      <w:r>
        <w:rPr>
          <w:color w:val="534089"/>
          <w:spacing w:val="-12"/>
        </w:rPr>
        <w:t> </w:t>
      </w:r>
      <w:r>
        <w:rPr>
          <w:color w:val="534089"/>
        </w:rPr>
        <w:t>PROFILE</w:t>
      </w:r>
      <w:r>
        <w:rPr>
          <w:color w:val="534089"/>
          <w:spacing w:val="-12"/>
        </w:rPr>
        <w:t> </w:t>
      </w:r>
      <w:r>
        <w:rPr>
          <w:color w:val="534089"/>
        </w:rPr>
        <w:t>OF</w:t>
      </w:r>
      <w:r>
        <w:rPr>
          <w:color w:val="534089"/>
          <w:spacing w:val="-12"/>
        </w:rPr>
        <w:t> </w:t>
      </w:r>
      <w:r>
        <w:rPr>
          <w:color w:val="534089"/>
        </w:rPr>
        <w:t>MENOPAUSAL</w:t>
      </w:r>
      <w:r>
        <w:rPr>
          <w:color w:val="534089"/>
          <w:spacing w:val="-12"/>
        </w:rPr>
        <w:t> </w:t>
      </w:r>
      <w:r>
        <w:rPr>
          <w:color w:val="534089"/>
        </w:rPr>
        <w:t>TRANSITION</w:t>
      </w:r>
      <w:r>
        <w:rPr>
          <w:color w:val="534089"/>
          <w:spacing w:val="-12"/>
        </w:rPr>
        <w:t> </w:t>
      </w:r>
      <w:r>
        <w:rPr>
          <w:color w:val="534089"/>
        </w:rPr>
        <w:t>AND </w:t>
      </w:r>
      <w:r>
        <w:rPr>
          <w:color w:val="534089"/>
          <w:spacing w:val="-2"/>
        </w:rPr>
        <w:t>POSTMENOPAUSE</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7" name="Group 37"/>
                <wp:cNvGraphicFramePr>
                  <a:graphicFrameLocks/>
                </wp:cNvGraphicFramePr>
                <a:graphic>
                  <a:graphicData uri="http://schemas.microsoft.com/office/word/2010/wordprocessingGroup">
                    <wpg:wgp>
                      <wpg:cNvPr id="37" name="Group 37"/>
                      <wpg:cNvGrpSpPr/>
                      <wpg:grpSpPr>
                        <a:xfrm>
                          <a:off x="0" y="0"/>
                          <a:ext cx="5810250" cy="19050"/>
                          <a:chExt cx="5810250" cy="19050"/>
                        </a:xfrm>
                      </wpg:grpSpPr>
                      <wps:wsp>
                        <wps:cNvPr id="38" name="Graphic 3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7" coordorigin="0,0" coordsize="9150,30">
                <v:rect style="position:absolute;left:0;top:0;width:9150;height:30" id="docshape28" filled="true" fillcolor="#534089" stroked="false">
                  <v:fill type="solid"/>
                </v:rect>
              </v:group>
            </w:pict>
          </mc:Fallback>
        </mc:AlternateContent>
      </w:r>
      <w:r>
        <w:rPr>
          <w:rFonts w:ascii="Arial"/>
          <w:position w:val="0"/>
          <w:sz w:val="2"/>
        </w:rPr>
      </w:r>
    </w:p>
    <w:p>
      <w:pPr>
        <w:pStyle w:val="BodyText"/>
        <w:spacing w:line="249" w:lineRule="auto" w:before="215"/>
        <w:ind w:right="101"/>
      </w:pPr>
      <w:r>
        <w:rPr/>
        <w:t>Shortly after menopause, one can safely say that there are no remaining ovarian follicles.</w:t>
      </w:r>
      <w:r>
        <w:rPr>
          <w:vertAlign w:val="superscript"/>
        </w:rPr>
        <w:t>69,154</w:t>
      </w:r>
      <w:r>
        <w:rPr>
          <w:vertAlign w:val="baseline"/>
        </w:rPr>
        <w:t> Eventually, there is a 10 to 20-fold increase in </w:t>
      </w:r>
      <w:r>
        <w:rPr>
          <w:vertAlign w:val="baseline"/>
        </w:rPr>
        <w:t>FSH and an approximately 3-fold increase in LH, reaching a maximal level 1 to</w:t>
      </w:r>
      <w:r>
        <w:rPr>
          <w:spacing w:val="40"/>
          <w:vertAlign w:val="baseline"/>
        </w:rPr>
        <w:t> </w:t>
      </w:r>
      <w:r>
        <w:rPr>
          <w:vertAlign w:val="baseline"/>
        </w:rPr>
        <w:t>3</w:t>
      </w:r>
      <w:r>
        <w:rPr>
          <w:spacing w:val="-3"/>
          <w:vertAlign w:val="baseline"/>
        </w:rPr>
        <w:t> </w:t>
      </w:r>
      <w:r>
        <w:rPr>
          <w:vertAlign w:val="baseline"/>
        </w:rPr>
        <w:t>years</w:t>
      </w:r>
      <w:r>
        <w:rPr>
          <w:spacing w:val="-3"/>
          <w:vertAlign w:val="baseline"/>
        </w:rPr>
        <w:t> </w:t>
      </w:r>
      <w:r>
        <w:rPr>
          <w:vertAlign w:val="baseline"/>
        </w:rPr>
        <w:t>after</w:t>
      </w:r>
      <w:r>
        <w:rPr>
          <w:spacing w:val="-3"/>
          <w:vertAlign w:val="baseline"/>
        </w:rPr>
        <w:t> </w:t>
      </w:r>
      <w:r>
        <w:rPr>
          <w:vertAlign w:val="baseline"/>
        </w:rPr>
        <w:t>menopause,</w:t>
      </w:r>
      <w:r>
        <w:rPr>
          <w:spacing w:val="-3"/>
          <w:vertAlign w:val="baseline"/>
        </w:rPr>
        <w:t> </w:t>
      </w:r>
      <w:r>
        <w:rPr>
          <w:vertAlign w:val="baseline"/>
        </w:rPr>
        <w:t>after</w:t>
      </w:r>
      <w:r>
        <w:rPr>
          <w:spacing w:val="-3"/>
          <w:vertAlign w:val="baseline"/>
        </w:rPr>
        <w:t> </w:t>
      </w:r>
      <w:r>
        <w:rPr>
          <w:vertAlign w:val="baseline"/>
        </w:rPr>
        <w:t>which</w:t>
      </w:r>
      <w:r>
        <w:rPr>
          <w:spacing w:val="-3"/>
          <w:vertAlign w:val="baseline"/>
        </w:rPr>
        <w:t> </w:t>
      </w:r>
      <w:r>
        <w:rPr>
          <w:vertAlign w:val="baseline"/>
        </w:rPr>
        <w:t>there</w:t>
      </w:r>
      <w:r>
        <w:rPr>
          <w:spacing w:val="-3"/>
          <w:vertAlign w:val="baseline"/>
        </w:rPr>
        <w:t> </w:t>
      </w:r>
      <w:r>
        <w:rPr>
          <w:vertAlign w:val="baseline"/>
        </w:rPr>
        <w:t>is</w:t>
      </w:r>
      <w:r>
        <w:rPr>
          <w:spacing w:val="-3"/>
          <w:vertAlign w:val="baseline"/>
        </w:rPr>
        <w:t> </w:t>
      </w:r>
      <w:r>
        <w:rPr>
          <w:vertAlign w:val="baseline"/>
        </w:rPr>
        <w:t>a</w:t>
      </w:r>
      <w:r>
        <w:rPr>
          <w:spacing w:val="-3"/>
          <w:vertAlign w:val="baseline"/>
        </w:rPr>
        <w:t> </w:t>
      </w:r>
      <w:r>
        <w:rPr>
          <w:vertAlign w:val="baseline"/>
        </w:rPr>
        <w:t>gradual,</w:t>
      </w:r>
      <w:r>
        <w:rPr>
          <w:spacing w:val="-3"/>
          <w:vertAlign w:val="baseline"/>
        </w:rPr>
        <w:t> </w:t>
      </w:r>
      <w:r>
        <w:rPr>
          <w:vertAlign w:val="baseline"/>
        </w:rPr>
        <w:t>but</w:t>
      </w:r>
      <w:r>
        <w:rPr>
          <w:spacing w:val="-3"/>
          <w:vertAlign w:val="baseline"/>
        </w:rPr>
        <w:t> </w:t>
      </w:r>
      <w:r>
        <w:rPr>
          <w:vertAlign w:val="baseline"/>
        </w:rPr>
        <w:t>slight,</w:t>
      </w:r>
      <w:r>
        <w:rPr>
          <w:spacing w:val="-3"/>
          <w:vertAlign w:val="baseline"/>
        </w:rPr>
        <w:t> </w:t>
      </w:r>
      <w:r>
        <w:rPr>
          <w:vertAlign w:val="baseline"/>
        </w:rPr>
        <w:t>decline</w:t>
      </w:r>
      <w:r>
        <w:rPr>
          <w:spacing w:val="-3"/>
          <w:vertAlign w:val="baseline"/>
        </w:rPr>
        <w:t> </w:t>
      </w:r>
      <w:r>
        <w:rPr>
          <w:vertAlign w:val="baseline"/>
        </w:rPr>
        <w:t>in both</w:t>
      </w:r>
      <w:r>
        <w:rPr>
          <w:spacing w:val="-7"/>
          <w:vertAlign w:val="baseline"/>
        </w:rPr>
        <w:t> </w:t>
      </w:r>
      <w:r>
        <w:rPr>
          <w:vertAlign w:val="baseline"/>
        </w:rPr>
        <w:t>gonadotropins.</w:t>
      </w:r>
      <w:r>
        <w:rPr>
          <w:vertAlign w:val="superscript"/>
        </w:rPr>
        <w:t>155,156</w:t>
      </w:r>
      <w:r>
        <w:rPr>
          <w:spacing w:val="-5"/>
          <w:vertAlign w:val="baseline"/>
        </w:rPr>
        <w:t> </w:t>
      </w:r>
      <w:r>
        <w:rPr>
          <w:vertAlign w:val="baseline"/>
        </w:rPr>
        <w:t>Elevated</w:t>
      </w:r>
      <w:r>
        <w:rPr>
          <w:spacing w:val="-5"/>
          <w:vertAlign w:val="baseline"/>
        </w:rPr>
        <w:t> </w:t>
      </w:r>
      <w:r>
        <w:rPr>
          <w:vertAlign w:val="baseline"/>
        </w:rPr>
        <w:t>levels</w:t>
      </w:r>
      <w:r>
        <w:rPr>
          <w:spacing w:val="-5"/>
          <w:vertAlign w:val="baseline"/>
        </w:rPr>
        <w:t> </w:t>
      </w:r>
      <w:r>
        <w:rPr>
          <w:vertAlign w:val="baseline"/>
        </w:rPr>
        <w:t>of</w:t>
      </w:r>
      <w:r>
        <w:rPr>
          <w:spacing w:val="-5"/>
          <w:vertAlign w:val="baseline"/>
        </w:rPr>
        <w:t> </w:t>
      </w:r>
      <w:r>
        <w:rPr>
          <w:vertAlign w:val="baseline"/>
        </w:rPr>
        <w:t>both</w:t>
      </w:r>
      <w:r>
        <w:rPr>
          <w:spacing w:val="-5"/>
          <w:vertAlign w:val="baseline"/>
        </w:rPr>
        <w:t> </w:t>
      </w:r>
      <w:r>
        <w:rPr>
          <w:vertAlign w:val="baseline"/>
        </w:rPr>
        <w:t>FSH</w:t>
      </w:r>
      <w:r>
        <w:rPr>
          <w:spacing w:val="-5"/>
          <w:vertAlign w:val="baseline"/>
        </w:rPr>
        <w:t> </w:t>
      </w:r>
      <w:r>
        <w:rPr>
          <w:vertAlign w:val="baseline"/>
        </w:rPr>
        <w:t>and</w:t>
      </w:r>
      <w:r>
        <w:rPr>
          <w:spacing w:val="-5"/>
          <w:vertAlign w:val="baseline"/>
        </w:rPr>
        <w:t> </w:t>
      </w:r>
      <w:r>
        <w:rPr>
          <w:vertAlign w:val="baseline"/>
        </w:rPr>
        <w:t>LH</w:t>
      </w:r>
      <w:r>
        <w:rPr>
          <w:spacing w:val="-5"/>
          <w:vertAlign w:val="baseline"/>
        </w:rPr>
        <w:t> </w:t>
      </w:r>
      <w:r>
        <w:rPr>
          <w:vertAlign w:val="baseline"/>
        </w:rPr>
        <w:t>at</w:t>
      </w:r>
      <w:r>
        <w:rPr>
          <w:spacing w:val="-5"/>
          <w:vertAlign w:val="baseline"/>
        </w:rPr>
        <w:t> </w:t>
      </w:r>
      <w:r>
        <w:rPr>
          <w:vertAlign w:val="baseline"/>
        </w:rPr>
        <w:t>this</w:t>
      </w:r>
      <w:r>
        <w:rPr>
          <w:spacing w:val="-5"/>
          <w:vertAlign w:val="baseline"/>
        </w:rPr>
        <w:t> </w:t>
      </w:r>
      <w:r>
        <w:rPr>
          <w:vertAlign w:val="baseline"/>
        </w:rPr>
        <w:t>time</w:t>
      </w:r>
      <w:r>
        <w:rPr>
          <w:spacing w:val="-5"/>
          <w:vertAlign w:val="baseline"/>
        </w:rPr>
        <w:t> </w:t>
      </w:r>
      <w:r>
        <w:rPr>
          <w:vertAlign w:val="baseline"/>
        </w:rPr>
        <w:t>in life are conclusive evidence of ovarian failure. FSH levels are higher than LH because LH is cleared from the blood so much faster (initial half-lives are ~20 minutes for LH and 3-4 hours for FSH) and perhaps because there</w:t>
      </w:r>
      <w:r>
        <w:rPr>
          <w:spacing w:val="40"/>
          <w:vertAlign w:val="baseline"/>
        </w:rPr>
        <w:t> </w:t>
      </w:r>
      <w:r>
        <w:rPr>
          <w:vertAlign w:val="baseline"/>
        </w:rPr>
        <w:t>is no specific negative feedback peptide for LH like inhibin. An aging-related decline in the gonadotropin levels in the latter years of postmenopausal</w:t>
      </w:r>
      <w:r>
        <w:rPr>
          <w:spacing w:val="10"/>
          <w:vertAlign w:val="baseline"/>
        </w:rPr>
        <w:t> </w:t>
      </w:r>
      <w:r>
        <w:rPr>
          <w:vertAlign w:val="baseline"/>
        </w:rPr>
        <w:t>life</w:t>
      </w:r>
      <w:r>
        <w:rPr>
          <w:spacing w:val="10"/>
          <w:vertAlign w:val="baseline"/>
        </w:rPr>
        <w:t> </w:t>
      </w:r>
      <w:r>
        <w:rPr>
          <w:vertAlign w:val="baseline"/>
        </w:rPr>
        <w:t>is</w:t>
      </w:r>
      <w:r>
        <w:rPr>
          <w:spacing w:val="10"/>
          <w:vertAlign w:val="baseline"/>
        </w:rPr>
        <w:t> </w:t>
      </w:r>
      <w:r>
        <w:rPr>
          <w:vertAlign w:val="baseline"/>
        </w:rPr>
        <w:t>well</w:t>
      </w:r>
      <w:r>
        <w:rPr>
          <w:spacing w:val="10"/>
          <w:vertAlign w:val="baseline"/>
        </w:rPr>
        <w:t> </w:t>
      </w:r>
      <w:r>
        <w:rPr>
          <w:vertAlign w:val="baseline"/>
        </w:rPr>
        <w:t>described</w:t>
      </w:r>
      <w:r>
        <w:rPr>
          <w:spacing w:val="10"/>
          <w:vertAlign w:val="baseline"/>
        </w:rPr>
        <w:t> </w:t>
      </w:r>
      <w:r>
        <w:rPr>
          <w:vertAlign w:val="baseline"/>
        </w:rPr>
        <w:t>and</w:t>
      </w:r>
      <w:r>
        <w:rPr>
          <w:spacing w:val="10"/>
          <w:vertAlign w:val="baseline"/>
        </w:rPr>
        <w:t> </w:t>
      </w:r>
      <w:r>
        <w:rPr>
          <w:vertAlign w:val="baseline"/>
        </w:rPr>
        <w:t>is</w:t>
      </w:r>
      <w:r>
        <w:rPr>
          <w:spacing w:val="10"/>
          <w:vertAlign w:val="baseline"/>
        </w:rPr>
        <w:t> </w:t>
      </w:r>
      <w:r>
        <w:rPr>
          <w:vertAlign w:val="baseline"/>
        </w:rPr>
        <w:t>believed</w:t>
      </w:r>
      <w:r>
        <w:rPr>
          <w:spacing w:val="10"/>
          <w:vertAlign w:val="baseline"/>
        </w:rPr>
        <w:t> </w:t>
      </w:r>
      <w:r>
        <w:rPr>
          <w:vertAlign w:val="baseline"/>
        </w:rPr>
        <w:t>to</w:t>
      </w:r>
      <w:r>
        <w:rPr>
          <w:spacing w:val="10"/>
          <w:vertAlign w:val="baseline"/>
        </w:rPr>
        <w:t> </w:t>
      </w:r>
      <w:r>
        <w:rPr>
          <w:vertAlign w:val="baseline"/>
        </w:rPr>
        <w:t>reflect</w:t>
      </w:r>
      <w:r>
        <w:rPr>
          <w:spacing w:val="10"/>
          <w:vertAlign w:val="baseline"/>
        </w:rPr>
        <w:t> </w:t>
      </w:r>
      <w:r>
        <w:rPr>
          <w:vertAlign w:val="baseline"/>
        </w:rPr>
        <w:t>aging</w:t>
      </w:r>
      <w:r>
        <w:rPr>
          <w:spacing w:val="10"/>
          <w:vertAlign w:val="baseline"/>
        </w:rPr>
        <w:t> </w:t>
      </w:r>
      <w:r>
        <w:rPr>
          <w:vertAlign w:val="baseline"/>
        </w:rPr>
        <w:t>of</w:t>
      </w:r>
      <w:r>
        <w:rPr>
          <w:spacing w:val="10"/>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ind w:right="104"/>
      </w:pPr>
      <w:r>
        <w:rPr/>
        <w:t>pituitary gonadotropin-secreting cells, specifically a decrease in the </w:t>
      </w:r>
      <w:r>
        <w:rPr/>
        <w:t>ability to respond to the hypothalamic gonadotropin-releasing hormone (GnRH).</w:t>
      </w:r>
    </w:p>
    <w:p>
      <w:pPr>
        <w:pStyle w:val="BodyText"/>
        <w:spacing w:line="249" w:lineRule="auto" w:before="2"/>
        <w:ind w:right="99" w:firstLine="450"/>
      </w:pPr>
      <w:r>
        <w:rPr/>
        <w:t>The postmenopausal ovary continues to secrete androgens, primarily androstenedione and testosterone. However, the circulating level </w:t>
      </w:r>
      <w:r>
        <w:rPr/>
        <w:t>of androstenedione after menopause is about one-half that seen prior to menopause.</w:t>
      </w:r>
      <w:r>
        <w:rPr>
          <w:vertAlign w:val="superscript"/>
        </w:rPr>
        <w:t>157</w:t>
      </w:r>
      <w:r>
        <w:rPr>
          <w:vertAlign w:val="baseline"/>
        </w:rPr>
        <w:t> Most of this postmenopausal androstenedione is derived</w:t>
      </w:r>
      <w:r>
        <w:rPr>
          <w:spacing w:val="40"/>
          <w:vertAlign w:val="baseline"/>
        </w:rPr>
        <w:t> </w:t>
      </w:r>
      <w:r>
        <w:rPr>
          <w:vertAlign w:val="baseline"/>
        </w:rPr>
        <w:t>from the adrenal gland, with only a small amount secreted from the ovary, even though androstenedione is the principal steroid secreted by the postmenopausal ovary.</w:t>
      </w:r>
      <w:r>
        <w:rPr>
          <w:vertAlign w:val="superscript"/>
        </w:rPr>
        <w:t>158,159</w:t>
      </w:r>
      <w:r>
        <w:rPr>
          <w:vertAlign w:val="baseline"/>
        </w:rPr>
        <w:t> Dehydroepiandrosterone (DHEA) and its sulfate (DHEA-S), originating in the adrenal gland, decline markedly with aging; in the decade after menopause, the circulating levels of DHEA are approximately 70% less, and levels of DHEA-S are about 74% less than the levels in young adult life.</w:t>
      </w:r>
      <w:r>
        <w:rPr>
          <w:vertAlign w:val="superscript"/>
        </w:rPr>
        <w:t>160,161</w:t>
      </w:r>
    </w:p>
    <w:p>
      <w:pPr>
        <w:pStyle w:val="BodyText"/>
        <w:spacing w:line="249" w:lineRule="auto" w:before="14"/>
        <w:ind w:right="98" w:firstLine="450"/>
      </w:pPr>
      <w:r>
        <w:rPr/>
        <w:t>Testosterone production decreases by approximately 25% after menopause, compared to the case in the premenopausal period. </w:t>
      </w:r>
      <w:r>
        <w:rPr/>
        <w:t>The postmenopausal ovary in most, but not all, women secretes more testosterone than the premenopausal ovary, at least in the initial years of the postmenopausal period. With the disappearance of follicles and estrogen, the elevated gonadotropins drive the remaining tissue in the ovary to a level of increased testosterone secretion. The ovarian cells of origin are</w:t>
      </w:r>
      <w:r>
        <w:rPr>
          <w:spacing w:val="40"/>
        </w:rPr>
        <w:t> </w:t>
      </w:r>
      <w:r>
        <w:rPr/>
        <w:t>uncertain; presumably, the steroidogenic tissue is that which has accumulated from ovarian follicles undergoing atresia because stromal cells believed to be of mesenchymal origin lack steroidogenic capability.</w:t>
      </w:r>
      <w:r>
        <w:rPr>
          <w:vertAlign w:val="superscript"/>
        </w:rPr>
        <w:t>162</w:t>
      </w:r>
      <w:r>
        <w:rPr>
          <w:vertAlign w:val="baseline"/>
        </w:rPr>
        <w:t> Suppression</w:t>
      </w:r>
      <w:r>
        <w:rPr>
          <w:spacing w:val="-4"/>
          <w:vertAlign w:val="baseline"/>
        </w:rPr>
        <w:t> </w:t>
      </w:r>
      <w:r>
        <w:rPr>
          <w:vertAlign w:val="baseline"/>
        </w:rPr>
        <w:t>of</w:t>
      </w:r>
      <w:r>
        <w:rPr>
          <w:spacing w:val="-4"/>
          <w:vertAlign w:val="baseline"/>
        </w:rPr>
        <w:t> </w:t>
      </w:r>
      <w:r>
        <w:rPr>
          <w:vertAlign w:val="baseline"/>
        </w:rPr>
        <w:t>gonadotropins</w:t>
      </w:r>
      <w:r>
        <w:rPr>
          <w:spacing w:val="-4"/>
          <w:vertAlign w:val="baseline"/>
        </w:rPr>
        <w:t> </w:t>
      </w:r>
      <w:r>
        <w:rPr>
          <w:vertAlign w:val="baseline"/>
        </w:rPr>
        <w:t>with</w:t>
      </w:r>
      <w:r>
        <w:rPr>
          <w:spacing w:val="-4"/>
          <w:vertAlign w:val="baseline"/>
        </w:rPr>
        <w:t> </w:t>
      </w:r>
      <w:r>
        <w:rPr>
          <w:vertAlign w:val="baseline"/>
        </w:rPr>
        <w:t>GnRH</w:t>
      </w:r>
      <w:r>
        <w:rPr>
          <w:spacing w:val="-4"/>
          <w:vertAlign w:val="baseline"/>
        </w:rPr>
        <w:t> </w:t>
      </w:r>
      <w:r>
        <w:rPr>
          <w:vertAlign w:val="baseline"/>
        </w:rPr>
        <w:t>agonist</w:t>
      </w:r>
      <w:r>
        <w:rPr>
          <w:spacing w:val="-4"/>
          <w:vertAlign w:val="baseline"/>
        </w:rPr>
        <w:t> </w:t>
      </w:r>
      <w:r>
        <w:rPr>
          <w:vertAlign w:val="baseline"/>
        </w:rPr>
        <w:t>or</w:t>
      </w:r>
      <w:r>
        <w:rPr>
          <w:spacing w:val="-4"/>
          <w:vertAlign w:val="baseline"/>
        </w:rPr>
        <w:t> </w:t>
      </w:r>
      <w:r>
        <w:rPr>
          <w:vertAlign w:val="baseline"/>
        </w:rPr>
        <w:t>antagonist</w:t>
      </w:r>
      <w:r>
        <w:rPr>
          <w:spacing w:val="-4"/>
          <w:vertAlign w:val="baseline"/>
        </w:rPr>
        <w:t> </w:t>
      </w:r>
      <w:r>
        <w:rPr>
          <w:vertAlign w:val="baseline"/>
        </w:rPr>
        <w:t>treatment</w:t>
      </w:r>
      <w:r>
        <w:rPr>
          <w:spacing w:val="-4"/>
          <w:vertAlign w:val="baseline"/>
        </w:rPr>
        <w:t> </w:t>
      </w:r>
      <w:r>
        <w:rPr>
          <w:vertAlign w:val="baseline"/>
        </w:rPr>
        <w:t>of postmenopausal</w:t>
      </w:r>
      <w:r>
        <w:rPr>
          <w:spacing w:val="-4"/>
          <w:vertAlign w:val="baseline"/>
        </w:rPr>
        <w:t> </w:t>
      </w:r>
      <w:r>
        <w:rPr>
          <w:vertAlign w:val="baseline"/>
        </w:rPr>
        <w:t>women</w:t>
      </w:r>
      <w:r>
        <w:rPr>
          <w:spacing w:val="-4"/>
          <w:vertAlign w:val="baseline"/>
        </w:rPr>
        <w:t> </w:t>
      </w:r>
      <w:r>
        <w:rPr>
          <w:vertAlign w:val="baseline"/>
        </w:rPr>
        <w:t>results</w:t>
      </w:r>
      <w:r>
        <w:rPr>
          <w:spacing w:val="-4"/>
          <w:vertAlign w:val="baseline"/>
        </w:rPr>
        <w:t> </w:t>
      </w:r>
      <w:r>
        <w:rPr>
          <w:vertAlign w:val="baseline"/>
        </w:rPr>
        <w:t>in</w:t>
      </w:r>
      <w:r>
        <w:rPr>
          <w:spacing w:val="-4"/>
          <w:vertAlign w:val="baseline"/>
        </w:rPr>
        <w:t> </w:t>
      </w:r>
      <w:r>
        <w:rPr>
          <w:vertAlign w:val="baseline"/>
        </w:rPr>
        <w:t>a</w:t>
      </w:r>
      <w:r>
        <w:rPr>
          <w:spacing w:val="-4"/>
          <w:vertAlign w:val="baseline"/>
        </w:rPr>
        <w:t> </w:t>
      </w:r>
      <w:r>
        <w:rPr>
          <w:vertAlign w:val="baseline"/>
        </w:rPr>
        <w:t>significant</w:t>
      </w:r>
      <w:r>
        <w:rPr>
          <w:spacing w:val="-4"/>
          <w:vertAlign w:val="baseline"/>
        </w:rPr>
        <w:t> </w:t>
      </w:r>
      <w:r>
        <w:rPr>
          <w:vertAlign w:val="baseline"/>
        </w:rPr>
        <w:t>decrease</w:t>
      </w:r>
      <w:r>
        <w:rPr>
          <w:spacing w:val="-4"/>
          <w:vertAlign w:val="baseline"/>
        </w:rPr>
        <w:t> </w:t>
      </w:r>
      <w:r>
        <w:rPr>
          <w:vertAlign w:val="baseline"/>
        </w:rPr>
        <w:t>in</w:t>
      </w:r>
      <w:r>
        <w:rPr>
          <w:spacing w:val="-4"/>
          <w:vertAlign w:val="baseline"/>
        </w:rPr>
        <w:t> </w:t>
      </w:r>
      <w:r>
        <w:rPr>
          <w:vertAlign w:val="baseline"/>
        </w:rPr>
        <w:t>circulating</w:t>
      </w:r>
      <w:r>
        <w:rPr>
          <w:spacing w:val="-4"/>
          <w:vertAlign w:val="baseline"/>
        </w:rPr>
        <w:t> </w:t>
      </w:r>
      <w:r>
        <w:rPr>
          <w:vertAlign w:val="baseline"/>
        </w:rPr>
        <w:t>levels of testosterone, indicating a gonadotropin-dependent ovarian origin to circulating testosterone in postmenopausal women.</w:t>
      </w:r>
      <w:r>
        <w:rPr>
          <w:vertAlign w:val="superscript"/>
        </w:rPr>
        <w:t>163-165</w:t>
      </w:r>
    </w:p>
    <w:p>
      <w:pPr>
        <w:spacing w:line="252" w:lineRule="auto" w:before="17"/>
        <w:ind w:left="99" w:right="98" w:firstLine="450"/>
        <w:jc w:val="both"/>
        <w:rPr>
          <w:sz w:val="17"/>
        </w:rPr>
      </w:pPr>
      <w:r>
        <w:rPr>
          <w:sz w:val="30"/>
        </w:rPr>
        <w:t>The total amount of testosterone produced after menopause, however, is decreased because the amount of the primary source, peripheral conversion of androstenedione, is reduced. The early postmenopausal circulating </w:t>
      </w:r>
      <w:r>
        <w:rPr>
          <w:sz w:val="30"/>
        </w:rPr>
        <w:t>level of androstenedione decreases approximately 62% from young adult life.</w:t>
      </w:r>
      <w:r>
        <w:rPr>
          <w:sz w:val="30"/>
          <w:vertAlign w:val="superscript"/>
        </w:rPr>
        <w:t>160</w:t>
      </w:r>
      <w:r>
        <w:rPr>
          <w:sz w:val="30"/>
          <w:vertAlign w:val="baseline"/>
        </w:rPr>
        <w:t> </w:t>
      </w:r>
      <w:r>
        <w:rPr>
          <w:b/>
          <w:sz w:val="30"/>
          <w:vertAlign w:val="baseline"/>
        </w:rPr>
        <w:t>The menopausal decline in the circulating levels of testosterone is not great, from no change in many women to as much as 15% in </w:t>
      </w:r>
      <w:r>
        <w:rPr>
          <w:b/>
          <w:spacing w:val="-2"/>
          <w:position w:val="-10"/>
          <w:sz w:val="30"/>
          <w:vertAlign w:val="baseline"/>
        </w:rPr>
        <w:t>others</w:t>
      </w:r>
      <w:r>
        <w:rPr>
          <w:spacing w:val="-2"/>
          <w:position w:val="-10"/>
          <w:sz w:val="30"/>
          <w:vertAlign w:val="baseline"/>
        </w:rPr>
        <w:t>.</w:t>
      </w:r>
      <w:r>
        <w:rPr>
          <w:spacing w:val="-2"/>
          <w:sz w:val="17"/>
          <w:vertAlign w:val="baseline"/>
        </w:rPr>
        <w:t>47,156,160,166,167</w:t>
      </w:r>
    </w:p>
    <w:p>
      <w:pPr>
        <w:pStyle w:val="BodyText"/>
        <w:spacing w:line="329" w:lineRule="exact" w:before="0"/>
        <w:ind w:left="22" w:right="106"/>
        <w:jc w:val="right"/>
      </w:pPr>
      <w:r>
        <w:rPr/>
        <w:t>In</w:t>
      </w:r>
      <w:r>
        <w:rPr>
          <w:spacing w:val="27"/>
        </w:rPr>
        <w:t> </w:t>
      </w:r>
      <w:r>
        <w:rPr/>
        <w:t>an</w:t>
      </w:r>
      <w:r>
        <w:rPr>
          <w:spacing w:val="27"/>
        </w:rPr>
        <w:t> </w:t>
      </w:r>
      <w:r>
        <w:rPr/>
        <w:t>excellent</w:t>
      </w:r>
      <w:r>
        <w:rPr>
          <w:spacing w:val="27"/>
        </w:rPr>
        <w:t> </w:t>
      </w:r>
      <w:r>
        <w:rPr/>
        <w:t>longitudinal</w:t>
      </w:r>
      <w:r>
        <w:rPr>
          <w:spacing w:val="27"/>
        </w:rPr>
        <w:t> </w:t>
      </w:r>
      <w:r>
        <w:rPr/>
        <w:t>Australian</w:t>
      </w:r>
      <w:r>
        <w:rPr>
          <w:spacing w:val="27"/>
        </w:rPr>
        <w:t> </w:t>
      </w:r>
      <w:r>
        <w:rPr/>
        <w:t>study</w:t>
      </w:r>
      <w:r>
        <w:rPr>
          <w:spacing w:val="27"/>
        </w:rPr>
        <w:t> </w:t>
      </w:r>
      <w:r>
        <w:rPr/>
        <w:t>spanning</w:t>
      </w:r>
      <w:r>
        <w:rPr>
          <w:spacing w:val="27"/>
        </w:rPr>
        <w:t> </w:t>
      </w:r>
      <w:r>
        <w:rPr/>
        <w:t>a</w:t>
      </w:r>
      <w:r>
        <w:rPr>
          <w:spacing w:val="27"/>
        </w:rPr>
        <w:t> </w:t>
      </w:r>
      <w:r>
        <w:rPr/>
        <w:t>period</w:t>
      </w:r>
      <w:r>
        <w:rPr>
          <w:spacing w:val="27"/>
        </w:rPr>
        <w:t> </w:t>
      </w:r>
      <w:r>
        <w:rPr/>
        <w:t>from</w:t>
      </w:r>
      <w:r>
        <w:rPr>
          <w:spacing w:val="27"/>
        </w:rPr>
        <w:t> </w:t>
      </w:r>
      <w:r>
        <w:rPr>
          <w:spacing w:val="-10"/>
        </w:rPr>
        <w:t>5</w:t>
      </w:r>
    </w:p>
    <w:p>
      <w:pPr>
        <w:pStyle w:val="BodyText"/>
        <w:spacing w:before="15"/>
        <w:ind w:left="22" w:right="106"/>
        <w:jc w:val="right"/>
      </w:pPr>
      <w:r>
        <w:rPr/>
        <w:t>years</w:t>
      </w:r>
      <w:r>
        <w:rPr>
          <w:spacing w:val="64"/>
        </w:rPr>
        <w:t> </w:t>
      </w:r>
      <w:r>
        <w:rPr/>
        <w:t>before</w:t>
      </w:r>
      <w:r>
        <w:rPr>
          <w:spacing w:val="64"/>
        </w:rPr>
        <w:t> </w:t>
      </w:r>
      <w:r>
        <w:rPr/>
        <w:t>to</w:t>
      </w:r>
      <w:r>
        <w:rPr>
          <w:spacing w:val="64"/>
        </w:rPr>
        <w:t> </w:t>
      </w:r>
      <w:r>
        <w:rPr/>
        <w:t>7</w:t>
      </w:r>
      <w:r>
        <w:rPr>
          <w:spacing w:val="64"/>
        </w:rPr>
        <w:t> </w:t>
      </w:r>
      <w:r>
        <w:rPr/>
        <w:t>years</w:t>
      </w:r>
      <w:r>
        <w:rPr>
          <w:spacing w:val="64"/>
        </w:rPr>
        <w:t> </w:t>
      </w:r>
      <w:r>
        <w:rPr/>
        <w:t>after</w:t>
      </w:r>
      <w:r>
        <w:rPr>
          <w:spacing w:val="64"/>
        </w:rPr>
        <w:t> </w:t>
      </w:r>
      <w:r>
        <w:rPr/>
        <w:t>menopause</w:t>
      </w:r>
      <w:r>
        <w:rPr>
          <w:spacing w:val="64"/>
        </w:rPr>
        <w:t> </w:t>
      </w:r>
      <w:r>
        <w:rPr/>
        <w:t>onset,</w:t>
      </w:r>
      <w:r>
        <w:rPr>
          <w:spacing w:val="64"/>
        </w:rPr>
        <w:t> </w:t>
      </w:r>
      <w:r>
        <w:rPr/>
        <w:t>the</w:t>
      </w:r>
      <w:r>
        <w:rPr>
          <w:spacing w:val="64"/>
        </w:rPr>
        <w:t> </w:t>
      </w:r>
      <w:r>
        <w:rPr/>
        <w:t>circulating</w:t>
      </w:r>
      <w:r>
        <w:rPr>
          <w:spacing w:val="64"/>
        </w:rPr>
        <w:t> </w:t>
      </w:r>
      <w:r>
        <w:rPr/>
        <w:t>levels</w:t>
      </w:r>
      <w:r>
        <w:rPr>
          <w:spacing w:val="64"/>
        </w:rPr>
        <w:t> </w:t>
      </w:r>
      <w:r>
        <w:rPr>
          <w:spacing w:val="-5"/>
        </w:rPr>
        <w:t>of</w:t>
      </w:r>
    </w:p>
    <w:p>
      <w:pPr>
        <w:pStyle w:val="BodyText"/>
        <w:spacing w:after="0"/>
        <w:jc w:val="right"/>
        <w:sectPr>
          <w:pgSz w:w="12240" w:h="15840"/>
          <w:pgMar w:top="1380" w:bottom="280" w:left="1440" w:right="1440"/>
        </w:sectPr>
      </w:pPr>
    </w:p>
    <w:p>
      <w:pPr>
        <w:spacing w:line="249" w:lineRule="auto" w:before="65"/>
        <w:ind w:left="99" w:right="97" w:firstLine="0"/>
        <w:jc w:val="both"/>
        <w:rPr>
          <w:b/>
          <w:sz w:val="30"/>
        </w:rPr>
      </w:pPr>
      <w:r>
        <w:rPr>
          <w:sz w:val="30"/>
        </w:rPr>
        <w:t>testosterone did not change.</w:t>
      </w:r>
      <w:r>
        <w:rPr>
          <w:sz w:val="30"/>
          <w:vertAlign w:val="superscript"/>
        </w:rPr>
        <w:t>161</w:t>
      </w:r>
      <w:r>
        <w:rPr>
          <w:sz w:val="30"/>
          <w:vertAlign w:val="baseline"/>
        </w:rPr>
        <w:t> Indeed, because of a decrease in </w:t>
      </w:r>
      <w:r>
        <w:rPr>
          <w:sz w:val="30"/>
          <w:vertAlign w:val="baseline"/>
        </w:rPr>
        <w:t>sex-hormone-binding globulin (SHBG), this Australian study identified an increase in free androgens postmenopause</w:t>
      </w:r>
      <w:r>
        <w:rPr>
          <w:b/>
          <w:sz w:val="30"/>
          <w:vertAlign w:val="baseline"/>
        </w:rPr>
        <w:t>. Late postmenopause may be considered as a state of relative androgen excess.</w:t>
      </w:r>
    </w:p>
    <w:p>
      <w:pPr>
        <w:pStyle w:val="BodyText"/>
        <w:spacing w:line="249" w:lineRule="auto" w:before="5"/>
        <w:ind w:right="98" w:firstLine="450"/>
      </w:pPr>
      <w:r>
        <w:rPr/>
        <w:t>Later in the postmenopausal years, the circulating androgen levels </w:t>
      </w:r>
      <w:r>
        <w:rPr/>
        <w:t>are nearly all, if not all, derived from the adrenal gland. A careful study could detect no circulating androgens in postmenopausal women (averaging 12 years distant from menopause onset) with complete adrenal insufficiency and no intraovarian testosterone or androstenedione.</w:t>
      </w:r>
      <w:r>
        <w:rPr>
          <w:vertAlign w:val="superscript"/>
        </w:rPr>
        <w:t>168</w:t>
      </w:r>
    </w:p>
    <w:p>
      <w:pPr>
        <w:pStyle w:val="BodyText"/>
        <w:spacing w:line="249" w:lineRule="auto" w:before="6"/>
        <w:ind w:right="98" w:firstLine="450"/>
      </w:pPr>
      <w:r>
        <w:rPr/>
        <w:t>The circulating estradiol level after menopause is approximately 10 to 20 pg/mL, most of which is derived from peripheral conversion of estrone, which in turn is mainly derived from the peripheral conversion </w:t>
      </w:r>
      <w:r>
        <w:rPr/>
        <w:t>of androstenedione.</w:t>
      </w:r>
      <w:r>
        <w:rPr>
          <w:vertAlign w:val="superscript"/>
        </w:rPr>
        <w:t>157,169,170</w:t>
      </w:r>
      <w:r>
        <w:rPr>
          <w:spacing w:val="-2"/>
          <w:vertAlign w:val="baseline"/>
        </w:rPr>
        <w:t> </w:t>
      </w:r>
      <w:r>
        <w:rPr>
          <w:vertAlign w:val="baseline"/>
        </w:rPr>
        <w:t>The</w:t>
      </w:r>
      <w:r>
        <w:rPr>
          <w:spacing w:val="-2"/>
          <w:vertAlign w:val="baseline"/>
        </w:rPr>
        <w:t> </w:t>
      </w:r>
      <w:r>
        <w:rPr>
          <w:vertAlign w:val="baseline"/>
        </w:rPr>
        <w:t>circulating</w:t>
      </w:r>
      <w:r>
        <w:rPr>
          <w:spacing w:val="-2"/>
          <w:vertAlign w:val="baseline"/>
        </w:rPr>
        <w:t> </w:t>
      </w:r>
      <w:r>
        <w:rPr>
          <w:vertAlign w:val="baseline"/>
        </w:rPr>
        <w:t>level</w:t>
      </w:r>
      <w:r>
        <w:rPr>
          <w:spacing w:val="-2"/>
          <w:vertAlign w:val="baseline"/>
        </w:rPr>
        <w:t> </w:t>
      </w:r>
      <w:r>
        <w:rPr>
          <w:vertAlign w:val="baseline"/>
        </w:rPr>
        <w:t>of</w:t>
      </w:r>
      <w:r>
        <w:rPr>
          <w:spacing w:val="-2"/>
          <w:vertAlign w:val="baseline"/>
        </w:rPr>
        <w:t> </w:t>
      </w:r>
      <w:r>
        <w:rPr>
          <w:vertAlign w:val="baseline"/>
        </w:rPr>
        <w:t>estrone</w:t>
      </w:r>
      <w:r>
        <w:rPr>
          <w:spacing w:val="-2"/>
          <w:vertAlign w:val="baseline"/>
        </w:rPr>
        <w:t> </w:t>
      </w:r>
      <w:r>
        <w:rPr>
          <w:vertAlign w:val="baseline"/>
        </w:rPr>
        <w:t>in</w:t>
      </w:r>
      <w:r>
        <w:rPr>
          <w:spacing w:val="-2"/>
          <w:vertAlign w:val="baseline"/>
        </w:rPr>
        <w:t> </w:t>
      </w:r>
      <w:r>
        <w:rPr>
          <w:vertAlign w:val="baseline"/>
        </w:rPr>
        <w:t>postmenopausal women is higher than that of estradiol, approximately 30 to 70 pg/mL </w:t>
      </w:r>
      <w:r>
        <w:rPr>
          <w:b/>
          <w:color w:val="256E60"/>
          <w:vertAlign w:val="baseline"/>
        </w:rPr>
        <w:t>(Table 21.4)</w:t>
      </w:r>
      <w:r>
        <w:rPr>
          <w:vertAlign w:val="baseline"/>
        </w:rPr>
        <w:t>. The average postmenopausal production rate of estrogen is approximately 45 μg/24 hours, almost all, if not all, being estrogen derived from the peripheral conversion of androgens. The androgen-estrogen ratio changes drastically after menopause because of the more marked decline in estrogen, and an onset of mild hirsutism is common, reflecting this marked shift in the sex hormone ratio. With increasing postmenopausal age, a decrease can be measured in the circulating levels of dehydroepiandrosterone sulfate (DHEA-S) and DHEA, whereas the circulating postmenopausal levels of androstenedione, testosterone, and estrogen remain relatively constant.</w:t>
      </w:r>
      <w:r>
        <w:rPr>
          <w:vertAlign w:val="superscript"/>
        </w:rPr>
        <w:t>156,157</w:t>
      </w:r>
    </w:p>
    <w:p>
      <w:pPr>
        <w:pStyle w:val="BodyText"/>
        <w:spacing w:line="249" w:lineRule="auto" w:before="18"/>
        <w:ind w:right="97" w:firstLine="450"/>
      </w:pPr>
      <w:r>
        <w:rPr/>
        <w:t>Estrogen production by the ovaries does not continue beyond the menopause; however, estrogen levels in postmenopausal women can be significant, principally due to the extra glandular conversion of androstenedione and testosterone to estrogen. The clinical impact of </w:t>
      </w:r>
      <w:r>
        <w:rPr/>
        <w:t>this estrogen varies from one postmenopausal woman to another, depending on the degree of extra glandular production, modified by a variety of factors.</w:t>
      </w:r>
    </w:p>
    <w:p>
      <w:pPr>
        <w:pStyle w:val="BodyText"/>
        <w:spacing w:line="249" w:lineRule="auto" w:before="8"/>
        <w:ind w:right="99" w:firstLine="450"/>
      </w:pPr>
      <w:r>
        <w:rPr/>
        <w:t>The percent conversion of androstenedione to estrogen correlates with body weight. Increased production of estrogen from androstenedione </w:t>
      </w:r>
      <w:r>
        <w:rPr/>
        <w:t>with increasing body weight is probably due to the ability of fat to aromatize androgens.</w:t>
      </w:r>
      <w:r>
        <w:rPr>
          <w:spacing w:val="-3"/>
        </w:rPr>
        <w:t> </w:t>
      </w:r>
      <w:r>
        <w:rPr/>
        <w:t>This fact and a decrease in the levels of SHBG (which results in increased free estrogen concentrations) contribute to the well-recognized association</w:t>
      </w:r>
      <w:r>
        <w:rPr>
          <w:spacing w:val="60"/>
        </w:rPr>
        <w:t> </w:t>
      </w:r>
      <w:r>
        <w:rPr/>
        <w:t>between</w:t>
      </w:r>
      <w:r>
        <w:rPr>
          <w:spacing w:val="60"/>
        </w:rPr>
        <w:t> </w:t>
      </w:r>
      <w:r>
        <w:rPr/>
        <w:t>obesity</w:t>
      </w:r>
      <w:r>
        <w:rPr>
          <w:spacing w:val="60"/>
        </w:rPr>
        <w:t> </w:t>
      </w:r>
      <w:r>
        <w:rPr/>
        <w:t>and</w:t>
      </w:r>
      <w:r>
        <w:rPr>
          <w:spacing w:val="60"/>
        </w:rPr>
        <w:t> </w:t>
      </w:r>
      <w:r>
        <w:rPr/>
        <w:t>the</w:t>
      </w:r>
      <w:r>
        <w:rPr>
          <w:spacing w:val="60"/>
        </w:rPr>
        <w:t> </w:t>
      </w:r>
      <w:r>
        <w:rPr/>
        <w:t>development</w:t>
      </w:r>
      <w:r>
        <w:rPr>
          <w:spacing w:val="60"/>
        </w:rPr>
        <w:t> </w:t>
      </w:r>
      <w:r>
        <w:rPr/>
        <w:t>of</w:t>
      </w:r>
      <w:r>
        <w:rPr>
          <w:spacing w:val="60"/>
        </w:rPr>
        <w:t> </w:t>
      </w:r>
      <w:r>
        <w:rPr/>
        <w:t>endometrial</w:t>
      </w:r>
      <w:r>
        <w:rPr>
          <w:spacing w:val="60"/>
        </w:rPr>
        <w:t> </w:t>
      </w:r>
      <w:r>
        <w:rPr>
          <w:spacing w:val="-4"/>
        </w:rPr>
        <w:t>cancer.</w:t>
      </w:r>
    </w:p>
    <w:p>
      <w:pPr>
        <w:pStyle w:val="BodyText"/>
        <w:spacing w:after="0" w:line="249" w:lineRule="auto"/>
        <w:sectPr>
          <w:pgSz w:w="12240" w:h="15840"/>
          <w:pgMar w:top="1380" w:bottom="280" w:left="1440" w:right="1440"/>
        </w:sectPr>
      </w:pPr>
    </w:p>
    <w:p>
      <w:pPr>
        <w:pStyle w:val="BodyText"/>
        <w:spacing w:line="249" w:lineRule="auto"/>
        <w:ind w:right="99"/>
      </w:pPr>
      <w:r>
        <w:rPr/>
        <w:t>Body weight, therefore, has a positive correlation with the circulating </w:t>
      </w:r>
      <w:r>
        <w:rPr/>
        <w:t>levels of estrone and estradiol.</w:t>
      </w:r>
      <w:r>
        <w:rPr>
          <w:vertAlign w:val="superscript"/>
        </w:rPr>
        <w:t>157</w:t>
      </w:r>
      <w:r>
        <w:rPr>
          <w:vertAlign w:val="baseline"/>
        </w:rPr>
        <w:t> Aromatization of androgens to estrogens is not limited to adipose tissue, however, because almost every tissue tested has this activity.</w:t>
      </w:r>
    </w:p>
    <w:p>
      <w:pPr>
        <w:pStyle w:val="BodyText"/>
        <w:spacing w:before="0"/>
        <w:ind w:left="0"/>
        <w:jc w:val="left"/>
        <w:rPr>
          <w:sz w:val="20"/>
        </w:rPr>
      </w:pPr>
    </w:p>
    <w:p>
      <w:pPr>
        <w:pStyle w:val="BodyText"/>
        <w:spacing w:before="115"/>
        <w:ind w:left="0"/>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981075</wp:posOffset>
                </wp:positionH>
                <wp:positionV relativeFrom="paragraph">
                  <wp:posOffset>234902</wp:posOffset>
                </wp:positionV>
                <wp:extent cx="5810250" cy="66675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810250" cy="666750"/>
                          <a:chExt cx="5810250" cy="666750"/>
                        </a:xfrm>
                      </wpg:grpSpPr>
                      <wps:wsp>
                        <wps:cNvPr id="40" name="Textbox 40"/>
                        <wps:cNvSpPr txBox="1"/>
                        <wps:spPr>
                          <a:xfrm>
                            <a:off x="0" y="285749"/>
                            <a:ext cx="5810250" cy="371475"/>
                          </a:xfrm>
                          <a:prstGeom prst="rect">
                            <a:avLst/>
                          </a:prstGeom>
                          <a:solidFill>
                            <a:srgbClr val="DDE6E3"/>
                          </a:solidFill>
                        </wps:spPr>
                        <wps:txbx>
                          <w:txbxContent>
                            <w:p>
                              <w:pPr>
                                <w:spacing w:before="140"/>
                                <w:ind w:left="84" w:right="0" w:firstLine="0"/>
                                <w:jc w:val="left"/>
                                <w:rPr>
                                  <w:rFonts w:ascii="Arial"/>
                                  <w:b/>
                                  <w:color w:val="000000"/>
                                  <w:position w:val="9"/>
                                  <w:sz w:val="17"/>
                                </w:rPr>
                              </w:pPr>
                              <w:r>
                                <w:rPr>
                                  <w:rFonts w:ascii="Arial"/>
                                  <w:b/>
                                  <w:color w:val="1C5349"/>
                                  <w:sz w:val="22"/>
                                </w:rPr>
                                <w:t>Blood</w:t>
                              </w:r>
                              <w:r>
                                <w:rPr>
                                  <w:rFonts w:ascii="Arial"/>
                                  <w:b/>
                                  <w:color w:val="1C5349"/>
                                  <w:spacing w:val="13"/>
                                  <w:sz w:val="22"/>
                                </w:rPr>
                                <w:t> </w:t>
                              </w:r>
                              <w:r>
                                <w:rPr>
                                  <w:rFonts w:ascii="Arial"/>
                                  <w:b/>
                                  <w:color w:val="1C5349"/>
                                  <w:sz w:val="22"/>
                                </w:rPr>
                                <w:t>Production</w:t>
                              </w:r>
                              <w:r>
                                <w:rPr>
                                  <w:rFonts w:ascii="Arial"/>
                                  <w:b/>
                                  <w:color w:val="1C5349"/>
                                  <w:spacing w:val="14"/>
                                  <w:sz w:val="22"/>
                                </w:rPr>
                                <w:t> </w:t>
                              </w:r>
                              <w:r>
                                <w:rPr>
                                  <w:rFonts w:ascii="Arial"/>
                                  <w:b/>
                                  <w:color w:val="1C5349"/>
                                  <w:sz w:val="22"/>
                                </w:rPr>
                                <w:t>Rates</w:t>
                              </w:r>
                              <w:r>
                                <w:rPr>
                                  <w:rFonts w:ascii="Arial"/>
                                  <w:b/>
                                  <w:color w:val="1C5349"/>
                                  <w:spacing w:val="14"/>
                                  <w:sz w:val="22"/>
                                </w:rPr>
                                <w:t> </w:t>
                              </w:r>
                              <w:r>
                                <w:rPr>
                                  <w:rFonts w:ascii="Arial"/>
                                  <w:b/>
                                  <w:color w:val="1C5349"/>
                                  <w:sz w:val="22"/>
                                </w:rPr>
                                <w:t>of</w:t>
                              </w:r>
                              <w:r>
                                <w:rPr>
                                  <w:rFonts w:ascii="Arial"/>
                                  <w:b/>
                                  <w:color w:val="1C5349"/>
                                  <w:spacing w:val="14"/>
                                  <w:sz w:val="22"/>
                                </w:rPr>
                                <w:t> </w:t>
                              </w:r>
                              <w:r>
                                <w:rPr>
                                  <w:rFonts w:ascii="Arial"/>
                                  <w:b/>
                                  <w:color w:val="1C5349"/>
                                  <w:spacing w:val="-2"/>
                                  <w:sz w:val="22"/>
                                </w:rPr>
                                <w:t>Steroids</w:t>
                              </w:r>
                              <w:r>
                                <w:rPr>
                                  <w:rFonts w:ascii="Arial"/>
                                  <w:b/>
                                  <w:color w:val="1C5349"/>
                                  <w:spacing w:val="-2"/>
                                  <w:position w:val="9"/>
                                  <w:sz w:val="17"/>
                                </w:rPr>
                                <w:t>171</w:t>
                              </w:r>
                            </w:p>
                          </w:txbxContent>
                        </wps:txbx>
                        <wps:bodyPr wrap="square" lIns="0" tIns="0" rIns="0" bIns="0" rtlCol="0">
                          <a:noAutofit/>
                        </wps:bodyPr>
                      </wps:wsp>
                      <wps:wsp>
                        <wps:cNvPr id="41" name="Graphic 41"/>
                        <wps:cNvSpPr/>
                        <wps:spPr>
                          <a:xfrm>
                            <a:off x="-12" y="657234"/>
                            <a:ext cx="5810250" cy="9525"/>
                          </a:xfrm>
                          <a:custGeom>
                            <a:avLst/>
                            <a:gdLst/>
                            <a:ahLst/>
                            <a:cxnLst/>
                            <a:rect l="l" t="t" r="r" b="b"/>
                            <a:pathLst>
                              <a:path w="5810250" h="9525">
                                <a:moveTo>
                                  <a:pt x="5810250" y="0"/>
                                </a:moveTo>
                                <a:lnTo>
                                  <a:pt x="4552950" y="0"/>
                                </a:lnTo>
                                <a:lnTo>
                                  <a:pt x="3381375" y="0"/>
                                </a:lnTo>
                                <a:lnTo>
                                  <a:pt x="2143125" y="0"/>
                                </a:lnTo>
                                <a:lnTo>
                                  <a:pt x="0" y="0"/>
                                </a:lnTo>
                                <a:lnTo>
                                  <a:pt x="0" y="9525"/>
                                </a:lnTo>
                                <a:lnTo>
                                  <a:pt x="2143125" y="9525"/>
                                </a:lnTo>
                                <a:lnTo>
                                  <a:pt x="3381375" y="9525"/>
                                </a:lnTo>
                                <a:lnTo>
                                  <a:pt x="4552950"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42" name="Textbox 42"/>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21.4</w:t>
                              </w:r>
                            </w:p>
                          </w:txbxContent>
                        </wps:txbx>
                        <wps:bodyPr wrap="square" lIns="0" tIns="0" rIns="0" bIns="0" rtlCol="0">
                          <a:noAutofit/>
                        </wps:bodyPr>
                      </wps:wsp>
                    </wpg:wgp>
                  </a:graphicData>
                </a:graphic>
              </wp:anchor>
            </w:drawing>
          </mc:Choice>
          <mc:Fallback>
            <w:pict>
              <v:group style="position:absolute;margin-left:77.25pt;margin-top:18.496275pt;width:457.5pt;height:52.5pt;mso-position-horizontal-relative:page;mso-position-vertical-relative:paragraph;z-index:-15712256;mso-wrap-distance-left:0;mso-wrap-distance-right:0" id="docshapegroup29" coordorigin="1545,370" coordsize="9150,1050">
                <v:shape style="position:absolute;left:1545;top:819;width:9150;height:585" type="#_x0000_t202" id="docshape30" filled="true" fillcolor="#dde6e3" stroked="false">
                  <v:textbox inset="0,0,0,0">
                    <w:txbxContent>
                      <w:p>
                        <w:pPr>
                          <w:spacing w:before="140"/>
                          <w:ind w:left="84" w:right="0" w:firstLine="0"/>
                          <w:jc w:val="left"/>
                          <w:rPr>
                            <w:rFonts w:ascii="Arial"/>
                            <w:b/>
                            <w:color w:val="000000"/>
                            <w:position w:val="9"/>
                            <w:sz w:val="17"/>
                          </w:rPr>
                        </w:pPr>
                        <w:r>
                          <w:rPr>
                            <w:rFonts w:ascii="Arial"/>
                            <w:b/>
                            <w:color w:val="1C5349"/>
                            <w:sz w:val="22"/>
                          </w:rPr>
                          <w:t>Blood</w:t>
                        </w:r>
                        <w:r>
                          <w:rPr>
                            <w:rFonts w:ascii="Arial"/>
                            <w:b/>
                            <w:color w:val="1C5349"/>
                            <w:spacing w:val="13"/>
                            <w:sz w:val="22"/>
                          </w:rPr>
                          <w:t> </w:t>
                        </w:r>
                        <w:r>
                          <w:rPr>
                            <w:rFonts w:ascii="Arial"/>
                            <w:b/>
                            <w:color w:val="1C5349"/>
                            <w:sz w:val="22"/>
                          </w:rPr>
                          <w:t>Production</w:t>
                        </w:r>
                        <w:r>
                          <w:rPr>
                            <w:rFonts w:ascii="Arial"/>
                            <w:b/>
                            <w:color w:val="1C5349"/>
                            <w:spacing w:val="14"/>
                            <w:sz w:val="22"/>
                          </w:rPr>
                          <w:t> </w:t>
                        </w:r>
                        <w:r>
                          <w:rPr>
                            <w:rFonts w:ascii="Arial"/>
                            <w:b/>
                            <w:color w:val="1C5349"/>
                            <w:sz w:val="22"/>
                          </w:rPr>
                          <w:t>Rates</w:t>
                        </w:r>
                        <w:r>
                          <w:rPr>
                            <w:rFonts w:ascii="Arial"/>
                            <w:b/>
                            <w:color w:val="1C5349"/>
                            <w:spacing w:val="14"/>
                            <w:sz w:val="22"/>
                          </w:rPr>
                          <w:t> </w:t>
                        </w:r>
                        <w:r>
                          <w:rPr>
                            <w:rFonts w:ascii="Arial"/>
                            <w:b/>
                            <w:color w:val="1C5349"/>
                            <w:sz w:val="22"/>
                          </w:rPr>
                          <w:t>of</w:t>
                        </w:r>
                        <w:r>
                          <w:rPr>
                            <w:rFonts w:ascii="Arial"/>
                            <w:b/>
                            <w:color w:val="1C5349"/>
                            <w:spacing w:val="14"/>
                            <w:sz w:val="22"/>
                          </w:rPr>
                          <w:t> </w:t>
                        </w:r>
                        <w:r>
                          <w:rPr>
                            <w:rFonts w:ascii="Arial"/>
                            <w:b/>
                            <w:color w:val="1C5349"/>
                            <w:spacing w:val="-2"/>
                            <w:sz w:val="22"/>
                          </w:rPr>
                          <w:t>Steroids</w:t>
                        </w:r>
                        <w:r>
                          <w:rPr>
                            <w:rFonts w:ascii="Arial"/>
                            <w:b/>
                            <w:color w:val="1C5349"/>
                            <w:spacing w:val="-2"/>
                            <w:position w:val="9"/>
                            <w:sz w:val="17"/>
                          </w:rPr>
                          <w:t>171</w:t>
                        </w:r>
                      </w:p>
                    </w:txbxContent>
                  </v:textbox>
                  <v:fill type="solid"/>
                  <w10:wrap type="none"/>
                </v:shape>
                <v:shape style="position:absolute;left:1544;top:1404;width:9150;height:15" id="docshape31" coordorigin="1545,1405" coordsize="9150,15" path="m10695,1405l8715,1405,6870,1405,4920,1405,1545,1405,1545,1420,4920,1420,6870,1420,8715,1420,10695,1420,10695,1405xe" filled="true" fillcolor="#256e60" stroked="false">
                  <v:path arrowok="t"/>
                  <v:fill type="solid"/>
                </v:shape>
                <v:shape style="position:absolute;left:1545;top:369;width:9150;height:450" type="#_x0000_t202" id="docshape32"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21.4</w:t>
                        </w:r>
                      </w:p>
                    </w:txbxContent>
                  </v:textbox>
                  <v:fill type="solid"/>
                  <w10:wrap type="none"/>
                </v:shape>
                <w10:wrap type="topAndBottom"/>
              </v:group>
            </w:pict>
          </mc:Fallback>
        </mc:AlternateContent>
      </w:r>
    </w:p>
    <w:p>
      <w:pPr>
        <w:pStyle w:val="BodyText"/>
        <w:spacing w:before="6"/>
        <w:ind w:left="0"/>
        <w:jc w:val="left"/>
        <w:rPr>
          <w:sz w:val="12"/>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2"/>
        <w:gridCol w:w="2021"/>
        <w:gridCol w:w="1843"/>
        <w:gridCol w:w="2074"/>
      </w:tblGrid>
      <w:tr>
        <w:trPr>
          <w:trHeight w:val="410" w:hRule="atLeast"/>
        </w:trPr>
        <w:tc>
          <w:tcPr>
            <w:tcW w:w="3212" w:type="dxa"/>
            <w:tcBorders>
              <w:bottom w:val="single" w:sz="6" w:space="0" w:color="1C5349"/>
            </w:tcBorders>
          </w:tcPr>
          <w:p>
            <w:pPr>
              <w:pStyle w:val="TableParagraph"/>
              <w:spacing w:before="0"/>
              <w:ind w:left="0"/>
              <w:rPr>
                <w:sz w:val="26"/>
              </w:rPr>
            </w:pPr>
          </w:p>
        </w:tc>
        <w:tc>
          <w:tcPr>
            <w:tcW w:w="2021" w:type="dxa"/>
            <w:tcBorders>
              <w:bottom w:val="single" w:sz="6" w:space="0" w:color="1C5349"/>
            </w:tcBorders>
          </w:tcPr>
          <w:p>
            <w:pPr>
              <w:pStyle w:val="TableParagraph"/>
              <w:spacing w:line="248" w:lineRule="exact" w:before="0"/>
              <w:ind w:left="247"/>
              <w:rPr>
                <w:i/>
                <w:sz w:val="22"/>
              </w:rPr>
            </w:pPr>
            <w:r>
              <w:rPr>
                <w:i/>
                <w:sz w:val="22"/>
              </w:rPr>
              <w:t>Reproductive</w:t>
            </w:r>
            <w:r>
              <w:rPr>
                <w:i/>
                <w:spacing w:val="15"/>
                <w:sz w:val="22"/>
              </w:rPr>
              <w:t> </w:t>
            </w:r>
            <w:r>
              <w:rPr>
                <w:i/>
                <w:spacing w:val="-5"/>
                <w:sz w:val="22"/>
              </w:rPr>
              <w:t>Age</w:t>
            </w:r>
          </w:p>
        </w:tc>
        <w:tc>
          <w:tcPr>
            <w:tcW w:w="1843" w:type="dxa"/>
            <w:tcBorders>
              <w:bottom w:val="single" w:sz="6" w:space="0" w:color="1C5349"/>
            </w:tcBorders>
          </w:tcPr>
          <w:p>
            <w:pPr>
              <w:pStyle w:val="TableParagraph"/>
              <w:spacing w:line="248" w:lineRule="exact" w:before="0"/>
              <w:ind w:left="176"/>
              <w:rPr>
                <w:i/>
                <w:sz w:val="22"/>
              </w:rPr>
            </w:pPr>
            <w:r>
              <w:rPr>
                <w:i/>
                <w:spacing w:val="-2"/>
                <w:sz w:val="22"/>
              </w:rPr>
              <w:t>Postmenopausal</w:t>
            </w:r>
          </w:p>
        </w:tc>
        <w:tc>
          <w:tcPr>
            <w:tcW w:w="2074" w:type="dxa"/>
            <w:tcBorders>
              <w:bottom w:val="single" w:sz="6" w:space="0" w:color="1C5349"/>
            </w:tcBorders>
          </w:tcPr>
          <w:p>
            <w:pPr>
              <w:pStyle w:val="TableParagraph"/>
              <w:spacing w:line="248" w:lineRule="exact" w:before="0"/>
              <w:ind w:left="178"/>
              <w:rPr>
                <w:i/>
                <w:sz w:val="22"/>
              </w:rPr>
            </w:pPr>
            <w:r>
              <w:rPr>
                <w:i/>
                <w:spacing w:val="-2"/>
                <w:sz w:val="22"/>
              </w:rPr>
              <w:t>Oophorectomized</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Androstenedione</w:t>
            </w:r>
          </w:p>
        </w:tc>
        <w:tc>
          <w:tcPr>
            <w:tcW w:w="2021" w:type="dxa"/>
            <w:tcBorders>
              <w:top w:val="single" w:sz="6" w:space="0" w:color="1C5349"/>
              <w:bottom w:val="single" w:sz="6" w:space="0" w:color="1C5349"/>
            </w:tcBorders>
          </w:tcPr>
          <w:p>
            <w:pPr>
              <w:pStyle w:val="TableParagraph"/>
              <w:ind w:left="247"/>
              <w:rPr>
                <w:sz w:val="22"/>
              </w:rPr>
            </w:pPr>
            <w:r>
              <w:rPr>
                <w:w w:val="110"/>
                <w:sz w:val="22"/>
              </w:rPr>
              <w:t>2-3</w:t>
            </w:r>
            <w:r>
              <w:rPr>
                <w:spacing w:val="10"/>
                <w:w w:val="110"/>
                <w:sz w:val="22"/>
              </w:rPr>
              <w:t> </w:t>
            </w:r>
            <w:r>
              <w:rPr>
                <w:spacing w:val="-4"/>
                <w:w w:val="110"/>
                <w:sz w:val="22"/>
              </w:rPr>
              <w:t>mg/d</w:t>
            </w:r>
          </w:p>
        </w:tc>
        <w:tc>
          <w:tcPr>
            <w:tcW w:w="1843" w:type="dxa"/>
            <w:tcBorders>
              <w:top w:val="single" w:sz="6" w:space="0" w:color="1C5349"/>
              <w:bottom w:val="single" w:sz="6" w:space="0" w:color="1C5349"/>
            </w:tcBorders>
          </w:tcPr>
          <w:p>
            <w:pPr>
              <w:pStyle w:val="TableParagraph"/>
              <w:ind w:left="176"/>
              <w:rPr>
                <w:sz w:val="22"/>
              </w:rPr>
            </w:pPr>
            <w:r>
              <w:rPr>
                <w:w w:val="105"/>
                <w:sz w:val="22"/>
              </w:rPr>
              <w:t>0.5-1.5</w:t>
            </w:r>
            <w:r>
              <w:rPr>
                <w:spacing w:val="16"/>
                <w:w w:val="105"/>
                <w:sz w:val="22"/>
              </w:rPr>
              <w:t> </w:t>
            </w:r>
            <w:r>
              <w:rPr>
                <w:spacing w:val="-4"/>
                <w:w w:val="105"/>
                <w:sz w:val="22"/>
              </w:rPr>
              <w:t>mg/d</w:t>
            </w:r>
          </w:p>
        </w:tc>
        <w:tc>
          <w:tcPr>
            <w:tcW w:w="2074" w:type="dxa"/>
            <w:tcBorders>
              <w:top w:val="single" w:sz="6" w:space="0" w:color="1C5349"/>
              <w:bottom w:val="single" w:sz="6" w:space="0" w:color="1C5349"/>
            </w:tcBorders>
          </w:tcPr>
          <w:p>
            <w:pPr>
              <w:pStyle w:val="TableParagraph"/>
              <w:ind w:left="178"/>
              <w:rPr>
                <w:sz w:val="22"/>
              </w:rPr>
            </w:pPr>
            <w:r>
              <w:rPr>
                <w:w w:val="105"/>
                <w:sz w:val="22"/>
              </w:rPr>
              <w:t>0.4-1.2</w:t>
            </w:r>
            <w:r>
              <w:rPr>
                <w:spacing w:val="16"/>
                <w:w w:val="105"/>
                <w:sz w:val="22"/>
              </w:rPr>
              <w:t> </w:t>
            </w:r>
            <w:r>
              <w:rPr>
                <w:spacing w:val="-4"/>
                <w:w w:val="105"/>
                <w:sz w:val="22"/>
              </w:rPr>
              <w:t>mg/d</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Dehydroepiandrosterone</w:t>
            </w:r>
          </w:p>
        </w:tc>
        <w:tc>
          <w:tcPr>
            <w:tcW w:w="2021" w:type="dxa"/>
            <w:tcBorders>
              <w:top w:val="single" w:sz="6" w:space="0" w:color="1C5349"/>
              <w:bottom w:val="single" w:sz="6" w:space="0" w:color="1C5349"/>
            </w:tcBorders>
          </w:tcPr>
          <w:p>
            <w:pPr>
              <w:pStyle w:val="TableParagraph"/>
              <w:ind w:left="247"/>
              <w:rPr>
                <w:sz w:val="22"/>
              </w:rPr>
            </w:pPr>
            <w:r>
              <w:rPr>
                <w:w w:val="115"/>
                <w:sz w:val="22"/>
              </w:rPr>
              <w:t>6-</w:t>
            </w:r>
            <w:r>
              <w:rPr>
                <w:spacing w:val="-10"/>
                <w:w w:val="115"/>
                <w:sz w:val="22"/>
              </w:rPr>
              <w:t>8</w:t>
            </w:r>
          </w:p>
        </w:tc>
        <w:tc>
          <w:tcPr>
            <w:tcW w:w="1843" w:type="dxa"/>
            <w:tcBorders>
              <w:top w:val="single" w:sz="6" w:space="0" w:color="1C5349"/>
              <w:bottom w:val="single" w:sz="6" w:space="0" w:color="1C5349"/>
            </w:tcBorders>
          </w:tcPr>
          <w:p>
            <w:pPr>
              <w:pStyle w:val="TableParagraph"/>
              <w:ind w:left="176"/>
              <w:rPr>
                <w:sz w:val="22"/>
              </w:rPr>
            </w:pPr>
            <w:r>
              <w:rPr>
                <w:w w:val="105"/>
                <w:sz w:val="22"/>
              </w:rPr>
              <w:t>1.5-</w:t>
            </w:r>
            <w:r>
              <w:rPr>
                <w:spacing w:val="-5"/>
                <w:w w:val="110"/>
                <w:sz w:val="22"/>
              </w:rPr>
              <w:t>4.0</w:t>
            </w:r>
          </w:p>
        </w:tc>
        <w:tc>
          <w:tcPr>
            <w:tcW w:w="2074" w:type="dxa"/>
            <w:tcBorders>
              <w:top w:val="single" w:sz="6" w:space="0" w:color="1C5349"/>
              <w:bottom w:val="single" w:sz="6" w:space="0" w:color="1C5349"/>
            </w:tcBorders>
          </w:tcPr>
          <w:p>
            <w:pPr>
              <w:pStyle w:val="TableParagraph"/>
              <w:ind w:left="178"/>
              <w:rPr>
                <w:sz w:val="22"/>
              </w:rPr>
            </w:pPr>
            <w:r>
              <w:rPr>
                <w:w w:val="105"/>
                <w:sz w:val="22"/>
              </w:rPr>
              <w:t>1.5-</w:t>
            </w:r>
            <w:r>
              <w:rPr>
                <w:spacing w:val="-5"/>
                <w:w w:val="110"/>
                <w:sz w:val="22"/>
              </w:rPr>
              <w:t>4.0</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z w:val="22"/>
              </w:rPr>
              <w:t>Dehydroepiandrosterone</w:t>
            </w:r>
            <w:r>
              <w:rPr>
                <w:spacing w:val="44"/>
                <w:sz w:val="22"/>
              </w:rPr>
              <w:t> </w:t>
            </w:r>
            <w:r>
              <w:rPr>
                <w:spacing w:val="-2"/>
                <w:sz w:val="22"/>
              </w:rPr>
              <w:t>sulfate</w:t>
            </w:r>
          </w:p>
        </w:tc>
        <w:tc>
          <w:tcPr>
            <w:tcW w:w="2021" w:type="dxa"/>
            <w:tcBorders>
              <w:top w:val="single" w:sz="6" w:space="0" w:color="1C5349"/>
              <w:bottom w:val="single" w:sz="6" w:space="0" w:color="1C5349"/>
            </w:tcBorders>
          </w:tcPr>
          <w:p>
            <w:pPr>
              <w:pStyle w:val="TableParagraph"/>
              <w:ind w:left="247"/>
              <w:rPr>
                <w:sz w:val="22"/>
              </w:rPr>
            </w:pPr>
            <w:r>
              <w:rPr>
                <w:w w:val="110"/>
                <w:sz w:val="22"/>
              </w:rPr>
              <w:t>8-</w:t>
            </w:r>
            <w:r>
              <w:rPr>
                <w:spacing w:val="-5"/>
                <w:w w:val="110"/>
                <w:sz w:val="22"/>
              </w:rPr>
              <w:t>16</w:t>
            </w:r>
          </w:p>
        </w:tc>
        <w:tc>
          <w:tcPr>
            <w:tcW w:w="1843" w:type="dxa"/>
            <w:tcBorders>
              <w:top w:val="single" w:sz="6" w:space="0" w:color="1C5349"/>
              <w:bottom w:val="single" w:sz="6" w:space="0" w:color="1C5349"/>
            </w:tcBorders>
          </w:tcPr>
          <w:p>
            <w:pPr>
              <w:pStyle w:val="TableParagraph"/>
              <w:ind w:left="176"/>
              <w:rPr>
                <w:sz w:val="22"/>
              </w:rPr>
            </w:pPr>
            <w:r>
              <w:rPr>
                <w:w w:val="115"/>
                <w:sz w:val="22"/>
              </w:rPr>
              <w:t>4-</w:t>
            </w:r>
            <w:r>
              <w:rPr>
                <w:spacing w:val="-10"/>
                <w:w w:val="115"/>
                <w:sz w:val="22"/>
              </w:rPr>
              <w:t>9</w:t>
            </w:r>
          </w:p>
        </w:tc>
        <w:tc>
          <w:tcPr>
            <w:tcW w:w="2074" w:type="dxa"/>
            <w:tcBorders>
              <w:top w:val="single" w:sz="6" w:space="0" w:color="1C5349"/>
              <w:bottom w:val="single" w:sz="6" w:space="0" w:color="1C5349"/>
            </w:tcBorders>
          </w:tcPr>
          <w:p>
            <w:pPr>
              <w:pStyle w:val="TableParagraph"/>
              <w:ind w:left="178"/>
              <w:rPr>
                <w:sz w:val="22"/>
              </w:rPr>
            </w:pPr>
            <w:r>
              <w:rPr>
                <w:w w:val="115"/>
                <w:sz w:val="22"/>
              </w:rPr>
              <w:t>4-</w:t>
            </w:r>
            <w:r>
              <w:rPr>
                <w:spacing w:val="-10"/>
                <w:w w:val="115"/>
                <w:sz w:val="22"/>
              </w:rPr>
              <w:t>9</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Testosterone</w:t>
            </w:r>
          </w:p>
        </w:tc>
        <w:tc>
          <w:tcPr>
            <w:tcW w:w="2021" w:type="dxa"/>
            <w:tcBorders>
              <w:top w:val="single" w:sz="6" w:space="0" w:color="1C5349"/>
              <w:bottom w:val="single" w:sz="6" w:space="0" w:color="1C5349"/>
            </w:tcBorders>
          </w:tcPr>
          <w:p>
            <w:pPr>
              <w:pStyle w:val="TableParagraph"/>
              <w:ind w:left="247"/>
              <w:rPr>
                <w:sz w:val="22"/>
              </w:rPr>
            </w:pPr>
            <w:r>
              <w:rPr>
                <w:w w:val="105"/>
                <w:sz w:val="22"/>
              </w:rPr>
              <w:t>0.2-</w:t>
            </w:r>
            <w:r>
              <w:rPr>
                <w:spacing w:val="-4"/>
                <w:w w:val="105"/>
                <w:sz w:val="22"/>
              </w:rPr>
              <w:t>0.25</w:t>
            </w:r>
          </w:p>
        </w:tc>
        <w:tc>
          <w:tcPr>
            <w:tcW w:w="1843" w:type="dxa"/>
            <w:tcBorders>
              <w:top w:val="single" w:sz="6" w:space="0" w:color="1C5349"/>
              <w:bottom w:val="single" w:sz="6" w:space="0" w:color="1C5349"/>
            </w:tcBorders>
          </w:tcPr>
          <w:p>
            <w:pPr>
              <w:pStyle w:val="TableParagraph"/>
              <w:ind w:left="176"/>
              <w:rPr>
                <w:sz w:val="22"/>
              </w:rPr>
            </w:pPr>
            <w:r>
              <w:rPr>
                <w:w w:val="105"/>
                <w:sz w:val="22"/>
              </w:rPr>
              <w:t>0.05-</w:t>
            </w:r>
            <w:r>
              <w:rPr>
                <w:spacing w:val="-4"/>
                <w:w w:val="105"/>
                <w:sz w:val="22"/>
              </w:rPr>
              <w:t>0.18</w:t>
            </w:r>
          </w:p>
        </w:tc>
        <w:tc>
          <w:tcPr>
            <w:tcW w:w="2074" w:type="dxa"/>
            <w:tcBorders>
              <w:top w:val="single" w:sz="6" w:space="0" w:color="1C5349"/>
              <w:bottom w:val="single" w:sz="6" w:space="0" w:color="1C5349"/>
            </w:tcBorders>
          </w:tcPr>
          <w:p>
            <w:pPr>
              <w:pStyle w:val="TableParagraph"/>
              <w:ind w:left="178"/>
              <w:rPr>
                <w:sz w:val="22"/>
              </w:rPr>
            </w:pPr>
            <w:r>
              <w:rPr>
                <w:w w:val="105"/>
                <w:sz w:val="22"/>
              </w:rPr>
              <w:t>0.02-</w:t>
            </w:r>
            <w:r>
              <w:rPr>
                <w:spacing w:val="-4"/>
                <w:w w:val="105"/>
                <w:sz w:val="22"/>
              </w:rPr>
              <w:t>0.12</w:t>
            </w:r>
          </w:p>
        </w:tc>
      </w:tr>
      <w:tr>
        <w:trPr>
          <w:trHeight w:val="554" w:hRule="atLeast"/>
        </w:trPr>
        <w:tc>
          <w:tcPr>
            <w:tcW w:w="3212" w:type="dxa"/>
            <w:tcBorders>
              <w:top w:val="single" w:sz="6" w:space="0" w:color="1C5349"/>
            </w:tcBorders>
          </w:tcPr>
          <w:p>
            <w:pPr>
              <w:pStyle w:val="TableParagraph"/>
              <w:rPr>
                <w:sz w:val="22"/>
              </w:rPr>
            </w:pPr>
            <w:r>
              <w:rPr>
                <w:spacing w:val="-2"/>
                <w:sz w:val="22"/>
              </w:rPr>
              <w:t>Estrogen</w:t>
            </w:r>
          </w:p>
        </w:tc>
        <w:tc>
          <w:tcPr>
            <w:tcW w:w="2021" w:type="dxa"/>
            <w:tcBorders>
              <w:top w:val="single" w:sz="6" w:space="0" w:color="1C5349"/>
            </w:tcBorders>
          </w:tcPr>
          <w:p>
            <w:pPr>
              <w:pStyle w:val="TableParagraph"/>
              <w:ind w:left="247"/>
              <w:rPr>
                <w:sz w:val="22"/>
              </w:rPr>
            </w:pPr>
            <w:r>
              <w:rPr>
                <w:spacing w:val="-2"/>
                <w:sz w:val="22"/>
              </w:rPr>
              <w:t>0.350</w:t>
            </w:r>
          </w:p>
        </w:tc>
        <w:tc>
          <w:tcPr>
            <w:tcW w:w="1843" w:type="dxa"/>
            <w:tcBorders>
              <w:top w:val="single" w:sz="6" w:space="0" w:color="1C5349"/>
            </w:tcBorders>
          </w:tcPr>
          <w:p>
            <w:pPr>
              <w:pStyle w:val="TableParagraph"/>
              <w:ind w:left="176"/>
              <w:rPr>
                <w:sz w:val="22"/>
              </w:rPr>
            </w:pPr>
            <w:r>
              <w:rPr>
                <w:spacing w:val="-2"/>
                <w:sz w:val="22"/>
              </w:rPr>
              <w:t>0.045</w:t>
            </w:r>
          </w:p>
        </w:tc>
        <w:tc>
          <w:tcPr>
            <w:tcW w:w="2074" w:type="dxa"/>
            <w:tcBorders>
              <w:top w:val="single" w:sz="6" w:space="0" w:color="1C5349"/>
            </w:tcBorders>
          </w:tcPr>
          <w:p>
            <w:pPr>
              <w:pStyle w:val="TableParagraph"/>
              <w:ind w:left="178"/>
              <w:rPr>
                <w:sz w:val="22"/>
              </w:rPr>
            </w:pPr>
            <w:r>
              <w:rPr>
                <w:spacing w:val="-2"/>
                <w:sz w:val="22"/>
              </w:rPr>
              <w:t>0.045</w:t>
            </w:r>
          </w:p>
        </w:tc>
      </w:tr>
      <w:tr>
        <w:trPr>
          <w:trHeight w:val="584" w:hRule="atLeast"/>
        </w:trPr>
        <w:tc>
          <w:tcPr>
            <w:tcW w:w="9150" w:type="dxa"/>
            <w:gridSpan w:val="4"/>
            <w:tcBorders>
              <w:top w:val="single" w:sz="6" w:space="0" w:color="1C5349"/>
              <w:bottom w:val="single" w:sz="6" w:space="0" w:color="256E60"/>
            </w:tcBorders>
            <w:shd w:val="clear" w:color="auto" w:fill="DDE6E3"/>
          </w:tcPr>
          <w:p>
            <w:pPr>
              <w:pStyle w:val="TableParagraph"/>
              <w:spacing w:before="140"/>
              <w:rPr>
                <w:rFonts w:ascii="Arial"/>
                <w:b/>
                <w:position w:val="9"/>
                <w:sz w:val="17"/>
              </w:rPr>
            </w:pPr>
            <w:r>
              <w:rPr>
                <w:rFonts w:ascii="Arial"/>
                <w:b/>
                <w:color w:val="1C5349"/>
                <w:sz w:val="22"/>
              </w:rPr>
              <w:t>Changes</w:t>
            </w:r>
            <w:r>
              <w:rPr>
                <w:rFonts w:ascii="Arial"/>
                <w:b/>
                <w:color w:val="1C5349"/>
                <w:spacing w:val="14"/>
                <w:sz w:val="22"/>
              </w:rPr>
              <w:t> </w:t>
            </w:r>
            <w:r>
              <w:rPr>
                <w:rFonts w:ascii="Arial"/>
                <w:b/>
                <w:color w:val="1C5349"/>
                <w:sz w:val="22"/>
              </w:rPr>
              <w:t>in</w:t>
            </w:r>
            <w:r>
              <w:rPr>
                <w:rFonts w:ascii="Arial"/>
                <w:b/>
                <w:color w:val="1C5349"/>
                <w:spacing w:val="15"/>
                <w:sz w:val="22"/>
              </w:rPr>
              <w:t> </w:t>
            </w:r>
            <w:r>
              <w:rPr>
                <w:rFonts w:ascii="Arial"/>
                <w:b/>
                <w:color w:val="1C5349"/>
                <w:sz w:val="22"/>
              </w:rPr>
              <w:t>Circulating</w:t>
            </w:r>
            <w:r>
              <w:rPr>
                <w:rFonts w:ascii="Arial"/>
                <w:b/>
                <w:color w:val="1C5349"/>
                <w:spacing w:val="15"/>
                <w:sz w:val="22"/>
              </w:rPr>
              <w:t> </w:t>
            </w:r>
            <w:r>
              <w:rPr>
                <w:rFonts w:ascii="Arial"/>
                <w:b/>
                <w:color w:val="1C5349"/>
                <w:sz w:val="22"/>
              </w:rPr>
              <w:t>Hormone</w:t>
            </w:r>
            <w:r>
              <w:rPr>
                <w:rFonts w:ascii="Arial"/>
                <w:b/>
                <w:color w:val="1C5349"/>
                <w:spacing w:val="14"/>
                <w:sz w:val="22"/>
              </w:rPr>
              <w:t> </w:t>
            </w:r>
            <w:r>
              <w:rPr>
                <w:rFonts w:ascii="Arial"/>
                <w:b/>
                <w:color w:val="1C5349"/>
                <w:sz w:val="22"/>
              </w:rPr>
              <w:t>Levels</w:t>
            </w:r>
            <w:r>
              <w:rPr>
                <w:rFonts w:ascii="Arial"/>
                <w:b/>
                <w:color w:val="1C5349"/>
                <w:spacing w:val="15"/>
                <w:sz w:val="22"/>
              </w:rPr>
              <w:t> </w:t>
            </w:r>
            <w:r>
              <w:rPr>
                <w:rFonts w:ascii="Arial"/>
                <w:b/>
                <w:color w:val="1C5349"/>
                <w:sz w:val="22"/>
              </w:rPr>
              <w:t>at</w:t>
            </w:r>
            <w:r>
              <w:rPr>
                <w:rFonts w:ascii="Arial"/>
                <w:b/>
                <w:color w:val="1C5349"/>
                <w:spacing w:val="15"/>
                <w:sz w:val="22"/>
              </w:rPr>
              <w:t> </w:t>
            </w:r>
            <w:r>
              <w:rPr>
                <w:rFonts w:ascii="Arial"/>
                <w:b/>
                <w:color w:val="1C5349"/>
                <w:spacing w:val="-2"/>
                <w:sz w:val="22"/>
              </w:rPr>
              <w:t>Menopause</w:t>
            </w:r>
            <w:r>
              <w:rPr>
                <w:rFonts w:ascii="Arial"/>
                <w:b/>
                <w:color w:val="1C5349"/>
                <w:spacing w:val="-2"/>
                <w:position w:val="9"/>
                <w:sz w:val="17"/>
              </w:rPr>
              <w:t>47,157,169</w:t>
            </w:r>
          </w:p>
        </w:tc>
      </w:tr>
      <w:tr>
        <w:trPr>
          <w:trHeight w:val="554" w:hRule="atLeast"/>
        </w:trPr>
        <w:tc>
          <w:tcPr>
            <w:tcW w:w="3212" w:type="dxa"/>
            <w:tcBorders>
              <w:bottom w:val="single" w:sz="6" w:space="0" w:color="1C5349"/>
            </w:tcBorders>
          </w:tcPr>
          <w:p>
            <w:pPr>
              <w:pStyle w:val="TableParagraph"/>
              <w:spacing w:before="0"/>
              <w:ind w:left="0"/>
              <w:rPr>
                <w:sz w:val="26"/>
              </w:rPr>
            </w:pPr>
          </w:p>
        </w:tc>
        <w:tc>
          <w:tcPr>
            <w:tcW w:w="2021" w:type="dxa"/>
            <w:tcBorders>
              <w:bottom w:val="single" w:sz="6" w:space="0" w:color="1C5349"/>
            </w:tcBorders>
          </w:tcPr>
          <w:p>
            <w:pPr>
              <w:pStyle w:val="TableParagraph"/>
              <w:ind w:left="247"/>
              <w:rPr>
                <w:i/>
                <w:sz w:val="22"/>
              </w:rPr>
            </w:pPr>
            <w:r>
              <w:rPr>
                <w:i/>
                <w:spacing w:val="-2"/>
                <w:sz w:val="22"/>
              </w:rPr>
              <w:t>Premenopause</w:t>
            </w:r>
          </w:p>
        </w:tc>
        <w:tc>
          <w:tcPr>
            <w:tcW w:w="3917" w:type="dxa"/>
            <w:gridSpan w:val="2"/>
            <w:tcBorders>
              <w:bottom w:val="single" w:sz="6" w:space="0" w:color="1C5349"/>
            </w:tcBorders>
          </w:tcPr>
          <w:p>
            <w:pPr>
              <w:pStyle w:val="TableParagraph"/>
              <w:ind w:left="176"/>
              <w:rPr>
                <w:i/>
                <w:sz w:val="22"/>
              </w:rPr>
            </w:pPr>
            <w:r>
              <w:rPr>
                <w:i/>
                <w:spacing w:val="-2"/>
                <w:sz w:val="22"/>
              </w:rPr>
              <w:t>Postmenopause</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Estradiol</w:t>
            </w:r>
          </w:p>
        </w:tc>
        <w:tc>
          <w:tcPr>
            <w:tcW w:w="2021" w:type="dxa"/>
            <w:tcBorders>
              <w:top w:val="single" w:sz="6" w:space="0" w:color="1C5349"/>
              <w:bottom w:val="single" w:sz="6" w:space="0" w:color="1C5349"/>
            </w:tcBorders>
          </w:tcPr>
          <w:p>
            <w:pPr>
              <w:pStyle w:val="TableParagraph"/>
              <w:ind w:left="247"/>
              <w:rPr>
                <w:sz w:val="22"/>
              </w:rPr>
            </w:pPr>
            <w:r>
              <w:rPr>
                <w:w w:val="105"/>
                <w:sz w:val="22"/>
              </w:rPr>
              <w:t>40-400</w:t>
            </w:r>
            <w:r>
              <w:rPr>
                <w:spacing w:val="16"/>
                <w:w w:val="105"/>
                <w:sz w:val="22"/>
              </w:rPr>
              <w:t> </w:t>
            </w:r>
            <w:r>
              <w:rPr>
                <w:spacing w:val="-2"/>
                <w:w w:val="105"/>
                <w:sz w:val="22"/>
              </w:rPr>
              <w:t>pg/mL</w:t>
            </w:r>
          </w:p>
        </w:tc>
        <w:tc>
          <w:tcPr>
            <w:tcW w:w="3917" w:type="dxa"/>
            <w:gridSpan w:val="2"/>
            <w:tcBorders>
              <w:top w:val="single" w:sz="6" w:space="0" w:color="1C5349"/>
              <w:bottom w:val="single" w:sz="6" w:space="0" w:color="1C5349"/>
            </w:tcBorders>
          </w:tcPr>
          <w:p>
            <w:pPr>
              <w:pStyle w:val="TableParagraph"/>
              <w:ind w:left="176"/>
              <w:rPr>
                <w:sz w:val="22"/>
              </w:rPr>
            </w:pPr>
            <w:r>
              <w:rPr>
                <w:w w:val="105"/>
                <w:sz w:val="22"/>
              </w:rPr>
              <w:t>10-20</w:t>
            </w:r>
            <w:r>
              <w:rPr>
                <w:spacing w:val="18"/>
                <w:w w:val="105"/>
                <w:sz w:val="22"/>
              </w:rPr>
              <w:t> </w:t>
            </w:r>
            <w:r>
              <w:rPr>
                <w:spacing w:val="-2"/>
                <w:w w:val="105"/>
                <w:sz w:val="22"/>
              </w:rPr>
              <w:t>pg/mL</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Estrone</w:t>
            </w:r>
          </w:p>
        </w:tc>
        <w:tc>
          <w:tcPr>
            <w:tcW w:w="2021" w:type="dxa"/>
            <w:tcBorders>
              <w:top w:val="single" w:sz="6" w:space="0" w:color="1C5349"/>
              <w:bottom w:val="single" w:sz="6" w:space="0" w:color="1C5349"/>
            </w:tcBorders>
          </w:tcPr>
          <w:p>
            <w:pPr>
              <w:pStyle w:val="TableParagraph"/>
              <w:ind w:left="247"/>
              <w:rPr>
                <w:sz w:val="22"/>
              </w:rPr>
            </w:pPr>
            <w:r>
              <w:rPr>
                <w:w w:val="105"/>
                <w:sz w:val="22"/>
              </w:rPr>
              <w:t>30-200</w:t>
            </w:r>
            <w:r>
              <w:rPr>
                <w:spacing w:val="16"/>
                <w:w w:val="105"/>
                <w:sz w:val="22"/>
              </w:rPr>
              <w:t> </w:t>
            </w:r>
            <w:r>
              <w:rPr>
                <w:spacing w:val="-2"/>
                <w:w w:val="105"/>
                <w:sz w:val="22"/>
              </w:rPr>
              <w:t>pg/mL</w:t>
            </w:r>
          </w:p>
        </w:tc>
        <w:tc>
          <w:tcPr>
            <w:tcW w:w="3917" w:type="dxa"/>
            <w:gridSpan w:val="2"/>
            <w:tcBorders>
              <w:top w:val="single" w:sz="6" w:space="0" w:color="1C5349"/>
              <w:bottom w:val="single" w:sz="6" w:space="0" w:color="1C5349"/>
            </w:tcBorders>
          </w:tcPr>
          <w:p>
            <w:pPr>
              <w:pStyle w:val="TableParagraph"/>
              <w:ind w:left="176"/>
              <w:rPr>
                <w:sz w:val="22"/>
              </w:rPr>
            </w:pPr>
            <w:r>
              <w:rPr>
                <w:w w:val="105"/>
                <w:sz w:val="22"/>
              </w:rPr>
              <w:t>30-70</w:t>
            </w:r>
            <w:r>
              <w:rPr>
                <w:spacing w:val="18"/>
                <w:w w:val="105"/>
                <w:sz w:val="22"/>
              </w:rPr>
              <w:t> </w:t>
            </w:r>
            <w:r>
              <w:rPr>
                <w:spacing w:val="-2"/>
                <w:w w:val="105"/>
                <w:sz w:val="22"/>
              </w:rPr>
              <w:t>pg/mL</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Testosterone</w:t>
            </w:r>
          </w:p>
        </w:tc>
        <w:tc>
          <w:tcPr>
            <w:tcW w:w="2021" w:type="dxa"/>
            <w:tcBorders>
              <w:top w:val="single" w:sz="6" w:space="0" w:color="1C5349"/>
              <w:bottom w:val="single" w:sz="6" w:space="0" w:color="1C5349"/>
            </w:tcBorders>
          </w:tcPr>
          <w:p>
            <w:pPr>
              <w:pStyle w:val="TableParagraph"/>
              <w:ind w:left="247"/>
              <w:rPr>
                <w:sz w:val="22"/>
              </w:rPr>
            </w:pPr>
            <w:r>
              <w:rPr>
                <w:w w:val="105"/>
                <w:sz w:val="22"/>
              </w:rPr>
              <w:t>20-80</w:t>
            </w:r>
            <w:r>
              <w:rPr>
                <w:spacing w:val="18"/>
                <w:w w:val="105"/>
                <w:sz w:val="22"/>
              </w:rPr>
              <w:t> </w:t>
            </w:r>
            <w:r>
              <w:rPr>
                <w:spacing w:val="-4"/>
                <w:w w:val="105"/>
                <w:sz w:val="22"/>
              </w:rPr>
              <w:t>ng/dL</w:t>
            </w:r>
          </w:p>
        </w:tc>
        <w:tc>
          <w:tcPr>
            <w:tcW w:w="3917" w:type="dxa"/>
            <w:gridSpan w:val="2"/>
            <w:tcBorders>
              <w:top w:val="single" w:sz="6" w:space="0" w:color="1C5349"/>
              <w:bottom w:val="single" w:sz="6" w:space="0" w:color="1C5349"/>
            </w:tcBorders>
          </w:tcPr>
          <w:p>
            <w:pPr>
              <w:pStyle w:val="TableParagraph"/>
              <w:ind w:left="176"/>
              <w:rPr>
                <w:sz w:val="22"/>
              </w:rPr>
            </w:pPr>
            <w:r>
              <w:rPr>
                <w:w w:val="105"/>
                <w:sz w:val="22"/>
              </w:rPr>
              <w:t>15-70</w:t>
            </w:r>
            <w:r>
              <w:rPr>
                <w:spacing w:val="18"/>
                <w:w w:val="105"/>
                <w:sz w:val="22"/>
              </w:rPr>
              <w:t> </w:t>
            </w:r>
            <w:r>
              <w:rPr>
                <w:spacing w:val="-4"/>
                <w:w w:val="105"/>
                <w:sz w:val="22"/>
              </w:rPr>
              <w:t>ng/dL</w:t>
            </w:r>
          </w:p>
        </w:tc>
      </w:tr>
      <w:tr>
        <w:trPr>
          <w:trHeight w:val="554" w:hRule="atLeast"/>
        </w:trPr>
        <w:tc>
          <w:tcPr>
            <w:tcW w:w="3212" w:type="dxa"/>
            <w:tcBorders>
              <w:top w:val="single" w:sz="6" w:space="0" w:color="1C5349"/>
              <w:bottom w:val="single" w:sz="6" w:space="0" w:color="1C5349"/>
            </w:tcBorders>
          </w:tcPr>
          <w:p>
            <w:pPr>
              <w:pStyle w:val="TableParagraph"/>
              <w:rPr>
                <w:sz w:val="22"/>
              </w:rPr>
            </w:pPr>
            <w:r>
              <w:rPr>
                <w:spacing w:val="-2"/>
                <w:sz w:val="22"/>
              </w:rPr>
              <w:t>Androstenedione</w:t>
            </w:r>
          </w:p>
        </w:tc>
        <w:tc>
          <w:tcPr>
            <w:tcW w:w="2021" w:type="dxa"/>
            <w:tcBorders>
              <w:top w:val="single" w:sz="6" w:space="0" w:color="1C5349"/>
              <w:bottom w:val="single" w:sz="6" w:space="0" w:color="1C5349"/>
            </w:tcBorders>
          </w:tcPr>
          <w:p>
            <w:pPr>
              <w:pStyle w:val="TableParagraph"/>
              <w:ind w:left="247"/>
              <w:rPr>
                <w:sz w:val="22"/>
              </w:rPr>
            </w:pPr>
            <w:r>
              <w:rPr>
                <w:w w:val="105"/>
                <w:sz w:val="22"/>
              </w:rPr>
              <w:t>60-300</w:t>
            </w:r>
            <w:r>
              <w:rPr>
                <w:spacing w:val="16"/>
                <w:w w:val="105"/>
                <w:sz w:val="22"/>
              </w:rPr>
              <w:t> </w:t>
            </w:r>
            <w:r>
              <w:rPr>
                <w:spacing w:val="-2"/>
                <w:w w:val="105"/>
                <w:sz w:val="22"/>
              </w:rPr>
              <w:t>ng/dL</w:t>
            </w:r>
          </w:p>
        </w:tc>
        <w:tc>
          <w:tcPr>
            <w:tcW w:w="3917" w:type="dxa"/>
            <w:gridSpan w:val="2"/>
            <w:tcBorders>
              <w:top w:val="single" w:sz="6" w:space="0" w:color="1C5349"/>
              <w:bottom w:val="single" w:sz="6" w:space="0" w:color="1C5349"/>
            </w:tcBorders>
          </w:tcPr>
          <w:p>
            <w:pPr>
              <w:pStyle w:val="TableParagraph"/>
              <w:ind w:left="176"/>
              <w:rPr>
                <w:sz w:val="22"/>
              </w:rPr>
            </w:pPr>
            <w:r>
              <w:rPr>
                <w:w w:val="105"/>
                <w:sz w:val="22"/>
              </w:rPr>
              <w:t>30-150</w:t>
            </w:r>
            <w:r>
              <w:rPr>
                <w:spacing w:val="16"/>
                <w:w w:val="105"/>
                <w:sz w:val="22"/>
              </w:rPr>
              <w:t> </w:t>
            </w:r>
            <w:r>
              <w:rPr>
                <w:spacing w:val="-2"/>
                <w:w w:val="105"/>
                <w:sz w:val="22"/>
              </w:rPr>
              <w:t>ng/dL</w:t>
            </w:r>
          </w:p>
        </w:tc>
      </w:tr>
    </w:tbl>
    <w:p>
      <w:pPr>
        <w:pStyle w:val="BodyText"/>
        <w:spacing w:before="121"/>
        <w:ind w:left="0"/>
        <w:jc w:val="left"/>
      </w:pPr>
    </w:p>
    <w:p>
      <w:pPr>
        <w:pStyle w:val="BodyText"/>
        <w:spacing w:line="249" w:lineRule="auto" w:before="0"/>
        <w:ind w:right="105" w:firstLine="450"/>
      </w:pPr>
      <w:r>
        <w:rPr/>
        <w:t>Eventually, the ovarian steroidogenic tissue is exhausted and, despite huge reactive increments in FSH and LH, no further steroidogenesis </w:t>
      </w:r>
      <w:r>
        <w:rPr/>
        <w:t>of importance</w:t>
      </w:r>
      <w:r>
        <w:rPr>
          <w:spacing w:val="-8"/>
        </w:rPr>
        <w:t> </w:t>
      </w:r>
      <w:r>
        <w:rPr/>
        <w:t>results</w:t>
      </w:r>
      <w:r>
        <w:rPr>
          <w:spacing w:val="-8"/>
        </w:rPr>
        <w:t> </w:t>
      </w:r>
      <w:r>
        <w:rPr/>
        <w:t>from</w:t>
      </w:r>
      <w:r>
        <w:rPr>
          <w:spacing w:val="-8"/>
        </w:rPr>
        <w:t> </w:t>
      </w:r>
      <w:r>
        <w:rPr/>
        <w:t>gonadal</w:t>
      </w:r>
      <w:r>
        <w:rPr>
          <w:spacing w:val="-8"/>
        </w:rPr>
        <w:t> </w:t>
      </w:r>
      <w:r>
        <w:rPr/>
        <w:t>activity.</w:t>
      </w:r>
      <w:r>
        <w:rPr>
          <w:spacing w:val="-8"/>
        </w:rPr>
        <w:t> </w:t>
      </w:r>
      <w:r>
        <w:rPr/>
        <w:t>The</w:t>
      </w:r>
      <w:r>
        <w:rPr>
          <w:spacing w:val="-8"/>
        </w:rPr>
        <w:t> </w:t>
      </w:r>
      <w:r>
        <w:rPr/>
        <w:t>postmenopausal</w:t>
      </w:r>
      <w:r>
        <w:rPr>
          <w:spacing w:val="-8"/>
        </w:rPr>
        <w:t> </w:t>
      </w:r>
      <w:r>
        <w:rPr/>
        <w:t>ovary</w:t>
      </w:r>
      <w:r>
        <w:rPr>
          <w:spacing w:val="-8"/>
        </w:rPr>
        <w:t> </w:t>
      </w:r>
      <w:r>
        <w:rPr/>
        <w:t>weighs less than 10 g, but it can be visualized by ultrasonography.</w:t>
      </w:r>
      <w:r>
        <w:rPr>
          <w:vertAlign w:val="superscript"/>
        </w:rPr>
        <w:t>172</w:t>
      </w:r>
      <w:r>
        <w:rPr>
          <w:vertAlign w:val="baseline"/>
        </w:rPr>
        <w:t> With increasing age, the adrenal contribution of precursors for estrogen production</w:t>
      </w:r>
      <w:r>
        <w:rPr>
          <w:spacing w:val="48"/>
          <w:vertAlign w:val="baseline"/>
        </w:rPr>
        <w:t> </w:t>
      </w:r>
      <w:r>
        <w:rPr>
          <w:vertAlign w:val="baseline"/>
        </w:rPr>
        <w:t>proves</w:t>
      </w:r>
      <w:r>
        <w:rPr>
          <w:spacing w:val="50"/>
          <w:vertAlign w:val="baseline"/>
        </w:rPr>
        <w:t> </w:t>
      </w:r>
      <w:r>
        <w:rPr>
          <w:vertAlign w:val="baseline"/>
        </w:rPr>
        <w:t>inadequate.</w:t>
      </w:r>
      <w:r>
        <w:rPr>
          <w:spacing w:val="49"/>
          <w:vertAlign w:val="baseline"/>
        </w:rPr>
        <w:t> </w:t>
      </w:r>
      <w:r>
        <w:rPr>
          <w:vertAlign w:val="baseline"/>
        </w:rPr>
        <w:t>In</w:t>
      </w:r>
      <w:r>
        <w:rPr>
          <w:spacing w:val="55"/>
          <w:vertAlign w:val="baseline"/>
        </w:rPr>
        <w:t> </w:t>
      </w:r>
      <w:r>
        <w:rPr>
          <w:vertAlign w:val="baseline"/>
        </w:rPr>
        <w:t>this</w:t>
      </w:r>
      <w:r>
        <w:rPr>
          <w:spacing w:val="55"/>
          <w:vertAlign w:val="baseline"/>
        </w:rPr>
        <w:t> </w:t>
      </w:r>
      <w:r>
        <w:rPr>
          <w:vertAlign w:val="baseline"/>
        </w:rPr>
        <w:t>final</w:t>
      </w:r>
      <w:r>
        <w:rPr>
          <w:spacing w:val="55"/>
          <w:vertAlign w:val="baseline"/>
        </w:rPr>
        <w:t> </w:t>
      </w:r>
      <w:r>
        <w:rPr>
          <w:vertAlign w:val="baseline"/>
        </w:rPr>
        <w:t>stage</w:t>
      </w:r>
      <w:r>
        <w:rPr>
          <w:spacing w:val="55"/>
          <w:vertAlign w:val="baseline"/>
        </w:rPr>
        <w:t> </w:t>
      </w:r>
      <w:r>
        <w:rPr>
          <w:vertAlign w:val="baseline"/>
        </w:rPr>
        <w:t>of</w:t>
      </w:r>
      <w:r>
        <w:rPr>
          <w:spacing w:val="55"/>
          <w:vertAlign w:val="baseline"/>
        </w:rPr>
        <w:t> </w:t>
      </w:r>
      <w:r>
        <w:rPr>
          <w:vertAlign w:val="baseline"/>
        </w:rPr>
        <w:t>estrogen</w:t>
      </w:r>
      <w:r>
        <w:rPr>
          <w:spacing w:val="55"/>
          <w:vertAlign w:val="baseline"/>
        </w:rPr>
        <w:t> </w:t>
      </w:r>
      <w:r>
        <w:rPr>
          <w:spacing w:val="-2"/>
          <w:vertAlign w:val="baseline"/>
        </w:rPr>
        <w:t>availability,</w:t>
      </w:r>
    </w:p>
    <w:p>
      <w:pPr>
        <w:pStyle w:val="BodyText"/>
        <w:spacing w:after="0" w:line="249" w:lineRule="auto"/>
        <w:sectPr>
          <w:pgSz w:w="12240" w:h="15840"/>
          <w:pgMar w:top="1380" w:bottom="280" w:left="1440" w:right="1440"/>
        </w:sectPr>
      </w:pPr>
    </w:p>
    <w:p>
      <w:pPr>
        <w:pStyle w:val="BodyText"/>
        <w:spacing w:line="249" w:lineRule="auto"/>
        <w:jc w:val="left"/>
      </w:pPr>
      <w:r>
        <w:rPr/>
        <w:t>levels</w:t>
      </w:r>
      <w:r>
        <w:rPr>
          <w:spacing w:val="80"/>
          <w:w w:val="150"/>
        </w:rPr>
        <w:t> </w:t>
      </w:r>
      <w:r>
        <w:rPr/>
        <w:t>are</w:t>
      </w:r>
      <w:r>
        <w:rPr>
          <w:spacing w:val="80"/>
          <w:w w:val="150"/>
        </w:rPr>
        <w:t> </w:t>
      </w:r>
      <w:r>
        <w:rPr/>
        <w:t>insufficient</w:t>
      </w:r>
      <w:r>
        <w:rPr>
          <w:spacing w:val="80"/>
          <w:w w:val="150"/>
        </w:rPr>
        <w:t> </w:t>
      </w:r>
      <w:r>
        <w:rPr/>
        <w:t>to</w:t>
      </w:r>
      <w:r>
        <w:rPr>
          <w:spacing w:val="80"/>
          <w:w w:val="150"/>
        </w:rPr>
        <w:t> </w:t>
      </w:r>
      <w:r>
        <w:rPr/>
        <w:t>sustain</w:t>
      </w:r>
      <w:r>
        <w:rPr>
          <w:spacing w:val="80"/>
          <w:w w:val="150"/>
        </w:rPr>
        <w:t> </w:t>
      </w:r>
      <w:r>
        <w:rPr/>
        <w:t>secondary</w:t>
      </w:r>
      <w:r>
        <w:rPr>
          <w:spacing w:val="80"/>
          <w:w w:val="150"/>
        </w:rPr>
        <w:t> </w:t>
      </w:r>
      <w:r>
        <w:rPr/>
        <w:t>sex</w:t>
      </w:r>
      <w:r>
        <w:rPr>
          <w:spacing w:val="80"/>
          <w:w w:val="150"/>
        </w:rPr>
        <w:t> </w:t>
      </w:r>
      <w:r>
        <w:rPr/>
        <w:t>tissues,</w:t>
      </w:r>
      <w:r>
        <w:rPr>
          <w:spacing w:val="80"/>
          <w:w w:val="150"/>
        </w:rPr>
        <w:t> </w:t>
      </w:r>
      <w:r>
        <w:rPr/>
        <w:t>such</w:t>
      </w:r>
      <w:r>
        <w:rPr>
          <w:spacing w:val="80"/>
          <w:w w:val="150"/>
        </w:rPr>
        <w:t> </w:t>
      </w:r>
      <w:r>
        <w:rPr/>
        <w:t>as</w:t>
      </w:r>
      <w:r>
        <w:rPr>
          <w:spacing w:val="80"/>
          <w:w w:val="150"/>
        </w:rPr>
        <w:t> </w:t>
      </w:r>
      <w:r>
        <w:rPr/>
        <w:t>the genitourinary epithelium </w:t>
      </w:r>
      <w:r>
        <w:rPr>
          <w:b/>
          <w:color w:val="256E60"/>
        </w:rPr>
        <w:t>(Figure 21.9)</w:t>
      </w:r>
      <w:r>
        <w:rPr/>
        <w:t>.</w:t>
      </w:r>
    </w:p>
    <w:p>
      <w:pPr>
        <w:pStyle w:val="BodyText"/>
        <w:spacing w:before="0"/>
        <w:ind w:left="0"/>
        <w:jc w:val="left"/>
        <w:rPr>
          <w:sz w:val="20"/>
        </w:rPr>
      </w:pPr>
    </w:p>
    <w:p>
      <w:pPr>
        <w:pStyle w:val="BodyText"/>
        <w:spacing w:before="113"/>
        <w:ind w:left="0"/>
        <w:jc w:val="left"/>
        <w:rPr>
          <w:sz w:val="20"/>
        </w:rPr>
      </w:pPr>
      <w:r>
        <w:rPr>
          <w:sz w:val="20"/>
        </w:rPr>
        <w:drawing>
          <wp:anchor distT="0" distB="0" distL="0" distR="0" allowOverlap="1" layoutInCell="1" locked="0" behindDoc="1" simplePos="0" relativeHeight="487604736">
            <wp:simplePos x="0" y="0"/>
            <wp:positionH relativeFrom="page">
              <wp:posOffset>981075</wp:posOffset>
            </wp:positionH>
            <wp:positionV relativeFrom="paragraph">
              <wp:posOffset>233350</wp:posOffset>
            </wp:positionV>
            <wp:extent cx="5438774" cy="470535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6" cstate="print"/>
                    <a:stretch>
                      <a:fillRect/>
                    </a:stretch>
                  </pic:blipFill>
                  <pic:spPr>
                    <a:xfrm>
                      <a:off x="0" y="0"/>
                      <a:ext cx="5438774" cy="47053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5248">
                <wp:simplePos x="0" y="0"/>
                <wp:positionH relativeFrom="page">
                  <wp:posOffset>981075</wp:posOffset>
                </wp:positionH>
                <wp:positionV relativeFrom="paragraph">
                  <wp:posOffset>5129200</wp:posOffset>
                </wp:positionV>
                <wp:extent cx="856615" cy="571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856615" cy="57150"/>
                        </a:xfrm>
                        <a:custGeom>
                          <a:avLst/>
                          <a:gdLst/>
                          <a:ahLst/>
                          <a:cxnLst/>
                          <a:rect l="l" t="t" r="r" b="b"/>
                          <a:pathLst>
                            <a:path w="856615" h="57150">
                              <a:moveTo>
                                <a:pt x="32364" y="57130"/>
                              </a:moveTo>
                              <a:lnTo>
                                <a:pt x="24785" y="57130"/>
                              </a:lnTo>
                              <a:lnTo>
                                <a:pt x="21140" y="56387"/>
                              </a:lnTo>
                              <a:lnTo>
                                <a:pt x="0" y="32346"/>
                              </a:lnTo>
                              <a:lnTo>
                                <a:pt x="0" y="24764"/>
                              </a:lnTo>
                              <a:lnTo>
                                <a:pt x="725" y="21116"/>
                              </a:lnTo>
                              <a:lnTo>
                                <a:pt x="3625" y="14096"/>
                              </a:lnTo>
                              <a:lnTo>
                                <a:pt x="5689" y="11010"/>
                              </a:lnTo>
                              <a:lnTo>
                                <a:pt x="8369" y="8353"/>
                              </a:lnTo>
                              <a:lnTo>
                                <a:pt x="11048" y="5657"/>
                              </a:lnTo>
                              <a:lnTo>
                                <a:pt x="14138" y="3590"/>
                              </a:lnTo>
                              <a:lnTo>
                                <a:pt x="21236" y="704"/>
                              </a:lnTo>
                              <a:lnTo>
                                <a:pt x="24785" y="0"/>
                              </a:lnTo>
                              <a:lnTo>
                                <a:pt x="32364" y="0"/>
                              </a:lnTo>
                              <a:lnTo>
                                <a:pt x="36009" y="704"/>
                              </a:lnTo>
                              <a:lnTo>
                                <a:pt x="43010" y="3590"/>
                              </a:lnTo>
                              <a:lnTo>
                                <a:pt x="46101" y="5657"/>
                              </a:lnTo>
                              <a:lnTo>
                                <a:pt x="48780" y="8353"/>
                              </a:lnTo>
                              <a:lnTo>
                                <a:pt x="51459" y="11010"/>
                              </a:lnTo>
                              <a:lnTo>
                                <a:pt x="53524" y="14096"/>
                              </a:lnTo>
                              <a:lnTo>
                                <a:pt x="56424" y="21116"/>
                              </a:lnTo>
                              <a:lnTo>
                                <a:pt x="57149" y="24764"/>
                              </a:lnTo>
                              <a:lnTo>
                                <a:pt x="57149" y="32346"/>
                              </a:lnTo>
                              <a:lnTo>
                                <a:pt x="36009" y="56387"/>
                              </a:lnTo>
                              <a:lnTo>
                                <a:pt x="32364" y="57130"/>
                              </a:lnTo>
                              <a:close/>
                            </a:path>
                            <a:path w="856615" h="57150">
                              <a:moveTo>
                                <a:pt x="146569" y="57130"/>
                              </a:moveTo>
                              <a:lnTo>
                                <a:pt x="138990" y="57130"/>
                              </a:lnTo>
                              <a:lnTo>
                                <a:pt x="135345" y="56387"/>
                              </a:lnTo>
                              <a:lnTo>
                                <a:pt x="114204" y="32346"/>
                              </a:lnTo>
                              <a:lnTo>
                                <a:pt x="114204" y="24764"/>
                              </a:lnTo>
                              <a:lnTo>
                                <a:pt x="114929" y="21116"/>
                              </a:lnTo>
                              <a:lnTo>
                                <a:pt x="117829" y="14096"/>
                              </a:lnTo>
                              <a:lnTo>
                                <a:pt x="119894" y="11010"/>
                              </a:lnTo>
                              <a:lnTo>
                                <a:pt x="122574" y="8353"/>
                              </a:lnTo>
                              <a:lnTo>
                                <a:pt x="125253" y="5657"/>
                              </a:lnTo>
                              <a:lnTo>
                                <a:pt x="128343" y="3590"/>
                              </a:lnTo>
                              <a:lnTo>
                                <a:pt x="135441" y="704"/>
                              </a:lnTo>
                              <a:lnTo>
                                <a:pt x="138990" y="0"/>
                              </a:lnTo>
                              <a:lnTo>
                                <a:pt x="146569" y="0"/>
                              </a:lnTo>
                              <a:lnTo>
                                <a:pt x="150214" y="704"/>
                              </a:lnTo>
                              <a:lnTo>
                                <a:pt x="157215" y="3590"/>
                              </a:lnTo>
                              <a:lnTo>
                                <a:pt x="160305" y="5657"/>
                              </a:lnTo>
                              <a:lnTo>
                                <a:pt x="162985" y="8353"/>
                              </a:lnTo>
                              <a:lnTo>
                                <a:pt x="165664" y="11010"/>
                              </a:lnTo>
                              <a:lnTo>
                                <a:pt x="167729" y="14096"/>
                              </a:lnTo>
                              <a:lnTo>
                                <a:pt x="170629" y="21116"/>
                              </a:lnTo>
                              <a:lnTo>
                                <a:pt x="171354" y="24764"/>
                              </a:lnTo>
                              <a:lnTo>
                                <a:pt x="171354" y="32346"/>
                              </a:lnTo>
                              <a:lnTo>
                                <a:pt x="150214" y="56387"/>
                              </a:lnTo>
                              <a:lnTo>
                                <a:pt x="146569" y="57130"/>
                              </a:lnTo>
                              <a:close/>
                            </a:path>
                            <a:path w="856615" h="57150">
                              <a:moveTo>
                                <a:pt x="260773" y="57130"/>
                              </a:moveTo>
                              <a:lnTo>
                                <a:pt x="253195" y="57130"/>
                              </a:lnTo>
                              <a:lnTo>
                                <a:pt x="249550" y="56387"/>
                              </a:lnTo>
                              <a:lnTo>
                                <a:pt x="228409" y="32346"/>
                              </a:lnTo>
                              <a:lnTo>
                                <a:pt x="228409" y="24764"/>
                              </a:lnTo>
                              <a:lnTo>
                                <a:pt x="229134" y="21116"/>
                              </a:lnTo>
                              <a:lnTo>
                                <a:pt x="232034" y="14096"/>
                              </a:lnTo>
                              <a:lnTo>
                                <a:pt x="234099" y="11010"/>
                              </a:lnTo>
                              <a:lnTo>
                                <a:pt x="236778" y="8353"/>
                              </a:lnTo>
                              <a:lnTo>
                                <a:pt x="239458" y="5657"/>
                              </a:lnTo>
                              <a:lnTo>
                                <a:pt x="242548" y="3590"/>
                              </a:lnTo>
                              <a:lnTo>
                                <a:pt x="249646" y="704"/>
                              </a:lnTo>
                              <a:lnTo>
                                <a:pt x="253195" y="0"/>
                              </a:lnTo>
                              <a:lnTo>
                                <a:pt x="260773" y="0"/>
                              </a:lnTo>
                              <a:lnTo>
                                <a:pt x="264418" y="704"/>
                              </a:lnTo>
                              <a:lnTo>
                                <a:pt x="271420" y="3590"/>
                              </a:lnTo>
                              <a:lnTo>
                                <a:pt x="274510" y="5657"/>
                              </a:lnTo>
                              <a:lnTo>
                                <a:pt x="277190" y="8353"/>
                              </a:lnTo>
                              <a:lnTo>
                                <a:pt x="279869" y="11010"/>
                              </a:lnTo>
                              <a:lnTo>
                                <a:pt x="281934" y="14096"/>
                              </a:lnTo>
                              <a:lnTo>
                                <a:pt x="284834" y="21116"/>
                              </a:lnTo>
                              <a:lnTo>
                                <a:pt x="285559" y="24764"/>
                              </a:lnTo>
                              <a:lnTo>
                                <a:pt x="285559" y="32346"/>
                              </a:lnTo>
                              <a:lnTo>
                                <a:pt x="264418" y="56387"/>
                              </a:lnTo>
                              <a:lnTo>
                                <a:pt x="260773" y="57130"/>
                              </a:lnTo>
                              <a:close/>
                            </a:path>
                            <a:path w="856615" h="57150">
                              <a:moveTo>
                                <a:pt x="374978" y="57130"/>
                              </a:moveTo>
                              <a:lnTo>
                                <a:pt x="367399" y="57130"/>
                              </a:lnTo>
                              <a:lnTo>
                                <a:pt x="363754" y="56387"/>
                              </a:lnTo>
                              <a:lnTo>
                                <a:pt x="342614" y="32346"/>
                              </a:lnTo>
                              <a:lnTo>
                                <a:pt x="342614" y="24764"/>
                              </a:lnTo>
                              <a:lnTo>
                                <a:pt x="343339" y="21116"/>
                              </a:lnTo>
                              <a:lnTo>
                                <a:pt x="346239" y="14096"/>
                              </a:lnTo>
                              <a:lnTo>
                                <a:pt x="348304" y="11010"/>
                              </a:lnTo>
                              <a:lnTo>
                                <a:pt x="350983" y="8353"/>
                              </a:lnTo>
                              <a:lnTo>
                                <a:pt x="353663" y="5657"/>
                              </a:lnTo>
                              <a:lnTo>
                                <a:pt x="356753" y="3590"/>
                              </a:lnTo>
                              <a:lnTo>
                                <a:pt x="363850" y="704"/>
                              </a:lnTo>
                              <a:lnTo>
                                <a:pt x="367399" y="0"/>
                              </a:lnTo>
                              <a:lnTo>
                                <a:pt x="374978" y="0"/>
                              </a:lnTo>
                              <a:lnTo>
                                <a:pt x="378623" y="704"/>
                              </a:lnTo>
                              <a:lnTo>
                                <a:pt x="385625" y="3590"/>
                              </a:lnTo>
                              <a:lnTo>
                                <a:pt x="388715" y="5657"/>
                              </a:lnTo>
                              <a:lnTo>
                                <a:pt x="391394" y="8353"/>
                              </a:lnTo>
                              <a:lnTo>
                                <a:pt x="394074" y="11010"/>
                              </a:lnTo>
                              <a:lnTo>
                                <a:pt x="396138" y="14096"/>
                              </a:lnTo>
                              <a:lnTo>
                                <a:pt x="399039" y="21116"/>
                              </a:lnTo>
                              <a:lnTo>
                                <a:pt x="399764" y="24764"/>
                              </a:lnTo>
                              <a:lnTo>
                                <a:pt x="399764" y="32346"/>
                              </a:lnTo>
                              <a:lnTo>
                                <a:pt x="378623" y="56387"/>
                              </a:lnTo>
                              <a:lnTo>
                                <a:pt x="374978" y="57130"/>
                              </a:lnTo>
                              <a:close/>
                            </a:path>
                            <a:path w="856615" h="57150">
                              <a:moveTo>
                                <a:pt x="489183" y="57130"/>
                              </a:moveTo>
                              <a:lnTo>
                                <a:pt x="481604" y="57130"/>
                              </a:lnTo>
                              <a:lnTo>
                                <a:pt x="477959" y="56387"/>
                              </a:lnTo>
                              <a:lnTo>
                                <a:pt x="456818" y="32346"/>
                              </a:lnTo>
                              <a:lnTo>
                                <a:pt x="456818" y="24764"/>
                              </a:lnTo>
                              <a:lnTo>
                                <a:pt x="457543" y="21116"/>
                              </a:lnTo>
                              <a:lnTo>
                                <a:pt x="460444" y="14096"/>
                              </a:lnTo>
                              <a:lnTo>
                                <a:pt x="462508" y="11010"/>
                              </a:lnTo>
                              <a:lnTo>
                                <a:pt x="465188" y="8353"/>
                              </a:lnTo>
                              <a:lnTo>
                                <a:pt x="467867" y="5657"/>
                              </a:lnTo>
                              <a:lnTo>
                                <a:pt x="470957" y="3590"/>
                              </a:lnTo>
                              <a:lnTo>
                                <a:pt x="478055" y="704"/>
                              </a:lnTo>
                              <a:lnTo>
                                <a:pt x="481604" y="0"/>
                              </a:lnTo>
                              <a:lnTo>
                                <a:pt x="489183" y="0"/>
                              </a:lnTo>
                              <a:lnTo>
                                <a:pt x="492828" y="704"/>
                              </a:lnTo>
                              <a:lnTo>
                                <a:pt x="499829" y="3590"/>
                              </a:lnTo>
                              <a:lnTo>
                                <a:pt x="502920" y="5657"/>
                              </a:lnTo>
                              <a:lnTo>
                                <a:pt x="505599" y="8353"/>
                              </a:lnTo>
                              <a:lnTo>
                                <a:pt x="508278" y="11010"/>
                              </a:lnTo>
                              <a:lnTo>
                                <a:pt x="510343" y="14096"/>
                              </a:lnTo>
                              <a:lnTo>
                                <a:pt x="513243" y="21116"/>
                              </a:lnTo>
                              <a:lnTo>
                                <a:pt x="513968" y="24764"/>
                              </a:lnTo>
                              <a:lnTo>
                                <a:pt x="513968" y="32346"/>
                              </a:lnTo>
                              <a:lnTo>
                                <a:pt x="492828" y="56387"/>
                              </a:lnTo>
                              <a:lnTo>
                                <a:pt x="489183" y="57130"/>
                              </a:lnTo>
                              <a:close/>
                            </a:path>
                            <a:path w="856615" h="57150">
                              <a:moveTo>
                                <a:pt x="603387" y="57130"/>
                              </a:moveTo>
                              <a:lnTo>
                                <a:pt x="595809" y="57130"/>
                              </a:lnTo>
                              <a:lnTo>
                                <a:pt x="592164" y="56387"/>
                              </a:lnTo>
                              <a:lnTo>
                                <a:pt x="571023" y="32346"/>
                              </a:lnTo>
                              <a:lnTo>
                                <a:pt x="571023" y="24764"/>
                              </a:lnTo>
                              <a:lnTo>
                                <a:pt x="571748" y="21116"/>
                              </a:lnTo>
                              <a:lnTo>
                                <a:pt x="574648" y="14096"/>
                              </a:lnTo>
                              <a:lnTo>
                                <a:pt x="576713" y="11010"/>
                              </a:lnTo>
                              <a:lnTo>
                                <a:pt x="579393" y="8353"/>
                              </a:lnTo>
                              <a:lnTo>
                                <a:pt x="582072" y="5657"/>
                              </a:lnTo>
                              <a:lnTo>
                                <a:pt x="585162" y="3590"/>
                              </a:lnTo>
                              <a:lnTo>
                                <a:pt x="592260" y="704"/>
                              </a:lnTo>
                              <a:lnTo>
                                <a:pt x="595809" y="0"/>
                              </a:lnTo>
                              <a:lnTo>
                                <a:pt x="603387" y="0"/>
                              </a:lnTo>
                              <a:lnTo>
                                <a:pt x="607032" y="704"/>
                              </a:lnTo>
                              <a:lnTo>
                                <a:pt x="614034" y="3590"/>
                              </a:lnTo>
                              <a:lnTo>
                                <a:pt x="617124" y="5657"/>
                              </a:lnTo>
                              <a:lnTo>
                                <a:pt x="619804" y="8353"/>
                              </a:lnTo>
                              <a:lnTo>
                                <a:pt x="622483" y="11010"/>
                              </a:lnTo>
                              <a:lnTo>
                                <a:pt x="624548" y="14096"/>
                              </a:lnTo>
                              <a:lnTo>
                                <a:pt x="627448" y="21116"/>
                              </a:lnTo>
                              <a:lnTo>
                                <a:pt x="628173" y="24764"/>
                              </a:lnTo>
                              <a:lnTo>
                                <a:pt x="628173" y="32346"/>
                              </a:lnTo>
                              <a:lnTo>
                                <a:pt x="607032" y="56387"/>
                              </a:lnTo>
                              <a:lnTo>
                                <a:pt x="603387" y="57130"/>
                              </a:lnTo>
                              <a:close/>
                            </a:path>
                            <a:path w="856615" h="57150">
                              <a:moveTo>
                                <a:pt x="717592" y="57130"/>
                              </a:moveTo>
                              <a:lnTo>
                                <a:pt x="710014" y="57130"/>
                              </a:lnTo>
                              <a:lnTo>
                                <a:pt x="706369" y="56387"/>
                              </a:lnTo>
                              <a:lnTo>
                                <a:pt x="685228" y="32346"/>
                              </a:lnTo>
                              <a:lnTo>
                                <a:pt x="685228" y="24764"/>
                              </a:lnTo>
                              <a:lnTo>
                                <a:pt x="685953" y="21116"/>
                              </a:lnTo>
                              <a:lnTo>
                                <a:pt x="688853" y="14096"/>
                              </a:lnTo>
                              <a:lnTo>
                                <a:pt x="690918" y="11010"/>
                              </a:lnTo>
                              <a:lnTo>
                                <a:pt x="693597" y="8353"/>
                              </a:lnTo>
                              <a:lnTo>
                                <a:pt x="696277" y="5657"/>
                              </a:lnTo>
                              <a:lnTo>
                                <a:pt x="699367" y="3590"/>
                              </a:lnTo>
                              <a:lnTo>
                                <a:pt x="706465" y="704"/>
                              </a:lnTo>
                              <a:lnTo>
                                <a:pt x="710014" y="0"/>
                              </a:lnTo>
                              <a:lnTo>
                                <a:pt x="717592" y="0"/>
                              </a:lnTo>
                              <a:lnTo>
                                <a:pt x="721237" y="704"/>
                              </a:lnTo>
                              <a:lnTo>
                                <a:pt x="728239" y="3590"/>
                              </a:lnTo>
                              <a:lnTo>
                                <a:pt x="731329" y="5657"/>
                              </a:lnTo>
                              <a:lnTo>
                                <a:pt x="734009" y="8353"/>
                              </a:lnTo>
                              <a:lnTo>
                                <a:pt x="736688" y="11010"/>
                              </a:lnTo>
                              <a:lnTo>
                                <a:pt x="738753" y="14096"/>
                              </a:lnTo>
                              <a:lnTo>
                                <a:pt x="741653" y="21116"/>
                              </a:lnTo>
                              <a:lnTo>
                                <a:pt x="742378" y="24764"/>
                              </a:lnTo>
                              <a:lnTo>
                                <a:pt x="742378" y="32346"/>
                              </a:lnTo>
                              <a:lnTo>
                                <a:pt x="721237" y="56387"/>
                              </a:lnTo>
                              <a:lnTo>
                                <a:pt x="717592" y="57130"/>
                              </a:lnTo>
                              <a:close/>
                            </a:path>
                            <a:path w="856615" h="57150">
                              <a:moveTo>
                                <a:pt x="831797" y="57130"/>
                              </a:moveTo>
                              <a:lnTo>
                                <a:pt x="824218" y="57130"/>
                              </a:lnTo>
                              <a:lnTo>
                                <a:pt x="820573" y="56387"/>
                              </a:lnTo>
                              <a:lnTo>
                                <a:pt x="799433" y="32346"/>
                              </a:lnTo>
                              <a:lnTo>
                                <a:pt x="799433" y="24764"/>
                              </a:lnTo>
                              <a:lnTo>
                                <a:pt x="800158" y="21116"/>
                              </a:lnTo>
                              <a:lnTo>
                                <a:pt x="803058" y="14096"/>
                              </a:lnTo>
                              <a:lnTo>
                                <a:pt x="805123" y="11010"/>
                              </a:lnTo>
                              <a:lnTo>
                                <a:pt x="807802" y="8353"/>
                              </a:lnTo>
                              <a:lnTo>
                                <a:pt x="810481" y="5657"/>
                              </a:lnTo>
                              <a:lnTo>
                                <a:pt x="813572" y="3590"/>
                              </a:lnTo>
                              <a:lnTo>
                                <a:pt x="820669" y="704"/>
                              </a:lnTo>
                              <a:lnTo>
                                <a:pt x="824218" y="0"/>
                              </a:lnTo>
                              <a:lnTo>
                                <a:pt x="831797" y="0"/>
                              </a:lnTo>
                              <a:lnTo>
                                <a:pt x="835442" y="704"/>
                              </a:lnTo>
                              <a:lnTo>
                                <a:pt x="842444" y="3590"/>
                              </a:lnTo>
                              <a:lnTo>
                                <a:pt x="845534" y="5657"/>
                              </a:lnTo>
                              <a:lnTo>
                                <a:pt x="848213" y="8353"/>
                              </a:lnTo>
                              <a:lnTo>
                                <a:pt x="850893" y="11010"/>
                              </a:lnTo>
                              <a:lnTo>
                                <a:pt x="852957" y="14096"/>
                              </a:lnTo>
                              <a:lnTo>
                                <a:pt x="855858" y="21116"/>
                              </a:lnTo>
                              <a:lnTo>
                                <a:pt x="856583" y="24764"/>
                              </a:lnTo>
                              <a:lnTo>
                                <a:pt x="856583" y="32346"/>
                              </a:lnTo>
                              <a:lnTo>
                                <a:pt x="835442" y="56387"/>
                              </a:lnTo>
                              <a:lnTo>
                                <a:pt x="831797" y="57130"/>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403.874054pt;width:67.45pt;height:4.5pt;mso-position-horizontal-relative:page;mso-position-vertical-relative:paragraph;z-index:-15711232;mso-wrap-distance-left:0;mso-wrap-distance-right:0" id="docshape33" coordorigin="1545,8077" coordsize="1349,90" path="m1596,8167l1584,8167,1578,8166,1567,8162,1562,8158,1554,8150,1551,8145,1546,8134,1545,8128,1545,8116,1546,8111,1551,8100,1554,8095,1558,8091,1562,8086,1567,8083,1578,8079,1584,8077,1596,8077,1602,8079,1613,8083,1618,8086,1622,8091,1626,8095,1629,8100,1634,8111,1635,8116,1635,8128,1634,8134,1629,8145,1626,8150,1618,8158,1613,8162,1602,8166,1596,8167xm1776,8167l1764,8167,1758,8166,1747,8162,1742,8158,1734,8150,1731,8145,1726,8134,1725,8128,1725,8116,1726,8111,1731,8100,1734,8095,1738,8091,1742,8086,1747,8083,1758,8079,1764,8077,1776,8077,1782,8079,1793,8083,1797,8086,1802,8091,1806,8095,1809,8100,1814,8111,1815,8116,1815,8128,1814,8134,1809,8145,1806,8150,1797,8158,1793,8162,1782,8166,1776,8167xm1956,8167l1944,8167,1938,8166,1927,8162,1922,8158,1914,8150,1910,8145,1906,8134,1905,8128,1905,8116,1906,8111,1910,8100,1914,8095,1918,8091,1922,8086,1927,8083,1938,8079,1944,8077,1956,8077,1961,8079,1972,8083,1977,8086,1982,8091,1986,8095,1989,8100,1994,8111,1995,8116,1995,8128,1994,8134,1989,8145,1986,8150,1977,8158,1972,8162,1961,8166,1956,8167xm2136,8167l2124,8167,2118,8166,2107,8162,2102,8158,2094,8150,2090,8145,2086,8134,2085,8128,2085,8116,2086,8111,2090,8100,2094,8095,2098,8091,2102,8086,2107,8083,2118,8079,2124,8077,2136,8077,2141,8079,2152,8083,2157,8086,2161,8091,2166,8095,2169,8100,2173,8111,2175,8116,2175,8128,2173,8134,2169,8145,2166,8150,2157,8158,2152,8162,2141,8166,2136,8167xm2315,8167l2303,8167,2298,8166,2287,8162,2282,8158,2273,8150,2270,8145,2266,8134,2264,8128,2264,8116,2266,8111,2270,8100,2273,8095,2278,8091,2282,8086,2287,8083,2298,8079,2303,8077,2315,8077,2321,8079,2332,8083,2337,8086,2341,8091,2345,8095,2349,8100,2353,8111,2354,8116,2354,8128,2353,8134,2349,8145,2345,8150,2337,8158,2332,8162,2321,8166,2315,8167xm2495,8167l2483,8167,2478,8166,2467,8162,2462,8158,2453,8150,2450,8145,2445,8134,2444,8128,2444,8116,2445,8111,2450,8100,2453,8095,2457,8091,2462,8086,2467,8083,2478,8079,2483,8077,2495,8077,2501,8079,2512,8083,2517,8086,2521,8091,2525,8095,2529,8100,2533,8111,2534,8116,2534,8128,2533,8134,2529,8145,2525,8150,2517,8158,2512,8162,2501,8166,2495,8167xm2675,8167l2663,8167,2657,8166,2646,8162,2641,8158,2633,8150,2630,8145,2625,8134,2624,8128,2624,8116,2625,8111,2630,8100,2633,8095,2637,8091,2641,8086,2646,8083,2658,8079,2663,8077,2675,8077,2681,8079,2692,8083,2697,8086,2701,8091,2705,8095,2708,8100,2713,8111,2714,8116,2714,8128,2713,8134,2708,8145,2705,8150,2697,8158,2692,8162,2681,8166,2675,8167xm2855,8167l2843,8167,2837,8166,2826,8162,2821,8158,2813,8150,2810,8145,2805,8134,2804,8128,2804,8116,2805,8111,2810,8100,2813,8095,2817,8091,2821,8086,2826,8083,2837,8079,2843,8077,2855,8077,2861,8079,2872,8083,2877,8086,2881,8091,2885,8095,2888,8100,2893,8111,2894,8116,2894,8128,2893,8134,2888,8145,2885,8150,2877,8158,2872,8162,2861,8166,2855,8167xe" filled="true" fillcolor="#2b816f" stroked="false">
                <v:path arrowok="t"/>
                <v:fill type="solid"/>
                <w10:wrap type="topAndBottom"/>
              </v:shape>
            </w:pict>
          </mc:Fallback>
        </mc:AlternateContent>
      </w:r>
    </w:p>
    <w:p>
      <w:pPr>
        <w:pStyle w:val="BodyText"/>
        <w:spacing w:before="46"/>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21.9</w:t>
      </w:r>
    </w:p>
    <w:p>
      <w:pPr>
        <w:pStyle w:val="BodyText"/>
        <w:spacing w:before="216"/>
        <w:ind w:left="0"/>
        <w:jc w:val="left"/>
        <w:rPr>
          <w:rFonts w:ascii="Arial"/>
          <w:b/>
          <w:sz w:val="22"/>
        </w:rPr>
      </w:pPr>
    </w:p>
    <w:p>
      <w:pPr>
        <w:pStyle w:val="BodyText"/>
        <w:spacing w:line="249" w:lineRule="auto" w:before="0"/>
        <w:ind w:right="104" w:firstLine="450"/>
      </w:pPr>
      <w:r>
        <w:rPr/>
        <w:t>In summary, the shift in the endocrine milieu from estrogen dominance of premenopause to the hypoestrogenic and relatively </w:t>
      </w:r>
      <w:r>
        <w:rPr/>
        <w:t>hyperandrogenic milieu of postmenopause underlie the common climacteric and menopausal symptoms, which include:</w:t>
      </w:r>
    </w:p>
    <w:p>
      <w:pPr>
        <w:pStyle w:val="ListParagraph"/>
        <w:numPr>
          <w:ilvl w:val="0"/>
          <w:numId w:val="2"/>
        </w:numPr>
        <w:tabs>
          <w:tab w:pos="399" w:val="left" w:leader="none"/>
        </w:tabs>
        <w:spacing w:line="266" w:lineRule="auto" w:before="260" w:after="0"/>
        <w:ind w:left="399" w:right="100" w:hanging="280"/>
        <w:jc w:val="both"/>
        <w:rPr>
          <w:sz w:val="30"/>
        </w:rPr>
      </w:pPr>
      <w:r>
        <w:rPr>
          <w:sz w:val="30"/>
        </w:rPr>
        <w:t>Disturbances in menstrual pattern, including anovulation and reduced fertility, decreased flow or hypermenorrhea, irregular frequency </w:t>
      </w:r>
      <w:r>
        <w:rPr>
          <w:sz w:val="30"/>
        </w:rPr>
        <w:t>of menses, and then, ultimately, amenorrhea</w:t>
      </w:r>
    </w:p>
    <w:p>
      <w:pPr>
        <w:pStyle w:val="ListParagraph"/>
        <w:spacing w:after="0" w:line="266" w:lineRule="auto"/>
        <w:jc w:val="both"/>
        <w:rPr>
          <w:sz w:val="30"/>
        </w:rPr>
        <w:sectPr>
          <w:pgSz w:w="12240" w:h="15840"/>
          <w:pgMar w:top="1380" w:bottom="280" w:left="1440" w:right="1440"/>
        </w:sectPr>
      </w:pPr>
    </w:p>
    <w:p>
      <w:pPr>
        <w:pStyle w:val="ListParagraph"/>
        <w:numPr>
          <w:ilvl w:val="0"/>
          <w:numId w:val="2"/>
        </w:numPr>
        <w:tabs>
          <w:tab w:pos="398" w:val="left" w:leader="none"/>
        </w:tabs>
        <w:spacing w:line="240" w:lineRule="auto" w:before="70" w:after="0"/>
        <w:ind w:left="398" w:right="0" w:hanging="279"/>
        <w:jc w:val="both"/>
        <w:rPr>
          <w:sz w:val="30"/>
        </w:rPr>
      </w:pPr>
      <w:r>
        <w:rPr>
          <w:sz w:val="30"/>
        </w:rPr>
        <w:t>Vasomotor</w:t>
      </w:r>
      <w:r>
        <w:rPr>
          <w:spacing w:val="-6"/>
          <w:sz w:val="30"/>
        </w:rPr>
        <w:t> </w:t>
      </w:r>
      <w:r>
        <w:rPr>
          <w:sz w:val="30"/>
        </w:rPr>
        <w:t>instability</w:t>
      </w:r>
      <w:r>
        <w:rPr>
          <w:spacing w:val="-6"/>
          <w:sz w:val="30"/>
        </w:rPr>
        <w:t> </w:t>
      </w:r>
      <w:r>
        <w:rPr>
          <w:sz w:val="30"/>
        </w:rPr>
        <w:t>(hot</w:t>
      </w:r>
      <w:r>
        <w:rPr>
          <w:spacing w:val="-5"/>
          <w:sz w:val="30"/>
        </w:rPr>
        <w:t> </w:t>
      </w:r>
      <w:r>
        <w:rPr>
          <w:sz w:val="30"/>
        </w:rPr>
        <w:t>flushes</w:t>
      </w:r>
      <w:r>
        <w:rPr>
          <w:spacing w:val="-6"/>
          <w:sz w:val="30"/>
        </w:rPr>
        <w:t> </w:t>
      </w:r>
      <w:r>
        <w:rPr>
          <w:sz w:val="30"/>
        </w:rPr>
        <w:t>and</w:t>
      </w:r>
      <w:r>
        <w:rPr>
          <w:spacing w:val="-6"/>
          <w:sz w:val="30"/>
        </w:rPr>
        <w:t> </w:t>
      </w:r>
      <w:r>
        <w:rPr>
          <w:sz w:val="30"/>
        </w:rPr>
        <w:t>night</w:t>
      </w:r>
      <w:r>
        <w:rPr>
          <w:spacing w:val="-5"/>
          <w:sz w:val="30"/>
        </w:rPr>
        <w:t> </w:t>
      </w:r>
      <w:r>
        <w:rPr>
          <w:spacing w:val="-2"/>
          <w:sz w:val="30"/>
        </w:rPr>
        <w:t>sweats)</w:t>
      </w:r>
    </w:p>
    <w:p>
      <w:pPr>
        <w:pStyle w:val="ListParagraph"/>
        <w:numPr>
          <w:ilvl w:val="0"/>
          <w:numId w:val="2"/>
        </w:numPr>
        <w:tabs>
          <w:tab w:pos="399" w:val="left" w:leader="none"/>
        </w:tabs>
        <w:spacing w:line="259" w:lineRule="auto" w:before="105" w:after="0"/>
        <w:ind w:left="399" w:right="104" w:hanging="280"/>
        <w:jc w:val="both"/>
        <w:rPr>
          <w:sz w:val="30"/>
        </w:rPr>
      </w:pPr>
      <w:r>
        <w:rPr>
          <w:sz w:val="30"/>
        </w:rPr>
        <w:t>Symptomatology of the Genito-Urinary Syndrome of </w:t>
      </w:r>
      <w:r>
        <w:rPr>
          <w:sz w:val="30"/>
        </w:rPr>
        <w:t>Menopause (GUSM) that results from atrophy of the urogenital epithelium consequent to hypoestrogenism; symptoms include vaginal dryness, dyspareunia and pruritus due to vulvar, introital, and vaginal atrophy; general</w:t>
      </w:r>
      <w:r>
        <w:rPr>
          <w:spacing w:val="69"/>
          <w:w w:val="150"/>
          <w:sz w:val="30"/>
        </w:rPr>
        <w:t> </w:t>
      </w:r>
      <w:r>
        <w:rPr>
          <w:sz w:val="30"/>
        </w:rPr>
        <w:t>skin</w:t>
      </w:r>
      <w:r>
        <w:rPr>
          <w:spacing w:val="69"/>
          <w:w w:val="150"/>
          <w:sz w:val="30"/>
        </w:rPr>
        <w:t> </w:t>
      </w:r>
      <w:r>
        <w:rPr>
          <w:sz w:val="30"/>
        </w:rPr>
        <w:t>atrophy;</w:t>
      </w:r>
      <w:r>
        <w:rPr>
          <w:spacing w:val="69"/>
          <w:w w:val="150"/>
          <w:sz w:val="30"/>
        </w:rPr>
        <w:t> </w:t>
      </w:r>
      <w:r>
        <w:rPr>
          <w:sz w:val="30"/>
        </w:rPr>
        <w:t>and</w:t>
      </w:r>
      <w:r>
        <w:rPr>
          <w:spacing w:val="69"/>
          <w:w w:val="150"/>
          <w:sz w:val="30"/>
        </w:rPr>
        <w:t> </w:t>
      </w:r>
      <w:r>
        <w:rPr>
          <w:sz w:val="30"/>
        </w:rPr>
        <w:t>urinary</w:t>
      </w:r>
      <w:r>
        <w:rPr>
          <w:spacing w:val="69"/>
          <w:w w:val="150"/>
          <w:sz w:val="30"/>
        </w:rPr>
        <w:t> </w:t>
      </w:r>
      <w:r>
        <w:rPr>
          <w:sz w:val="30"/>
        </w:rPr>
        <w:t>difficulties</w:t>
      </w:r>
      <w:r>
        <w:rPr>
          <w:spacing w:val="69"/>
          <w:w w:val="150"/>
          <w:sz w:val="30"/>
        </w:rPr>
        <w:t> </w:t>
      </w:r>
      <w:r>
        <w:rPr>
          <w:sz w:val="30"/>
        </w:rPr>
        <w:t>such</w:t>
      </w:r>
      <w:r>
        <w:rPr>
          <w:spacing w:val="69"/>
          <w:w w:val="150"/>
          <w:sz w:val="30"/>
        </w:rPr>
        <w:t> </w:t>
      </w:r>
      <w:r>
        <w:rPr>
          <w:sz w:val="30"/>
        </w:rPr>
        <w:t>as</w:t>
      </w:r>
      <w:r>
        <w:rPr>
          <w:spacing w:val="69"/>
          <w:w w:val="150"/>
          <w:sz w:val="30"/>
        </w:rPr>
        <w:t> </w:t>
      </w:r>
      <w:r>
        <w:rPr>
          <w:sz w:val="30"/>
        </w:rPr>
        <w:t>urgency</w:t>
      </w:r>
      <w:r>
        <w:rPr>
          <w:spacing w:val="69"/>
          <w:w w:val="150"/>
          <w:sz w:val="30"/>
        </w:rPr>
        <w:t> </w:t>
      </w:r>
      <w:r>
        <w:rPr>
          <w:sz w:val="30"/>
        </w:rPr>
        <w:t>and</w:t>
      </w:r>
    </w:p>
    <w:p>
      <w:pPr>
        <w:pStyle w:val="BodyText"/>
        <w:spacing w:line="327" w:lineRule="exact" w:before="0"/>
        <w:ind w:left="399"/>
      </w:pPr>
      <w:r>
        <w:rPr/>
        <w:t>abacterial urethritis and </w:t>
      </w:r>
      <w:r>
        <w:rPr>
          <w:spacing w:val="-2"/>
        </w:rPr>
        <w:t>cystitis</w:t>
      </w:r>
    </w:p>
    <w:p>
      <w:pPr>
        <w:pStyle w:val="BodyText"/>
        <w:spacing w:line="249" w:lineRule="auto" w:before="225"/>
        <w:ind w:right="98" w:firstLine="450"/>
      </w:pPr>
      <w:r>
        <w:rPr/>
        <w:t>A precise understanding of the symptom complex an individual </w:t>
      </w:r>
      <w:r>
        <w:rPr/>
        <w:t>woman may manifest and an individualized approach to quantifying symptom burden as well as health risks must be adopted to arrive at the most optimal approach for symptom control for each individual.</w:t>
      </w:r>
    </w:p>
    <w:p>
      <w:pPr>
        <w:spacing w:line="249" w:lineRule="auto" w:before="5"/>
        <w:ind w:left="99" w:right="100" w:firstLine="450"/>
        <w:jc w:val="both"/>
        <w:rPr>
          <w:b/>
          <w:sz w:val="30"/>
        </w:rPr>
      </w:pPr>
      <w:r>
        <w:rPr>
          <w:b/>
          <w:sz w:val="30"/>
        </w:rPr>
        <w:t>It is helpful to classify the hormonal underpinnings to presenting problems under three distinct categories:</w:t>
      </w:r>
    </w:p>
    <w:p>
      <w:pPr>
        <w:pStyle w:val="ListParagraph"/>
        <w:numPr>
          <w:ilvl w:val="0"/>
          <w:numId w:val="3"/>
        </w:numPr>
        <w:tabs>
          <w:tab w:pos="434" w:val="left" w:leader="none"/>
          <w:tab w:pos="437" w:val="left" w:leader="none"/>
        </w:tabs>
        <w:spacing w:line="256" w:lineRule="auto" w:before="226" w:after="0"/>
        <w:ind w:left="437" w:right="98" w:hanging="243"/>
        <w:jc w:val="left"/>
        <w:rPr>
          <w:b/>
          <w:sz w:val="22"/>
        </w:rPr>
      </w:pPr>
      <w:r>
        <w:rPr>
          <w:b/>
          <w:sz w:val="22"/>
        </w:rPr>
        <w:t>Those</w:t>
      </w:r>
      <w:r>
        <w:rPr>
          <w:b/>
          <w:spacing w:val="40"/>
          <w:sz w:val="22"/>
        </w:rPr>
        <w:t> </w:t>
      </w:r>
      <w:r>
        <w:rPr>
          <w:b/>
          <w:sz w:val="22"/>
        </w:rPr>
        <w:t>associated</w:t>
      </w:r>
      <w:r>
        <w:rPr>
          <w:b/>
          <w:spacing w:val="40"/>
          <w:sz w:val="22"/>
        </w:rPr>
        <w:t> </w:t>
      </w:r>
      <w:r>
        <w:rPr>
          <w:b/>
          <w:sz w:val="22"/>
        </w:rPr>
        <w:t>with</w:t>
      </w:r>
      <w:r>
        <w:rPr>
          <w:b/>
          <w:spacing w:val="40"/>
          <w:sz w:val="22"/>
        </w:rPr>
        <w:t> </w:t>
      </w:r>
      <w:r>
        <w:rPr>
          <w:b/>
          <w:sz w:val="22"/>
        </w:rPr>
        <w:t>relative</w:t>
      </w:r>
      <w:r>
        <w:rPr>
          <w:b/>
          <w:spacing w:val="40"/>
          <w:sz w:val="22"/>
        </w:rPr>
        <w:t> </w:t>
      </w:r>
      <w:r>
        <w:rPr>
          <w:b/>
          <w:sz w:val="22"/>
        </w:rPr>
        <w:t>estrogen</w:t>
      </w:r>
      <w:r>
        <w:rPr>
          <w:b/>
          <w:spacing w:val="40"/>
          <w:sz w:val="22"/>
        </w:rPr>
        <w:t> </w:t>
      </w:r>
      <w:r>
        <w:rPr>
          <w:b/>
          <w:sz w:val="22"/>
        </w:rPr>
        <w:t>excess,</w:t>
      </w:r>
      <w:r>
        <w:rPr>
          <w:b/>
          <w:spacing w:val="40"/>
          <w:sz w:val="22"/>
        </w:rPr>
        <w:t> </w:t>
      </w:r>
      <w:r>
        <w:rPr>
          <w:b/>
          <w:sz w:val="22"/>
        </w:rPr>
        <w:t>such</w:t>
      </w:r>
      <w:r>
        <w:rPr>
          <w:b/>
          <w:spacing w:val="40"/>
          <w:sz w:val="22"/>
        </w:rPr>
        <w:t> </w:t>
      </w:r>
      <w:r>
        <w:rPr>
          <w:b/>
          <w:sz w:val="22"/>
        </w:rPr>
        <w:t>as</w:t>
      </w:r>
      <w:r>
        <w:rPr>
          <w:b/>
          <w:spacing w:val="40"/>
          <w:sz w:val="22"/>
        </w:rPr>
        <w:t> </w:t>
      </w:r>
      <w:r>
        <w:rPr>
          <w:b/>
          <w:sz w:val="22"/>
        </w:rPr>
        <w:t>abnormal</w:t>
      </w:r>
      <w:r>
        <w:rPr>
          <w:b/>
          <w:spacing w:val="40"/>
          <w:sz w:val="22"/>
        </w:rPr>
        <w:t> </w:t>
      </w:r>
      <w:r>
        <w:rPr>
          <w:b/>
          <w:sz w:val="22"/>
        </w:rPr>
        <w:t>uterine</w:t>
      </w:r>
      <w:r>
        <w:rPr>
          <w:b/>
          <w:spacing w:val="40"/>
          <w:sz w:val="22"/>
        </w:rPr>
        <w:t> </w:t>
      </w:r>
      <w:r>
        <w:rPr>
          <w:b/>
          <w:sz w:val="22"/>
        </w:rPr>
        <w:t>bleeding</w:t>
      </w:r>
      <w:r>
        <w:rPr>
          <w:b/>
          <w:spacing w:val="40"/>
          <w:sz w:val="22"/>
        </w:rPr>
        <w:t> </w:t>
      </w:r>
      <w:r>
        <w:rPr>
          <w:b/>
          <w:sz w:val="22"/>
        </w:rPr>
        <w:t>(AUB), endometrial hyperplasia, and endometrial cancer</w:t>
      </w:r>
    </w:p>
    <w:p>
      <w:pPr>
        <w:pStyle w:val="ListParagraph"/>
        <w:numPr>
          <w:ilvl w:val="0"/>
          <w:numId w:val="3"/>
        </w:numPr>
        <w:tabs>
          <w:tab w:pos="434" w:val="left" w:leader="none"/>
          <w:tab w:pos="437" w:val="left" w:leader="none"/>
        </w:tabs>
        <w:spacing w:line="256" w:lineRule="auto" w:before="0" w:after="0"/>
        <w:ind w:left="437" w:right="103" w:hanging="243"/>
        <w:jc w:val="left"/>
        <w:rPr>
          <w:b/>
          <w:sz w:val="22"/>
        </w:rPr>
      </w:pPr>
      <w:r>
        <w:rPr>
          <w:b/>
          <w:sz w:val="22"/>
        </w:rPr>
        <w:t>Those associated with estrogen deprivation, such as VMS (hot flushes, night sweats), GUSM symptoms, bone loss, osteoporosis, skeletal fragility, and, to some extent, CVD</w:t>
      </w:r>
    </w:p>
    <w:p>
      <w:pPr>
        <w:pStyle w:val="ListParagraph"/>
        <w:numPr>
          <w:ilvl w:val="0"/>
          <w:numId w:val="3"/>
        </w:numPr>
        <w:tabs>
          <w:tab w:pos="434" w:val="left" w:leader="none"/>
        </w:tabs>
        <w:spacing w:line="252" w:lineRule="exact" w:before="0" w:after="0"/>
        <w:ind w:left="434" w:right="0" w:hanging="240"/>
        <w:jc w:val="left"/>
        <w:rPr>
          <w:b/>
          <w:sz w:val="22"/>
        </w:rPr>
      </w:pPr>
      <w:r>
        <w:rPr>
          <w:b/>
          <w:sz w:val="22"/>
        </w:rPr>
        <w:t>Those</w:t>
      </w:r>
      <w:r>
        <w:rPr>
          <w:b/>
          <w:spacing w:val="14"/>
          <w:sz w:val="22"/>
        </w:rPr>
        <w:t> </w:t>
      </w:r>
      <w:r>
        <w:rPr>
          <w:b/>
          <w:sz w:val="22"/>
        </w:rPr>
        <w:t>associated</w:t>
      </w:r>
      <w:r>
        <w:rPr>
          <w:b/>
          <w:spacing w:val="15"/>
          <w:sz w:val="22"/>
        </w:rPr>
        <w:t> </w:t>
      </w:r>
      <w:r>
        <w:rPr>
          <w:b/>
          <w:sz w:val="22"/>
        </w:rPr>
        <w:t>with</w:t>
      </w:r>
      <w:r>
        <w:rPr>
          <w:b/>
          <w:spacing w:val="14"/>
          <w:sz w:val="22"/>
        </w:rPr>
        <w:t> </w:t>
      </w:r>
      <w:r>
        <w:rPr>
          <w:b/>
          <w:sz w:val="22"/>
        </w:rPr>
        <w:t>hormone</w:t>
      </w:r>
      <w:r>
        <w:rPr>
          <w:b/>
          <w:spacing w:val="15"/>
          <w:sz w:val="22"/>
        </w:rPr>
        <w:t> </w:t>
      </w:r>
      <w:r>
        <w:rPr>
          <w:b/>
          <w:sz w:val="22"/>
        </w:rPr>
        <w:t>therapy</w:t>
      </w:r>
      <w:r>
        <w:rPr>
          <w:b/>
          <w:spacing w:val="14"/>
          <w:sz w:val="22"/>
        </w:rPr>
        <w:t> </w:t>
      </w:r>
      <w:r>
        <w:rPr>
          <w:b/>
          <w:sz w:val="22"/>
        </w:rPr>
        <w:t>(discussed</w:t>
      </w:r>
      <w:r>
        <w:rPr>
          <w:b/>
          <w:spacing w:val="15"/>
          <w:sz w:val="22"/>
        </w:rPr>
        <w:t> </w:t>
      </w:r>
      <w:r>
        <w:rPr>
          <w:b/>
          <w:sz w:val="22"/>
        </w:rPr>
        <w:t>in</w:t>
      </w:r>
      <w:r>
        <w:rPr>
          <w:b/>
          <w:spacing w:val="14"/>
          <w:sz w:val="22"/>
        </w:rPr>
        <w:t> </w:t>
      </w:r>
      <w:r>
        <w:rPr>
          <w:b/>
          <w:sz w:val="22"/>
        </w:rPr>
        <w:t>Chapter</w:t>
      </w:r>
      <w:r>
        <w:rPr>
          <w:b/>
          <w:spacing w:val="15"/>
          <w:sz w:val="22"/>
        </w:rPr>
        <w:t> </w:t>
      </w:r>
      <w:r>
        <w:rPr>
          <w:b/>
          <w:spacing w:val="-5"/>
          <w:sz w:val="22"/>
        </w:rPr>
        <w:t>22)</w:t>
      </w:r>
    </w:p>
    <w:p>
      <w:pPr>
        <w:pStyle w:val="BodyText"/>
        <w:spacing w:before="0"/>
        <w:ind w:left="0"/>
        <w:jc w:val="left"/>
        <w:rPr>
          <w:b/>
          <w:sz w:val="20"/>
        </w:rPr>
      </w:pPr>
    </w:p>
    <w:p>
      <w:pPr>
        <w:pStyle w:val="BodyText"/>
        <w:spacing w:before="126"/>
        <w:ind w:left="0"/>
        <w:jc w:val="left"/>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981075</wp:posOffset>
                </wp:positionH>
                <wp:positionV relativeFrom="paragraph">
                  <wp:posOffset>241411</wp:posOffset>
                </wp:positionV>
                <wp:extent cx="285750" cy="5715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285750" cy="57150"/>
                        </a:xfrm>
                        <a:custGeom>
                          <a:avLst/>
                          <a:gdLst/>
                          <a:ahLst/>
                          <a:cxnLst/>
                          <a:rect l="l" t="t" r="r" b="b"/>
                          <a:pathLst>
                            <a:path w="285750" h="57150">
                              <a:moveTo>
                                <a:pt x="32364" y="57130"/>
                              </a:moveTo>
                              <a:lnTo>
                                <a:pt x="24785" y="57130"/>
                              </a:lnTo>
                              <a:lnTo>
                                <a:pt x="21140" y="56407"/>
                              </a:lnTo>
                              <a:lnTo>
                                <a:pt x="0" y="32346"/>
                              </a:lnTo>
                              <a:lnTo>
                                <a:pt x="0" y="24764"/>
                              </a:lnTo>
                              <a:lnTo>
                                <a:pt x="725" y="21116"/>
                              </a:lnTo>
                              <a:lnTo>
                                <a:pt x="3625" y="14096"/>
                              </a:lnTo>
                              <a:lnTo>
                                <a:pt x="5689" y="11010"/>
                              </a:lnTo>
                              <a:lnTo>
                                <a:pt x="8369" y="8353"/>
                              </a:lnTo>
                              <a:lnTo>
                                <a:pt x="11048" y="5657"/>
                              </a:lnTo>
                              <a:lnTo>
                                <a:pt x="14138" y="3590"/>
                              </a:lnTo>
                              <a:lnTo>
                                <a:pt x="21236" y="704"/>
                              </a:lnTo>
                              <a:lnTo>
                                <a:pt x="24785" y="0"/>
                              </a:lnTo>
                              <a:lnTo>
                                <a:pt x="32364" y="0"/>
                              </a:lnTo>
                              <a:lnTo>
                                <a:pt x="36009" y="704"/>
                              </a:lnTo>
                              <a:lnTo>
                                <a:pt x="43010" y="3590"/>
                              </a:lnTo>
                              <a:lnTo>
                                <a:pt x="46101" y="5657"/>
                              </a:lnTo>
                              <a:lnTo>
                                <a:pt x="48780" y="8353"/>
                              </a:lnTo>
                              <a:lnTo>
                                <a:pt x="51459" y="11010"/>
                              </a:lnTo>
                              <a:lnTo>
                                <a:pt x="53524" y="14096"/>
                              </a:lnTo>
                              <a:lnTo>
                                <a:pt x="56424" y="21116"/>
                              </a:lnTo>
                              <a:lnTo>
                                <a:pt x="57149" y="24764"/>
                              </a:lnTo>
                              <a:lnTo>
                                <a:pt x="57149" y="32346"/>
                              </a:lnTo>
                              <a:lnTo>
                                <a:pt x="36009" y="56407"/>
                              </a:lnTo>
                              <a:lnTo>
                                <a:pt x="32364" y="57130"/>
                              </a:lnTo>
                              <a:close/>
                            </a:path>
                            <a:path w="285750" h="57150">
                              <a:moveTo>
                                <a:pt x="146569" y="57130"/>
                              </a:moveTo>
                              <a:lnTo>
                                <a:pt x="138990" y="57130"/>
                              </a:lnTo>
                              <a:lnTo>
                                <a:pt x="135345" y="56407"/>
                              </a:lnTo>
                              <a:lnTo>
                                <a:pt x="114204" y="32346"/>
                              </a:lnTo>
                              <a:lnTo>
                                <a:pt x="114204" y="24764"/>
                              </a:lnTo>
                              <a:lnTo>
                                <a:pt x="114929" y="21116"/>
                              </a:lnTo>
                              <a:lnTo>
                                <a:pt x="117829" y="14096"/>
                              </a:lnTo>
                              <a:lnTo>
                                <a:pt x="119894" y="11010"/>
                              </a:lnTo>
                              <a:lnTo>
                                <a:pt x="122574" y="8353"/>
                              </a:lnTo>
                              <a:lnTo>
                                <a:pt x="125253" y="5657"/>
                              </a:lnTo>
                              <a:lnTo>
                                <a:pt x="128343" y="3590"/>
                              </a:lnTo>
                              <a:lnTo>
                                <a:pt x="135441" y="704"/>
                              </a:lnTo>
                              <a:lnTo>
                                <a:pt x="138990" y="0"/>
                              </a:lnTo>
                              <a:lnTo>
                                <a:pt x="146569" y="0"/>
                              </a:lnTo>
                              <a:lnTo>
                                <a:pt x="150214" y="704"/>
                              </a:lnTo>
                              <a:lnTo>
                                <a:pt x="157215" y="3590"/>
                              </a:lnTo>
                              <a:lnTo>
                                <a:pt x="160305" y="5657"/>
                              </a:lnTo>
                              <a:lnTo>
                                <a:pt x="162985" y="8353"/>
                              </a:lnTo>
                              <a:lnTo>
                                <a:pt x="165664" y="11010"/>
                              </a:lnTo>
                              <a:lnTo>
                                <a:pt x="167729" y="14096"/>
                              </a:lnTo>
                              <a:lnTo>
                                <a:pt x="170629" y="21116"/>
                              </a:lnTo>
                              <a:lnTo>
                                <a:pt x="171354" y="24764"/>
                              </a:lnTo>
                              <a:lnTo>
                                <a:pt x="171354" y="32346"/>
                              </a:lnTo>
                              <a:lnTo>
                                <a:pt x="150214" y="56407"/>
                              </a:lnTo>
                              <a:lnTo>
                                <a:pt x="146569" y="57130"/>
                              </a:lnTo>
                              <a:close/>
                            </a:path>
                            <a:path w="285750" h="57150">
                              <a:moveTo>
                                <a:pt x="260773" y="57130"/>
                              </a:moveTo>
                              <a:lnTo>
                                <a:pt x="253195" y="57130"/>
                              </a:lnTo>
                              <a:lnTo>
                                <a:pt x="249550" y="56407"/>
                              </a:lnTo>
                              <a:lnTo>
                                <a:pt x="228409" y="32346"/>
                              </a:lnTo>
                              <a:lnTo>
                                <a:pt x="228409" y="24764"/>
                              </a:lnTo>
                              <a:lnTo>
                                <a:pt x="229134" y="21116"/>
                              </a:lnTo>
                              <a:lnTo>
                                <a:pt x="232034" y="14096"/>
                              </a:lnTo>
                              <a:lnTo>
                                <a:pt x="234099" y="11010"/>
                              </a:lnTo>
                              <a:lnTo>
                                <a:pt x="236778" y="8353"/>
                              </a:lnTo>
                              <a:lnTo>
                                <a:pt x="239458" y="5657"/>
                              </a:lnTo>
                              <a:lnTo>
                                <a:pt x="242548" y="3590"/>
                              </a:lnTo>
                              <a:lnTo>
                                <a:pt x="249646" y="704"/>
                              </a:lnTo>
                              <a:lnTo>
                                <a:pt x="253195" y="0"/>
                              </a:lnTo>
                              <a:lnTo>
                                <a:pt x="260773" y="0"/>
                              </a:lnTo>
                              <a:lnTo>
                                <a:pt x="264418" y="704"/>
                              </a:lnTo>
                              <a:lnTo>
                                <a:pt x="271420" y="3590"/>
                              </a:lnTo>
                              <a:lnTo>
                                <a:pt x="274510" y="5657"/>
                              </a:lnTo>
                              <a:lnTo>
                                <a:pt x="277190" y="8353"/>
                              </a:lnTo>
                              <a:lnTo>
                                <a:pt x="279869" y="11010"/>
                              </a:lnTo>
                              <a:lnTo>
                                <a:pt x="281934" y="14096"/>
                              </a:lnTo>
                              <a:lnTo>
                                <a:pt x="284834" y="21116"/>
                              </a:lnTo>
                              <a:lnTo>
                                <a:pt x="285559" y="24764"/>
                              </a:lnTo>
                              <a:lnTo>
                                <a:pt x="285559" y="32346"/>
                              </a:lnTo>
                              <a:lnTo>
                                <a:pt x="264418" y="56407"/>
                              </a:lnTo>
                              <a:lnTo>
                                <a:pt x="260773" y="5713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008766pt;width:22.5pt;height:4.5pt;mso-position-horizontal-relative:page;mso-position-vertical-relative:paragraph;z-index:-15710720;mso-wrap-distance-left:0;mso-wrap-distance-right:0" id="docshape34" coordorigin="1545,380" coordsize="450,90" path="m1596,470l1584,470,1578,469,1567,464,1562,461,1558,457,1554,453,1551,448,1546,437,1545,431,1545,419,1546,413,1551,402,1554,398,1558,393,1562,389,1567,386,1578,381,1584,380,1596,380,1602,381,1613,386,1618,389,1622,393,1626,398,1629,402,1634,413,1635,419,1635,431,1634,437,1629,448,1626,453,1622,457,1618,461,1613,464,1602,469,1596,470xm1776,470l1764,470,1758,469,1747,464,1742,461,1738,457,1734,453,1731,448,1726,437,1725,431,1725,419,1726,413,1731,402,1734,398,1738,393,1742,389,1747,386,1758,381,1764,380,1776,380,1782,381,1793,386,1797,389,1802,393,1806,398,1809,402,1814,413,1815,419,1815,431,1814,437,1809,448,1806,453,1802,457,1797,461,1793,464,1782,469,1776,470xm1956,470l1944,470,1938,469,1927,464,1922,461,1918,457,1914,453,1910,448,1906,437,1905,431,1905,419,1906,413,1910,402,1914,398,1918,393,1922,389,1927,386,1938,381,1944,380,1956,380,1961,381,1972,386,1977,389,1982,393,1986,398,1989,402,1994,413,1995,419,1995,431,1994,437,1989,448,1986,453,1982,457,1977,461,1972,464,1961,469,1956,470xe" filled="true" fillcolor="#bdb4d4" stroked="false">
                <v:path arrowok="t"/>
                <v:fill type="solid"/>
                <w10:wrap type="topAndBottom"/>
              </v:shape>
            </w:pict>
          </mc:Fallback>
        </mc:AlternateContent>
      </w:r>
    </w:p>
    <w:p>
      <w:pPr>
        <w:pStyle w:val="Heading3"/>
        <w:jc w:val="both"/>
      </w:pPr>
      <w:r>
        <w:rPr>
          <w:color w:val="534089"/>
        </w:rPr>
        <w:t>SYMPTOMATOLOGY</w:t>
      </w:r>
      <w:r>
        <w:rPr>
          <w:color w:val="534089"/>
          <w:spacing w:val="-15"/>
        </w:rPr>
        <w:t> </w:t>
      </w:r>
      <w:r>
        <w:rPr>
          <w:color w:val="534089"/>
        </w:rPr>
        <w:t>OF</w:t>
      </w:r>
      <w:r>
        <w:rPr>
          <w:color w:val="534089"/>
          <w:spacing w:val="-14"/>
        </w:rPr>
        <w:t> </w:t>
      </w:r>
      <w:r>
        <w:rPr>
          <w:color w:val="534089"/>
        </w:rPr>
        <w:t>PERIMENOPAUSE</w:t>
      </w:r>
      <w:r>
        <w:rPr>
          <w:color w:val="534089"/>
          <w:spacing w:val="-15"/>
        </w:rPr>
        <w:t> </w:t>
      </w:r>
      <w:r>
        <w:rPr>
          <w:color w:val="534089"/>
        </w:rPr>
        <w:t>AND</w:t>
      </w:r>
      <w:r>
        <w:rPr>
          <w:color w:val="534089"/>
          <w:spacing w:val="-14"/>
        </w:rPr>
        <w:t> </w:t>
      </w:r>
      <w:r>
        <w:rPr>
          <w:color w:val="534089"/>
          <w:spacing w:val="-2"/>
        </w:rPr>
        <w:t>MENOPAUSE</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06272">
                <wp:simplePos x="0" y="0"/>
                <wp:positionH relativeFrom="page">
                  <wp:posOffset>981075</wp:posOffset>
                </wp:positionH>
                <wp:positionV relativeFrom="paragraph">
                  <wp:posOffset>45746</wp:posOffset>
                </wp:positionV>
                <wp:extent cx="5810250" cy="1905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073pt;width:457.499964pt;height:1.5pt;mso-position-horizontal-relative:page;mso-position-vertical-relative:paragraph;z-index:-15710208;mso-wrap-distance-left:0;mso-wrap-distance-right:0" id="docshape35" filled="true" fillcolor="#534089" stroked="false">
                <v:fill type="solid"/>
                <w10:wrap type="topAndBottom"/>
              </v:rect>
            </w:pict>
          </mc:Fallback>
        </mc:AlternateContent>
      </w:r>
    </w:p>
    <w:p>
      <w:pPr>
        <w:pStyle w:val="BodyText"/>
        <w:spacing w:line="249" w:lineRule="auto" w:before="215"/>
        <w:ind w:right="98"/>
      </w:pPr>
      <w:r>
        <w:rPr/>
        <w:t>The period of transition should serve to remind both the patients and </w:t>
      </w:r>
      <w:r>
        <w:rPr/>
        <w:t>the clinicians that this is a time for communication to ensure improvements in patient awareness through education. Certainly, preventive health care education is important throughout life, but at the time of menopause, a review of the major health issues can be especially rewarding. Besides the general issues of good health, attention is appropriately focused on CVD and osteoporosis.</w:t>
      </w:r>
    </w:p>
    <w:p>
      <w:pPr>
        <w:pStyle w:val="BodyText"/>
        <w:spacing w:line="249" w:lineRule="auto" w:before="8"/>
        <w:ind w:right="98" w:firstLine="450"/>
      </w:pPr>
      <w:r>
        <w:rPr/>
        <w:t>During the transition and early postmenopausal years, in particular, some women may experience significantly bothersome symptoms, whereas others show no reactions or minimal reactions that can go unnoticed. The differences in menopause experience and in the spectrum and severity </w:t>
      </w:r>
      <w:r>
        <w:rPr/>
        <w:t>of symptoms across different cultures are poorly documented, and indeed, it is difficult</w:t>
      </w:r>
      <w:r>
        <w:rPr>
          <w:spacing w:val="47"/>
        </w:rPr>
        <w:t> </w:t>
      </w:r>
      <w:r>
        <w:rPr/>
        <w:t>to</w:t>
      </w:r>
      <w:r>
        <w:rPr>
          <w:spacing w:val="47"/>
        </w:rPr>
        <w:t> </w:t>
      </w:r>
      <w:r>
        <w:rPr/>
        <w:t>do</w:t>
      </w:r>
      <w:r>
        <w:rPr>
          <w:spacing w:val="48"/>
        </w:rPr>
        <w:t> </w:t>
      </w:r>
      <w:r>
        <w:rPr/>
        <w:t>so.</w:t>
      </w:r>
      <w:r>
        <w:rPr>
          <w:spacing w:val="47"/>
        </w:rPr>
        <w:t> </w:t>
      </w:r>
      <w:r>
        <w:rPr/>
        <w:t>Individual</w:t>
      </w:r>
      <w:r>
        <w:rPr>
          <w:spacing w:val="50"/>
        </w:rPr>
        <w:t> </w:t>
      </w:r>
      <w:r>
        <w:rPr/>
        <w:t>reporting</w:t>
      </w:r>
      <w:r>
        <w:rPr>
          <w:spacing w:val="49"/>
        </w:rPr>
        <w:t> </w:t>
      </w:r>
      <w:r>
        <w:rPr/>
        <w:t>is</w:t>
      </w:r>
      <w:r>
        <w:rPr>
          <w:spacing w:val="49"/>
        </w:rPr>
        <w:t> </w:t>
      </w:r>
      <w:r>
        <w:rPr/>
        <w:t>so</w:t>
      </w:r>
      <w:r>
        <w:rPr>
          <w:spacing w:val="50"/>
        </w:rPr>
        <w:t> </w:t>
      </w:r>
      <w:r>
        <w:rPr/>
        <w:t>conditioned</w:t>
      </w:r>
      <w:r>
        <w:rPr>
          <w:spacing w:val="49"/>
        </w:rPr>
        <w:t> </w:t>
      </w:r>
      <w:r>
        <w:rPr/>
        <w:t>by</w:t>
      </w:r>
      <w:r>
        <w:rPr>
          <w:spacing w:val="50"/>
        </w:rPr>
        <w:t> </w:t>
      </w:r>
      <w:r>
        <w:rPr>
          <w:spacing w:val="-2"/>
        </w:rPr>
        <w:t>sociocultural</w:t>
      </w:r>
    </w:p>
    <w:p>
      <w:pPr>
        <w:pStyle w:val="BodyText"/>
        <w:spacing w:after="0" w:line="249" w:lineRule="auto"/>
        <w:sectPr>
          <w:pgSz w:w="12240" w:h="15840"/>
          <w:pgMar w:top="1420" w:bottom="280" w:left="1440" w:right="1440"/>
        </w:sectPr>
      </w:pPr>
    </w:p>
    <w:p>
      <w:pPr>
        <w:pStyle w:val="BodyText"/>
        <w:spacing w:line="249" w:lineRule="auto"/>
        <w:ind w:right="98"/>
      </w:pPr>
      <w:r>
        <w:rPr/>
        <w:t>factors that it is hard to determine what is due to biologic versus cultural variability.</w:t>
      </w:r>
      <w:r>
        <w:rPr>
          <w:vertAlign w:val="superscript"/>
        </w:rPr>
        <w:t>173,174</w:t>
      </w:r>
      <w:r>
        <w:rPr>
          <w:vertAlign w:val="baseline"/>
        </w:rPr>
        <w:t> For example, there is no word to describe a “hot flush” </w:t>
      </w:r>
      <w:r>
        <w:rPr>
          <w:vertAlign w:val="baseline"/>
        </w:rPr>
        <w:t>in Japanese, Chinese, and Mayan.</w:t>
      </w:r>
      <w:r>
        <w:rPr>
          <w:vertAlign w:val="superscript"/>
        </w:rPr>
        <w:t>175</w:t>
      </w:r>
      <w:r>
        <w:rPr>
          <w:vertAlign w:val="baseline"/>
        </w:rPr>
        <w:t> Nevertheless, there is reason to believe that the nature and prevalence of menopausal symptoms are common to most women and that variations among cultures and within cultures reflect not physiology but differences in attitudes, lifestyles, socioeconomic status, and individual perceptions across societies.</w:t>
      </w:r>
      <w:r>
        <w:rPr>
          <w:vertAlign w:val="superscript"/>
        </w:rPr>
        <w:t>176-181</w:t>
      </w:r>
      <w:r>
        <w:rPr>
          <w:vertAlign w:val="baseline"/>
        </w:rPr>
        <w:t> Hormone levels during the perimenopausal years vary little among different ethnic groups; differences are mainly because of varying body sizes.</w:t>
      </w:r>
      <w:r>
        <w:rPr>
          <w:vertAlign w:val="superscript"/>
        </w:rPr>
        <w:t>182</w:t>
      </w:r>
    </w:p>
    <w:p>
      <w:pPr>
        <w:pStyle w:val="BodyText"/>
        <w:spacing w:before="54"/>
        <w:ind w:left="0"/>
        <w:jc w:val="left"/>
      </w:pPr>
    </w:p>
    <w:p>
      <w:pPr>
        <w:spacing w:before="0"/>
        <w:ind w:left="99" w:right="0" w:firstLine="0"/>
        <w:jc w:val="both"/>
        <w:rPr>
          <w:rFonts w:ascii="Arial"/>
          <w:b/>
          <w:sz w:val="30"/>
        </w:rPr>
      </w:pPr>
      <w:r>
        <w:rPr>
          <w:rFonts w:ascii="Arial"/>
          <w:b/>
          <w:color w:val="2674AE"/>
          <w:sz w:val="30"/>
        </w:rPr>
        <w:t>Abnormal Uterine </w:t>
      </w:r>
      <w:r>
        <w:rPr>
          <w:rFonts w:ascii="Arial"/>
          <w:b/>
          <w:color w:val="2674AE"/>
          <w:spacing w:val="-2"/>
          <w:sz w:val="30"/>
        </w:rPr>
        <w:t>Bleeding</w:t>
      </w:r>
    </w:p>
    <w:p>
      <w:pPr>
        <w:pStyle w:val="BodyText"/>
        <w:spacing w:line="249" w:lineRule="auto" w:before="167"/>
        <w:ind w:right="98"/>
      </w:pPr>
      <w:r>
        <w:rPr/>
        <w:t>The period of transition is characterized by an increasing incidence </w:t>
      </w:r>
      <w:r>
        <w:rPr/>
        <w:t>of anovulatory uterine bleeding. Thus, the late reproductive and early menopausal stages are characterized by longer periods of exposure to unopposed estrogen, of ovarian and extraovarian (from aromatization of androgens) origins. In the SWAN study, about 20% of cycles even early in the menopausal transition were anovulatory, associated with shorter intervals at the beginning of the transition and longer intervals later.</w:t>
      </w:r>
      <w:r>
        <w:rPr>
          <w:vertAlign w:val="superscript"/>
        </w:rPr>
        <w:t>183</w:t>
      </w:r>
      <w:r>
        <w:rPr>
          <w:vertAlign w:val="baseline"/>
        </w:rPr>
        <w:t> Irregular bleeding was most often due to anovulation, whereas heavy menstrual bleeding was associated with obesity and uterine abnormalities. The menopause transition and </w:t>
      </w:r>
      <w:r>
        <w:rPr>
          <w:i/>
          <w:vertAlign w:val="baseline"/>
        </w:rPr>
        <w:t>early </w:t>
      </w:r>
      <w:r>
        <w:rPr>
          <w:vertAlign w:val="baseline"/>
        </w:rPr>
        <w:t>menopause can thus be considered as times of </w:t>
      </w:r>
      <w:r>
        <w:rPr>
          <w:i/>
          <w:vertAlign w:val="baseline"/>
        </w:rPr>
        <w:t>relative estrogen excess</w:t>
      </w:r>
      <w:r>
        <w:rPr>
          <w:vertAlign w:val="baseline"/>
        </w:rPr>
        <w:t>. Although the greatest concern emerging from prolonged periods of exposure to estrogen unopposed by progesterone (as occurs during periods of anovulation) is of endometrial neoplasia, the most common tissue finding is that of nonneoplastic tissue displaying estrogen effects unopposed by progesterone.</w:t>
      </w:r>
    </w:p>
    <w:p>
      <w:pPr>
        <w:spacing w:line="249" w:lineRule="auto" w:before="18"/>
        <w:ind w:left="99" w:right="101" w:firstLine="450"/>
        <w:jc w:val="both"/>
        <w:rPr>
          <w:b/>
          <w:sz w:val="30"/>
        </w:rPr>
      </w:pPr>
      <w:r>
        <w:rPr>
          <w:b/>
          <w:sz w:val="30"/>
        </w:rPr>
        <w:t>In addition to the relative excess of estrogen resulting from </w:t>
      </w:r>
      <w:r>
        <w:rPr>
          <w:b/>
          <w:sz w:val="30"/>
        </w:rPr>
        <w:t>periods of anovulation, there are four mechanisms that could result in higher endogenous estrogen levels in the perimenopausal and early menopausal women:</w:t>
      </w:r>
    </w:p>
    <w:p>
      <w:pPr>
        <w:pStyle w:val="ListParagraph"/>
        <w:numPr>
          <w:ilvl w:val="0"/>
          <w:numId w:val="4"/>
        </w:numPr>
        <w:tabs>
          <w:tab w:pos="434" w:val="left" w:leader="none"/>
        </w:tabs>
        <w:spacing w:line="240" w:lineRule="auto" w:before="229" w:after="0"/>
        <w:ind w:left="434" w:right="0" w:hanging="240"/>
        <w:jc w:val="left"/>
        <w:rPr>
          <w:b/>
          <w:sz w:val="22"/>
        </w:rPr>
      </w:pPr>
      <w:r>
        <w:rPr>
          <w:b/>
          <w:sz w:val="22"/>
        </w:rPr>
        <w:t>Increased</w:t>
      </w:r>
      <w:r>
        <w:rPr>
          <w:b/>
          <w:spacing w:val="15"/>
          <w:sz w:val="22"/>
        </w:rPr>
        <w:t> </w:t>
      </w:r>
      <w:r>
        <w:rPr>
          <w:b/>
          <w:sz w:val="22"/>
        </w:rPr>
        <w:t>precursor</w:t>
      </w:r>
      <w:r>
        <w:rPr>
          <w:b/>
          <w:spacing w:val="16"/>
          <w:sz w:val="22"/>
        </w:rPr>
        <w:t> </w:t>
      </w:r>
      <w:r>
        <w:rPr>
          <w:b/>
          <w:sz w:val="22"/>
        </w:rPr>
        <w:t>androgen</w:t>
      </w:r>
      <w:r>
        <w:rPr>
          <w:b/>
          <w:spacing w:val="15"/>
          <w:sz w:val="22"/>
        </w:rPr>
        <w:t> </w:t>
      </w:r>
      <w:r>
        <w:rPr>
          <w:b/>
          <w:sz w:val="22"/>
        </w:rPr>
        <w:t>(functional</w:t>
      </w:r>
      <w:r>
        <w:rPr>
          <w:b/>
          <w:spacing w:val="16"/>
          <w:sz w:val="22"/>
        </w:rPr>
        <w:t> </w:t>
      </w:r>
      <w:r>
        <w:rPr>
          <w:b/>
          <w:sz w:val="22"/>
        </w:rPr>
        <w:t>endocrine</w:t>
      </w:r>
      <w:r>
        <w:rPr>
          <w:b/>
          <w:spacing w:val="15"/>
          <w:sz w:val="22"/>
        </w:rPr>
        <w:t> </w:t>
      </w:r>
      <w:r>
        <w:rPr>
          <w:b/>
          <w:sz w:val="22"/>
        </w:rPr>
        <w:t>tumors,</w:t>
      </w:r>
      <w:r>
        <w:rPr>
          <w:b/>
          <w:spacing w:val="16"/>
          <w:sz w:val="22"/>
        </w:rPr>
        <w:t> </w:t>
      </w:r>
      <w:r>
        <w:rPr>
          <w:b/>
          <w:sz w:val="22"/>
        </w:rPr>
        <w:t>liver</w:t>
      </w:r>
      <w:r>
        <w:rPr>
          <w:b/>
          <w:spacing w:val="15"/>
          <w:sz w:val="22"/>
        </w:rPr>
        <w:t> </w:t>
      </w:r>
      <w:r>
        <w:rPr>
          <w:b/>
          <w:sz w:val="22"/>
        </w:rPr>
        <w:t>disease,</w:t>
      </w:r>
      <w:r>
        <w:rPr>
          <w:b/>
          <w:spacing w:val="16"/>
          <w:sz w:val="22"/>
        </w:rPr>
        <w:t> </w:t>
      </w:r>
      <w:r>
        <w:rPr>
          <w:b/>
          <w:spacing w:val="-2"/>
          <w:sz w:val="22"/>
        </w:rPr>
        <w:t>stress)</w:t>
      </w:r>
    </w:p>
    <w:p>
      <w:pPr>
        <w:pStyle w:val="ListParagraph"/>
        <w:numPr>
          <w:ilvl w:val="0"/>
          <w:numId w:val="4"/>
        </w:numPr>
        <w:tabs>
          <w:tab w:pos="434" w:val="left" w:leader="none"/>
        </w:tabs>
        <w:spacing w:line="240" w:lineRule="auto" w:before="16" w:after="0"/>
        <w:ind w:left="434" w:right="0" w:hanging="240"/>
        <w:jc w:val="left"/>
        <w:rPr>
          <w:b/>
          <w:sz w:val="22"/>
        </w:rPr>
      </w:pPr>
      <w:r>
        <w:rPr>
          <w:b/>
          <w:sz w:val="22"/>
        </w:rPr>
        <w:t>Increased</w:t>
      </w:r>
      <w:r>
        <w:rPr>
          <w:b/>
          <w:spacing w:val="11"/>
          <w:sz w:val="22"/>
        </w:rPr>
        <w:t> </w:t>
      </w:r>
      <w:r>
        <w:rPr>
          <w:b/>
          <w:sz w:val="22"/>
        </w:rPr>
        <w:t>aromatization</w:t>
      </w:r>
      <w:r>
        <w:rPr>
          <w:b/>
          <w:spacing w:val="13"/>
          <w:sz w:val="22"/>
        </w:rPr>
        <w:t> </w:t>
      </w:r>
      <w:r>
        <w:rPr>
          <w:b/>
          <w:sz w:val="22"/>
        </w:rPr>
        <w:t>of</w:t>
      </w:r>
      <w:r>
        <w:rPr>
          <w:b/>
          <w:spacing w:val="14"/>
          <w:sz w:val="22"/>
        </w:rPr>
        <w:t> </w:t>
      </w:r>
      <w:r>
        <w:rPr>
          <w:b/>
          <w:sz w:val="22"/>
        </w:rPr>
        <w:t>androgens</w:t>
      </w:r>
      <w:r>
        <w:rPr>
          <w:b/>
          <w:spacing w:val="13"/>
          <w:sz w:val="22"/>
        </w:rPr>
        <w:t> </w:t>
      </w:r>
      <w:r>
        <w:rPr>
          <w:b/>
          <w:sz w:val="22"/>
        </w:rPr>
        <w:t>(obesity,</w:t>
      </w:r>
      <w:r>
        <w:rPr>
          <w:b/>
          <w:spacing w:val="13"/>
          <w:sz w:val="22"/>
        </w:rPr>
        <w:t> </w:t>
      </w:r>
      <w:r>
        <w:rPr>
          <w:b/>
          <w:sz w:val="22"/>
        </w:rPr>
        <w:t>hyperthyroidism,</w:t>
      </w:r>
      <w:r>
        <w:rPr>
          <w:b/>
          <w:spacing w:val="14"/>
          <w:sz w:val="22"/>
        </w:rPr>
        <w:t> </w:t>
      </w:r>
      <w:r>
        <w:rPr>
          <w:b/>
          <w:sz w:val="22"/>
        </w:rPr>
        <w:t>and</w:t>
      </w:r>
      <w:r>
        <w:rPr>
          <w:b/>
          <w:spacing w:val="13"/>
          <w:sz w:val="22"/>
        </w:rPr>
        <w:t> </w:t>
      </w:r>
      <w:r>
        <w:rPr>
          <w:b/>
          <w:sz w:val="22"/>
        </w:rPr>
        <w:t>liver</w:t>
      </w:r>
      <w:r>
        <w:rPr>
          <w:b/>
          <w:spacing w:val="14"/>
          <w:sz w:val="22"/>
        </w:rPr>
        <w:t> </w:t>
      </w:r>
      <w:r>
        <w:rPr>
          <w:b/>
          <w:spacing w:val="-2"/>
          <w:sz w:val="22"/>
        </w:rPr>
        <w:t>disease)</w:t>
      </w:r>
    </w:p>
    <w:p>
      <w:pPr>
        <w:pStyle w:val="ListParagraph"/>
        <w:numPr>
          <w:ilvl w:val="0"/>
          <w:numId w:val="4"/>
        </w:numPr>
        <w:tabs>
          <w:tab w:pos="434" w:val="left" w:leader="none"/>
        </w:tabs>
        <w:spacing w:line="240" w:lineRule="auto" w:before="16" w:after="0"/>
        <w:ind w:left="434" w:right="0" w:hanging="240"/>
        <w:jc w:val="left"/>
        <w:rPr>
          <w:b/>
          <w:sz w:val="22"/>
        </w:rPr>
      </w:pPr>
      <w:r>
        <w:rPr>
          <w:b/>
          <w:sz w:val="22"/>
        </w:rPr>
        <w:t>Increased</w:t>
      </w:r>
      <w:r>
        <w:rPr>
          <w:b/>
          <w:spacing w:val="11"/>
          <w:sz w:val="22"/>
        </w:rPr>
        <w:t> </w:t>
      </w:r>
      <w:r>
        <w:rPr>
          <w:b/>
          <w:sz w:val="22"/>
        </w:rPr>
        <w:t>direct</w:t>
      </w:r>
      <w:r>
        <w:rPr>
          <w:b/>
          <w:spacing w:val="11"/>
          <w:sz w:val="22"/>
        </w:rPr>
        <w:t> </w:t>
      </w:r>
      <w:r>
        <w:rPr>
          <w:b/>
          <w:sz w:val="22"/>
        </w:rPr>
        <w:t>secretion</w:t>
      </w:r>
      <w:r>
        <w:rPr>
          <w:b/>
          <w:spacing w:val="11"/>
          <w:sz w:val="22"/>
        </w:rPr>
        <w:t> </w:t>
      </w:r>
      <w:r>
        <w:rPr>
          <w:b/>
          <w:sz w:val="22"/>
        </w:rPr>
        <w:t>of</w:t>
      </w:r>
      <w:r>
        <w:rPr>
          <w:b/>
          <w:spacing w:val="12"/>
          <w:sz w:val="22"/>
        </w:rPr>
        <w:t> </w:t>
      </w:r>
      <w:r>
        <w:rPr>
          <w:b/>
          <w:sz w:val="22"/>
        </w:rPr>
        <w:t>estrogen</w:t>
      </w:r>
      <w:r>
        <w:rPr>
          <w:b/>
          <w:spacing w:val="11"/>
          <w:sz w:val="22"/>
        </w:rPr>
        <w:t> </w:t>
      </w:r>
      <w:r>
        <w:rPr>
          <w:b/>
          <w:sz w:val="22"/>
        </w:rPr>
        <w:t>(ovarian</w:t>
      </w:r>
      <w:r>
        <w:rPr>
          <w:b/>
          <w:spacing w:val="11"/>
          <w:sz w:val="22"/>
        </w:rPr>
        <w:t> </w:t>
      </w:r>
      <w:r>
        <w:rPr>
          <w:b/>
          <w:spacing w:val="-2"/>
          <w:sz w:val="22"/>
        </w:rPr>
        <w:t>tumors)</w:t>
      </w:r>
    </w:p>
    <w:p>
      <w:pPr>
        <w:pStyle w:val="ListParagraph"/>
        <w:numPr>
          <w:ilvl w:val="0"/>
          <w:numId w:val="4"/>
        </w:numPr>
        <w:tabs>
          <w:tab w:pos="434" w:val="left" w:leader="none"/>
        </w:tabs>
        <w:spacing w:line="240" w:lineRule="auto" w:before="16" w:after="0"/>
        <w:ind w:left="434" w:right="0" w:hanging="240"/>
        <w:jc w:val="left"/>
        <w:rPr>
          <w:b/>
          <w:sz w:val="22"/>
        </w:rPr>
      </w:pPr>
      <w:r>
        <w:rPr>
          <w:b/>
          <w:sz w:val="22"/>
        </w:rPr>
        <w:t>Decreased</w:t>
      </w:r>
      <w:r>
        <w:rPr>
          <w:b/>
          <w:spacing w:val="9"/>
          <w:sz w:val="22"/>
        </w:rPr>
        <w:t> </w:t>
      </w:r>
      <w:r>
        <w:rPr>
          <w:b/>
          <w:sz w:val="22"/>
        </w:rPr>
        <w:t>levels</w:t>
      </w:r>
      <w:r>
        <w:rPr>
          <w:b/>
          <w:spacing w:val="10"/>
          <w:sz w:val="22"/>
        </w:rPr>
        <w:t> </w:t>
      </w:r>
      <w:r>
        <w:rPr>
          <w:b/>
          <w:sz w:val="22"/>
        </w:rPr>
        <w:t>of</w:t>
      </w:r>
      <w:r>
        <w:rPr>
          <w:b/>
          <w:spacing w:val="10"/>
          <w:sz w:val="22"/>
        </w:rPr>
        <w:t> </w:t>
      </w:r>
      <w:r>
        <w:rPr>
          <w:b/>
          <w:sz w:val="22"/>
        </w:rPr>
        <w:t>SHBG</w:t>
      </w:r>
      <w:r>
        <w:rPr>
          <w:b/>
          <w:spacing w:val="9"/>
          <w:sz w:val="22"/>
        </w:rPr>
        <w:t> </w:t>
      </w:r>
      <w:r>
        <w:rPr>
          <w:b/>
          <w:sz w:val="22"/>
        </w:rPr>
        <w:t>leading</w:t>
      </w:r>
      <w:r>
        <w:rPr>
          <w:b/>
          <w:spacing w:val="10"/>
          <w:sz w:val="22"/>
        </w:rPr>
        <w:t> </w:t>
      </w:r>
      <w:r>
        <w:rPr>
          <w:b/>
          <w:sz w:val="22"/>
        </w:rPr>
        <w:t>to</w:t>
      </w:r>
      <w:r>
        <w:rPr>
          <w:b/>
          <w:spacing w:val="10"/>
          <w:sz w:val="22"/>
        </w:rPr>
        <w:t> </w:t>
      </w:r>
      <w:r>
        <w:rPr>
          <w:b/>
          <w:sz w:val="22"/>
        </w:rPr>
        <w:t>increased</w:t>
      </w:r>
      <w:r>
        <w:rPr>
          <w:b/>
          <w:spacing w:val="9"/>
          <w:sz w:val="22"/>
        </w:rPr>
        <w:t> </w:t>
      </w:r>
      <w:r>
        <w:rPr>
          <w:b/>
          <w:sz w:val="22"/>
        </w:rPr>
        <w:t>levels</w:t>
      </w:r>
      <w:r>
        <w:rPr>
          <w:b/>
          <w:spacing w:val="10"/>
          <w:sz w:val="22"/>
        </w:rPr>
        <w:t> </w:t>
      </w:r>
      <w:r>
        <w:rPr>
          <w:b/>
          <w:sz w:val="22"/>
        </w:rPr>
        <w:t>of</w:t>
      </w:r>
      <w:r>
        <w:rPr>
          <w:b/>
          <w:spacing w:val="10"/>
          <w:sz w:val="22"/>
        </w:rPr>
        <w:t> </w:t>
      </w:r>
      <w:r>
        <w:rPr>
          <w:b/>
          <w:sz w:val="22"/>
        </w:rPr>
        <w:t>free</w:t>
      </w:r>
      <w:r>
        <w:rPr>
          <w:b/>
          <w:spacing w:val="9"/>
          <w:sz w:val="22"/>
        </w:rPr>
        <w:t> </w:t>
      </w:r>
      <w:r>
        <w:rPr>
          <w:b/>
          <w:spacing w:val="-2"/>
          <w:sz w:val="22"/>
        </w:rPr>
        <w:t>estrogen</w:t>
      </w:r>
    </w:p>
    <w:p>
      <w:pPr>
        <w:pStyle w:val="ListParagraph"/>
        <w:spacing w:after="0" w:line="240" w:lineRule="auto"/>
        <w:jc w:val="left"/>
        <w:rPr>
          <w:b/>
          <w:sz w:val="22"/>
        </w:rPr>
        <w:sectPr>
          <w:pgSz w:w="12240" w:h="15840"/>
          <w:pgMar w:top="1380" w:bottom="280" w:left="1440" w:right="1440"/>
        </w:sectPr>
      </w:pPr>
    </w:p>
    <w:p>
      <w:pPr>
        <w:spacing w:line="249" w:lineRule="auto" w:before="65"/>
        <w:ind w:left="99" w:right="98" w:firstLine="450"/>
        <w:jc w:val="both"/>
        <w:rPr>
          <w:sz w:val="30"/>
        </w:rPr>
      </w:pPr>
      <w:r>
        <w:rPr>
          <w:sz w:val="30"/>
        </w:rPr>
        <w:t>In any individual woman presenting with AUB, whether</w:t>
      </w:r>
      <w:r>
        <w:rPr>
          <w:spacing w:val="40"/>
          <w:sz w:val="30"/>
        </w:rPr>
        <w:t> </w:t>
      </w:r>
      <w:r>
        <w:rPr>
          <w:sz w:val="30"/>
        </w:rPr>
        <w:t>perimenopausal or postmenopausal, whether on or off hormone therapy, specific organic causes for AUB (neoplasia, complications of </w:t>
      </w:r>
      <w:r>
        <w:rPr>
          <w:sz w:val="30"/>
        </w:rPr>
        <w:t>unexpected pregnancy, or bleeding from extrauterine sites) must be ruled out. Additionally, a systematic evaluation should be undertaken that should include careful history taking and physical examination. A transvaginal ultrasound (TVUS) examination should be considered before attempting endometrial sampling for the measurement of endometrial thickness in assessing perimenopausal and postmenopausal AUB to avoid unnecessary endometrial biopsies.</w:t>
      </w:r>
      <w:r>
        <w:rPr>
          <w:sz w:val="30"/>
          <w:vertAlign w:val="superscript"/>
        </w:rPr>
        <w:t>184</w:t>
      </w:r>
      <w:r>
        <w:rPr>
          <w:sz w:val="30"/>
          <w:vertAlign w:val="baseline"/>
        </w:rPr>
        <w:t> </w:t>
      </w:r>
      <w:r>
        <w:rPr>
          <w:b/>
          <w:sz w:val="30"/>
          <w:vertAlign w:val="baseline"/>
        </w:rPr>
        <w:t>In postmenopausal women with AUB, endometrial biopsy is considered unnecessary when the endometrial thickness on ultrasound is less than 4 mm as the risk of endometrial hyperplasia or cancer in this setting is unlikely</w:t>
      </w:r>
      <w:r>
        <w:rPr>
          <w:sz w:val="30"/>
          <w:vertAlign w:val="baseline"/>
        </w:rPr>
        <w:t>.</w:t>
      </w:r>
      <w:r>
        <w:rPr>
          <w:sz w:val="30"/>
          <w:vertAlign w:val="superscript"/>
        </w:rPr>
        <w:t>185-188</w:t>
      </w:r>
      <w:r>
        <w:rPr>
          <w:sz w:val="30"/>
          <w:vertAlign w:val="baseline"/>
        </w:rPr>
        <w:t> Substantial evidence is, however, lacking to support the application of this criterion to the premenopausal population. </w:t>
      </w:r>
      <w:r>
        <w:rPr>
          <w:b/>
          <w:sz w:val="30"/>
          <w:vertAlign w:val="baseline"/>
        </w:rPr>
        <w:t>We believe that biopsy is unnecessary in postmenopausal women when the endometrial thickness is 4 mm or less. We further believe that endometrial biopsy is indicated when the clinical</w:t>
      </w:r>
      <w:r>
        <w:rPr>
          <w:b/>
          <w:spacing w:val="-1"/>
          <w:sz w:val="30"/>
          <w:vertAlign w:val="baseline"/>
        </w:rPr>
        <w:t> </w:t>
      </w:r>
      <w:r>
        <w:rPr>
          <w:b/>
          <w:sz w:val="30"/>
          <w:vertAlign w:val="baseline"/>
        </w:rPr>
        <w:t>history</w:t>
      </w:r>
      <w:r>
        <w:rPr>
          <w:b/>
          <w:spacing w:val="-1"/>
          <w:sz w:val="30"/>
          <w:vertAlign w:val="baseline"/>
        </w:rPr>
        <w:t> </w:t>
      </w:r>
      <w:r>
        <w:rPr>
          <w:b/>
          <w:sz w:val="30"/>
          <w:vertAlign w:val="baseline"/>
        </w:rPr>
        <w:t>suggests</w:t>
      </w:r>
      <w:r>
        <w:rPr>
          <w:b/>
          <w:spacing w:val="-1"/>
          <w:sz w:val="30"/>
          <w:vertAlign w:val="baseline"/>
        </w:rPr>
        <w:t> </w:t>
      </w:r>
      <w:r>
        <w:rPr>
          <w:b/>
          <w:sz w:val="30"/>
          <w:vertAlign w:val="baseline"/>
        </w:rPr>
        <w:t>long-term</w:t>
      </w:r>
      <w:r>
        <w:rPr>
          <w:b/>
          <w:spacing w:val="-1"/>
          <w:sz w:val="30"/>
          <w:vertAlign w:val="baseline"/>
        </w:rPr>
        <w:t> </w:t>
      </w:r>
      <w:r>
        <w:rPr>
          <w:b/>
          <w:sz w:val="30"/>
          <w:vertAlign w:val="baseline"/>
        </w:rPr>
        <w:t>unopposed</w:t>
      </w:r>
      <w:r>
        <w:rPr>
          <w:b/>
          <w:spacing w:val="-1"/>
          <w:sz w:val="30"/>
          <w:vertAlign w:val="baseline"/>
        </w:rPr>
        <w:t> </w:t>
      </w:r>
      <w:r>
        <w:rPr>
          <w:b/>
          <w:sz w:val="30"/>
          <w:vertAlign w:val="baseline"/>
        </w:rPr>
        <w:t>estrogen</w:t>
      </w:r>
      <w:r>
        <w:rPr>
          <w:b/>
          <w:spacing w:val="-1"/>
          <w:sz w:val="30"/>
          <w:vertAlign w:val="baseline"/>
        </w:rPr>
        <w:t> </w:t>
      </w:r>
      <w:r>
        <w:rPr>
          <w:b/>
          <w:sz w:val="30"/>
          <w:vertAlign w:val="baseline"/>
        </w:rPr>
        <w:t>exposure</w:t>
      </w:r>
      <w:r>
        <w:rPr>
          <w:b/>
          <w:spacing w:val="-1"/>
          <w:sz w:val="30"/>
          <w:vertAlign w:val="baseline"/>
        </w:rPr>
        <w:t> </w:t>
      </w:r>
      <w:r>
        <w:rPr>
          <w:b/>
          <w:sz w:val="30"/>
          <w:vertAlign w:val="baseline"/>
        </w:rPr>
        <w:t>(either prolonged periods of oligomenorrhea/amenorrhea or iatrogenic estrogen use) even when the endometrial thickness is “normal” (5-12 mm for premenopausal women). Furthermore, biopsy should be considered when endometrial thickness is persistently greater than 12 mm even in the absence of AUB, even when clinical suspicion of disease is low. Additionally, if AUB persists in postmenopausal women with an EMT </w:t>
      </w:r>
      <w:r>
        <w:rPr>
          <w:sz w:val="30"/>
          <w:vertAlign w:val="baseline"/>
        </w:rPr>
        <w:t>&lt;</w:t>
      </w:r>
      <w:r>
        <w:rPr>
          <w:b/>
          <w:sz w:val="30"/>
          <w:vertAlign w:val="baseline"/>
        </w:rPr>
        <w:t>4 mm, an endometrial biopsy should be performed. </w:t>
      </w:r>
      <w:r>
        <w:rPr>
          <w:sz w:val="30"/>
          <w:vertAlign w:val="baseline"/>
        </w:rPr>
        <w:t>An office procedure has been shown to offer tissue yield that is closely comparable to dilation and curettage (D&amp;C) and has an 83% sensitivity for detecting endometrial cancer.</w:t>
      </w:r>
    </w:p>
    <w:p>
      <w:pPr>
        <w:pStyle w:val="BodyText"/>
        <w:spacing w:line="249" w:lineRule="auto" w:before="34"/>
        <w:ind w:right="97" w:firstLine="450"/>
      </w:pPr>
      <w:r>
        <w:rPr/>
        <w:t>A TVUS study can also help in identifying intracavitary </w:t>
      </w:r>
      <w:r>
        <w:rPr/>
        <w:t>lesions, particularly with intracavitary instillation of saline.</w:t>
      </w:r>
      <w:r>
        <w:rPr>
          <w:vertAlign w:val="superscript"/>
        </w:rPr>
        <w:t>189</w:t>
      </w:r>
      <w:r>
        <w:rPr>
          <w:vertAlign w:val="baseline"/>
        </w:rPr>
        <w:t> Saline infusion sonohysterogram (SHG) can identify intracavitary lesions (ie, polyps and submucosal fibroids) that can be missed on routine 2D TVUS.</w:t>
      </w:r>
      <w:r>
        <w:rPr>
          <w:vertAlign w:val="superscript"/>
        </w:rPr>
        <w:t>189</w:t>
      </w:r>
      <w:r>
        <w:rPr>
          <w:vertAlign w:val="baseline"/>
        </w:rPr>
        <w:t> The sensitivity and specificity of TVUS for identifying intrauterine pathology are 56% to 73%,</w:t>
      </w:r>
      <w:r>
        <w:rPr>
          <w:vertAlign w:val="superscript"/>
        </w:rPr>
        <w:t>190</w:t>
      </w:r>
      <w:r>
        <w:rPr>
          <w:vertAlign w:val="baseline"/>
        </w:rPr>
        <w:t> whereas SHG has a sensitivity of 96% to 100% and a negative predictive value of 94% to 100% in evaluating for uterine pathology.</w:t>
      </w:r>
      <w:r>
        <w:rPr>
          <w:vertAlign w:val="superscript"/>
        </w:rPr>
        <w:t>189</w:t>
      </w:r>
      <w:r>
        <w:rPr>
          <w:spacing w:val="78"/>
          <w:w w:val="150"/>
          <w:vertAlign w:val="baseline"/>
        </w:rPr>
        <w:t> </w:t>
      </w:r>
      <w:r>
        <w:rPr>
          <w:vertAlign w:val="baseline"/>
        </w:rPr>
        <w:t>Hysteroscopy</w:t>
      </w:r>
      <w:r>
        <w:rPr>
          <w:spacing w:val="78"/>
          <w:w w:val="150"/>
          <w:vertAlign w:val="baseline"/>
        </w:rPr>
        <w:t> </w:t>
      </w:r>
      <w:r>
        <w:rPr>
          <w:vertAlign w:val="baseline"/>
        </w:rPr>
        <w:t>has</w:t>
      </w:r>
      <w:r>
        <w:rPr>
          <w:spacing w:val="79"/>
          <w:w w:val="150"/>
          <w:vertAlign w:val="baseline"/>
        </w:rPr>
        <w:t> </w:t>
      </w:r>
      <w:r>
        <w:rPr>
          <w:vertAlign w:val="baseline"/>
        </w:rPr>
        <w:t>an</w:t>
      </w:r>
      <w:r>
        <w:rPr>
          <w:spacing w:val="78"/>
          <w:w w:val="150"/>
          <w:vertAlign w:val="baseline"/>
        </w:rPr>
        <w:t> </w:t>
      </w:r>
      <w:r>
        <w:rPr>
          <w:vertAlign w:val="baseline"/>
        </w:rPr>
        <w:t>accuracy</w:t>
      </w:r>
      <w:r>
        <w:rPr>
          <w:spacing w:val="79"/>
          <w:w w:val="150"/>
          <w:vertAlign w:val="baseline"/>
        </w:rPr>
        <w:t> </w:t>
      </w:r>
      <w:r>
        <w:rPr>
          <w:vertAlign w:val="baseline"/>
        </w:rPr>
        <w:t>of</w:t>
      </w:r>
      <w:r>
        <w:rPr>
          <w:spacing w:val="78"/>
          <w:w w:val="150"/>
          <w:vertAlign w:val="baseline"/>
        </w:rPr>
        <w:t> </w:t>
      </w:r>
      <w:r>
        <w:rPr>
          <w:vertAlign w:val="baseline"/>
        </w:rPr>
        <w:t>96%</w:t>
      </w:r>
      <w:r>
        <w:rPr>
          <w:spacing w:val="79"/>
          <w:w w:val="150"/>
          <w:vertAlign w:val="baseline"/>
        </w:rPr>
        <w:t> </w:t>
      </w:r>
      <w:r>
        <w:rPr>
          <w:vertAlign w:val="baseline"/>
        </w:rPr>
        <w:t>for</w:t>
      </w:r>
      <w:r>
        <w:rPr>
          <w:spacing w:val="78"/>
          <w:w w:val="150"/>
          <w:vertAlign w:val="baseline"/>
        </w:rPr>
        <w:t> </w:t>
      </w:r>
      <w:r>
        <w:rPr>
          <w:spacing w:val="-2"/>
          <w:vertAlign w:val="baseline"/>
        </w:rPr>
        <w:t>intracavitary</w:t>
      </w:r>
    </w:p>
    <w:p>
      <w:pPr>
        <w:pStyle w:val="BodyText"/>
        <w:spacing w:after="0" w:line="249" w:lineRule="auto"/>
        <w:sectPr>
          <w:pgSz w:w="12240" w:h="15840"/>
          <w:pgMar w:top="1380" w:bottom="280" w:left="1440" w:right="1440"/>
        </w:sectPr>
      </w:pPr>
    </w:p>
    <w:p>
      <w:pPr>
        <w:pStyle w:val="BodyText"/>
        <w:spacing w:line="249" w:lineRule="auto"/>
        <w:ind w:right="109"/>
      </w:pPr>
      <w:r>
        <w:rPr/>
        <w:t>pathology, with abnormalities seen in about 47% of premenopausal </w:t>
      </w:r>
      <w:r>
        <w:rPr/>
        <w:t>and postmenopausal women with AUB.</w:t>
      </w:r>
      <w:r>
        <w:rPr>
          <w:vertAlign w:val="superscript"/>
        </w:rPr>
        <w:t>157</w:t>
      </w:r>
    </w:p>
    <w:p>
      <w:pPr>
        <w:pStyle w:val="BodyText"/>
        <w:spacing w:line="249" w:lineRule="auto" w:before="2"/>
        <w:ind w:right="98" w:firstLine="450"/>
      </w:pPr>
      <w:r>
        <w:rPr/>
        <w:t>If the endometrial assessment is unremarkable but abnormal bleeding persists, then for reasons of both accuracy and cost-effectiveness, the </w:t>
      </w:r>
      <w:r>
        <w:rPr/>
        <w:t>next step should be of endometrial biopsy; when no focal pathology is evident</w:t>
      </w:r>
      <w:r>
        <w:rPr>
          <w:spacing w:val="40"/>
        </w:rPr>
        <w:t> </w:t>
      </w:r>
      <w:r>
        <w:rPr/>
        <w:t>on screening, then it is appropriate for the method of endometrial biopsy to be an office-based procedure. We recommend the use of a plastic endometrial suction device (such as a pipelle) as the procedure is easy to perform, requires no cervical dilation, and is frequently well tolerated and equipment is routinely available even in low-resource settings. An office-based</w:t>
      </w:r>
      <w:r>
        <w:rPr>
          <w:spacing w:val="-4"/>
        </w:rPr>
        <w:t> </w:t>
      </w:r>
      <w:r>
        <w:rPr/>
        <w:t>endometrial</w:t>
      </w:r>
      <w:r>
        <w:rPr>
          <w:spacing w:val="-4"/>
        </w:rPr>
        <w:t> </w:t>
      </w:r>
      <w:r>
        <w:rPr/>
        <w:t>biopsy</w:t>
      </w:r>
      <w:r>
        <w:rPr>
          <w:spacing w:val="-4"/>
        </w:rPr>
        <w:t> </w:t>
      </w:r>
      <w:r>
        <w:rPr/>
        <w:t>has</w:t>
      </w:r>
      <w:r>
        <w:rPr>
          <w:spacing w:val="-4"/>
        </w:rPr>
        <w:t> </w:t>
      </w:r>
      <w:r>
        <w:rPr/>
        <w:t>been</w:t>
      </w:r>
      <w:r>
        <w:rPr>
          <w:spacing w:val="-4"/>
        </w:rPr>
        <w:t> </w:t>
      </w:r>
      <w:r>
        <w:rPr/>
        <w:t>shown</w:t>
      </w:r>
      <w:r>
        <w:rPr>
          <w:spacing w:val="-4"/>
        </w:rPr>
        <w:t> </w:t>
      </w:r>
      <w:r>
        <w:rPr/>
        <w:t>to</w:t>
      </w:r>
      <w:r>
        <w:rPr>
          <w:spacing w:val="-4"/>
        </w:rPr>
        <w:t> </w:t>
      </w:r>
      <w:r>
        <w:rPr/>
        <w:t>offer</w:t>
      </w:r>
      <w:r>
        <w:rPr>
          <w:spacing w:val="-4"/>
        </w:rPr>
        <w:t> </w:t>
      </w:r>
      <w:r>
        <w:rPr/>
        <w:t>tissue</w:t>
      </w:r>
      <w:r>
        <w:rPr>
          <w:spacing w:val="-4"/>
        </w:rPr>
        <w:t> </w:t>
      </w:r>
      <w:r>
        <w:rPr/>
        <w:t>yield</w:t>
      </w:r>
      <w:r>
        <w:rPr>
          <w:spacing w:val="-4"/>
        </w:rPr>
        <w:t> </w:t>
      </w:r>
      <w:r>
        <w:rPr/>
        <w:t>that</w:t>
      </w:r>
      <w:r>
        <w:rPr>
          <w:spacing w:val="-4"/>
        </w:rPr>
        <w:t> </w:t>
      </w:r>
      <w:r>
        <w:rPr/>
        <w:t>is</w:t>
      </w:r>
      <w:r>
        <w:rPr>
          <w:spacing w:val="-4"/>
        </w:rPr>
        <w:t> </w:t>
      </w:r>
      <w:r>
        <w:rPr/>
        <w:t>closely comparable to D&amp;C and has an 83% sensitivity for detecting endometrial cancer. Insertion should first be attempted without the use of a tenaculum. In many patients, this is feasible and avoids the sensation of the tenaculum grasping the cervix. Once the suction is applied, the endometrial cavity should be thoroughly curetted in all directions, just as it would with a sharp curette during a D&amp;C. Although most patients report no problems with cramps or pain, the application of suction in some patients stimulates cramping that usually passes within 5 to 10 minutes. Because cramping can occur, an inhibitor of prostaglandin synthesis given at least 20 minutes before the procedure has been shown to minimize procedure-related discomfort.</w:t>
      </w:r>
      <w:r>
        <w:rPr>
          <w:spacing w:val="-5"/>
        </w:rPr>
        <w:t> </w:t>
      </w:r>
      <w:r>
        <w:rPr/>
        <w:t>Less than 10% of postmenopausal women cannot be adequately evaluated by office biopsy. Most commonly, the reason is the inability to negotiate the cervical canal and gain entry into the uterine cavity. In such instances, it is very reasonable to proceed with procedure under anesthesia when a D&amp;C can be performed in the operating room; however, pretreatment with misoprostol or cervical laminaria may allow completion of office endometrial biopsy and thus avoid the need for anesthesia and D&amp;C. We recommend consideration for office hysteroscopy or an SHG prior to proceeding with office endometrial biopsy and undertaking concomitant hysteroscopy at the time of D&amp;C being undertaken for evaluation of AUB,</w:t>
      </w:r>
      <w:r>
        <w:rPr>
          <w:vertAlign w:val="superscript"/>
        </w:rPr>
        <w:t>157</w:t>
      </w:r>
      <w:r>
        <w:rPr>
          <w:vertAlign w:val="baseline"/>
        </w:rPr>
        <w:t> provided access to the equipment is available and the surgeon has the requisite expertise. Following a negative hysteroscopy result, the chance of endometrial cancer diagnosis is 0.4% to 0.5%.</w:t>
      </w:r>
      <w:r>
        <w:rPr>
          <w:vertAlign w:val="superscript"/>
        </w:rPr>
        <w:t>157</w:t>
      </w:r>
      <w:r>
        <w:rPr>
          <w:vertAlign w:val="baseline"/>
        </w:rPr>
        <w:t> If the vulva, vagina, and cervix appear normal on inspection, menopausal</w:t>
      </w:r>
      <w:r>
        <w:rPr>
          <w:spacing w:val="40"/>
          <w:vertAlign w:val="baseline"/>
        </w:rPr>
        <w:t> </w:t>
      </w:r>
      <w:r>
        <w:rPr>
          <w:vertAlign w:val="baseline"/>
        </w:rPr>
        <w:t>bleeding</w:t>
      </w:r>
      <w:r>
        <w:rPr>
          <w:spacing w:val="13"/>
          <w:vertAlign w:val="baseline"/>
        </w:rPr>
        <w:t> </w:t>
      </w:r>
      <w:r>
        <w:rPr>
          <w:vertAlign w:val="baseline"/>
        </w:rPr>
        <w:t>can</w:t>
      </w:r>
      <w:r>
        <w:rPr>
          <w:spacing w:val="13"/>
          <w:vertAlign w:val="baseline"/>
        </w:rPr>
        <w:t> </w:t>
      </w:r>
      <w:r>
        <w:rPr>
          <w:vertAlign w:val="baseline"/>
        </w:rPr>
        <w:t>be</w:t>
      </w:r>
      <w:r>
        <w:rPr>
          <w:spacing w:val="13"/>
          <w:vertAlign w:val="baseline"/>
        </w:rPr>
        <w:t> </w:t>
      </w:r>
      <w:r>
        <w:rPr>
          <w:vertAlign w:val="baseline"/>
        </w:rPr>
        <w:t>assumed</w:t>
      </w:r>
      <w:r>
        <w:rPr>
          <w:spacing w:val="13"/>
          <w:vertAlign w:val="baseline"/>
        </w:rPr>
        <w:t> </w:t>
      </w:r>
      <w:r>
        <w:rPr>
          <w:vertAlign w:val="baseline"/>
        </w:rPr>
        <w:t>to</w:t>
      </w:r>
      <w:r>
        <w:rPr>
          <w:spacing w:val="13"/>
          <w:vertAlign w:val="baseline"/>
        </w:rPr>
        <w:t> </w:t>
      </w:r>
      <w:r>
        <w:rPr>
          <w:vertAlign w:val="baseline"/>
        </w:rPr>
        <w:t>be</w:t>
      </w:r>
      <w:r>
        <w:rPr>
          <w:spacing w:val="13"/>
          <w:vertAlign w:val="baseline"/>
        </w:rPr>
        <w:t> </w:t>
      </w:r>
      <w:r>
        <w:rPr>
          <w:vertAlign w:val="baseline"/>
        </w:rPr>
        <w:t>intrauterine</w:t>
      </w:r>
      <w:r>
        <w:rPr>
          <w:spacing w:val="13"/>
          <w:vertAlign w:val="baseline"/>
        </w:rPr>
        <w:t> </w:t>
      </w:r>
      <w:r>
        <w:rPr>
          <w:vertAlign w:val="baseline"/>
        </w:rPr>
        <w:t>in</w:t>
      </w:r>
      <w:r>
        <w:rPr>
          <w:spacing w:val="13"/>
          <w:vertAlign w:val="baseline"/>
        </w:rPr>
        <w:t> </w:t>
      </w:r>
      <w:r>
        <w:rPr>
          <w:vertAlign w:val="baseline"/>
        </w:rPr>
        <w:t>origin.</w:t>
      </w:r>
      <w:r>
        <w:rPr>
          <w:spacing w:val="13"/>
          <w:vertAlign w:val="baseline"/>
        </w:rPr>
        <w:t> </w:t>
      </w:r>
      <w:r>
        <w:rPr>
          <w:vertAlign w:val="baseline"/>
        </w:rPr>
        <w:t>Confirmation</w:t>
      </w:r>
      <w:r>
        <w:rPr>
          <w:spacing w:val="15"/>
          <w:vertAlign w:val="baseline"/>
        </w:rPr>
        <w:t> </w:t>
      </w:r>
      <w:r>
        <w:rPr>
          <w:spacing w:val="-2"/>
          <w:vertAlign w:val="baseline"/>
        </w:rPr>
        <w:t>requires</w:t>
      </w:r>
    </w:p>
    <w:p>
      <w:pPr>
        <w:pStyle w:val="BodyText"/>
        <w:spacing w:after="0" w:line="249" w:lineRule="auto"/>
        <w:sectPr>
          <w:pgSz w:w="12240" w:h="15840"/>
          <w:pgMar w:top="1380" w:bottom="280" w:left="1440" w:right="1440"/>
        </w:sectPr>
      </w:pPr>
    </w:p>
    <w:p>
      <w:pPr>
        <w:pStyle w:val="BodyText"/>
        <w:spacing w:line="249" w:lineRule="auto"/>
        <w:ind w:right="98"/>
        <w:rPr>
          <w:b/>
        </w:rPr>
      </w:pPr>
      <w:r>
        <w:rPr/>
        <w:t>the</w:t>
      </w:r>
      <w:r>
        <w:rPr>
          <w:spacing w:val="-2"/>
        </w:rPr>
        <w:t> </w:t>
      </w:r>
      <w:r>
        <w:rPr/>
        <w:t>absence</w:t>
      </w:r>
      <w:r>
        <w:rPr>
          <w:spacing w:val="-2"/>
        </w:rPr>
        <w:t> </w:t>
      </w:r>
      <w:r>
        <w:rPr/>
        <w:t>of</w:t>
      </w:r>
      <w:r>
        <w:rPr>
          <w:spacing w:val="-2"/>
        </w:rPr>
        <w:t> </w:t>
      </w:r>
      <w:r>
        <w:rPr/>
        <w:t>abnormal</w:t>
      </w:r>
      <w:r>
        <w:rPr>
          <w:spacing w:val="-2"/>
        </w:rPr>
        <w:t> </w:t>
      </w:r>
      <w:r>
        <w:rPr/>
        <w:t>cytology</w:t>
      </w:r>
      <w:r>
        <w:rPr>
          <w:spacing w:val="-2"/>
        </w:rPr>
        <w:t> </w:t>
      </w:r>
      <w:r>
        <w:rPr/>
        <w:t>on</w:t>
      </w:r>
      <w:r>
        <w:rPr>
          <w:spacing w:val="-2"/>
        </w:rPr>
        <w:t> </w:t>
      </w:r>
      <w:r>
        <w:rPr/>
        <w:t>the</w:t>
      </w:r>
      <w:r>
        <w:rPr>
          <w:spacing w:val="-2"/>
        </w:rPr>
        <w:t> </w:t>
      </w:r>
      <w:r>
        <w:rPr/>
        <w:t>Pap</w:t>
      </w:r>
      <w:r>
        <w:rPr>
          <w:spacing w:val="-2"/>
        </w:rPr>
        <w:t> </w:t>
      </w:r>
      <w:r>
        <w:rPr/>
        <w:t>smear.</w:t>
      </w:r>
      <w:r>
        <w:rPr>
          <w:spacing w:val="-2"/>
        </w:rPr>
        <w:t> </w:t>
      </w:r>
      <w:r>
        <w:rPr/>
        <w:t>The principal </w:t>
      </w:r>
      <w:r>
        <w:rPr/>
        <w:t>symptom of endometrial cancer is abnormal vaginal bleeding, but carcinoma will be encountered in patients with bleeding in less than 3% of postmenopausal endometrial biopsies.</w:t>
      </w:r>
      <w:r>
        <w:rPr>
          <w:vertAlign w:val="superscript"/>
        </w:rPr>
        <w:t>191-193</w:t>
      </w:r>
      <w:r>
        <w:rPr>
          <w:vertAlign w:val="baseline"/>
        </w:rPr>
        <w:t> Normal endometrium is found over half the</w:t>
      </w:r>
      <w:r>
        <w:rPr>
          <w:spacing w:val="40"/>
          <w:vertAlign w:val="baseline"/>
        </w:rPr>
        <w:t> </w:t>
      </w:r>
      <w:r>
        <w:rPr>
          <w:vertAlign w:val="baseline"/>
        </w:rPr>
        <w:t>time, polyps in approximately 3%, endometrial hyperplasia about 15% of the time, and atrophic endometrium in the rest of patients with postmenopausal</w:t>
      </w:r>
      <w:r>
        <w:rPr>
          <w:spacing w:val="-5"/>
          <w:vertAlign w:val="baseline"/>
        </w:rPr>
        <w:t> </w:t>
      </w:r>
      <w:r>
        <w:rPr>
          <w:vertAlign w:val="baseline"/>
        </w:rPr>
        <w:t>bleeding.</w:t>
      </w:r>
      <w:r>
        <w:rPr>
          <w:spacing w:val="-5"/>
          <w:vertAlign w:val="baseline"/>
        </w:rPr>
        <w:t> </w:t>
      </w:r>
      <w:r>
        <w:rPr>
          <w:vertAlign w:val="baseline"/>
        </w:rPr>
        <w:t>Postmenopausal bleeding should always be taken seriously. Approximately 10% of patients who have benign findings at the initial evaluation subsequently develop significant pathology within 2 years.</w:t>
      </w:r>
      <w:r>
        <w:rPr>
          <w:vertAlign w:val="superscript"/>
        </w:rPr>
        <w:t>192</w:t>
      </w:r>
      <w:r>
        <w:rPr>
          <w:vertAlign w:val="baseline"/>
        </w:rPr>
        <w:t> </w:t>
      </w:r>
      <w:r>
        <w:rPr>
          <w:b/>
          <w:vertAlign w:val="baseline"/>
        </w:rPr>
        <w:t>The persistence of abnormal bleeding demands repeated </w:t>
      </w:r>
      <w:r>
        <w:rPr>
          <w:b/>
          <w:spacing w:val="-2"/>
          <w:vertAlign w:val="baseline"/>
        </w:rPr>
        <w:t>evaluation.</w:t>
      </w:r>
    </w:p>
    <w:p>
      <w:pPr>
        <w:pStyle w:val="BodyText"/>
        <w:spacing w:before="13"/>
        <w:ind w:left="549"/>
      </w:pPr>
      <w:r>
        <w:rPr/>
        <w:t>Additional procedures to consider include the </w:t>
      </w:r>
      <w:r>
        <w:rPr>
          <w:spacing w:val="-2"/>
        </w:rPr>
        <w:t>following:</w:t>
      </w:r>
    </w:p>
    <w:p>
      <w:pPr>
        <w:pStyle w:val="ListParagraph"/>
        <w:numPr>
          <w:ilvl w:val="0"/>
          <w:numId w:val="5"/>
        </w:numPr>
        <w:tabs>
          <w:tab w:pos="399" w:val="left" w:leader="none"/>
        </w:tabs>
        <w:spacing w:line="280" w:lineRule="auto" w:before="270" w:after="0"/>
        <w:ind w:left="399" w:right="105" w:hanging="280"/>
        <w:jc w:val="both"/>
        <w:rPr>
          <w:sz w:val="30"/>
        </w:rPr>
      </w:pPr>
      <w:r>
        <w:rPr>
          <w:b/>
          <w:sz w:val="30"/>
        </w:rPr>
        <w:t>Colposcopy and cervical biopsy </w:t>
      </w:r>
      <w:r>
        <w:rPr>
          <w:sz w:val="30"/>
        </w:rPr>
        <w:t>for abnormal cytology or </w:t>
      </w:r>
      <w:r>
        <w:rPr>
          <w:sz w:val="30"/>
        </w:rPr>
        <w:t>obvious </w:t>
      </w:r>
      <w:r>
        <w:rPr>
          <w:spacing w:val="-2"/>
          <w:sz w:val="30"/>
        </w:rPr>
        <w:t>lesions</w:t>
      </w:r>
    </w:p>
    <w:p>
      <w:pPr>
        <w:pStyle w:val="ListParagraph"/>
        <w:numPr>
          <w:ilvl w:val="0"/>
          <w:numId w:val="5"/>
        </w:numPr>
        <w:tabs>
          <w:tab w:pos="399" w:val="left" w:leader="none"/>
        </w:tabs>
        <w:spacing w:line="266" w:lineRule="auto" w:before="3" w:after="0"/>
        <w:ind w:left="399" w:right="110" w:hanging="280"/>
        <w:jc w:val="both"/>
        <w:rPr>
          <w:sz w:val="30"/>
        </w:rPr>
      </w:pPr>
      <w:r>
        <w:rPr>
          <w:b/>
          <w:sz w:val="30"/>
        </w:rPr>
        <w:t>Endocervical assessment </w:t>
      </w:r>
      <w:r>
        <w:rPr>
          <w:sz w:val="30"/>
        </w:rPr>
        <w:t>by curettage for abnormal cytology </w:t>
      </w:r>
      <w:r>
        <w:rPr>
          <w:sz w:val="30"/>
        </w:rPr>
        <w:t>(the endocervix must always be kept in mind as a source for abnormal </w:t>
      </w:r>
      <w:r>
        <w:rPr>
          <w:spacing w:val="-2"/>
          <w:sz w:val="30"/>
        </w:rPr>
        <w:t>cytology)</w:t>
      </w:r>
    </w:p>
    <w:p>
      <w:pPr>
        <w:pStyle w:val="BodyText"/>
        <w:spacing w:line="249" w:lineRule="auto" w:before="186"/>
        <w:ind w:right="99" w:firstLine="450"/>
      </w:pPr>
      <w:r>
        <w:rPr/>
        <w:t>Keep in mind that the pathologic reading, “tissue insufficient for diagnosis,” when a patient is on estrogen-progestin treatment, often represents atrophic, decidualized endometrium that yields little to the exploring curette. If the clinician is confident in his or her technique, knowing that a full investigation of the intrauterine cavity has </w:t>
      </w:r>
      <w:r>
        <w:rPr/>
        <w:t>been accomplished, then </w:t>
      </w:r>
      <w:r>
        <w:rPr>
          <w:i/>
        </w:rPr>
        <w:t>as long as the patient’s bleeding does not persist</w:t>
      </w:r>
      <w:r>
        <w:rPr/>
        <w:t>, this reading can be interpreted as comforting and benign, the absence of pathology. Specifically, as long as the clinician is certain that the true uterine</w:t>
      </w:r>
      <w:r>
        <w:rPr>
          <w:spacing w:val="-2"/>
        </w:rPr>
        <w:t> </w:t>
      </w:r>
      <w:r>
        <w:rPr/>
        <w:t>cavity</w:t>
      </w:r>
      <w:r>
        <w:rPr>
          <w:spacing w:val="-2"/>
        </w:rPr>
        <w:t> </w:t>
      </w:r>
      <w:r>
        <w:rPr/>
        <w:t>was</w:t>
      </w:r>
      <w:r>
        <w:rPr>
          <w:spacing w:val="-2"/>
        </w:rPr>
        <w:t> </w:t>
      </w:r>
      <w:r>
        <w:rPr/>
        <w:t>sampled</w:t>
      </w:r>
      <w:r>
        <w:rPr>
          <w:spacing w:val="-2"/>
        </w:rPr>
        <w:t> </w:t>
      </w:r>
      <w:r>
        <w:rPr/>
        <w:t>(ie,</w:t>
      </w:r>
      <w:r>
        <w:rPr>
          <w:spacing w:val="-2"/>
        </w:rPr>
        <w:t> </w:t>
      </w:r>
      <w:r>
        <w:rPr/>
        <w:t>no</w:t>
      </w:r>
      <w:r>
        <w:rPr>
          <w:spacing w:val="-2"/>
        </w:rPr>
        <w:t> </w:t>
      </w:r>
      <w:r>
        <w:rPr/>
        <w:t>false</w:t>
      </w:r>
      <w:r>
        <w:rPr>
          <w:spacing w:val="-2"/>
        </w:rPr>
        <w:t> </w:t>
      </w:r>
      <w:r>
        <w:rPr/>
        <w:t>passage</w:t>
      </w:r>
      <w:r>
        <w:rPr>
          <w:spacing w:val="-2"/>
        </w:rPr>
        <w:t> </w:t>
      </w:r>
      <w:r>
        <w:rPr/>
        <w:t>or</w:t>
      </w:r>
      <w:r>
        <w:rPr>
          <w:spacing w:val="-2"/>
        </w:rPr>
        <w:t> </w:t>
      </w:r>
      <w:r>
        <w:rPr/>
        <w:t>stenotic</w:t>
      </w:r>
      <w:r>
        <w:rPr>
          <w:spacing w:val="-2"/>
        </w:rPr>
        <w:t> </w:t>
      </w:r>
      <w:r>
        <w:rPr/>
        <w:t>os</w:t>
      </w:r>
      <w:r>
        <w:rPr>
          <w:spacing w:val="-2"/>
        </w:rPr>
        <w:t> </w:t>
      </w:r>
      <w:r>
        <w:rPr/>
        <w:t>encountered), no further testing is indicated unless abnormal bleeding persists and risk factors for neoplasia are present. In the event of continued bleeding or concerning risk factors (ie, long-standing history of unopposed estrogen, obesity,</w:t>
      </w:r>
      <w:r>
        <w:rPr>
          <w:spacing w:val="-6"/>
        </w:rPr>
        <w:t> </w:t>
      </w:r>
      <w:r>
        <w:rPr/>
        <w:t>hypertension,</w:t>
      </w:r>
      <w:r>
        <w:rPr>
          <w:spacing w:val="-6"/>
        </w:rPr>
        <w:t> </w:t>
      </w:r>
      <w:r>
        <w:rPr/>
        <w:t>diabetes,</w:t>
      </w:r>
      <w:r>
        <w:rPr>
          <w:spacing w:val="-6"/>
        </w:rPr>
        <w:t> </w:t>
      </w:r>
      <w:r>
        <w:rPr/>
        <w:t>and</w:t>
      </w:r>
      <w:r>
        <w:rPr>
          <w:spacing w:val="-6"/>
        </w:rPr>
        <w:t> </w:t>
      </w:r>
      <w:r>
        <w:rPr/>
        <w:t>nulliparity),</w:t>
      </w:r>
      <w:r>
        <w:rPr>
          <w:spacing w:val="-6"/>
        </w:rPr>
        <w:t> </w:t>
      </w:r>
      <w:r>
        <w:rPr/>
        <w:t>consideration</w:t>
      </w:r>
      <w:r>
        <w:rPr>
          <w:spacing w:val="-6"/>
        </w:rPr>
        <w:t> </w:t>
      </w:r>
      <w:r>
        <w:rPr/>
        <w:t>for</w:t>
      </w:r>
      <w:r>
        <w:rPr>
          <w:spacing w:val="-6"/>
        </w:rPr>
        <w:t> </w:t>
      </w:r>
      <w:r>
        <w:rPr/>
        <w:t>referral</w:t>
      </w:r>
      <w:r>
        <w:rPr>
          <w:spacing w:val="-6"/>
        </w:rPr>
        <w:t> </w:t>
      </w:r>
      <w:r>
        <w:rPr/>
        <w:t>to a gynecologic oncologist would be a prudent approach.</w:t>
      </w:r>
    </w:p>
    <w:p>
      <w:pPr>
        <w:pStyle w:val="BodyText"/>
        <w:spacing w:line="249" w:lineRule="auto" w:before="17"/>
        <w:ind w:right="100" w:firstLine="450"/>
      </w:pPr>
      <w:r>
        <w:rPr/>
        <w:t>In the absence of organic disease, appropriate management of uterine bleeding is dependent on the age of the woman and endometrial tissue findings.</w:t>
      </w:r>
      <w:r>
        <w:rPr>
          <w:spacing w:val="14"/>
        </w:rPr>
        <w:t> </w:t>
      </w:r>
      <w:r>
        <w:rPr/>
        <w:t>In</w:t>
      </w:r>
      <w:r>
        <w:rPr>
          <w:spacing w:val="16"/>
        </w:rPr>
        <w:t> </w:t>
      </w:r>
      <w:r>
        <w:rPr/>
        <w:t>the</w:t>
      </w:r>
      <w:r>
        <w:rPr>
          <w:spacing w:val="16"/>
        </w:rPr>
        <w:t> </w:t>
      </w:r>
      <w:r>
        <w:rPr/>
        <w:t>menopausal</w:t>
      </w:r>
      <w:r>
        <w:rPr>
          <w:spacing w:val="16"/>
        </w:rPr>
        <w:t> </w:t>
      </w:r>
      <w:r>
        <w:rPr/>
        <w:t>woman</w:t>
      </w:r>
      <w:r>
        <w:rPr>
          <w:spacing w:val="16"/>
        </w:rPr>
        <w:t> </w:t>
      </w:r>
      <w:r>
        <w:rPr/>
        <w:t>with</w:t>
      </w:r>
      <w:r>
        <w:rPr>
          <w:spacing w:val="16"/>
        </w:rPr>
        <w:t> </w:t>
      </w:r>
      <w:r>
        <w:rPr/>
        <w:t>AUB</w:t>
      </w:r>
      <w:r>
        <w:rPr>
          <w:spacing w:val="16"/>
        </w:rPr>
        <w:t> </w:t>
      </w:r>
      <w:r>
        <w:rPr/>
        <w:t>associated</w:t>
      </w:r>
      <w:r>
        <w:rPr>
          <w:spacing w:val="16"/>
        </w:rPr>
        <w:t> </w:t>
      </w:r>
      <w:r>
        <w:rPr/>
        <w:t>with</w:t>
      </w:r>
      <w:r>
        <w:rPr>
          <w:spacing w:val="16"/>
        </w:rPr>
        <w:t> </w:t>
      </w:r>
      <w:r>
        <w:rPr/>
        <w:t>evidence</w:t>
      </w:r>
      <w:r>
        <w:rPr>
          <w:spacing w:val="16"/>
        </w:rPr>
        <w:t> </w:t>
      </w:r>
      <w:r>
        <w:rPr>
          <w:spacing w:val="-5"/>
        </w:rPr>
        <w:t>of</w:t>
      </w:r>
    </w:p>
    <w:p>
      <w:pPr>
        <w:pStyle w:val="BodyText"/>
        <w:spacing w:after="0" w:line="249" w:lineRule="auto"/>
        <w:sectPr>
          <w:pgSz w:w="12240" w:h="15840"/>
          <w:pgMar w:top="1380" w:bottom="280" w:left="1440" w:right="1440"/>
        </w:sectPr>
      </w:pPr>
    </w:p>
    <w:p>
      <w:pPr>
        <w:pStyle w:val="BodyText"/>
        <w:spacing w:line="249" w:lineRule="auto"/>
        <w:ind w:right="98"/>
      </w:pPr>
      <w:r>
        <w:rPr/>
        <w:t>simple endometrial hyperplasia (uncomplicated by atypia or dysplastic constituents), periodic oral progestin therapy is mandatory (such as 10-mg medroxyprogesterone acetate or 5- to 10-mg norethindrone acetate for 14 days each month). Intrauterine placement of a levonorgestrel intrauterine device (LNG-IUD) is increasingly being utilized as an effective management approach with high regression rates. Higher-dose oral progestins (such as 10- to 20-mg medroxyprogesterone acetate or 10- to 15-mg norethindrone acetate) are always an option and should be considered in the setting of obesity.</w:t>
      </w:r>
      <w:r>
        <w:rPr>
          <w:vertAlign w:val="superscript"/>
        </w:rPr>
        <w:t>194,195</w:t>
      </w:r>
      <w:r>
        <w:rPr>
          <w:vertAlign w:val="baseline"/>
        </w:rPr>
        <w:t> Repeat endometrial sampling should </w:t>
      </w:r>
      <w:r>
        <w:rPr>
          <w:vertAlign w:val="baseline"/>
        </w:rPr>
        <w:t>be performed at 3 and 6 months of therapy. Most cases of simple hyperplasia will regress at 6 months; however, if there is no regression at 3 to 6 months, then increasing progestin dose or switching regimen (such as to megestrol acetate in daily doses of 40-80 mg or LNG-IUD) should be considered. Persistence or progression of abnormal endometrium was observed in 28.4% of women with complex hyperplasia and in 26.9% of women with atypical hyperplasia despite treatment with a progestational agent.</w:t>
      </w:r>
      <w:r>
        <w:rPr>
          <w:vertAlign w:val="superscript"/>
        </w:rPr>
        <w:t>196</w:t>
      </w:r>
      <w:r>
        <w:rPr>
          <w:vertAlign w:val="baseline"/>
        </w:rPr>
        <w:t> At least two consecutive repeat negative biopsies should be conducted prior to stopping surveillance.</w:t>
      </w:r>
      <w:r>
        <w:rPr>
          <w:vertAlign w:val="superscript"/>
        </w:rPr>
        <w:t>194</w:t>
      </w:r>
      <w:r>
        <w:rPr>
          <w:vertAlign w:val="baseline"/>
        </w:rPr>
        <w:t> In the absence of any regression after 1 year of progestin therapy, or if there is evidence of progression from simple or complex without atypia to atypical hyperplasia despite progestin therapy, then hysterectomy is indicated and referral to a gynecologic oncologist is strongly</w:t>
      </w:r>
      <w:r>
        <w:rPr>
          <w:spacing w:val="-4"/>
          <w:vertAlign w:val="baseline"/>
        </w:rPr>
        <w:t> </w:t>
      </w:r>
      <w:r>
        <w:rPr>
          <w:vertAlign w:val="baseline"/>
        </w:rPr>
        <w:t>advised.</w:t>
      </w:r>
      <w:r>
        <w:rPr>
          <w:vertAlign w:val="superscript"/>
        </w:rPr>
        <w:t>194</w:t>
      </w:r>
      <w:r>
        <w:rPr>
          <w:vertAlign w:val="baseline"/>
        </w:rPr>
        <w:t> Because hyperplasia </w:t>
      </w:r>
      <w:r>
        <w:rPr>
          <w:i/>
          <w:vertAlign w:val="baseline"/>
        </w:rPr>
        <w:t>with</w:t>
      </w:r>
      <w:r>
        <w:rPr>
          <w:i/>
          <w:spacing w:val="-4"/>
          <w:vertAlign w:val="baseline"/>
        </w:rPr>
        <w:t> </w:t>
      </w:r>
      <w:r>
        <w:rPr>
          <w:i/>
          <w:vertAlign w:val="baseline"/>
        </w:rPr>
        <w:t>atypia </w:t>
      </w:r>
      <w:r>
        <w:rPr>
          <w:vertAlign w:val="baseline"/>
        </w:rPr>
        <w:t>carries with it a risk of concomitant cancer (even invasive), hysterectomy is the treatment of choice. However, progestational response was better with higher-dosage</w:t>
      </w:r>
      <w:r>
        <w:rPr>
          <w:spacing w:val="40"/>
          <w:vertAlign w:val="baseline"/>
        </w:rPr>
        <w:t> </w:t>
      </w:r>
      <w:r>
        <w:rPr>
          <w:vertAlign w:val="baseline"/>
        </w:rPr>
        <w:t>and longer-duration treatment. If histologic regression is not observed on office biopsy, a D&amp;C should be considered before proceeding with </w:t>
      </w:r>
      <w:r>
        <w:rPr>
          <w:spacing w:val="-2"/>
          <w:vertAlign w:val="baseline"/>
        </w:rPr>
        <w:t>hysterectomy.</w:t>
      </w:r>
    </w:p>
    <w:p>
      <w:pPr>
        <w:pStyle w:val="BodyText"/>
        <w:spacing w:before="76"/>
        <w:ind w:left="0"/>
        <w:jc w:val="left"/>
      </w:pPr>
    </w:p>
    <w:p>
      <w:pPr>
        <w:spacing w:before="1"/>
        <w:ind w:left="99" w:right="0" w:firstLine="0"/>
        <w:jc w:val="both"/>
        <w:rPr>
          <w:rFonts w:ascii="Arial"/>
          <w:b/>
          <w:sz w:val="30"/>
        </w:rPr>
      </w:pPr>
      <w:r>
        <w:rPr>
          <w:rFonts w:ascii="Arial"/>
          <w:b/>
          <w:color w:val="2674AE"/>
          <w:sz w:val="30"/>
        </w:rPr>
        <w:t>Contraception in </w:t>
      </w:r>
      <w:r>
        <w:rPr>
          <w:rFonts w:ascii="Arial"/>
          <w:b/>
          <w:color w:val="2674AE"/>
          <w:spacing w:val="-2"/>
          <w:sz w:val="30"/>
        </w:rPr>
        <w:t>Perimenopause</w:t>
      </w:r>
    </w:p>
    <w:p>
      <w:pPr>
        <w:pStyle w:val="BodyText"/>
        <w:spacing w:line="249" w:lineRule="auto" w:before="166"/>
        <w:ind w:right="100"/>
      </w:pPr>
      <w:r>
        <w:rPr/>
        <w:t>Clinicians have often utilized a traditional postmenopausal hormone regimen to treat a woman with the kind of irregular cycles usually experienced in the perimenopausal years. This addition of exogenous estrogen without a contraceptive dose of progestin when a woman is not amenorrheic or experiencing menopausal symptoms is inappropriate </w:t>
      </w:r>
      <w:r>
        <w:rPr/>
        <w:t>and even</w:t>
      </w:r>
      <w:r>
        <w:rPr>
          <w:spacing w:val="21"/>
        </w:rPr>
        <w:t>  </w:t>
      </w:r>
      <w:r>
        <w:rPr/>
        <w:t>risky</w:t>
      </w:r>
      <w:r>
        <w:rPr>
          <w:spacing w:val="22"/>
        </w:rPr>
        <w:t>  </w:t>
      </w:r>
      <w:r>
        <w:rPr/>
        <w:t>(exposing</w:t>
      </w:r>
      <w:r>
        <w:rPr>
          <w:spacing w:val="21"/>
        </w:rPr>
        <w:t>  </w:t>
      </w:r>
      <w:r>
        <w:rPr/>
        <w:t>the</w:t>
      </w:r>
      <w:r>
        <w:rPr>
          <w:spacing w:val="22"/>
        </w:rPr>
        <w:t>  </w:t>
      </w:r>
      <w:r>
        <w:rPr/>
        <w:t>endometrium</w:t>
      </w:r>
      <w:r>
        <w:rPr>
          <w:spacing w:val="21"/>
        </w:rPr>
        <w:t>  </w:t>
      </w:r>
      <w:r>
        <w:rPr/>
        <w:t>to</w:t>
      </w:r>
      <w:r>
        <w:rPr>
          <w:spacing w:val="22"/>
        </w:rPr>
        <w:t>  </w:t>
      </w:r>
      <w:r>
        <w:rPr/>
        <w:t>excessively</w:t>
      </w:r>
      <w:r>
        <w:rPr>
          <w:spacing w:val="21"/>
        </w:rPr>
        <w:t>  </w:t>
      </w:r>
      <w:r>
        <w:rPr/>
        <w:t>high</w:t>
      </w:r>
      <w:r>
        <w:rPr>
          <w:spacing w:val="22"/>
        </w:rPr>
        <w:t>  </w:t>
      </w:r>
      <w:r>
        <w:rPr/>
        <w:t>levels</w:t>
      </w:r>
      <w:r>
        <w:rPr>
          <w:spacing w:val="21"/>
        </w:rPr>
        <w:t>  </w:t>
      </w:r>
      <w:r>
        <w:rPr>
          <w:spacing w:val="-5"/>
        </w:rPr>
        <w:t>of</w:t>
      </w:r>
    </w:p>
    <w:p>
      <w:pPr>
        <w:pStyle w:val="BodyText"/>
        <w:spacing w:after="0" w:line="249" w:lineRule="auto"/>
        <w:sectPr>
          <w:pgSz w:w="12240" w:h="15840"/>
          <w:pgMar w:top="1380" w:bottom="280" w:left="1440" w:right="1440"/>
        </w:sectPr>
      </w:pPr>
    </w:p>
    <w:p>
      <w:pPr>
        <w:pStyle w:val="BodyText"/>
        <w:spacing w:line="249" w:lineRule="auto"/>
        <w:ind w:right="98"/>
      </w:pPr>
      <w:r>
        <w:rPr/>
        <w:t>estrogen). </w:t>
      </w:r>
      <w:r>
        <w:rPr>
          <w:b/>
        </w:rPr>
        <w:t>In addition, most importantly, a postmenopausal hormonal regimen does not inhibit ovulation and provide contraception.</w:t>
      </w:r>
      <w:r>
        <w:rPr>
          <w:vertAlign w:val="superscript"/>
        </w:rPr>
        <w:t>197</w:t>
      </w:r>
      <w:r>
        <w:rPr>
          <w:vertAlign w:val="baseline"/>
        </w:rPr>
        <w:t> </w:t>
      </w:r>
      <w:r>
        <w:rPr>
          <w:vertAlign w:val="baseline"/>
        </w:rPr>
        <w:t>The appropriate response is to regulate anovulatory cycles with monthly progestational treatment along with an appropriate contraceptive method or to utilize low-dose estrogen-progestin contraception. An oral contraceptive that contains 20-μg estrogen provides effective contraception, improves menstrual cycle regularity, diminishes bleeding, and relieves menopausal symptoms.</w:t>
      </w:r>
      <w:r>
        <w:rPr>
          <w:vertAlign w:val="superscript"/>
        </w:rPr>
        <w:t>198</w:t>
      </w:r>
      <w:r>
        <w:rPr>
          <w:vertAlign w:val="baseline"/>
        </w:rPr>
        <w:t> Treatment with the transdermal or vaginal method of estrogen-progestin contraception would also be appropriate.</w:t>
      </w:r>
    </w:p>
    <w:p>
      <w:pPr>
        <w:pStyle w:val="BodyText"/>
        <w:spacing w:line="249" w:lineRule="auto" w:before="11"/>
        <w:ind w:right="97" w:firstLine="450"/>
        <w:rPr>
          <w:b/>
        </w:rPr>
      </w:pPr>
      <w:r>
        <w:rPr/>
        <w:t>A common clinical dilemma is when to change from estrogen—progestin contraception to postmenopausal hormone therapy. It is important to change because even with the lowest estrogen dose </w:t>
      </w:r>
      <w:r>
        <w:rPr/>
        <w:t>contraceptive available, the estrogen dose is at least 4-fold greater than the standard postmenopausal dose, and with increasing age, the dose-related risks with estrogen become significant. One approach is to start measuring the FSH level annually at 50 years on day six or seven of the placebo week in a standard 3-week regimen (when steroid levels have declined sufficiently to allow FSH to rise). When FSH is greater than 20 IU/L, it is time to change to a postmenopausal hormone program; however, FSH variability indicates this is not always an accurate method, and some women will not have an FSH rise until 2 weeks after the last active pill.</w:t>
      </w:r>
      <w:r>
        <w:rPr>
          <w:vertAlign w:val="superscript"/>
        </w:rPr>
        <w:t>199,200</w:t>
      </w:r>
      <w:r>
        <w:rPr>
          <w:vertAlign w:val="baseline"/>
        </w:rPr>
        <w:t> Women who are dependent on contraceptives to prevent pregnancy can be allowed to enter their mid-50s on low-dose estrogen-progestin contraception and then empirically switched to a postmenopausal hormone regimen. </w:t>
      </w:r>
      <w:r>
        <w:rPr>
          <w:b/>
          <w:vertAlign w:val="baseline"/>
        </w:rPr>
        <w:t>The</w:t>
      </w:r>
      <w:r>
        <w:rPr>
          <w:b/>
          <w:spacing w:val="40"/>
          <w:vertAlign w:val="baseline"/>
        </w:rPr>
        <w:t> </w:t>
      </w:r>
      <w:r>
        <w:rPr>
          <w:b/>
          <w:vertAlign w:val="baseline"/>
        </w:rPr>
        <w:t>empirical approach is necessary with patients using the newer extended-day or continuous dosing regimens of estrogen-progestin </w:t>
      </w:r>
      <w:r>
        <w:rPr>
          <w:b/>
          <w:spacing w:val="-2"/>
          <w:vertAlign w:val="baseline"/>
        </w:rPr>
        <w:t>contraception.</w:t>
      </w:r>
    </w:p>
    <w:p>
      <w:pPr>
        <w:pStyle w:val="BodyText"/>
        <w:spacing w:line="249" w:lineRule="auto" w:before="22"/>
        <w:ind w:right="98" w:firstLine="450"/>
      </w:pPr>
      <w:r>
        <w:rPr/>
        <w:t>Because of the favorable impact of locally released progestin on the endometrium, the LNG-IUD is very effective for the treatment of menorrhagia, as effective as the administration of oral progestins (with less side effects), and compares favorably with endometrial resection or ablation.</w:t>
      </w:r>
      <w:r>
        <w:rPr>
          <w:vertAlign w:val="superscript"/>
        </w:rPr>
        <w:t>201-205</w:t>
      </w:r>
      <w:r>
        <w:rPr>
          <w:vertAlign w:val="baseline"/>
        </w:rPr>
        <w:t> In addition, levonorgestrel IUD is more effective in </w:t>
      </w:r>
      <w:r>
        <w:rPr>
          <w:vertAlign w:val="baseline"/>
        </w:rPr>
        <w:t>treating endometrial hyperplasia than oral progesterone.</w:t>
      </w:r>
      <w:r>
        <w:rPr>
          <w:vertAlign w:val="superscript"/>
        </w:rPr>
        <w:t>206-214</w:t>
      </w:r>
      <w:r>
        <w:rPr>
          <w:vertAlign w:val="baseline"/>
        </w:rPr>
        <w:t> The levonorgestrel IUD may be associated with a slight increase in the formation of ovarian cysts, but they are asymptomatic and resolve spontaneously.</w:t>
      </w:r>
      <w:r>
        <w:rPr>
          <w:vertAlign w:val="superscript"/>
        </w:rPr>
        <w:t>215</w:t>
      </w:r>
    </w:p>
    <w:p>
      <w:pPr>
        <w:pStyle w:val="BodyText"/>
        <w:spacing w:after="0" w:line="249" w:lineRule="auto"/>
        <w:sectPr>
          <w:pgSz w:w="12240" w:h="15840"/>
          <w:pgMar w:top="1380" w:bottom="280" w:left="1440" w:right="1440"/>
        </w:sectPr>
      </w:pPr>
    </w:p>
    <w:p>
      <w:pPr>
        <w:spacing w:before="63"/>
        <w:ind w:left="99" w:right="0" w:firstLine="0"/>
        <w:jc w:val="both"/>
        <w:rPr>
          <w:rFonts w:ascii="Arial"/>
          <w:b/>
          <w:sz w:val="30"/>
        </w:rPr>
      </w:pPr>
      <w:r>
        <w:rPr>
          <w:rFonts w:ascii="Arial"/>
          <w:b/>
          <w:color w:val="2674AE"/>
          <w:sz w:val="30"/>
        </w:rPr>
        <w:t>Vasomotor</w:t>
      </w:r>
      <w:r>
        <w:rPr>
          <w:rFonts w:ascii="Arial"/>
          <w:b/>
          <w:color w:val="2674AE"/>
          <w:spacing w:val="-19"/>
          <w:sz w:val="30"/>
        </w:rPr>
        <w:t> </w:t>
      </w:r>
      <w:r>
        <w:rPr>
          <w:rFonts w:ascii="Arial"/>
          <w:b/>
          <w:color w:val="2674AE"/>
          <w:spacing w:val="-2"/>
          <w:sz w:val="30"/>
        </w:rPr>
        <w:t>Symptoms</w:t>
      </w:r>
    </w:p>
    <w:p>
      <w:pPr>
        <w:pStyle w:val="BodyText"/>
        <w:spacing w:line="249" w:lineRule="auto" w:before="167"/>
        <w:ind w:right="98"/>
      </w:pPr>
      <w:r>
        <w:rPr/>
        <w:t>The vasomotor flush is viewed as the hallmark of the female climacteric, experienced to some degree by most postmenopausal women. The term</w:t>
      </w:r>
      <w:r>
        <w:rPr>
          <w:spacing w:val="40"/>
        </w:rPr>
        <w:t> </w:t>
      </w:r>
      <w:r>
        <w:rPr/>
        <w:t>“hot flush” or “hot flash” is descriptive of a sudden onset of reddening of the</w:t>
      </w:r>
      <w:r>
        <w:rPr>
          <w:spacing w:val="-1"/>
        </w:rPr>
        <w:t> </w:t>
      </w:r>
      <w:r>
        <w:rPr/>
        <w:t>skin</w:t>
      </w:r>
      <w:r>
        <w:rPr>
          <w:spacing w:val="-1"/>
        </w:rPr>
        <w:t> </w:t>
      </w:r>
      <w:r>
        <w:rPr/>
        <w:t>over</w:t>
      </w:r>
      <w:r>
        <w:rPr>
          <w:spacing w:val="-1"/>
        </w:rPr>
        <w:t> </w:t>
      </w:r>
      <w:r>
        <w:rPr/>
        <w:t>the</w:t>
      </w:r>
      <w:r>
        <w:rPr>
          <w:spacing w:val="-1"/>
        </w:rPr>
        <w:t> </w:t>
      </w:r>
      <w:r>
        <w:rPr/>
        <w:t>head,</w:t>
      </w:r>
      <w:r>
        <w:rPr>
          <w:spacing w:val="-1"/>
        </w:rPr>
        <w:t> </w:t>
      </w:r>
      <w:r>
        <w:rPr/>
        <w:t>neck,</w:t>
      </w:r>
      <w:r>
        <w:rPr>
          <w:spacing w:val="-1"/>
        </w:rPr>
        <w:t> </w:t>
      </w:r>
      <w:r>
        <w:rPr/>
        <w:t>and</w:t>
      </w:r>
      <w:r>
        <w:rPr>
          <w:spacing w:val="-1"/>
        </w:rPr>
        <w:t> </w:t>
      </w:r>
      <w:r>
        <w:rPr/>
        <w:t>chest,</w:t>
      </w:r>
      <w:r>
        <w:rPr>
          <w:spacing w:val="-1"/>
        </w:rPr>
        <w:t> </w:t>
      </w:r>
      <w:r>
        <w:rPr/>
        <w:t>accompanied</w:t>
      </w:r>
      <w:r>
        <w:rPr>
          <w:spacing w:val="-1"/>
        </w:rPr>
        <w:t> </w:t>
      </w:r>
      <w:r>
        <w:rPr/>
        <w:t>by</w:t>
      </w:r>
      <w:r>
        <w:rPr>
          <w:spacing w:val="-1"/>
        </w:rPr>
        <w:t> </w:t>
      </w:r>
      <w:r>
        <w:rPr/>
        <w:t>an</w:t>
      </w:r>
      <w:r>
        <w:rPr>
          <w:spacing w:val="-1"/>
        </w:rPr>
        <w:t> </w:t>
      </w:r>
      <w:r>
        <w:rPr/>
        <w:t>increase</w:t>
      </w:r>
      <w:r>
        <w:rPr>
          <w:spacing w:val="-1"/>
        </w:rPr>
        <w:t> </w:t>
      </w:r>
      <w:r>
        <w:rPr/>
        <w:t>in</w:t>
      </w:r>
      <w:r>
        <w:rPr>
          <w:spacing w:val="-1"/>
        </w:rPr>
        <w:t> </w:t>
      </w:r>
      <w:r>
        <w:rPr/>
        <w:t>heart rate and a feeling of intense body heat. The flush sometimes concludes with profuse perspiration. The duration varies from a few seconds to several minutes and, rarely, for an hour. The frequency may be rare to recurrent every few minutes. Flushes are more frequent and severe at night (when a woman is often awakened from sleep) or during times of stress. In a cool environment, hot flushes are fewer, less intense, and shorter in duration compared with a warm environment.</w:t>
      </w:r>
      <w:r>
        <w:rPr>
          <w:vertAlign w:val="superscript"/>
        </w:rPr>
        <w:t>216</w:t>
      </w:r>
      <w:r>
        <w:rPr>
          <w:vertAlign w:val="baseline"/>
        </w:rPr>
        <w:t> Most importantly, hot flushing can affect a woman’s quality of life and interfere with work or recreational </w:t>
      </w:r>
      <w:r>
        <w:rPr>
          <w:spacing w:val="-2"/>
          <w:vertAlign w:val="baseline"/>
        </w:rPr>
        <w:t>activities.</w:t>
      </w:r>
    </w:p>
    <w:p>
      <w:pPr>
        <w:pStyle w:val="BodyText"/>
        <w:spacing w:line="249" w:lineRule="auto" w:before="16"/>
        <w:ind w:right="97" w:firstLine="450"/>
      </w:pPr>
      <w:r>
        <w:rPr/>
        <w:t>In the longitudinal follow-up of a large number of women, fully 10% of the women experienced hot flushes before menopause, while in other studies as many as 15% to 25% of premenopausal women reported hot flushes.</w:t>
      </w:r>
      <w:r>
        <w:rPr>
          <w:vertAlign w:val="superscript"/>
        </w:rPr>
        <w:t>8,96,217,218</w:t>
      </w:r>
      <w:r>
        <w:rPr>
          <w:vertAlign w:val="baseline"/>
        </w:rPr>
        <w:t> The frequency has been reported to be even higher </w:t>
      </w:r>
      <w:r>
        <w:rPr>
          <w:vertAlign w:val="baseline"/>
        </w:rPr>
        <w:t>in premenopausal women diagnosed with PMS.</w:t>
      </w:r>
      <w:r>
        <w:rPr>
          <w:vertAlign w:val="superscript"/>
        </w:rPr>
        <w:t>219</w:t>
      </w:r>
      <w:r>
        <w:rPr>
          <w:vertAlign w:val="baseline"/>
        </w:rPr>
        <w:t> In the Massachusetts Women’s Health Study, the incidence of hot flushes increased from 10% during the premenopausal period to about 50% just after cessation of menses.</w:t>
      </w:r>
      <w:r>
        <w:rPr>
          <w:vertAlign w:val="superscript"/>
        </w:rPr>
        <w:t>96</w:t>
      </w:r>
      <w:r>
        <w:rPr>
          <w:vertAlign w:val="baseline"/>
        </w:rPr>
        <w:t> By approximately 4 years after menopause, the rate of hot flushes declined to 20%. In a community-based Australian survey, 6% of premenopausal women, 26% of perimenopausal women, and 59% of postmenopausal women complained of hot flushing.</w:t>
      </w:r>
      <w:r>
        <w:rPr>
          <w:vertAlign w:val="superscript"/>
        </w:rPr>
        <w:t>220</w:t>
      </w:r>
      <w:r>
        <w:rPr>
          <w:vertAlign w:val="baseline"/>
        </w:rPr>
        <w:t> A large American cross-sectional survey reported that 57% of perimenopausal women and 49% of early postmenopausal women experienced significant hot flushing.</w:t>
      </w:r>
      <w:r>
        <w:rPr>
          <w:vertAlign w:val="superscript"/>
        </w:rPr>
        <w:t>180</w:t>
      </w:r>
      <w:r>
        <w:rPr>
          <w:vertAlign w:val="baseline"/>
        </w:rPr>
        <w:t> Another national survey in the United States reported hot flushing in 79% of perimenopausal women and 65% of postmenopausal </w:t>
      </w:r>
      <w:r>
        <w:rPr>
          <w:spacing w:val="-2"/>
          <w:vertAlign w:val="baseline"/>
        </w:rPr>
        <w:t>women.</w:t>
      </w:r>
      <w:r>
        <w:rPr>
          <w:spacing w:val="-2"/>
          <w:vertAlign w:val="superscript"/>
        </w:rPr>
        <w:t>221</w:t>
      </w:r>
    </w:p>
    <w:p>
      <w:pPr>
        <w:pStyle w:val="BodyText"/>
        <w:spacing w:line="249" w:lineRule="auto" w:before="19"/>
        <w:ind w:right="101" w:firstLine="450"/>
      </w:pPr>
      <w:r>
        <w:rPr/>
        <w:t>In cross-sectional surveys, up to 40% of premenopausal women </w:t>
      </w:r>
      <w:r>
        <w:rPr/>
        <w:t>and 85% of menopausal women report some vasomotor complaints.</w:t>
      </w:r>
      <w:r>
        <w:rPr>
          <w:vertAlign w:val="superscript"/>
        </w:rPr>
        <w:t>218</w:t>
      </w:r>
      <w:r>
        <w:rPr>
          <w:vertAlign w:val="baseline"/>
        </w:rPr>
        <w:t> A longitudinal study in Gothenburg, Sweden, recorded a maximal prevalence of</w:t>
      </w:r>
      <w:r>
        <w:rPr>
          <w:spacing w:val="35"/>
          <w:vertAlign w:val="baseline"/>
        </w:rPr>
        <w:t> </w:t>
      </w:r>
      <w:r>
        <w:rPr>
          <w:vertAlign w:val="baseline"/>
        </w:rPr>
        <w:t>60%</w:t>
      </w:r>
      <w:r>
        <w:rPr>
          <w:spacing w:val="35"/>
          <w:vertAlign w:val="baseline"/>
        </w:rPr>
        <w:t> </w:t>
      </w:r>
      <w:r>
        <w:rPr>
          <w:vertAlign w:val="baseline"/>
        </w:rPr>
        <w:t>at</w:t>
      </w:r>
      <w:r>
        <w:rPr>
          <w:spacing w:val="35"/>
          <w:vertAlign w:val="baseline"/>
        </w:rPr>
        <w:t> </w:t>
      </w:r>
      <w:r>
        <w:rPr>
          <w:vertAlign w:val="baseline"/>
        </w:rPr>
        <w:t>ages</w:t>
      </w:r>
      <w:r>
        <w:rPr>
          <w:spacing w:val="35"/>
          <w:vertAlign w:val="baseline"/>
        </w:rPr>
        <w:t> </w:t>
      </w:r>
      <w:r>
        <w:rPr>
          <w:vertAlign w:val="baseline"/>
        </w:rPr>
        <w:t>52</w:t>
      </w:r>
      <w:r>
        <w:rPr>
          <w:spacing w:val="35"/>
          <w:vertAlign w:val="baseline"/>
        </w:rPr>
        <w:t> </w:t>
      </w:r>
      <w:r>
        <w:rPr>
          <w:vertAlign w:val="baseline"/>
        </w:rPr>
        <w:t>to</w:t>
      </w:r>
      <w:r>
        <w:rPr>
          <w:spacing w:val="35"/>
          <w:vertAlign w:val="baseline"/>
        </w:rPr>
        <w:t> </w:t>
      </w:r>
      <w:r>
        <w:rPr>
          <w:vertAlign w:val="baseline"/>
        </w:rPr>
        <w:t>54,</w:t>
      </w:r>
      <w:r>
        <w:rPr>
          <w:spacing w:val="35"/>
          <w:vertAlign w:val="baseline"/>
        </w:rPr>
        <w:t> </w:t>
      </w:r>
      <w:r>
        <w:rPr>
          <w:vertAlign w:val="baseline"/>
        </w:rPr>
        <w:t>with</w:t>
      </w:r>
      <w:r>
        <w:rPr>
          <w:spacing w:val="35"/>
          <w:vertAlign w:val="baseline"/>
        </w:rPr>
        <w:t> </w:t>
      </w:r>
      <w:r>
        <w:rPr>
          <w:vertAlign w:val="baseline"/>
        </w:rPr>
        <w:t>a</w:t>
      </w:r>
      <w:r>
        <w:rPr>
          <w:spacing w:val="35"/>
          <w:vertAlign w:val="baseline"/>
        </w:rPr>
        <w:t> </w:t>
      </w:r>
      <w:r>
        <w:rPr>
          <w:vertAlign w:val="baseline"/>
        </w:rPr>
        <w:t>decline</w:t>
      </w:r>
      <w:r>
        <w:rPr>
          <w:spacing w:val="35"/>
          <w:vertAlign w:val="baseline"/>
        </w:rPr>
        <w:t> </w:t>
      </w:r>
      <w:r>
        <w:rPr>
          <w:vertAlign w:val="baseline"/>
        </w:rPr>
        <w:t>to</w:t>
      </w:r>
      <w:r>
        <w:rPr>
          <w:spacing w:val="35"/>
          <w:vertAlign w:val="baseline"/>
        </w:rPr>
        <w:t> </w:t>
      </w:r>
      <w:r>
        <w:rPr>
          <w:vertAlign w:val="baseline"/>
        </w:rPr>
        <w:t>30%</w:t>
      </w:r>
      <w:r>
        <w:rPr>
          <w:spacing w:val="35"/>
          <w:vertAlign w:val="baseline"/>
        </w:rPr>
        <w:t> </w:t>
      </w:r>
      <w:r>
        <w:rPr>
          <w:vertAlign w:val="baseline"/>
        </w:rPr>
        <w:t>at</w:t>
      </w:r>
      <w:r>
        <w:rPr>
          <w:spacing w:val="35"/>
          <w:vertAlign w:val="baseline"/>
        </w:rPr>
        <w:t> </w:t>
      </w:r>
      <w:r>
        <w:rPr>
          <w:vertAlign w:val="baseline"/>
        </w:rPr>
        <w:t>age</w:t>
      </w:r>
      <w:r>
        <w:rPr>
          <w:spacing w:val="35"/>
          <w:vertAlign w:val="baseline"/>
        </w:rPr>
        <w:t> </w:t>
      </w:r>
      <w:r>
        <w:rPr>
          <w:vertAlign w:val="baseline"/>
        </w:rPr>
        <w:t>60</w:t>
      </w:r>
      <w:r>
        <w:rPr>
          <w:spacing w:val="35"/>
          <w:vertAlign w:val="baseline"/>
        </w:rPr>
        <w:t> </w:t>
      </w:r>
      <w:r>
        <w:rPr>
          <w:vertAlign w:val="baseline"/>
        </w:rPr>
        <w:t>and</w:t>
      </w:r>
      <w:r>
        <w:rPr>
          <w:spacing w:val="35"/>
          <w:vertAlign w:val="baseline"/>
        </w:rPr>
        <w:t> </w:t>
      </w:r>
      <w:r>
        <w:rPr>
          <w:vertAlign w:val="baseline"/>
        </w:rPr>
        <w:t>9%</w:t>
      </w:r>
      <w:r>
        <w:rPr>
          <w:spacing w:val="35"/>
          <w:vertAlign w:val="baseline"/>
        </w:rPr>
        <w:t> </w:t>
      </w:r>
      <w:r>
        <w:rPr>
          <w:vertAlign w:val="baseline"/>
        </w:rPr>
        <w:t>at</w:t>
      </w:r>
      <w:r>
        <w:rPr>
          <w:spacing w:val="35"/>
          <w:vertAlign w:val="baseline"/>
        </w:rPr>
        <w:t> </w:t>
      </w:r>
      <w:r>
        <w:rPr>
          <w:spacing w:val="-5"/>
          <w:vertAlign w:val="baseline"/>
        </w:rPr>
        <w:t>age</w:t>
      </w:r>
    </w:p>
    <w:p>
      <w:pPr>
        <w:pStyle w:val="BodyText"/>
        <w:spacing w:before="5"/>
      </w:pPr>
      <w:r>
        <w:rPr/>
        <w:t>72.</w:t>
      </w:r>
      <w:r>
        <w:rPr>
          <w:position w:val="10"/>
          <w:sz w:val="17"/>
        </w:rPr>
        <w:t>222</w:t>
      </w:r>
      <w:r>
        <w:rPr>
          <w:spacing w:val="43"/>
          <w:position w:val="10"/>
          <w:sz w:val="17"/>
        </w:rPr>
        <w:t> </w:t>
      </w:r>
      <w:r>
        <w:rPr/>
        <w:t>In</w:t>
      </w:r>
      <w:r>
        <w:rPr>
          <w:spacing w:val="13"/>
        </w:rPr>
        <w:t> </w:t>
      </w:r>
      <w:r>
        <w:rPr/>
        <w:t>the</w:t>
      </w:r>
      <w:r>
        <w:rPr>
          <w:spacing w:val="13"/>
        </w:rPr>
        <w:t> </w:t>
      </w:r>
      <w:r>
        <w:rPr/>
        <w:t>SWAN</w:t>
      </w:r>
      <w:r>
        <w:rPr>
          <w:spacing w:val="13"/>
        </w:rPr>
        <w:t> </w:t>
      </w:r>
      <w:r>
        <w:rPr/>
        <w:t>study,</w:t>
      </w:r>
      <w:r>
        <w:rPr>
          <w:spacing w:val="13"/>
        </w:rPr>
        <w:t> </w:t>
      </w:r>
      <w:r>
        <w:rPr/>
        <w:t>57%</w:t>
      </w:r>
      <w:r>
        <w:rPr>
          <w:spacing w:val="13"/>
        </w:rPr>
        <w:t> </w:t>
      </w:r>
      <w:r>
        <w:rPr/>
        <w:t>of</w:t>
      </w:r>
      <w:r>
        <w:rPr>
          <w:spacing w:val="13"/>
        </w:rPr>
        <w:t> </w:t>
      </w:r>
      <w:r>
        <w:rPr/>
        <w:t>perimenopausal</w:t>
      </w:r>
      <w:r>
        <w:rPr>
          <w:spacing w:val="13"/>
        </w:rPr>
        <w:t> </w:t>
      </w:r>
      <w:r>
        <w:rPr/>
        <w:t>women</w:t>
      </w:r>
      <w:r>
        <w:rPr>
          <w:spacing w:val="13"/>
        </w:rPr>
        <w:t> </w:t>
      </w:r>
      <w:r>
        <w:rPr/>
        <w:t>experienced</w:t>
      </w:r>
      <w:r>
        <w:rPr>
          <w:spacing w:val="13"/>
        </w:rPr>
        <w:t> </w:t>
      </w:r>
      <w:r>
        <w:rPr>
          <w:spacing w:val="-5"/>
        </w:rPr>
        <w:t>hot</w:t>
      </w:r>
    </w:p>
    <w:p>
      <w:pPr>
        <w:pStyle w:val="BodyText"/>
        <w:spacing w:after="0"/>
        <w:sectPr>
          <w:pgSz w:w="12240" w:h="15840"/>
          <w:pgMar w:top="1380" w:bottom="280" w:left="1440" w:right="1440"/>
        </w:sectPr>
      </w:pPr>
    </w:p>
    <w:p>
      <w:pPr>
        <w:pStyle w:val="BodyText"/>
        <w:spacing w:line="249" w:lineRule="auto"/>
        <w:ind w:right="98"/>
      </w:pPr>
      <w:r>
        <w:rPr/>
        <w:t>flushing and about 50% after menopause up to age 55.</w:t>
      </w:r>
      <w:r>
        <w:rPr>
          <w:vertAlign w:val="superscript"/>
        </w:rPr>
        <w:t>223</w:t>
      </w:r>
      <w:r>
        <w:rPr>
          <w:vertAlign w:val="baseline"/>
        </w:rPr>
        <w:t> There is no difference in the prevalence of vasomotor complaints in US surveys of Black</w:t>
      </w:r>
      <w:r>
        <w:rPr>
          <w:spacing w:val="-9"/>
          <w:vertAlign w:val="baseline"/>
        </w:rPr>
        <w:t> </w:t>
      </w:r>
      <w:r>
        <w:rPr>
          <w:vertAlign w:val="baseline"/>
        </w:rPr>
        <w:t>and</w:t>
      </w:r>
      <w:r>
        <w:rPr>
          <w:spacing w:val="-9"/>
          <w:vertAlign w:val="baseline"/>
        </w:rPr>
        <w:t> </w:t>
      </w:r>
      <w:r>
        <w:rPr>
          <w:vertAlign w:val="baseline"/>
        </w:rPr>
        <w:t>White</w:t>
      </w:r>
      <w:r>
        <w:rPr>
          <w:spacing w:val="-9"/>
          <w:vertAlign w:val="baseline"/>
        </w:rPr>
        <w:t> </w:t>
      </w:r>
      <w:r>
        <w:rPr>
          <w:vertAlign w:val="baseline"/>
        </w:rPr>
        <w:t>women.</w:t>
      </w:r>
      <w:r>
        <w:rPr>
          <w:vertAlign w:val="superscript"/>
        </w:rPr>
        <w:t>224,225</w:t>
      </w:r>
      <w:r>
        <w:rPr>
          <w:spacing w:val="-7"/>
          <w:vertAlign w:val="baseline"/>
        </w:rPr>
        <w:t> </w:t>
      </w:r>
      <w:r>
        <w:rPr>
          <w:vertAlign w:val="baseline"/>
        </w:rPr>
        <w:t>Overweight</w:t>
      </w:r>
      <w:r>
        <w:rPr>
          <w:spacing w:val="-7"/>
          <w:vertAlign w:val="baseline"/>
        </w:rPr>
        <w:t> </w:t>
      </w:r>
      <w:r>
        <w:rPr>
          <w:vertAlign w:val="baseline"/>
        </w:rPr>
        <w:t>women</w:t>
      </w:r>
      <w:r>
        <w:rPr>
          <w:spacing w:val="-7"/>
          <w:vertAlign w:val="baseline"/>
        </w:rPr>
        <w:t> </w:t>
      </w:r>
      <w:r>
        <w:rPr>
          <w:vertAlign w:val="baseline"/>
        </w:rPr>
        <w:t>report</w:t>
      </w:r>
      <w:r>
        <w:rPr>
          <w:spacing w:val="-7"/>
          <w:vertAlign w:val="baseline"/>
        </w:rPr>
        <w:t> </w:t>
      </w:r>
      <w:r>
        <w:rPr>
          <w:vertAlign w:val="baseline"/>
        </w:rPr>
        <w:t>more</w:t>
      </w:r>
      <w:r>
        <w:rPr>
          <w:spacing w:val="-7"/>
          <w:vertAlign w:val="baseline"/>
        </w:rPr>
        <w:t> </w:t>
      </w:r>
      <w:r>
        <w:rPr>
          <w:vertAlign w:val="baseline"/>
        </w:rPr>
        <w:t>hot</w:t>
      </w:r>
      <w:r>
        <w:rPr>
          <w:spacing w:val="-7"/>
          <w:vertAlign w:val="baseline"/>
        </w:rPr>
        <w:t> </w:t>
      </w:r>
      <w:r>
        <w:rPr>
          <w:vertAlign w:val="baseline"/>
        </w:rPr>
        <w:t>flushing, perhaps reflecting the effect of body fat causing a higher core body temperature.</w:t>
      </w:r>
      <w:r>
        <w:rPr>
          <w:vertAlign w:val="superscript"/>
        </w:rPr>
        <w:t>180,182,226</w:t>
      </w:r>
      <w:r>
        <w:rPr>
          <w:vertAlign w:val="baseline"/>
        </w:rPr>
        <w:t> Exact estimates on prevalence are hampered by inconsistencies and differences in methodologies, cultures, and definitions.</w:t>
      </w:r>
      <w:r>
        <w:rPr>
          <w:vertAlign w:val="superscript"/>
        </w:rPr>
        <w:t>227</w:t>
      </w:r>
      <w:r>
        <w:rPr>
          <w:spacing w:val="-5"/>
          <w:vertAlign w:val="baseline"/>
        </w:rPr>
        <w:t> </w:t>
      </w:r>
      <w:r>
        <w:rPr>
          <w:vertAlign w:val="baseline"/>
        </w:rPr>
        <w:t>The</w:t>
      </w:r>
      <w:r>
        <w:rPr>
          <w:spacing w:val="-5"/>
          <w:vertAlign w:val="baseline"/>
        </w:rPr>
        <w:t> </w:t>
      </w:r>
      <w:r>
        <w:rPr>
          <w:vertAlign w:val="baseline"/>
        </w:rPr>
        <w:t>prevalence</w:t>
      </w:r>
      <w:r>
        <w:rPr>
          <w:spacing w:val="-5"/>
          <w:vertAlign w:val="baseline"/>
        </w:rPr>
        <w:t> </w:t>
      </w:r>
      <w:r>
        <w:rPr>
          <w:vertAlign w:val="baseline"/>
        </w:rPr>
        <w:t>in</w:t>
      </w:r>
      <w:r>
        <w:rPr>
          <w:spacing w:val="-5"/>
          <w:vertAlign w:val="baseline"/>
        </w:rPr>
        <w:t> </w:t>
      </w:r>
      <w:r>
        <w:rPr>
          <w:vertAlign w:val="baseline"/>
        </w:rPr>
        <w:t>different</w:t>
      </w:r>
      <w:r>
        <w:rPr>
          <w:spacing w:val="-5"/>
          <w:vertAlign w:val="baseline"/>
        </w:rPr>
        <w:t> </w:t>
      </w:r>
      <w:r>
        <w:rPr>
          <w:vertAlign w:val="baseline"/>
        </w:rPr>
        <w:t>societies</w:t>
      </w:r>
      <w:r>
        <w:rPr>
          <w:spacing w:val="-5"/>
          <w:vertAlign w:val="baseline"/>
        </w:rPr>
        <w:t> </w:t>
      </w:r>
      <w:r>
        <w:rPr>
          <w:vertAlign w:val="baseline"/>
        </w:rPr>
        <w:t>is</w:t>
      </w:r>
      <w:r>
        <w:rPr>
          <w:spacing w:val="-5"/>
          <w:vertAlign w:val="baseline"/>
        </w:rPr>
        <w:t> </w:t>
      </w:r>
      <w:r>
        <w:rPr>
          <w:vertAlign w:val="baseline"/>
        </w:rPr>
        <w:t>influenced</w:t>
      </w:r>
      <w:r>
        <w:rPr>
          <w:spacing w:val="-5"/>
          <w:vertAlign w:val="baseline"/>
        </w:rPr>
        <w:t> </w:t>
      </w:r>
      <w:r>
        <w:rPr>
          <w:vertAlign w:val="baseline"/>
        </w:rPr>
        <w:t>by</w:t>
      </w:r>
      <w:r>
        <w:rPr>
          <w:spacing w:val="-5"/>
          <w:vertAlign w:val="baseline"/>
        </w:rPr>
        <w:t> </w:t>
      </w:r>
      <w:r>
        <w:rPr>
          <w:vertAlign w:val="baseline"/>
        </w:rPr>
        <w:t>personal and social attitudes, individual psychological and physical health, familiarity with the portrayal of menopausal issues in the literature and media, ethnic variation, different diets, and dissimilar living conditions; however, accounting for cultural differences, the overall prevalence and experience are similar throughout the world.</w:t>
      </w:r>
      <w:r>
        <w:rPr>
          <w:vertAlign w:val="superscript"/>
        </w:rPr>
        <w:t>228,229</w:t>
      </w:r>
    </w:p>
    <w:p>
      <w:pPr>
        <w:spacing w:line="249" w:lineRule="auto" w:before="14"/>
        <w:ind w:left="99" w:right="98" w:firstLine="450"/>
        <w:jc w:val="both"/>
        <w:rPr>
          <w:sz w:val="30"/>
        </w:rPr>
      </w:pPr>
      <w:r>
        <w:rPr>
          <w:b/>
          <w:sz w:val="30"/>
        </w:rPr>
        <w:t>Although the flush can occur in the premenopause, it is a major feature of the menopause transition and postmenopause, peaking in </w:t>
      </w:r>
      <w:r>
        <w:rPr>
          <w:b/>
          <w:sz w:val="30"/>
        </w:rPr>
        <w:t>the first year after the last menses, lasting in 50% of women for 4 to 5 years, but in some (as many as 25%) for longer than 5 years, and even up to 15 years in 10% </w:t>
      </w:r>
      <w:r>
        <w:rPr>
          <w:b/>
          <w:color w:val="256E60"/>
          <w:sz w:val="30"/>
        </w:rPr>
        <w:t>(Table 21.5)</w:t>
      </w:r>
      <w:r>
        <w:rPr>
          <w:sz w:val="30"/>
        </w:rPr>
        <w:t>.</w:t>
      </w:r>
      <w:r>
        <w:rPr>
          <w:sz w:val="30"/>
          <w:vertAlign w:val="superscript"/>
        </w:rPr>
        <w:t>230</w:t>
      </w:r>
      <w:r>
        <w:rPr>
          <w:sz w:val="30"/>
          <w:vertAlign w:val="baseline"/>
        </w:rPr>
        <w:t> </w:t>
      </w:r>
      <w:r>
        <w:rPr>
          <w:b/>
          <w:sz w:val="30"/>
          <w:vertAlign w:val="baseline"/>
        </w:rPr>
        <w:t>In an excellent Australian longitudinal cohort study, the average duration of VMS was 5.2 years (with a range of 2-10 years) in nonusers of hormone therapy and slightly longer, 5.5 years, in hormone users.</w:t>
      </w:r>
      <w:r>
        <w:rPr>
          <w:sz w:val="30"/>
          <w:vertAlign w:val="superscript"/>
        </w:rPr>
        <w:t>231</w:t>
      </w:r>
      <w:r>
        <w:rPr>
          <w:spacing w:val="-10"/>
          <w:sz w:val="30"/>
          <w:vertAlign w:val="baseline"/>
        </w:rPr>
        <w:t> </w:t>
      </w:r>
      <w:r>
        <w:rPr>
          <w:b/>
          <w:sz w:val="30"/>
          <w:vertAlign w:val="baseline"/>
        </w:rPr>
        <w:t>In the SWAN cohort, the median total duration of VMS was 7.4 years. Women who were premenopausal or early perimenopausal at first reporting of frequent symptoms experienced the longest duration (median, </w:t>
      </w:r>
      <w:r>
        <w:rPr>
          <w:sz w:val="30"/>
          <w:vertAlign w:val="baseline"/>
        </w:rPr>
        <w:t>&gt;</w:t>
      </w:r>
      <w:r>
        <w:rPr>
          <w:b/>
          <w:sz w:val="30"/>
          <w:vertAlign w:val="baseline"/>
        </w:rPr>
        <w:t>11.8 years) and post-FMP persistence (median, 9.4 years), whereas women who first experienced VMS after onset of menopause had the shortest total duration of symptoms (median, 3.4 years).</w:t>
      </w:r>
      <w:r>
        <w:rPr>
          <w:sz w:val="30"/>
          <w:vertAlign w:val="superscript"/>
        </w:rPr>
        <w:t>232</w:t>
      </w:r>
    </w:p>
    <w:p>
      <w:pPr>
        <w:pStyle w:val="BodyText"/>
        <w:spacing w:before="0"/>
        <w:ind w:left="0"/>
        <w:jc w:val="left"/>
        <w:rPr>
          <w:sz w:val="20"/>
        </w:rPr>
      </w:pPr>
    </w:p>
    <w:p>
      <w:pPr>
        <w:pStyle w:val="BodyText"/>
        <w:spacing w:before="129"/>
        <w:ind w:left="0"/>
        <w:jc w:val="left"/>
        <w:rPr>
          <w:sz w:val="20"/>
        </w:rPr>
      </w:pPr>
      <w:r>
        <w:rPr>
          <w:sz w:val="20"/>
        </w:rPr>
        <mc:AlternateContent>
          <mc:Choice Requires="wps">
            <w:drawing>
              <wp:anchor distT="0" distB="0" distL="0" distR="0" allowOverlap="1" layoutInCell="1" locked="0" behindDoc="1" simplePos="0" relativeHeight="487606784">
                <wp:simplePos x="0" y="0"/>
                <wp:positionH relativeFrom="page">
                  <wp:posOffset>981075</wp:posOffset>
                </wp:positionH>
                <wp:positionV relativeFrom="paragraph">
                  <wp:posOffset>243223</wp:posOffset>
                </wp:positionV>
                <wp:extent cx="5810250" cy="28575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810250" cy="285750"/>
                        </a:xfrm>
                        <a:prstGeom prst="rect">
                          <a:avLst/>
                        </a:prstGeom>
                        <a:solidFill>
                          <a:srgbClr val="256E60"/>
                        </a:solidFill>
                      </wps:spPr>
                      <wps:txbx>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21.5</w:t>
                            </w:r>
                            <w:r>
                              <w:rPr>
                                <w:rFonts w:ascii="Arial"/>
                                <w:b/>
                                <w:color w:val="FFFFFF"/>
                                <w:sz w:val="22"/>
                              </w:rPr>
                              <w:tab/>
                            </w:r>
                            <w:r>
                              <w:rPr>
                                <w:rFonts w:ascii="Arial"/>
                                <w:color w:val="FFFFFF"/>
                                <w:sz w:val="22"/>
                              </w:rPr>
                              <w:t>The</w:t>
                            </w:r>
                            <w:r>
                              <w:rPr>
                                <w:rFonts w:ascii="Arial"/>
                                <w:color w:val="FFFFFF"/>
                                <w:spacing w:val="8"/>
                                <w:sz w:val="22"/>
                              </w:rPr>
                              <w:t> </w:t>
                            </w:r>
                            <w:r>
                              <w:rPr>
                                <w:rFonts w:ascii="Arial"/>
                                <w:color w:val="FFFFFF"/>
                                <w:sz w:val="22"/>
                              </w:rPr>
                              <w:t>Hot</w:t>
                            </w:r>
                            <w:r>
                              <w:rPr>
                                <w:rFonts w:ascii="Arial"/>
                                <w:color w:val="FFFFFF"/>
                                <w:spacing w:val="8"/>
                                <w:sz w:val="22"/>
                              </w:rPr>
                              <w:t> </w:t>
                            </w:r>
                            <w:r>
                              <w:rPr>
                                <w:rFonts w:ascii="Arial"/>
                                <w:color w:val="FFFFFF"/>
                                <w:spacing w:val="-2"/>
                                <w:sz w:val="22"/>
                              </w:rPr>
                              <w:t>Flush</w:t>
                            </w:r>
                          </w:p>
                        </w:txbxContent>
                      </wps:txbx>
                      <wps:bodyPr wrap="square" lIns="0" tIns="0" rIns="0" bIns="0" rtlCol="0">
                        <a:noAutofit/>
                      </wps:bodyPr>
                    </wps:wsp>
                  </a:graphicData>
                </a:graphic>
              </wp:anchor>
            </w:drawing>
          </mc:Choice>
          <mc:Fallback>
            <w:pict>
              <v:shape style="position:absolute;margin-left:77.25pt;margin-top:19.151434pt;width:457.5pt;height:22.5pt;mso-position-horizontal-relative:page;mso-position-vertical-relative:paragraph;z-index:-15709696;mso-wrap-distance-left:0;mso-wrap-distance-right:0" type="#_x0000_t202" id="docshape36" filled="true" fillcolor="#256e60" stroked="false">
                <v:textbox inset="0,0,0,0">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21.5</w:t>
                      </w:r>
                      <w:r>
                        <w:rPr>
                          <w:rFonts w:ascii="Arial"/>
                          <w:b/>
                          <w:color w:val="FFFFFF"/>
                          <w:sz w:val="22"/>
                        </w:rPr>
                        <w:tab/>
                      </w:r>
                      <w:r>
                        <w:rPr>
                          <w:rFonts w:ascii="Arial"/>
                          <w:color w:val="FFFFFF"/>
                          <w:sz w:val="22"/>
                        </w:rPr>
                        <w:t>The</w:t>
                      </w:r>
                      <w:r>
                        <w:rPr>
                          <w:rFonts w:ascii="Arial"/>
                          <w:color w:val="FFFFFF"/>
                          <w:spacing w:val="8"/>
                          <w:sz w:val="22"/>
                        </w:rPr>
                        <w:t> </w:t>
                      </w:r>
                      <w:r>
                        <w:rPr>
                          <w:rFonts w:ascii="Arial"/>
                          <w:color w:val="FFFFFF"/>
                          <w:sz w:val="22"/>
                        </w:rPr>
                        <w:t>Hot</w:t>
                      </w:r>
                      <w:r>
                        <w:rPr>
                          <w:rFonts w:ascii="Arial"/>
                          <w:color w:val="FFFFFF"/>
                          <w:spacing w:val="8"/>
                          <w:sz w:val="22"/>
                        </w:rPr>
                        <w:t> </w:t>
                      </w:r>
                      <w:r>
                        <w:rPr>
                          <w:rFonts w:ascii="Arial"/>
                          <w:color w:val="FFFFFF"/>
                          <w:spacing w:val="-2"/>
                          <w:sz w:val="22"/>
                        </w:rPr>
                        <w:t>Flush</w:t>
                      </w:r>
                    </w:p>
                  </w:txbxContent>
                </v:textbox>
                <v:fill type="solid"/>
                <w10:wrap type="topAndBottom"/>
              </v:shape>
            </w:pict>
          </mc:Fallback>
        </mc:AlternateContent>
      </w:r>
    </w:p>
    <w:p>
      <w:pPr>
        <w:tabs>
          <w:tab w:pos="3579" w:val="left" w:leader="none"/>
        </w:tabs>
        <w:spacing w:before="139"/>
        <w:ind w:left="189" w:right="0" w:firstLine="0"/>
        <w:jc w:val="left"/>
        <w:rPr>
          <w:sz w:val="22"/>
        </w:rPr>
      </w:pPr>
      <w:r>
        <w:rPr>
          <w:spacing w:val="-2"/>
          <w:w w:val="105"/>
          <w:sz w:val="22"/>
        </w:rPr>
        <w:t>Premenopausal</w:t>
      </w:r>
      <w:r>
        <w:rPr>
          <w:sz w:val="22"/>
        </w:rPr>
        <w:tab/>
      </w:r>
      <w:r>
        <w:rPr>
          <w:w w:val="105"/>
          <w:sz w:val="22"/>
        </w:rPr>
        <w:t>10-25%</w:t>
      </w:r>
      <w:r>
        <w:rPr>
          <w:spacing w:val="2"/>
          <w:w w:val="105"/>
          <w:sz w:val="22"/>
        </w:rPr>
        <w:t> </w:t>
      </w:r>
      <w:r>
        <w:rPr>
          <w:w w:val="105"/>
          <w:sz w:val="22"/>
        </w:rPr>
        <w:t>of</w:t>
      </w:r>
      <w:r>
        <w:rPr>
          <w:spacing w:val="2"/>
          <w:w w:val="105"/>
          <w:sz w:val="22"/>
        </w:rPr>
        <w:t> </w:t>
      </w:r>
      <w:r>
        <w:rPr>
          <w:spacing w:val="-4"/>
          <w:w w:val="105"/>
          <w:sz w:val="22"/>
        </w:rPr>
        <w:t>women</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7296">
                <wp:simplePos x="0" y="0"/>
                <wp:positionH relativeFrom="page">
                  <wp:posOffset>981062</wp:posOffset>
                </wp:positionH>
                <wp:positionV relativeFrom="paragraph">
                  <wp:posOffset>103520</wp:posOffset>
                </wp:positionV>
                <wp:extent cx="581025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219pt;width:457.5pt;height:.75pt;mso-position-horizontal-relative:page;mso-position-vertical-relative:paragraph;z-index:-15709184;mso-wrap-distance-left:0;mso-wrap-distance-right:0" id="docshape37" coordorigin="1545,163" coordsize="9150,15" path="m10695,163l4935,163,1545,163,1545,178,4935,178,10695,178,10695,163xe" filled="true" fillcolor="#1c5349" stroked="false">
                <v:path arrowok="t"/>
                <v:fill type="solid"/>
                <w10:wrap type="topAndBottom"/>
              </v:shape>
            </w:pict>
          </mc:Fallback>
        </mc:AlternateContent>
      </w:r>
    </w:p>
    <w:p>
      <w:pPr>
        <w:tabs>
          <w:tab w:pos="3579" w:val="left" w:leader="none"/>
        </w:tabs>
        <w:spacing w:before="139"/>
        <w:ind w:left="189" w:right="0" w:firstLine="0"/>
        <w:jc w:val="left"/>
        <w:rPr>
          <w:sz w:val="22"/>
        </w:rPr>
      </w:pPr>
      <w:r>
        <w:rPr>
          <w:spacing w:val="-2"/>
          <w:sz w:val="22"/>
        </w:rPr>
        <w:t>Perimenopausal</w:t>
      </w:r>
      <w:r>
        <w:rPr>
          <w:sz w:val="22"/>
        </w:rPr>
        <w:tab/>
      </w:r>
      <w:r>
        <w:rPr>
          <w:spacing w:val="-5"/>
          <w:sz w:val="22"/>
        </w:rPr>
        <w:t>60%</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7808">
                <wp:simplePos x="0" y="0"/>
                <wp:positionH relativeFrom="page">
                  <wp:posOffset>981062</wp:posOffset>
                </wp:positionH>
                <wp:positionV relativeFrom="paragraph">
                  <wp:posOffset>103520</wp:posOffset>
                </wp:positionV>
                <wp:extent cx="5810250"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223pt;width:457.5pt;height:.75pt;mso-position-horizontal-relative:page;mso-position-vertical-relative:paragraph;z-index:-15708672;mso-wrap-distance-left:0;mso-wrap-distance-right:0" id="docshape38" coordorigin="1545,163" coordsize="9150,15" path="m10695,163l4935,163,1545,163,1545,178,4935,178,10695,178,10695,163xe" filled="true" fillcolor="#1c5349" stroked="false">
                <v:path arrowok="t"/>
                <v:fill type="solid"/>
                <w10:wrap type="topAndBottom"/>
              </v:shape>
            </w:pict>
          </mc:Fallback>
        </mc:AlternateContent>
      </w:r>
    </w:p>
    <w:p>
      <w:pPr>
        <w:spacing w:before="139"/>
        <w:ind w:left="189" w:right="0" w:firstLine="0"/>
        <w:jc w:val="left"/>
        <w:rPr>
          <w:sz w:val="22"/>
        </w:rPr>
      </w:pPr>
      <w:r>
        <w:rPr>
          <w:spacing w:val="-2"/>
          <w:sz w:val="22"/>
        </w:rPr>
        <w:t>Postmenopausal:</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8320">
                <wp:simplePos x="0" y="0"/>
                <wp:positionH relativeFrom="page">
                  <wp:posOffset>981062</wp:posOffset>
                </wp:positionH>
                <wp:positionV relativeFrom="paragraph">
                  <wp:posOffset>103520</wp:posOffset>
                </wp:positionV>
                <wp:extent cx="5810250"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227pt;width:457.5pt;height:.75pt;mso-position-horizontal-relative:page;mso-position-vertical-relative:paragraph;z-index:-15708160;mso-wrap-distance-left:0;mso-wrap-distance-right:0" id="docshape39" coordorigin="1545,163" coordsize="9150,15" path="m10695,163l4935,163,1545,163,1545,178,4935,178,10695,178,10695,163xe" filled="true" fillcolor="#1c5349" stroked="false">
                <v:path arrowok="t"/>
                <v:fill type="solid"/>
                <w10:wrap type="topAndBottom"/>
              </v:shape>
            </w:pict>
          </mc:Fallback>
        </mc:AlternateContent>
      </w:r>
    </w:p>
    <w:p>
      <w:pPr>
        <w:tabs>
          <w:tab w:pos="3579" w:val="left" w:leader="none"/>
        </w:tabs>
        <w:spacing w:before="139"/>
        <w:ind w:left="189" w:right="0" w:firstLine="0"/>
        <w:jc w:val="left"/>
        <w:rPr>
          <w:sz w:val="22"/>
        </w:rPr>
      </w:pPr>
      <w:r>
        <w:rPr>
          <w:w w:val="105"/>
          <w:sz w:val="22"/>
        </w:rPr>
        <w:t>No</w:t>
      </w:r>
      <w:r>
        <w:rPr>
          <w:spacing w:val="-10"/>
          <w:w w:val="105"/>
          <w:sz w:val="22"/>
        </w:rPr>
        <w:t> </w:t>
      </w:r>
      <w:r>
        <w:rPr>
          <w:spacing w:val="-2"/>
          <w:w w:val="105"/>
          <w:sz w:val="22"/>
        </w:rPr>
        <w:t>flushes</w:t>
      </w:r>
      <w:r>
        <w:rPr>
          <w:sz w:val="22"/>
        </w:rPr>
        <w:tab/>
      </w:r>
      <w:r>
        <w:rPr>
          <w:w w:val="105"/>
          <w:sz w:val="22"/>
        </w:rPr>
        <w:t>15-</w:t>
      </w:r>
      <w:r>
        <w:rPr>
          <w:spacing w:val="-5"/>
          <w:w w:val="105"/>
          <w:sz w:val="22"/>
        </w:rPr>
        <w:t>25%</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8832">
                <wp:simplePos x="0" y="0"/>
                <wp:positionH relativeFrom="page">
                  <wp:posOffset>981062</wp:posOffset>
                </wp:positionH>
                <wp:positionV relativeFrom="paragraph">
                  <wp:posOffset>103520</wp:posOffset>
                </wp:positionV>
                <wp:extent cx="5810250" cy="9525"/>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23pt;width:457.5pt;height:.75pt;mso-position-horizontal-relative:page;mso-position-vertical-relative:paragraph;z-index:-15707648;mso-wrap-distance-left:0;mso-wrap-distance-right:0" id="docshape40" coordorigin="1545,163" coordsize="9150,15" path="m10695,163l4935,163,1545,163,1545,178,4935,178,10695,178,10695,163xe" filled="true" fillcolor="#1c5349" stroked="false">
                <v:path arrowok="t"/>
                <v:fill type="solid"/>
                <w10:wrap type="topAndBottom"/>
              </v:shape>
            </w:pict>
          </mc:Fallback>
        </mc:AlternateContent>
      </w:r>
    </w:p>
    <w:p>
      <w:pPr>
        <w:pStyle w:val="BodyText"/>
        <w:spacing w:after="0"/>
        <w:jc w:val="left"/>
        <w:rPr>
          <w:sz w:val="12"/>
        </w:rPr>
        <w:sectPr>
          <w:pgSz w:w="12240" w:h="15840"/>
          <w:pgMar w:top="1380" w:bottom="280" w:left="1440" w:right="1440"/>
        </w:sectPr>
      </w:pPr>
    </w:p>
    <w:p>
      <w:pPr>
        <w:tabs>
          <w:tab w:pos="3579" w:val="left" w:leader="none"/>
        </w:tabs>
        <w:spacing w:before="84"/>
        <w:ind w:left="189" w:right="0" w:firstLine="0"/>
        <w:jc w:val="left"/>
        <w:rPr>
          <w:sz w:val="22"/>
        </w:rPr>
      </w:pPr>
      <w:r>
        <w:rPr>
          <w:sz w:val="22"/>
        </w:rPr>
        <w:t>Daily</w:t>
      </w:r>
      <w:r>
        <w:rPr>
          <w:spacing w:val="10"/>
          <w:sz w:val="22"/>
        </w:rPr>
        <w:t> </w:t>
      </w:r>
      <w:r>
        <w:rPr>
          <w:spacing w:val="-2"/>
          <w:sz w:val="22"/>
        </w:rPr>
        <w:t>flushing</w:t>
      </w:r>
      <w:r>
        <w:rPr>
          <w:sz w:val="22"/>
        </w:rPr>
        <w:tab/>
        <w:t>15-</w:t>
      </w:r>
      <w:r>
        <w:rPr>
          <w:spacing w:val="-5"/>
          <w:sz w:val="22"/>
        </w:rPr>
        <w:t>25%</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9344">
                <wp:simplePos x="0" y="0"/>
                <wp:positionH relativeFrom="page">
                  <wp:posOffset>981062</wp:posOffset>
                </wp:positionH>
                <wp:positionV relativeFrom="paragraph">
                  <wp:posOffset>103530</wp:posOffset>
                </wp:positionV>
                <wp:extent cx="5810250" cy="952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2041pt;width:457.5pt;height:.75pt;mso-position-horizontal-relative:page;mso-position-vertical-relative:paragraph;z-index:-15707136;mso-wrap-distance-left:0;mso-wrap-distance-right:0" id="docshape41" coordorigin="1545,163" coordsize="9150,15" path="m10695,163l4935,163,1545,163,1545,178,4935,178,10695,178,10695,163xe" filled="true" fillcolor="#1c5349" stroked="false">
                <v:path arrowok="t"/>
                <v:fill type="solid"/>
                <w10:wrap type="topAndBottom"/>
              </v:shape>
            </w:pict>
          </mc:Fallback>
        </mc:AlternateContent>
      </w:r>
    </w:p>
    <w:p>
      <w:pPr>
        <w:tabs>
          <w:tab w:pos="3579" w:val="left" w:leader="none"/>
        </w:tabs>
        <w:spacing w:before="139"/>
        <w:ind w:left="189" w:right="0" w:firstLine="0"/>
        <w:jc w:val="left"/>
        <w:rPr>
          <w:sz w:val="22"/>
        </w:rPr>
      </w:pPr>
      <w:r>
        <w:rPr>
          <w:spacing w:val="-2"/>
          <w:w w:val="105"/>
          <w:sz w:val="22"/>
        </w:rPr>
        <w:t>Duration</w:t>
      </w:r>
      <w:r>
        <w:rPr>
          <w:sz w:val="22"/>
        </w:rPr>
        <w:tab/>
      </w:r>
      <w:r>
        <w:rPr>
          <w:w w:val="105"/>
          <w:sz w:val="22"/>
        </w:rPr>
        <w:t>1-2</w:t>
      </w:r>
      <w:r>
        <w:rPr>
          <w:spacing w:val="1"/>
          <w:w w:val="105"/>
          <w:sz w:val="22"/>
        </w:rPr>
        <w:t> </w:t>
      </w:r>
      <w:r>
        <w:rPr>
          <w:w w:val="105"/>
          <w:sz w:val="22"/>
        </w:rPr>
        <w:t>y</w:t>
      </w:r>
      <w:r>
        <w:rPr>
          <w:spacing w:val="1"/>
          <w:w w:val="105"/>
          <w:sz w:val="22"/>
        </w:rPr>
        <w:t> </w:t>
      </w:r>
      <w:r>
        <w:rPr>
          <w:w w:val="105"/>
          <w:sz w:val="22"/>
        </w:rPr>
        <w:t>average:</w:t>
      </w:r>
      <w:r>
        <w:rPr>
          <w:spacing w:val="2"/>
          <w:w w:val="105"/>
          <w:sz w:val="22"/>
        </w:rPr>
        <w:t> </w:t>
      </w:r>
      <w:r>
        <w:rPr>
          <w:w w:val="105"/>
          <w:sz w:val="22"/>
        </w:rPr>
        <w:t>15-</w:t>
      </w:r>
      <w:r>
        <w:rPr>
          <w:spacing w:val="-5"/>
          <w:w w:val="105"/>
          <w:sz w:val="22"/>
        </w:rPr>
        <w:t>20%</w:t>
      </w:r>
    </w:p>
    <w:p>
      <w:pPr>
        <w:spacing w:before="77"/>
        <w:ind w:left="3579" w:right="0" w:firstLine="0"/>
        <w:jc w:val="left"/>
        <w:rPr>
          <w:sz w:val="22"/>
        </w:rPr>
      </w:pPr>
      <w:r>
        <w:rPr>
          <w:sz w:val="22"/>
        </w:rPr>
        <w:t>5</w:t>
      </w:r>
      <w:r>
        <w:rPr>
          <w:spacing w:val="7"/>
          <w:sz w:val="22"/>
        </w:rPr>
        <w:t> </w:t>
      </w:r>
      <w:r>
        <w:rPr>
          <w:sz w:val="22"/>
        </w:rPr>
        <w:t>or</w:t>
      </w:r>
      <w:r>
        <w:rPr>
          <w:spacing w:val="7"/>
          <w:sz w:val="22"/>
        </w:rPr>
        <w:t> </w:t>
      </w:r>
      <w:r>
        <w:rPr>
          <w:sz w:val="22"/>
        </w:rPr>
        <w:t>more</w:t>
      </w:r>
      <w:r>
        <w:rPr>
          <w:spacing w:val="8"/>
          <w:sz w:val="22"/>
        </w:rPr>
        <w:t> </w:t>
      </w:r>
      <w:r>
        <w:rPr>
          <w:sz w:val="22"/>
        </w:rPr>
        <w:t>years:</w:t>
      </w:r>
      <w:r>
        <w:rPr>
          <w:spacing w:val="7"/>
          <w:sz w:val="22"/>
        </w:rPr>
        <w:t> </w:t>
      </w:r>
      <w:r>
        <w:rPr>
          <w:spacing w:val="-5"/>
          <w:sz w:val="22"/>
        </w:rPr>
        <w:t>25%</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09856">
                <wp:simplePos x="0" y="0"/>
                <wp:positionH relativeFrom="page">
                  <wp:posOffset>981062</wp:posOffset>
                </wp:positionH>
                <wp:positionV relativeFrom="paragraph">
                  <wp:posOffset>103533</wp:posOffset>
                </wp:positionV>
                <wp:extent cx="5810250"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2255pt;width:457.5pt;height:.75pt;mso-position-horizontal-relative:page;mso-position-vertical-relative:paragraph;z-index:-15706624;mso-wrap-distance-left:0;mso-wrap-distance-right:0" id="docshape42" coordorigin="1545,163" coordsize="9150,15" path="m10695,163l4935,163,1545,163,1545,178,4935,178,10695,178,10695,163xe" filled="true" fillcolor="#1c5349" stroked="false">
                <v:path arrowok="t"/>
                <v:fill type="solid"/>
                <w10:wrap type="topAndBottom"/>
              </v:shape>
            </w:pict>
          </mc:Fallback>
        </mc:AlternateContent>
      </w:r>
    </w:p>
    <w:p>
      <w:pPr>
        <w:tabs>
          <w:tab w:pos="3579" w:val="left" w:leader="none"/>
        </w:tabs>
        <w:spacing w:line="312" w:lineRule="auto" w:before="139"/>
        <w:ind w:left="3579" w:right="4428" w:hanging="3390"/>
        <w:jc w:val="left"/>
        <w:rPr>
          <w:sz w:val="22"/>
        </w:rPr>
      </w:pPr>
      <w:r>
        <w:rPr>
          <w:sz w:val="22"/>
        </w:rPr>
        <w:t>Other causes</w:t>
        <w:tab/>
      </w:r>
      <w:r>
        <w:rPr>
          <w:spacing w:val="-2"/>
          <w:sz w:val="22"/>
        </w:rPr>
        <w:t>Psychosomatic Stress</w:t>
      </w:r>
    </w:p>
    <w:p>
      <w:pPr>
        <w:spacing w:before="3"/>
        <w:ind w:left="3579" w:right="0" w:firstLine="0"/>
        <w:jc w:val="left"/>
        <w:rPr>
          <w:sz w:val="22"/>
        </w:rPr>
      </w:pPr>
      <w:r>
        <w:rPr>
          <w:sz w:val="22"/>
        </w:rPr>
        <w:t>Thyroid</w:t>
      </w:r>
      <w:r>
        <w:rPr>
          <w:spacing w:val="15"/>
          <w:sz w:val="22"/>
        </w:rPr>
        <w:t> </w:t>
      </w:r>
      <w:r>
        <w:rPr>
          <w:spacing w:val="-2"/>
          <w:sz w:val="22"/>
        </w:rPr>
        <w:t>disease</w:t>
      </w:r>
    </w:p>
    <w:p>
      <w:pPr>
        <w:spacing w:line="312" w:lineRule="auto" w:before="77"/>
        <w:ind w:left="3579" w:right="3222" w:firstLine="0"/>
        <w:jc w:val="left"/>
        <w:rPr>
          <w:sz w:val="22"/>
        </w:rPr>
      </w:pPr>
      <w:r>
        <w:rPr>
          <w:sz w:val="22"/>
        </w:rPr>
        <w:t>Subacute, chronic </w:t>
      </w:r>
      <w:r>
        <w:rPr>
          <w:sz w:val="22"/>
        </w:rPr>
        <w:t>infections </w:t>
      </w:r>
      <w:r>
        <w:rPr>
          <w:spacing w:val="-2"/>
          <w:sz w:val="22"/>
        </w:rPr>
        <w:t>Pheochromocytoma Carcinoid</w:t>
      </w:r>
    </w:p>
    <w:p>
      <w:pPr>
        <w:spacing w:line="312" w:lineRule="auto" w:before="3"/>
        <w:ind w:left="3579" w:right="4701" w:firstLine="0"/>
        <w:jc w:val="left"/>
        <w:rPr>
          <w:sz w:val="22"/>
        </w:rPr>
      </w:pPr>
      <w:r>
        <w:rPr>
          <w:spacing w:val="-2"/>
          <w:sz w:val="22"/>
        </w:rPr>
        <w:t>Leukemia Cancer</w:t>
      </w:r>
    </w:p>
    <w:p>
      <w:pPr>
        <w:pStyle w:val="BodyText"/>
        <w:spacing w:before="6"/>
        <w:ind w:left="0"/>
        <w:jc w:val="left"/>
        <w:rPr>
          <w:sz w:val="5"/>
        </w:rPr>
      </w:pPr>
      <w:r>
        <w:rPr>
          <w:sz w:val="5"/>
        </w:rPr>
        <mc:AlternateContent>
          <mc:Choice Requires="wps">
            <w:drawing>
              <wp:anchor distT="0" distB="0" distL="0" distR="0" allowOverlap="1" layoutInCell="1" locked="0" behindDoc="1" simplePos="0" relativeHeight="487610368">
                <wp:simplePos x="0" y="0"/>
                <wp:positionH relativeFrom="page">
                  <wp:posOffset>981062</wp:posOffset>
                </wp:positionH>
                <wp:positionV relativeFrom="paragraph">
                  <wp:posOffset>55828</wp:posOffset>
                </wp:positionV>
                <wp:extent cx="581025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810250" cy="9525"/>
                        </a:xfrm>
                        <a:custGeom>
                          <a:avLst/>
                          <a:gdLst/>
                          <a:ahLst/>
                          <a:cxnLst/>
                          <a:rect l="l" t="t" r="r" b="b"/>
                          <a:pathLst>
                            <a:path w="5810250" h="9525">
                              <a:moveTo>
                                <a:pt x="5810250" y="0"/>
                              </a:moveTo>
                              <a:lnTo>
                                <a:pt x="2152650" y="0"/>
                              </a:lnTo>
                              <a:lnTo>
                                <a:pt x="0" y="0"/>
                              </a:lnTo>
                              <a:lnTo>
                                <a:pt x="0" y="9525"/>
                              </a:lnTo>
                              <a:lnTo>
                                <a:pt x="2152650"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4.395967pt;width:457.5pt;height:.75pt;mso-position-horizontal-relative:page;mso-position-vertical-relative:paragraph;z-index:-15706112;mso-wrap-distance-left:0;mso-wrap-distance-right:0" id="docshape43" coordorigin="1545,88" coordsize="9150,15" path="m10695,88l4935,88,1545,88,1545,103,4935,103,10695,103,10695,88xe" filled="true" fillcolor="#1c5349" stroked="false">
                <v:path arrowok="t"/>
                <v:fill type="solid"/>
                <w10:wrap type="topAndBottom"/>
              </v:shape>
            </w:pict>
          </mc:Fallback>
        </mc:AlternateContent>
      </w:r>
    </w:p>
    <w:p>
      <w:pPr>
        <w:pStyle w:val="BodyText"/>
        <w:spacing w:before="201"/>
        <w:ind w:left="0"/>
        <w:jc w:val="left"/>
        <w:rPr>
          <w:sz w:val="22"/>
        </w:rPr>
      </w:pPr>
    </w:p>
    <w:p>
      <w:pPr>
        <w:pStyle w:val="BodyText"/>
        <w:spacing w:line="249" w:lineRule="auto" w:before="1"/>
        <w:ind w:right="98" w:firstLine="450"/>
      </w:pPr>
      <w:r>
        <w:rPr/>
        <w:t>The physiology of the hot flush is not entirely understood. In recent years, a pivotal role of the hypothalamic KNDy (Kisspeptin Neurokinin </w:t>
      </w:r>
      <w:r>
        <w:rPr/>
        <w:t>B, Dynorphin) neurons has been identified in driving the thermoregulatory response to estrogen deprivation.</w:t>
      </w:r>
      <w:r>
        <w:rPr>
          <w:vertAlign w:val="superscript"/>
        </w:rPr>
        <w:t>233,234</w:t>
      </w:r>
      <w:r>
        <w:rPr>
          <w:vertAlign w:val="baseline"/>
        </w:rPr>
        <w:t> Studies suggest that women with hot flushes have a more narrow zone of temperature regulation and that, therefore, smaller changes in core body temperature produce compensatory responses, such as shivering or flushing.</w:t>
      </w:r>
      <w:r>
        <w:rPr>
          <w:vertAlign w:val="superscript"/>
        </w:rPr>
        <w:t>235</w:t>
      </w:r>
      <w:r>
        <w:rPr>
          <w:vertAlign w:val="baseline"/>
        </w:rPr>
        <w:t> MRI scanning of the brain during hot flushing indicates widely distributed cortical activation rather than a precise location.</w:t>
      </w:r>
      <w:r>
        <w:rPr>
          <w:vertAlign w:val="superscript"/>
        </w:rPr>
        <w:t>236</w:t>
      </w:r>
    </w:p>
    <w:p>
      <w:pPr>
        <w:spacing w:line="249" w:lineRule="auto" w:before="11"/>
        <w:ind w:left="99" w:right="102" w:firstLine="450"/>
        <w:jc w:val="both"/>
        <w:rPr>
          <w:b/>
          <w:sz w:val="30"/>
        </w:rPr>
      </w:pPr>
      <w:r>
        <w:rPr>
          <w:sz w:val="30"/>
        </w:rPr>
        <w:t>Hot flushes are definitely brought about by a decline in estrogen; however, not all hot flushes are due to estrogen deficiency. Flushes </w:t>
      </w:r>
      <w:r>
        <w:rPr>
          <w:sz w:val="30"/>
        </w:rPr>
        <w:t>and sweating can be secondary to diseases, including pheochromocytoma, carcinoid, leukemias, pancreatic tumors, and thyroid abnormalities.</w:t>
      </w:r>
      <w:r>
        <w:rPr>
          <w:sz w:val="30"/>
          <w:vertAlign w:val="superscript"/>
        </w:rPr>
        <w:t>237</w:t>
      </w:r>
      <w:r>
        <w:rPr>
          <w:sz w:val="30"/>
          <w:vertAlign w:val="baseline"/>
        </w:rPr>
        <w:t> </w:t>
      </w:r>
      <w:r>
        <w:rPr>
          <w:b/>
          <w:sz w:val="30"/>
          <w:vertAlign w:val="baseline"/>
        </w:rPr>
        <w:t>When the clinical situation is not clear and obvious, estrogen deficiency as the cause of hot flushes should be documented by elevated levels of </w:t>
      </w:r>
      <w:r>
        <w:rPr>
          <w:b/>
          <w:spacing w:val="-4"/>
          <w:sz w:val="30"/>
          <w:vertAlign w:val="baseline"/>
        </w:rPr>
        <w:t>FSH.</w:t>
      </w:r>
    </w:p>
    <w:p>
      <w:pPr>
        <w:pStyle w:val="BodyText"/>
        <w:spacing w:line="249" w:lineRule="auto" w:before="8"/>
        <w:ind w:right="98" w:firstLine="450"/>
      </w:pPr>
      <w:r>
        <w:rPr/>
        <w:t>The correlation between the onset of flushes and estrogen reduction is clinically supported by the effectiveness of estrogen therapy and </w:t>
      </w:r>
      <w:r>
        <w:rPr/>
        <w:t>the</w:t>
      </w:r>
      <w:r>
        <w:rPr>
          <w:spacing w:val="40"/>
        </w:rPr>
        <w:t> </w:t>
      </w:r>
      <w:r>
        <w:rPr/>
        <w:t>absence of flushes in hypoestrogenic states, such as gonadal dysgenesis. Only after estrogen is administered and withdrawn do hypogonadal women experience the hot flush. Although the clinical impression that premenopausal</w:t>
      </w:r>
      <w:r>
        <w:rPr>
          <w:spacing w:val="14"/>
        </w:rPr>
        <w:t> </w:t>
      </w:r>
      <w:r>
        <w:rPr/>
        <w:t>surgical</w:t>
      </w:r>
      <w:r>
        <w:rPr>
          <w:spacing w:val="15"/>
        </w:rPr>
        <w:t> </w:t>
      </w:r>
      <w:r>
        <w:rPr/>
        <w:t>castrates</w:t>
      </w:r>
      <w:r>
        <w:rPr>
          <w:spacing w:val="14"/>
        </w:rPr>
        <w:t> </w:t>
      </w:r>
      <w:r>
        <w:rPr/>
        <w:t>suffer</w:t>
      </w:r>
      <w:r>
        <w:rPr>
          <w:spacing w:val="15"/>
        </w:rPr>
        <w:t> </w:t>
      </w:r>
      <w:r>
        <w:rPr/>
        <w:t>more</w:t>
      </w:r>
      <w:r>
        <w:rPr>
          <w:spacing w:val="14"/>
        </w:rPr>
        <w:t> </w:t>
      </w:r>
      <w:r>
        <w:rPr/>
        <w:t>severe</w:t>
      </w:r>
      <w:r>
        <w:rPr>
          <w:spacing w:val="15"/>
        </w:rPr>
        <w:t> </w:t>
      </w:r>
      <w:r>
        <w:rPr/>
        <w:t>vasomotor</w:t>
      </w:r>
      <w:r>
        <w:rPr>
          <w:spacing w:val="14"/>
        </w:rPr>
        <w:t> </w:t>
      </w:r>
      <w:r>
        <w:rPr/>
        <w:t>reactions</w:t>
      </w:r>
      <w:r>
        <w:rPr>
          <w:spacing w:val="15"/>
        </w:rPr>
        <w:t> </w:t>
      </w:r>
      <w:r>
        <w:rPr>
          <w:spacing w:val="-5"/>
        </w:rPr>
        <w:t>is</w:t>
      </w:r>
    </w:p>
    <w:p>
      <w:pPr>
        <w:pStyle w:val="BodyText"/>
        <w:spacing w:after="0" w:line="249" w:lineRule="auto"/>
        <w:sectPr>
          <w:pgSz w:w="12240" w:h="15840"/>
          <w:pgMar w:top="1360" w:bottom="280" w:left="1440" w:right="1440"/>
        </w:sectPr>
      </w:pPr>
    </w:p>
    <w:p>
      <w:pPr>
        <w:pStyle w:val="BodyText"/>
        <w:spacing w:line="249" w:lineRule="auto"/>
        <w:ind w:right="106"/>
      </w:pPr>
      <w:r>
        <w:rPr/>
        <w:t>widely held, this was not borne out in the only objective study </w:t>
      </w:r>
      <w:r>
        <w:rPr/>
        <w:t>ever </w:t>
      </w:r>
      <w:r>
        <w:rPr>
          <w:spacing w:val="-2"/>
        </w:rPr>
        <w:t>performed.</w:t>
      </w:r>
      <w:r>
        <w:rPr>
          <w:spacing w:val="-2"/>
          <w:vertAlign w:val="superscript"/>
        </w:rPr>
        <w:t>238</w:t>
      </w:r>
    </w:p>
    <w:p>
      <w:pPr>
        <w:pStyle w:val="BodyText"/>
        <w:spacing w:line="249" w:lineRule="auto" w:before="2"/>
        <w:ind w:right="97" w:firstLine="450"/>
        <w:rPr>
          <w:sz w:val="17"/>
        </w:rPr>
      </w:pPr>
      <w:r>
        <w:rPr/>
        <w:t>The hot flush is the most common problem of the peri and early postmenopausal period. The flush is accompanied by a discrete and reliable pattern</w:t>
      </w:r>
      <w:r>
        <w:rPr>
          <w:spacing w:val="-3"/>
        </w:rPr>
        <w:t> </w:t>
      </w:r>
      <w:r>
        <w:rPr/>
        <w:t>of</w:t>
      </w:r>
      <w:r>
        <w:rPr>
          <w:spacing w:val="-3"/>
        </w:rPr>
        <w:t> </w:t>
      </w:r>
      <w:r>
        <w:rPr/>
        <w:t>physiologic</w:t>
      </w:r>
      <w:r>
        <w:rPr>
          <w:spacing w:val="-3"/>
        </w:rPr>
        <w:t> </w:t>
      </w:r>
      <w:r>
        <w:rPr/>
        <w:t>changes.</w:t>
      </w:r>
      <w:r>
        <w:rPr>
          <w:vertAlign w:val="superscript"/>
        </w:rPr>
        <w:t>235,239</w:t>
      </w:r>
      <w:r>
        <w:rPr>
          <w:spacing w:val="-1"/>
          <w:vertAlign w:val="baseline"/>
        </w:rPr>
        <w:t> </w:t>
      </w:r>
      <w:r>
        <w:rPr>
          <w:vertAlign w:val="baseline"/>
        </w:rPr>
        <w:t>The</w:t>
      </w:r>
      <w:r>
        <w:rPr>
          <w:spacing w:val="-1"/>
          <w:vertAlign w:val="baseline"/>
        </w:rPr>
        <w:t> </w:t>
      </w:r>
      <w:r>
        <w:rPr>
          <w:vertAlign w:val="baseline"/>
        </w:rPr>
        <w:t>flush</w:t>
      </w:r>
      <w:r>
        <w:rPr>
          <w:spacing w:val="-1"/>
          <w:vertAlign w:val="baseline"/>
        </w:rPr>
        <w:t> </w:t>
      </w:r>
      <w:r>
        <w:rPr>
          <w:vertAlign w:val="baseline"/>
        </w:rPr>
        <w:t>coincides</w:t>
      </w:r>
      <w:r>
        <w:rPr>
          <w:spacing w:val="-1"/>
          <w:vertAlign w:val="baseline"/>
        </w:rPr>
        <w:t> </w:t>
      </w:r>
      <w:r>
        <w:rPr>
          <w:vertAlign w:val="baseline"/>
        </w:rPr>
        <w:t>with</w:t>
      </w:r>
      <w:r>
        <w:rPr>
          <w:spacing w:val="-1"/>
          <w:vertAlign w:val="baseline"/>
        </w:rPr>
        <w:t> </w:t>
      </w:r>
      <w:r>
        <w:rPr>
          <w:vertAlign w:val="baseline"/>
        </w:rPr>
        <w:t>a</w:t>
      </w:r>
      <w:r>
        <w:rPr>
          <w:spacing w:val="-1"/>
          <w:vertAlign w:val="baseline"/>
        </w:rPr>
        <w:t> </w:t>
      </w:r>
      <w:r>
        <w:rPr>
          <w:vertAlign w:val="baseline"/>
        </w:rPr>
        <w:t>surge</w:t>
      </w:r>
      <w:r>
        <w:rPr>
          <w:spacing w:val="-1"/>
          <w:vertAlign w:val="baseline"/>
        </w:rPr>
        <w:t> </w:t>
      </w:r>
      <w:r>
        <w:rPr>
          <w:vertAlign w:val="baseline"/>
        </w:rPr>
        <w:t>of</w:t>
      </w:r>
      <w:r>
        <w:rPr>
          <w:spacing w:val="-1"/>
          <w:vertAlign w:val="baseline"/>
        </w:rPr>
        <w:t> </w:t>
      </w:r>
      <w:r>
        <w:rPr>
          <w:vertAlign w:val="baseline"/>
        </w:rPr>
        <w:t>LH (not FSH) and is preceded by a subjective prodromal awareness that a flush is beginning. This aura is followed by measurable increased heat over the entire body surface. A flush is triggered by a small elevation in core body temperature. The body surface experiences an increase in temperature, accompanied by changes in skin conductance, and then the flush is</w:t>
      </w:r>
      <w:r>
        <w:rPr>
          <w:spacing w:val="80"/>
          <w:vertAlign w:val="baseline"/>
        </w:rPr>
        <w:t> </w:t>
      </w:r>
      <w:r>
        <w:rPr>
          <w:vertAlign w:val="baseline"/>
        </w:rPr>
        <w:t>followed by a fall in core temperature—all of which can be objectively measured.</w:t>
      </w:r>
      <w:r>
        <w:rPr>
          <w:spacing w:val="-3"/>
          <w:vertAlign w:val="baseline"/>
        </w:rPr>
        <w:t> </w:t>
      </w:r>
      <w:r>
        <w:rPr>
          <w:vertAlign w:val="baseline"/>
        </w:rPr>
        <w:t>In short, the flush is not a release of accumulated body heat but a sudden inappropriate excitation of heat release mechanisms. Its</w:t>
      </w:r>
      <w:r>
        <w:rPr>
          <w:spacing w:val="-3"/>
          <w:vertAlign w:val="baseline"/>
        </w:rPr>
        <w:t> </w:t>
      </w:r>
      <w:r>
        <w:rPr>
          <w:vertAlign w:val="baseline"/>
        </w:rPr>
        <w:t>relationship to the LH surge and temperature change within the brain is not understood. The observation that flushes occur after hypophysectomy indicates that the mechanism is not dependent on or due directly to LH release. In other words, the same brain event that causes flushes also stimulates GnRH secretion and elevates LH. It is now understood that estrogen exerts suppressive effects on the hypothalamic KNDy neurons, which in turn directly modulate the thermoregulatory center. The loss of estrogen results in activation of the KNDy neurons and consequent release of neurotransmitters that increase neuronal and autonomic activity with resetting of the thermoregulatory center and episodic activation of heat dissipation cascade, resulting in the vasomotor episode of the flash </w:t>
      </w:r>
      <w:r>
        <w:rPr>
          <w:b/>
          <w:color w:val="256E60"/>
          <w:vertAlign w:val="baseline"/>
        </w:rPr>
        <w:t>(Figure </w:t>
      </w:r>
      <w:r>
        <w:rPr>
          <w:b/>
          <w:color w:val="256E60"/>
          <w:spacing w:val="-2"/>
          <w:position w:val="-10"/>
          <w:vertAlign w:val="baseline"/>
        </w:rPr>
        <w:t>21.10)</w:t>
      </w:r>
      <w:r>
        <w:rPr>
          <w:spacing w:val="-2"/>
          <w:position w:val="-10"/>
          <w:vertAlign w:val="baseline"/>
        </w:rPr>
        <w:t>.</w:t>
      </w:r>
      <w:r>
        <w:rPr>
          <w:spacing w:val="-2"/>
          <w:sz w:val="17"/>
          <w:vertAlign w:val="baseline"/>
        </w:rPr>
        <w:t>233,234,240</w:t>
      </w:r>
    </w:p>
    <w:p>
      <w:pPr>
        <w:pStyle w:val="BodyText"/>
        <w:spacing w:line="249" w:lineRule="auto" w:before="28"/>
        <w:ind w:right="99" w:firstLine="450"/>
      </w:pPr>
      <w:r>
        <w:rPr/>
        <w:t>Premenopausal women experiencing hot flushes should be screened for thyroid disease and other illnesses. A comprehensive review of all </w:t>
      </w:r>
      <w:r>
        <w:rPr/>
        <w:t>possible causes is available.</w:t>
      </w:r>
      <w:r>
        <w:rPr>
          <w:vertAlign w:val="superscript"/>
        </w:rPr>
        <w:t>241</w:t>
      </w:r>
      <w:r>
        <w:rPr>
          <w:vertAlign w:val="baseline"/>
        </w:rPr>
        <w:t> Clinicians should be sensitive to the possibility of an underlying emotional problem. Looking beyond the presenting symptoms into the patient’s life is an important service to the patient and her family that will eventually be appreciated. This is far more difficult than simply prescribing estrogen, but confronting problems is the only way of reaching some resolution.</w:t>
      </w:r>
    </w:p>
    <w:p>
      <w:pPr>
        <w:pStyle w:val="BodyText"/>
        <w:spacing w:line="249" w:lineRule="auto" w:before="10"/>
        <w:ind w:right="98" w:firstLine="450"/>
      </w:pPr>
      <w:r>
        <w:rPr/>
        <w:t>A striking and consistent finding in most studies dealing </w:t>
      </w:r>
      <w:r>
        <w:rPr/>
        <w:t>with menopause and hormonal therapy is a marked placebo response (at least 51%</w:t>
      </w:r>
      <w:r>
        <w:rPr>
          <w:spacing w:val="18"/>
        </w:rPr>
        <w:t> </w:t>
      </w:r>
      <w:r>
        <w:rPr/>
        <w:t>in</w:t>
      </w:r>
      <w:r>
        <w:rPr>
          <w:spacing w:val="18"/>
        </w:rPr>
        <w:t> </w:t>
      </w:r>
      <w:r>
        <w:rPr/>
        <w:t>the</w:t>
      </w:r>
      <w:r>
        <w:rPr>
          <w:spacing w:val="18"/>
        </w:rPr>
        <w:t> </w:t>
      </w:r>
      <w:r>
        <w:rPr/>
        <w:t>first</w:t>
      </w:r>
      <w:r>
        <w:rPr>
          <w:spacing w:val="19"/>
        </w:rPr>
        <w:t> </w:t>
      </w:r>
      <w:r>
        <w:rPr/>
        <w:t>weeks</w:t>
      </w:r>
      <w:r>
        <w:rPr>
          <w:spacing w:val="18"/>
        </w:rPr>
        <w:t> </w:t>
      </w:r>
      <w:r>
        <w:rPr/>
        <w:t>of</w:t>
      </w:r>
      <w:r>
        <w:rPr>
          <w:spacing w:val="18"/>
        </w:rPr>
        <w:t> </w:t>
      </w:r>
      <w:r>
        <w:rPr/>
        <w:t>treatment)</w:t>
      </w:r>
      <w:r>
        <w:rPr>
          <w:vertAlign w:val="superscript"/>
        </w:rPr>
        <w:t>242</w:t>
      </w:r>
      <w:r>
        <w:rPr>
          <w:spacing w:val="18"/>
          <w:vertAlign w:val="baseline"/>
        </w:rPr>
        <w:t> </w:t>
      </w:r>
      <w:r>
        <w:rPr>
          <w:vertAlign w:val="baseline"/>
        </w:rPr>
        <w:t>in</w:t>
      </w:r>
      <w:r>
        <w:rPr>
          <w:spacing w:val="18"/>
          <w:vertAlign w:val="baseline"/>
        </w:rPr>
        <w:t> </w:t>
      </w:r>
      <w:r>
        <w:rPr>
          <w:vertAlign w:val="baseline"/>
        </w:rPr>
        <w:t>a</w:t>
      </w:r>
      <w:r>
        <w:rPr>
          <w:spacing w:val="18"/>
          <w:vertAlign w:val="baseline"/>
        </w:rPr>
        <w:t> </w:t>
      </w:r>
      <w:r>
        <w:rPr>
          <w:vertAlign w:val="baseline"/>
        </w:rPr>
        <w:t>variety</w:t>
      </w:r>
      <w:r>
        <w:rPr>
          <w:spacing w:val="19"/>
          <w:vertAlign w:val="baseline"/>
        </w:rPr>
        <w:t> </w:t>
      </w:r>
      <w:r>
        <w:rPr>
          <w:vertAlign w:val="baseline"/>
        </w:rPr>
        <w:t>of</w:t>
      </w:r>
      <w:r>
        <w:rPr>
          <w:spacing w:val="18"/>
          <w:vertAlign w:val="baseline"/>
        </w:rPr>
        <w:t> </w:t>
      </w:r>
      <w:r>
        <w:rPr>
          <w:vertAlign w:val="baseline"/>
        </w:rPr>
        <w:t>symptoms,</w:t>
      </w:r>
      <w:r>
        <w:rPr>
          <w:spacing w:val="18"/>
          <w:vertAlign w:val="baseline"/>
        </w:rPr>
        <w:t> </w:t>
      </w:r>
      <w:r>
        <w:rPr>
          <w:spacing w:val="-2"/>
          <w:vertAlign w:val="baseline"/>
        </w:rPr>
        <w:t>including</w:t>
      </w:r>
    </w:p>
    <w:p>
      <w:pPr>
        <w:pStyle w:val="BodyText"/>
        <w:spacing w:after="0" w:line="249" w:lineRule="auto"/>
        <w:sectPr>
          <w:pgSz w:w="12240" w:h="15840"/>
          <w:pgMar w:top="1380" w:bottom="280" w:left="1440" w:right="1440"/>
        </w:sectPr>
      </w:pPr>
    </w:p>
    <w:p>
      <w:pPr>
        <w:pStyle w:val="BodyText"/>
        <w:spacing w:line="249" w:lineRule="auto"/>
        <w:ind w:right="100"/>
      </w:pPr>
      <w:r>
        <w:rPr/>
        <w:t>flushing. In a randomized, placebo-controlled English study of women being treated with estrogen implants and requesting repeat implants, there was no difference in outcome in terms of psychological and </w:t>
      </w:r>
      <w:r>
        <w:rPr/>
        <w:t>physical symptoms on comparing the women who received an active implant to those receiving a placebo.</w:t>
      </w:r>
      <w:r>
        <w:rPr>
          <w:vertAlign w:val="superscript"/>
        </w:rPr>
        <w:t>243</w:t>
      </w:r>
    </w:p>
    <w:p>
      <w:pPr>
        <w:pStyle w:val="BodyText"/>
        <w:spacing w:line="249" w:lineRule="auto" w:before="6"/>
        <w:ind w:right="99" w:firstLine="450"/>
      </w:pPr>
      <w:r>
        <w:rPr/>
        <w:t>A significant clinical problem encountered in our referral practice is </w:t>
      </w:r>
      <w:r>
        <w:rPr/>
        <w:t>the following scenario: a woman will occasionally undergo an apparently beneficial response to estrogen, only to have the response wear off in several</w:t>
      </w:r>
      <w:r>
        <w:rPr>
          <w:spacing w:val="-3"/>
        </w:rPr>
        <w:t> </w:t>
      </w:r>
      <w:r>
        <w:rPr/>
        <w:t>months</w:t>
      </w:r>
      <w:r>
        <w:rPr>
          <w:spacing w:val="-3"/>
        </w:rPr>
        <w:t> </w:t>
      </w:r>
      <w:r>
        <w:rPr/>
        <w:t>despite</w:t>
      </w:r>
      <w:r>
        <w:rPr>
          <w:spacing w:val="-4"/>
        </w:rPr>
        <w:t> </w:t>
      </w:r>
      <w:r>
        <w:rPr/>
        <w:t>ongoing</w:t>
      </w:r>
      <w:r>
        <w:rPr>
          <w:spacing w:val="-3"/>
        </w:rPr>
        <w:t> </w:t>
      </w:r>
      <w:r>
        <w:rPr/>
        <w:t>use</w:t>
      </w:r>
      <w:r>
        <w:rPr>
          <w:spacing w:val="-3"/>
        </w:rPr>
        <w:t> </w:t>
      </w:r>
      <w:r>
        <w:rPr/>
        <w:t>of</w:t>
      </w:r>
      <w:r>
        <w:rPr>
          <w:spacing w:val="-3"/>
        </w:rPr>
        <w:t> </w:t>
      </w:r>
      <w:r>
        <w:rPr/>
        <w:t>prescribed</w:t>
      </w:r>
      <w:r>
        <w:rPr>
          <w:spacing w:val="-3"/>
        </w:rPr>
        <w:t> </w:t>
      </w:r>
      <w:r>
        <w:rPr/>
        <w:t>hormonal</w:t>
      </w:r>
      <w:r>
        <w:rPr>
          <w:spacing w:val="-3"/>
        </w:rPr>
        <w:t> </w:t>
      </w:r>
      <w:r>
        <w:rPr/>
        <w:t>regimen.</w:t>
      </w:r>
      <w:r>
        <w:rPr>
          <w:spacing w:val="-4"/>
        </w:rPr>
        <w:t> </w:t>
      </w:r>
      <w:r>
        <w:rPr/>
        <w:t>Rather than continuously increasing the estrogen dose, it is important to consider altering the mode of delivery (ie, switching from oral to transdermal) or timing of medication (ie, if administering orally, consider twice-daily dosing if giving estradiol as opposed to CEE). Importantly, uncommon differential diagnoses, such as pheochromocytoma or carcinoid, must be entertained when encountering recalcitrant VMS that remain unresponsive to</w:t>
      </w:r>
      <w:r>
        <w:rPr>
          <w:spacing w:val="-2"/>
        </w:rPr>
        <w:t> </w:t>
      </w:r>
      <w:r>
        <w:rPr/>
        <w:t>increasing</w:t>
      </w:r>
      <w:r>
        <w:rPr>
          <w:spacing w:val="-2"/>
        </w:rPr>
        <w:t> </w:t>
      </w:r>
      <w:r>
        <w:rPr/>
        <w:t>doses</w:t>
      </w:r>
      <w:r>
        <w:rPr>
          <w:spacing w:val="-2"/>
        </w:rPr>
        <w:t> </w:t>
      </w:r>
      <w:r>
        <w:rPr/>
        <w:t>of</w:t>
      </w:r>
      <w:r>
        <w:rPr>
          <w:spacing w:val="-2"/>
        </w:rPr>
        <w:t> </w:t>
      </w:r>
      <w:r>
        <w:rPr/>
        <w:t>estrogen</w:t>
      </w:r>
      <w:r>
        <w:rPr>
          <w:spacing w:val="-2"/>
        </w:rPr>
        <w:t> </w:t>
      </w:r>
      <w:r>
        <w:rPr/>
        <w:t>therapy.</w:t>
      </w:r>
      <w:r>
        <w:rPr>
          <w:spacing w:val="-3"/>
        </w:rPr>
        <w:t> </w:t>
      </w:r>
      <w:r>
        <w:rPr/>
        <w:t>Additionally, a careful inquiry must be undertaken to search for underlying psychosocial problems. To help persuade a patient that her symptoms are not due to low levels of estrogen, we find it very helpful and convincing to measure the patient’s blood level of estradiol and share the result with her.</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5809181" cy="414261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5809181" cy="4142613"/>
                    </a:xfrm>
                    <a:prstGeom prst="rect">
                      <a:avLst/>
                    </a:prstGeom>
                  </pic:spPr>
                </pic:pic>
              </a:graphicData>
            </a:graphic>
          </wp:inline>
        </w:drawing>
      </w:r>
      <w:r>
        <w:rPr>
          <w:sz w:val="20"/>
        </w:rPr>
      </w:r>
    </w:p>
    <w:p>
      <w:pPr>
        <w:pStyle w:val="BodyText"/>
        <w:spacing w:before="47"/>
        <w:ind w:left="0"/>
        <w:jc w:val="left"/>
        <w:rPr>
          <w:sz w:val="20"/>
        </w:rPr>
      </w:pPr>
      <w:r>
        <w:rPr>
          <w:sz w:val="20"/>
        </w:rPr>
        <mc:AlternateContent>
          <mc:Choice Requires="wps">
            <w:drawing>
              <wp:anchor distT="0" distB="0" distL="0" distR="0" allowOverlap="1" layoutInCell="1" locked="0" behindDoc="1" simplePos="0" relativeHeight="487610880">
                <wp:simplePos x="0" y="0"/>
                <wp:positionH relativeFrom="page">
                  <wp:posOffset>981075</wp:posOffset>
                </wp:positionH>
                <wp:positionV relativeFrom="paragraph">
                  <wp:posOffset>191136</wp:posOffset>
                </wp:positionV>
                <wp:extent cx="932815" cy="571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932815" cy="57150"/>
                        </a:xfrm>
                        <a:custGeom>
                          <a:avLst/>
                          <a:gdLst/>
                          <a:ahLst/>
                          <a:cxnLst/>
                          <a:rect l="l" t="t" r="r" b="b"/>
                          <a:pathLst>
                            <a:path w="932815" h="57150">
                              <a:moveTo>
                                <a:pt x="32364" y="57111"/>
                              </a:moveTo>
                              <a:lnTo>
                                <a:pt x="24785" y="57111"/>
                              </a:lnTo>
                              <a:lnTo>
                                <a:pt x="21140" y="56368"/>
                              </a:lnTo>
                              <a:lnTo>
                                <a:pt x="0" y="32337"/>
                              </a:lnTo>
                              <a:lnTo>
                                <a:pt x="0" y="24745"/>
                              </a:lnTo>
                              <a:lnTo>
                                <a:pt x="725" y="21097"/>
                              </a:lnTo>
                              <a:lnTo>
                                <a:pt x="3625" y="14068"/>
                              </a:lnTo>
                              <a:lnTo>
                                <a:pt x="5689" y="10972"/>
                              </a:lnTo>
                              <a:lnTo>
                                <a:pt x="8369" y="8334"/>
                              </a:lnTo>
                              <a:lnTo>
                                <a:pt x="11048" y="5619"/>
                              </a:lnTo>
                              <a:lnTo>
                                <a:pt x="14138" y="3571"/>
                              </a:lnTo>
                              <a:lnTo>
                                <a:pt x="21140" y="704"/>
                              </a:lnTo>
                              <a:lnTo>
                                <a:pt x="24785" y="0"/>
                              </a:lnTo>
                              <a:lnTo>
                                <a:pt x="32364" y="0"/>
                              </a:lnTo>
                              <a:lnTo>
                                <a:pt x="36009" y="704"/>
                              </a:lnTo>
                              <a:lnTo>
                                <a:pt x="43010" y="3571"/>
                              </a:lnTo>
                              <a:lnTo>
                                <a:pt x="46101" y="5619"/>
                              </a:lnTo>
                              <a:lnTo>
                                <a:pt x="48780" y="8334"/>
                              </a:lnTo>
                              <a:lnTo>
                                <a:pt x="51459" y="10972"/>
                              </a:lnTo>
                              <a:lnTo>
                                <a:pt x="53524" y="14068"/>
                              </a:lnTo>
                              <a:lnTo>
                                <a:pt x="56424" y="21097"/>
                              </a:lnTo>
                              <a:lnTo>
                                <a:pt x="57149" y="24745"/>
                              </a:lnTo>
                              <a:lnTo>
                                <a:pt x="57149" y="32337"/>
                              </a:lnTo>
                              <a:lnTo>
                                <a:pt x="36009" y="56368"/>
                              </a:lnTo>
                              <a:lnTo>
                                <a:pt x="32364" y="57111"/>
                              </a:lnTo>
                              <a:close/>
                            </a:path>
                            <a:path w="932815" h="57150">
                              <a:moveTo>
                                <a:pt x="141806" y="57111"/>
                              </a:moveTo>
                              <a:lnTo>
                                <a:pt x="134227" y="57111"/>
                              </a:lnTo>
                              <a:lnTo>
                                <a:pt x="130582" y="56368"/>
                              </a:lnTo>
                              <a:lnTo>
                                <a:pt x="109442" y="32337"/>
                              </a:lnTo>
                              <a:lnTo>
                                <a:pt x="109442" y="24745"/>
                              </a:lnTo>
                              <a:lnTo>
                                <a:pt x="110167" y="21097"/>
                              </a:lnTo>
                              <a:lnTo>
                                <a:pt x="113067" y="14068"/>
                              </a:lnTo>
                              <a:lnTo>
                                <a:pt x="115132" y="10972"/>
                              </a:lnTo>
                              <a:lnTo>
                                <a:pt x="117811" y="8334"/>
                              </a:lnTo>
                              <a:lnTo>
                                <a:pt x="120491" y="5619"/>
                              </a:lnTo>
                              <a:lnTo>
                                <a:pt x="123581" y="3571"/>
                              </a:lnTo>
                              <a:lnTo>
                                <a:pt x="130582" y="704"/>
                              </a:lnTo>
                              <a:lnTo>
                                <a:pt x="134227" y="0"/>
                              </a:lnTo>
                              <a:lnTo>
                                <a:pt x="141806" y="0"/>
                              </a:lnTo>
                              <a:lnTo>
                                <a:pt x="145451" y="704"/>
                              </a:lnTo>
                              <a:lnTo>
                                <a:pt x="152453" y="3571"/>
                              </a:lnTo>
                              <a:lnTo>
                                <a:pt x="155543" y="5619"/>
                              </a:lnTo>
                              <a:lnTo>
                                <a:pt x="158222" y="8334"/>
                              </a:lnTo>
                              <a:lnTo>
                                <a:pt x="160902" y="10972"/>
                              </a:lnTo>
                              <a:lnTo>
                                <a:pt x="162966" y="14068"/>
                              </a:lnTo>
                              <a:lnTo>
                                <a:pt x="165867" y="21097"/>
                              </a:lnTo>
                              <a:lnTo>
                                <a:pt x="166592" y="24745"/>
                              </a:lnTo>
                              <a:lnTo>
                                <a:pt x="166592" y="32337"/>
                              </a:lnTo>
                              <a:lnTo>
                                <a:pt x="145451" y="56368"/>
                              </a:lnTo>
                              <a:lnTo>
                                <a:pt x="141806" y="57111"/>
                              </a:lnTo>
                              <a:close/>
                            </a:path>
                            <a:path w="932815" h="57150">
                              <a:moveTo>
                                <a:pt x="251248" y="57111"/>
                              </a:moveTo>
                              <a:lnTo>
                                <a:pt x="243670" y="57111"/>
                              </a:lnTo>
                              <a:lnTo>
                                <a:pt x="240025" y="56368"/>
                              </a:lnTo>
                              <a:lnTo>
                                <a:pt x="218884" y="32337"/>
                              </a:lnTo>
                              <a:lnTo>
                                <a:pt x="218884" y="24745"/>
                              </a:lnTo>
                              <a:lnTo>
                                <a:pt x="219609" y="21097"/>
                              </a:lnTo>
                              <a:lnTo>
                                <a:pt x="222509" y="14068"/>
                              </a:lnTo>
                              <a:lnTo>
                                <a:pt x="224574" y="10972"/>
                              </a:lnTo>
                              <a:lnTo>
                                <a:pt x="227253" y="8334"/>
                              </a:lnTo>
                              <a:lnTo>
                                <a:pt x="229933" y="5619"/>
                              </a:lnTo>
                              <a:lnTo>
                                <a:pt x="233023" y="3571"/>
                              </a:lnTo>
                              <a:lnTo>
                                <a:pt x="240025" y="704"/>
                              </a:lnTo>
                              <a:lnTo>
                                <a:pt x="243670" y="0"/>
                              </a:lnTo>
                              <a:lnTo>
                                <a:pt x="251248" y="0"/>
                              </a:lnTo>
                              <a:lnTo>
                                <a:pt x="254893" y="704"/>
                              </a:lnTo>
                              <a:lnTo>
                                <a:pt x="261895" y="3571"/>
                              </a:lnTo>
                              <a:lnTo>
                                <a:pt x="264985" y="5619"/>
                              </a:lnTo>
                              <a:lnTo>
                                <a:pt x="267665" y="8334"/>
                              </a:lnTo>
                              <a:lnTo>
                                <a:pt x="270344" y="10972"/>
                              </a:lnTo>
                              <a:lnTo>
                                <a:pt x="272409" y="14068"/>
                              </a:lnTo>
                              <a:lnTo>
                                <a:pt x="275309" y="21097"/>
                              </a:lnTo>
                              <a:lnTo>
                                <a:pt x="276034" y="24745"/>
                              </a:lnTo>
                              <a:lnTo>
                                <a:pt x="276034" y="32337"/>
                              </a:lnTo>
                              <a:lnTo>
                                <a:pt x="254893" y="56368"/>
                              </a:lnTo>
                              <a:lnTo>
                                <a:pt x="251248" y="57111"/>
                              </a:lnTo>
                              <a:close/>
                            </a:path>
                            <a:path w="932815" h="57150">
                              <a:moveTo>
                                <a:pt x="360691" y="57111"/>
                              </a:moveTo>
                              <a:lnTo>
                                <a:pt x="353112" y="57111"/>
                              </a:lnTo>
                              <a:lnTo>
                                <a:pt x="349467" y="56368"/>
                              </a:lnTo>
                              <a:lnTo>
                                <a:pt x="328326" y="32337"/>
                              </a:lnTo>
                              <a:lnTo>
                                <a:pt x="328326" y="24745"/>
                              </a:lnTo>
                              <a:lnTo>
                                <a:pt x="329051" y="21097"/>
                              </a:lnTo>
                              <a:lnTo>
                                <a:pt x="331951" y="14068"/>
                              </a:lnTo>
                              <a:lnTo>
                                <a:pt x="334016" y="10972"/>
                              </a:lnTo>
                              <a:lnTo>
                                <a:pt x="336696" y="8334"/>
                              </a:lnTo>
                              <a:lnTo>
                                <a:pt x="339375" y="5619"/>
                              </a:lnTo>
                              <a:lnTo>
                                <a:pt x="342465" y="3571"/>
                              </a:lnTo>
                              <a:lnTo>
                                <a:pt x="349467" y="704"/>
                              </a:lnTo>
                              <a:lnTo>
                                <a:pt x="353112" y="0"/>
                              </a:lnTo>
                              <a:lnTo>
                                <a:pt x="360691" y="0"/>
                              </a:lnTo>
                              <a:lnTo>
                                <a:pt x="364336" y="704"/>
                              </a:lnTo>
                              <a:lnTo>
                                <a:pt x="371337" y="3571"/>
                              </a:lnTo>
                              <a:lnTo>
                                <a:pt x="374427" y="5619"/>
                              </a:lnTo>
                              <a:lnTo>
                                <a:pt x="377107" y="8334"/>
                              </a:lnTo>
                              <a:lnTo>
                                <a:pt x="379786" y="10972"/>
                              </a:lnTo>
                              <a:lnTo>
                                <a:pt x="381851" y="14068"/>
                              </a:lnTo>
                              <a:lnTo>
                                <a:pt x="384751" y="21097"/>
                              </a:lnTo>
                              <a:lnTo>
                                <a:pt x="385476" y="24745"/>
                              </a:lnTo>
                              <a:lnTo>
                                <a:pt x="385476" y="32337"/>
                              </a:lnTo>
                              <a:lnTo>
                                <a:pt x="364336" y="56368"/>
                              </a:lnTo>
                              <a:lnTo>
                                <a:pt x="360691" y="57111"/>
                              </a:lnTo>
                              <a:close/>
                            </a:path>
                            <a:path w="932815" h="57150">
                              <a:moveTo>
                                <a:pt x="470133" y="57111"/>
                              </a:moveTo>
                              <a:lnTo>
                                <a:pt x="462554" y="57111"/>
                              </a:lnTo>
                              <a:lnTo>
                                <a:pt x="458909" y="56368"/>
                              </a:lnTo>
                              <a:lnTo>
                                <a:pt x="437768" y="32337"/>
                              </a:lnTo>
                              <a:lnTo>
                                <a:pt x="437768" y="24745"/>
                              </a:lnTo>
                              <a:lnTo>
                                <a:pt x="438493" y="21097"/>
                              </a:lnTo>
                              <a:lnTo>
                                <a:pt x="441394" y="14068"/>
                              </a:lnTo>
                              <a:lnTo>
                                <a:pt x="443458" y="10972"/>
                              </a:lnTo>
                              <a:lnTo>
                                <a:pt x="446138" y="8334"/>
                              </a:lnTo>
                              <a:lnTo>
                                <a:pt x="448817" y="5619"/>
                              </a:lnTo>
                              <a:lnTo>
                                <a:pt x="451907" y="3571"/>
                              </a:lnTo>
                              <a:lnTo>
                                <a:pt x="458909" y="704"/>
                              </a:lnTo>
                              <a:lnTo>
                                <a:pt x="462554" y="0"/>
                              </a:lnTo>
                              <a:lnTo>
                                <a:pt x="470133" y="0"/>
                              </a:lnTo>
                              <a:lnTo>
                                <a:pt x="473778" y="704"/>
                              </a:lnTo>
                              <a:lnTo>
                                <a:pt x="480779" y="3571"/>
                              </a:lnTo>
                              <a:lnTo>
                                <a:pt x="483870" y="5619"/>
                              </a:lnTo>
                              <a:lnTo>
                                <a:pt x="486549" y="8334"/>
                              </a:lnTo>
                              <a:lnTo>
                                <a:pt x="489228" y="10972"/>
                              </a:lnTo>
                              <a:lnTo>
                                <a:pt x="491293" y="14068"/>
                              </a:lnTo>
                              <a:lnTo>
                                <a:pt x="494193" y="21097"/>
                              </a:lnTo>
                              <a:lnTo>
                                <a:pt x="494918" y="24745"/>
                              </a:lnTo>
                              <a:lnTo>
                                <a:pt x="494918" y="32337"/>
                              </a:lnTo>
                              <a:lnTo>
                                <a:pt x="473778" y="56368"/>
                              </a:lnTo>
                              <a:lnTo>
                                <a:pt x="470133" y="57111"/>
                              </a:lnTo>
                              <a:close/>
                            </a:path>
                            <a:path w="932815" h="57150">
                              <a:moveTo>
                                <a:pt x="579575" y="57111"/>
                              </a:moveTo>
                              <a:lnTo>
                                <a:pt x="571996" y="57111"/>
                              </a:lnTo>
                              <a:lnTo>
                                <a:pt x="568351" y="56368"/>
                              </a:lnTo>
                              <a:lnTo>
                                <a:pt x="547211" y="32337"/>
                              </a:lnTo>
                              <a:lnTo>
                                <a:pt x="547211" y="24745"/>
                              </a:lnTo>
                              <a:lnTo>
                                <a:pt x="547936" y="21097"/>
                              </a:lnTo>
                              <a:lnTo>
                                <a:pt x="550836" y="14068"/>
                              </a:lnTo>
                              <a:lnTo>
                                <a:pt x="552901" y="10972"/>
                              </a:lnTo>
                              <a:lnTo>
                                <a:pt x="555580" y="8334"/>
                              </a:lnTo>
                              <a:lnTo>
                                <a:pt x="558260" y="5619"/>
                              </a:lnTo>
                              <a:lnTo>
                                <a:pt x="561350" y="3571"/>
                              </a:lnTo>
                              <a:lnTo>
                                <a:pt x="568351" y="704"/>
                              </a:lnTo>
                              <a:lnTo>
                                <a:pt x="571996" y="0"/>
                              </a:lnTo>
                              <a:lnTo>
                                <a:pt x="579575" y="0"/>
                              </a:lnTo>
                              <a:lnTo>
                                <a:pt x="583220" y="704"/>
                              </a:lnTo>
                              <a:lnTo>
                                <a:pt x="590222" y="3571"/>
                              </a:lnTo>
                              <a:lnTo>
                                <a:pt x="593312" y="5619"/>
                              </a:lnTo>
                              <a:lnTo>
                                <a:pt x="595991" y="8334"/>
                              </a:lnTo>
                              <a:lnTo>
                                <a:pt x="598671" y="10972"/>
                              </a:lnTo>
                              <a:lnTo>
                                <a:pt x="600735" y="14068"/>
                              </a:lnTo>
                              <a:lnTo>
                                <a:pt x="603636" y="21097"/>
                              </a:lnTo>
                              <a:lnTo>
                                <a:pt x="604361" y="24745"/>
                              </a:lnTo>
                              <a:lnTo>
                                <a:pt x="604361" y="32337"/>
                              </a:lnTo>
                              <a:lnTo>
                                <a:pt x="583220" y="56368"/>
                              </a:lnTo>
                              <a:lnTo>
                                <a:pt x="579575" y="57111"/>
                              </a:lnTo>
                              <a:close/>
                            </a:path>
                            <a:path w="932815" h="57150">
                              <a:moveTo>
                                <a:pt x="689017" y="57111"/>
                              </a:moveTo>
                              <a:lnTo>
                                <a:pt x="681439" y="57111"/>
                              </a:lnTo>
                              <a:lnTo>
                                <a:pt x="677794" y="56368"/>
                              </a:lnTo>
                              <a:lnTo>
                                <a:pt x="656653" y="32337"/>
                              </a:lnTo>
                              <a:lnTo>
                                <a:pt x="656653" y="24745"/>
                              </a:lnTo>
                              <a:lnTo>
                                <a:pt x="657378" y="21097"/>
                              </a:lnTo>
                              <a:lnTo>
                                <a:pt x="660278" y="14068"/>
                              </a:lnTo>
                              <a:lnTo>
                                <a:pt x="662343" y="10972"/>
                              </a:lnTo>
                              <a:lnTo>
                                <a:pt x="665022" y="8334"/>
                              </a:lnTo>
                              <a:lnTo>
                                <a:pt x="667702" y="5619"/>
                              </a:lnTo>
                              <a:lnTo>
                                <a:pt x="670792" y="3571"/>
                              </a:lnTo>
                              <a:lnTo>
                                <a:pt x="677794" y="704"/>
                              </a:lnTo>
                              <a:lnTo>
                                <a:pt x="681439" y="0"/>
                              </a:lnTo>
                              <a:lnTo>
                                <a:pt x="689017" y="0"/>
                              </a:lnTo>
                              <a:lnTo>
                                <a:pt x="692662" y="704"/>
                              </a:lnTo>
                              <a:lnTo>
                                <a:pt x="699664" y="3571"/>
                              </a:lnTo>
                              <a:lnTo>
                                <a:pt x="702754" y="5619"/>
                              </a:lnTo>
                              <a:lnTo>
                                <a:pt x="705434" y="8334"/>
                              </a:lnTo>
                              <a:lnTo>
                                <a:pt x="708113" y="10972"/>
                              </a:lnTo>
                              <a:lnTo>
                                <a:pt x="710178" y="14068"/>
                              </a:lnTo>
                              <a:lnTo>
                                <a:pt x="713078" y="21097"/>
                              </a:lnTo>
                              <a:lnTo>
                                <a:pt x="713803" y="24745"/>
                              </a:lnTo>
                              <a:lnTo>
                                <a:pt x="713803" y="32337"/>
                              </a:lnTo>
                              <a:lnTo>
                                <a:pt x="692662" y="56368"/>
                              </a:lnTo>
                              <a:lnTo>
                                <a:pt x="689017" y="57111"/>
                              </a:lnTo>
                              <a:close/>
                            </a:path>
                            <a:path w="932815" h="57150">
                              <a:moveTo>
                                <a:pt x="798459" y="57111"/>
                              </a:moveTo>
                              <a:lnTo>
                                <a:pt x="790881" y="57111"/>
                              </a:lnTo>
                              <a:lnTo>
                                <a:pt x="787236" y="56368"/>
                              </a:lnTo>
                              <a:lnTo>
                                <a:pt x="766095" y="32337"/>
                              </a:lnTo>
                              <a:lnTo>
                                <a:pt x="766095" y="24745"/>
                              </a:lnTo>
                              <a:lnTo>
                                <a:pt x="766820" y="21097"/>
                              </a:lnTo>
                              <a:lnTo>
                                <a:pt x="769720" y="14068"/>
                              </a:lnTo>
                              <a:lnTo>
                                <a:pt x="771785" y="10972"/>
                              </a:lnTo>
                              <a:lnTo>
                                <a:pt x="774465" y="8334"/>
                              </a:lnTo>
                              <a:lnTo>
                                <a:pt x="777144" y="5619"/>
                              </a:lnTo>
                              <a:lnTo>
                                <a:pt x="780234" y="3571"/>
                              </a:lnTo>
                              <a:lnTo>
                                <a:pt x="787236" y="704"/>
                              </a:lnTo>
                              <a:lnTo>
                                <a:pt x="790881" y="0"/>
                              </a:lnTo>
                              <a:lnTo>
                                <a:pt x="798459" y="0"/>
                              </a:lnTo>
                              <a:lnTo>
                                <a:pt x="802105" y="704"/>
                              </a:lnTo>
                              <a:lnTo>
                                <a:pt x="809106" y="3571"/>
                              </a:lnTo>
                              <a:lnTo>
                                <a:pt x="812196" y="5619"/>
                              </a:lnTo>
                              <a:lnTo>
                                <a:pt x="814876" y="8334"/>
                              </a:lnTo>
                              <a:lnTo>
                                <a:pt x="817555" y="10972"/>
                              </a:lnTo>
                              <a:lnTo>
                                <a:pt x="819620" y="14068"/>
                              </a:lnTo>
                              <a:lnTo>
                                <a:pt x="822520" y="21097"/>
                              </a:lnTo>
                              <a:lnTo>
                                <a:pt x="823245" y="24745"/>
                              </a:lnTo>
                              <a:lnTo>
                                <a:pt x="823245" y="32337"/>
                              </a:lnTo>
                              <a:lnTo>
                                <a:pt x="802105" y="56368"/>
                              </a:lnTo>
                              <a:lnTo>
                                <a:pt x="798459" y="57111"/>
                              </a:lnTo>
                              <a:close/>
                            </a:path>
                            <a:path w="932815" h="57150">
                              <a:moveTo>
                                <a:pt x="907902" y="57111"/>
                              </a:moveTo>
                              <a:lnTo>
                                <a:pt x="900323" y="57111"/>
                              </a:lnTo>
                              <a:lnTo>
                                <a:pt x="896678" y="56368"/>
                              </a:lnTo>
                              <a:lnTo>
                                <a:pt x="875537" y="32337"/>
                              </a:lnTo>
                              <a:lnTo>
                                <a:pt x="875537" y="24745"/>
                              </a:lnTo>
                              <a:lnTo>
                                <a:pt x="876262" y="21097"/>
                              </a:lnTo>
                              <a:lnTo>
                                <a:pt x="879163" y="14068"/>
                              </a:lnTo>
                              <a:lnTo>
                                <a:pt x="881227" y="10972"/>
                              </a:lnTo>
                              <a:lnTo>
                                <a:pt x="883907" y="8334"/>
                              </a:lnTo>
                              <a:lnTo>
                                <a:pt x="886586" y="5619"/>
                              </a:lnTo>
                              <a:lnTo>
                                <a:pt x="889676" y="3571"/>
                              </a:lnTo>
                              <a:lnTo>
                                <a:pt x="896678" y="704"/>
                              </a:lnTo>
                              <a:lnTo>
                                <a:pt x="900323" y="0"/>
                              </a:lnTo>
                              <a:lnTo>
                                <a:pt x="907902" y="0"/>
                              </a:lnTo>
                              <a:lnTo>
                                <a:pt x="911547" y="704"/>
                              </a:lnTo>
                              <a:lnTo>
                                <a:pt x="918548" y="3571"/>
                              </a:lnTo>
                              <a:lnTo>
                                <a:pt x="921639" y="5619"/>
                              </a:lnTo>
                              <a:lnTo>
                                <a:pt x="924318" y="8334"/>
                              </a:lnTo>
                              <a:lnTo>
                                <a:pt x="926997" y="10972"/>
                              </a:lnTo>
                              <a:lnTo>
                                <a:pt x="929062" y="14068"/>
                              </a:lnTo>
                              <a:lnTo>
                                <a:pt x="931962" y="21097"/>
                              </a:lnTo>
                              <a:lnTo>
                                <a:pt x="932687" y="24745"/>
                              </a:lnTo>
                              <a:lnTo>
                                <a:pt x="932687" y="32337"/>
                              </a:lnTo>
                              <a:lnTo>
                                <a:pt x="911547" y="56368"/>
                              </a:lnTo>
                              <a:lnTo>
                                <a:pt x="907902" y="57111"/>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5.050088pt;width:73.45pt;height:4.5pt;mso-position-horizontal-relative:page;mso-position-vertical-relative:paragraph;z-index:-15705600;mso-wrap-distance-left:0;mso-wrap-distance-right:0" id="docshape44" coordorigin="1545,301" coordsize="1469,90" path="m1596,391l1584,391,1578,390,1567,385,1562,382,1558,378,1554,373,1551,369,1546,358,1545,352,1545,340,1546,334,1551,323,1554,318,1558,314,1562,310,1567,307,1578,302,1584,301,1596,301,1602,302,1613,307,1618,310,1622,314,1626,318,1629,323,1634,334,1635,340,1635,352,1634,358,1629,369,1626,373,1622,378,1618,382,1613,385,1602,390,1596,391xm1768,391l1756,391,1751,390,1740,385,1735,382,1731,378,1726,373,1723,369,1718,358,1717,352,1717,340,1718,334,1723,323,1726,318,1731,314,1735,310,1740,307,1751,302,1756,301,1768,301,1774,302,1785,307,1790,310,1794,314,1798,318,1802,323,1806,334,1807,340,1807,352,1806,358,1802,369,1798,373,1794,378,1790,382,1785,385,1774,390,1768,391xm1941,391l1929,391,1923,390,1912,385,1907,382,1903,378,1899,373,1895,369,1891,358,1890,352,1890,340,1891,334,1895,323,1899,318,1903,314,1907,310,1912,307,1923,302,1929,301,1941,301,1946,302,1957,307,1962,310,1967,314,1971,318,1974,323,1979,334,1980,340,1980,352,1979,358,1974,369,1971,373,1967,378,1962,382,1957,385,1946,390,1941,391xm2113,391l2101,391,2095,390,2084,385,2079,382,2075,378,2071,373,2068,369,2063,358,2062,352,2062,340,2063,334,2068,323,2071,318,2075,314,2079,310,2084,307,2095,302,2101,301,2113,301,2119,302,2130,307,2135,310,2139,314,2143,318,2146,323,2151,334,2152,340,2152,352,2151,358,2146,369,2143,373,2139,378,2135,382,2130,385,2119,390,2113,391xm2285,391l2273,391,2268,390,2257,385,2252,382,2248,378,2243,373,2240,369,2236,358,2234,352,2234,340,2236,334,2240,323,2243,318,2248,314,2252,310,2257,307,2268,302,2273,301,2285,301,2291,302,2302,307,2307,310,2311,314,2315,318,2319,323,2323,334,2324,340,2324,352,2323,358,2319,369,2315,373,2311,378,2307,382,2302,385,2291,390,2285,391xm2458,391l2446,391,2440,390,2429,385,2424,382,2420,378,2416,373,2412,369,2408,358,2407,352,2407,340,2408,334,2412,323,2416,318,2420,314,2424,310,2429,307,2440,302,2446,301,2458,301,2463,302,2474,307,2479,310,2484,314,2488,318,2491,323,2496,334,2497,340,2497,352,2496,358,2491,369,2488,373,2484,378,2479,382,2474,385,2463,390,2458,391xm2630,391l2618,391,2612,390,2601,385,2596,382,2592,378,2588,373,2585,369,2580,358,2579,352,2579,340,2580,334,2585,323,2588,318,2592,314,2596,310,2601,307,2612,302,2618,301,2630,301,2636,302,2647,307,2652,310,2656,314,2660,318,2663,323,2668,334,2669,340,2669,352,2668,358,2663,369,2660,373,2656,378,2652,382,2647,385,2636,390,2630,391xm2802,391l2790,391,2785,390,2774,385,2769,382,2765,378,2760,373,2757,369,2753,358,2751,352,2751,340,2753,334,2757,323,2760,318,2765,314,2769,310,2774,307,2785,302,2790,301,2802,301,2808,302,2819,307,2824,310,2828,314,2832,318,2836,323,2840,334,2841,340,2841,352,2840,358,2836,369,2832,373,2828,378,2824,382,2819,385,2808,390,2802,391xm2975,391l2963,391,2957,390,2946,385,2941,382,2937,378,2933,373,2930,369,2925,358,2924,352,2924,340,2925,334,2930,323,2933,318,2937,314,2941,310,2946,307,2957,302,2963,301,2975,301,2981,302,2992,307,2996,310,3001,314,3005,318,3008,323,3013,334,3014,340,3014,352,3013,358,3008,369,3005,373,3001,378,2996,382,2992,385,2981,390,2975,391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21.10</w:t>
      </w:r>
    </w:p>
    <w:p>
      <w:pPr>
        <w:pStyle w:val="BodyText"/>
        <w:spacing w:before="214"/>
        <w:ind w:left="0"/>
        <w:jc w:val="left"/>
        <w:rPr>
          <w:rFonts w:ascii="Arial"/>
          <w:b/>
          <w:sz w:val="22"/>
        </w:rPr>
      </w:pPr>
    </w:p>
    <w:p>
      <w:pPr>
        <w:spacing w:before="0"/>
        <w:ind w:left="99" w:right="0" w:firstLine="0"/>
        <w:jc w:val="left"/>
        <w:rPr>
          <w:rFonts w:ascii="Arial"/>
          <w:b/>
          <w:sz w:val="30"/>
        </w:rPr>
      </w:pPr>
      <w:r>
        <w:rPr>
          <w:rFonts w:ascii="Arial"/>
          <w:b/>
          <w:color w:val="2674AE"/>
          <w:sz w:val="30"/>
        </w:rPr>
        <w:t>The Genitourinary Syndrome of </w:t>
      </w:r>
      <w:r>
        <w:rPr>
          <w:rFonts w:ascii="Arial"/>
          <w:b/>
          <w:color w:val="2674AE"/>
          <w:spacing w:val="-2"/>
          <w:sz w:val="30"/>
        </w:rPr>
        <w:t>Menopause</w:t>
      </w:r>
    </w:p>
    <w:p>
      <w:pPr>
        <w:pStyle w:val="BodyText"/>
        <w:spacing w:line="249" w:lineRule="auto" w:before="167"/>
        <w:ind w:right="98"/>
      </w:pPr>
      <w:r>
        <w:rPr/>
        <w:t>Although vaginal dryness may be experienced during the perimenopause, symptoms such as those of vaginitis, pruritus, dyspareunia, and </w:t>
      </w:r>
      <w:r>
        <w:rPr/>
        <w:t>frequent urinary</w:t>
      </w:r>
      <w:r>
        <w:rPr>
          <w:spacing w:val="-4"/>
        </w:rPr>
        <w:t> </w:t>
      </w:r>
      <w:r>
        <w:rPr/>
        <w:t>tract</w:t>
      </w:r>
      <w:r>
        <w:rPr>
          <w:spacing w:val="-4"/>
        </w:rPr>
        <w:t> </w:t>
      </w:r>
      <w:r>
        <w:rPr/>
        <w:t>infections,</w:t>
      </w:r>
      <w:r>
        <w:rPr>
          <w:spacing w:val="-4"/>
        </w:rPr>
        <w:t> </w:t>
      </w:r>
      <w:r>
        <w:rPr/>
        <w:t>which</w:t>
      </w:r>
      <w:r>
        <w:rPr>
          <w:spacing w:val="-4"/>
        </w:rPr>
        <w:t> </w:t>
      </w:r>
      <w:r>
        <w:rPr/>
        <w:t>are</w:t>
      </w:r>
      <w:r>
        <w:rPr>
          <w:spacing w:val="-4"/>
        </w:rPr>
        <w:t> </w:t>
      </w:r>
      <w:r>
        <w:rPr/>
        <w:t>attributable</w:t>
      </w:r>
      <w:r>
        <w:rPr>
          <w:spacing w:val="-4"/>
        </w:rPr>
        <w:t> </w:t>
      </w:r>
      <w:r>
        <w:rPr/>
        <w:t>to</w:t>
      </w:r>
      <w:r>
        <w:rPr>
          <w:spacing w:val="-4"/>
        </w:rPr>
        <w:t> </w:t>
      </w:r>
      <w:r>
        <w:rPr/>
        <w:t>atrophy</w:t>
      </w:r>
      <w:r>
        <w:rPr>
          <w:spacing w:val="-4"/>
        </w:rPr>
        <w:t> </w:t>
      </w:r>
      <w:r>
        <w:rPr/>
        <w:t>of</w:t>
      </w:r>
      <w:r>
        <w:rPr>
          <w:spacing w:val="-4"/>
        </w:rPr>
        <w:t> </w:t>
      </w:r>
      <w:r>
        <w:rPr/>
        <w:t>vaginal</w:t>
      </w:r>
      <w:r>
        <w:rPr>
          <w:spacing w:val="-4"/>
        </w:rPr>
        <w:t> </w:t>
      </w:r>
      <w:r>
        <w:rPr/>
        <w:t>mucosal surfaces, worsen as women advance into postmenopausal years and can contribute to worsening quality of life.</w:t>
      </w:r>
      <w:r>
        <w:rPr>
          <w:vertAlign w:val="superscript"/>
        </w:rPr>
        <w:t>244</w:t>
      </w:r>
    </w:p>
    <w:p>
      <w:pPr>
        <w:pStyle w:val="BodyText"/>
        <w:spacing w:line="249" w:lineRule="auto" w:before="6"/>
        <w:ind w:right="98" w:firstLine="450"/>
      </w:pPr>
      <w:r>
        <w:rPr/>
        <w:t>Urethritis</w:t>
      </w:r>
      <w:r>
        <w:rPr>
          <w:spacing w:val="-1"/>
        </w:rPr>
        <w:t> </w:t>
      </w:r>
      <w:r>
        <w:rPr/>
        <w:t>with</w:t>
      </w:r>
      <w:r>
        <w:rPr>
          <w:spacing w:val="-1"/>
        </w:rPr>
        <w:t> </w:t>
      </w:r>
      <w:r>
        <w:rPr/>
        <w:t>dysuria,</w:t>
      </w:r>
      <w:r>
        <w:rPr>
          <w:spacing w:val="-1"/>
        </w:rPr>
        <w:t> </w:t>
      </w:r>
      <w:r>
        <w:rPr/>
        <w:t>urgency</w:t>
      </w:r>
      <w:r>
        <w:rPr>
          <w:spacing w:val="-1"/>
        </w:rPr>
        <w:t> </w:t>
      </w:r>
      <w:r>
        <w:rPr/>
        <w:t>incontinence,</w:t>
      </w:r>
      <w:r>
        <w:rPr>
          <w:spacing w:val="-1"/>
        </w:rPr>
        <w:t> </w:t>
      </w:r>
      <w:r>
        <w:rPr/>
        <w:t>and</w:t>
      </w:r>
      <w:r>
        <w:rPr>
          <w:spacing w:val="-1"/>
        </w:rPr>
        <w:t> </w:t>
      </w:r>
      <w:r>
        <w:rPr/>
        <w:t>urinary</w:t>
      </w:r>
      <w:r>
        <w:rPr>
          <w:spacing w:val="-1"/>
        </w:rPr>
        <w:t> </w:t>
      </w:r>
      <w:r>
        <w:rPr/>
        <w:t>frequency</w:t>
      </w:r>
      <w:r>
        <w:rPr>
          <w:spacing w:val="-1"/>
        </w:rPr>
        <w:t> </w:t>
      </w:r>
      <w:r>
        <w:rPr/>
        <w:t>are results of mucosal thinning of the urethra and bladder.</w:t>
      </w:r>
      <w:r>
        <w:rPr>
          <w:vertAlign w:val="superscript"/>
        </w:rPr>
        <w:t>245</w:t>
      </w:r>
      <w:r>
        <w:rPr>
          <w:vertAlign w:val="baseline"/>
        </w:rPr>
        <w:t> Recurrent urinary tract infections are effectively prevented by postmenopausal intravaginal estrogen treatment.</w:t>
      </w:r>
      <w:r>
        <w:rPr>
          <w:vertAlign w:val="superscript"/>
        </w:rPr>
        <w:t>245</w:t>
      </w:r>
      <w:r>
        <w:rPr>
          <w:vertAlign w:val="baseline"/>
        </w:rPr>
        <w:t> However, certain anatomic conditions, such </w:t>
      </w:r>
      <w:r>
        <w:rPr>
          <w:vertAlign w:val="baseline"/>
        </w:rPr>
        <w:t>as vaginal tissue relaxation with cystocele, rectocele, uterine prolapse, and vulvar dystrophies, that are common accompaniments to aging are not a consequence of estrogen deprivation.</w:t>
      </w:r>
    </w:p>
    <w:p>
      <w:pPr>
        <w:pStyle w:val="BodyText"/>
        <w:spacing w:after="0" w:line="249" w:lineRule="auto"/>
        <w:sectPr>
          <w:pgSz w:w="12240" w:h="15840"/>
          <w:pgMar w:top="1440" w:bottom="280" w:left="1440" w:right="1440"/>
        </w:sectPr>
      </w:pPr>
    </w:p>
    <w:p>
      <w:pPr>
        <w:pStyle w:val="BodyText"/>
        <w:spacing w:line="249" w:lineRule="auto"/>
        <w:ind w:right="101" w:firstLine="450"/>
        <w:rPr>
          <w:b/>
        </w:rPr>
      </w:pPr>
      <w:r>
        <w:rPr/>
        <w:t>Deprived of estrogen, the vagina loses collagen, adipose tissue, and the ability to retain water. As the vaginal walls shrink, the rugae flatten and disappear.</w:t>
      </w:r>
      <w:r>
        <w:rPr>
          <w:spacing w:val="-4"/>
        </w:rPr>
        <w:t> </w:t>
      </w:r>
      <w:r>
        <w:rPr/>
        <w:t>The surface epithelium loses its outer fibrous layer and thins to a few layers of cells, markedly reducing the ratio of superficial to basal cells. As a result, the vaginal surface is left friable, prone to bleeding with minimal</w:t>
      </w:r>
      <w:r>
        <w:rPr>
          <w:spacing w:val="-3"/>
        </w:rPr>
        <w:t> </w:t>
      </w:r>
      <w:r>
        <w:rPr/>
        <w:t>trauma.</w:t>
      </w:r>
      <w:r>
        <w:rPr>
          <w:spacing w:val="-3"/>
        </w:rPr>
        <w:t> </w:t>
      </w:r>
      <w:r>
        <w:rPr/>
        <w:t>While</w:t>
      </w:r>
      <w:r>
        <w:rPr>
          <w:spacing w:val="-2"/>
        </w:rPr>
        <w:t> </w:t>
      </w:r>
      <w:r>
        <w:rPr/>
        <w:t>these</w:t>
      </w:r>
      <w:r>
        <w:rPr>
          <w:spacing w:val="-2"/>
        </w:rPr>
        <w:t> </w:t>
      </w:r>
      <w:r>
        <w:rPr/>
        <w:t>changes</w:t>
      </w:r>
      <w:r>
        <w:rPr>
          <w:spacing w:val="-2"/>
        </w:rPr>
        <w:t> </w:t>
      </w:r>
      <w:r>
        <w:rPr/>
        <w:t>are</w:t>
      </w:r>
      <w:r>
        <w:rPr>
          <w:spacing w:val="-2"/>
        </w:rPr>
        <w:t> </w:t>
      </w:r>
      <w:r>
        <w:rPr/>
        <w:t>occurring,</w:t>
      </w:r>
      <w:r>
        <w:rPr>
          <w:spacing w:val="-2"/>
        </w:rPr>
        <w:t> </w:t>
      </w:r>
      <w:r>
        <w:rPr/>
        <w:t>the</w:t>
      </w:r>
      <w:r>
        <w:rPr>
          <w:spacing w:val="-2"/>
        </w:rPr>
        <w:t> </w:t>
      </w:r>
      <w:r>
        <w:rPr/>
        <w:t>blood</w:t>
      </w:r>
      <w:r>
        <w:rPr>
          <w:spacing w:val="-2"/>
        </w:rPr>
        <w:t> </w:t>
      </w:r>
      <w:r>
        <w:rPr/>
        <w:t>vessels</w:t>
      </w:r>
      <w:r>
        <w:rPr>
          <w:spacing w:val="-2"/>
        </w:rPr>
        <w:t> </w:t>
      </w:r>
      <w:r>
        <w:rPr/>
        <w:t>in</w:t>
      </w:r>
      <w:r>
        <w:rPr>
          <w:spacing w:val="-2"/>
        </w:rPr>
        <w:t> </w:t>
      </w:r>
      <w:r>
        <w:rPr/>
        <w:t>the vaginal walls narrow, and secretions from sebaceous glands diminish. </w:t>
      </w:r>
      <w:r>
        <w:rPr/>
        <w:t>Over time, the vagina itself contracts and loses flexibility, while the labia minora become paler and smaller. In addition, pH becomes more alkaline, making the vaginal environment less hospitable to lactobacilli and more susceptible to infection by urogenital and fecal pathogens. </w:t>
      </w:r>
      <w:r>
        <w:rPr>
          <w:b/>
        </w:rPr>
        <w:t>Measuring pH is a simple way</w:t>
      </w:r>
      <w:r>
        <w:rPr>
          <w:b/>
          <w:spacing w:val="37"/>
        </w:rPr>
        <w:t> </w:t>
      </w:r>
      <w:r>
        <w:rPr>
          <w:b/>
        </w:rPr>
        <w:t>to</w:t>
      </w:r>
      <w:r>
        <w:rPr>
          <w:b/>
          <w:spacing w:val="38"/>
        </w:rPr>
        <w:t> </w:t>
      </w:r>
      <w:r>
        <w:rPr>
          <w:b/>
        </w:rPr>
        <w:t>determine</w:t>
      </w:r>
      <w:r>
        <w:rPr>
          <w:b/>
          <w:spacing w:val="37"/>
        </w:rPr>
        <w:t> </w:t>
      </w:r>
      <w:r>
        <w:rPr>
          <w:b/>
        </w:rPr>
        <w:t>estrogen’s</w:t>
      </w:r>
      <w:r>
        <w:rPr>
          <w:b/>
          <w:spacing w:val="38"/>
        </w:rPr>
        <w:t> </w:t>
      </w:r>
      <w:r>
        <w:rPr>
          <w:b/>
        </w:rPr>
        <w:t>influence</w:t>
      </w:r>
      <w:r>
        <w:rPr>
          <w:b/>
          <w:spacing w:val="38"/>
        </w:rPr>
        <w:t> </w:t>
      </w:r>
      <w:r>
        <w:rPr>
          <w:b/>
        </w:rPr>
        <w:t>or</w:t>
      </w:r>
      <w:r>
        <w:rPr>
          <w:b/>
          <w:spacing w:val="37"/>
        </w:rPr>
        <w:t> </w:t>
      </w:r>
      <w:r>
        <w:rPr>
          <w:b/>
        </w:rPr>
        <w:t>absence.</w:t>
      </w:r>
      <w:r>
        <w:rPr>
          <w:b/>
          <w:spacing w:val="38"/>
        </w:rPr>
        <w:t> </w:t>
      </w:r>
      <w:r>
        <w:rPr>
          <w:b/>
        </w:rPr>
        <w:t>A</w:t>
      </w:r>
      <w:r>
        <w:rPr>
          <w:b/>
          <w:spacing w:val="37"/>
        </w:rPr>
        <w:t> </w:t>
      </w:r>
      <w:r>
        <w:rPr>
          <w:b/>
        </w:rPr>
        <w:t>pH</w:t>
      </w:r>
      <w:r>
        <w:rPr>
          <w:b/>
          <w:spacing w:val="38"/>
        </w:rPr>
        <w:t> </w:t>
      </w:r>
      <w:r>
        <w:rPr>
          <w:b/>
        </w:rPr>
        <w:t>greater</w:t>
      </w:r>
      <w:r>
        <w:rPr>
          <w:b/>
          <w:spacing w:val="38"/>
        </w:rPr>
        <w:t> </w:t>
      </w:r>
      <w:r>
        <w:rPr>
          <w:b/>
          <w:spacing w:val="-4"/>
        </w:rPr>
        <w:t>than</w:t>
      </w:r>
    </w:p>
    <w:p>
      <w:pPr>
        <w:spacing w:line="249" w:lineRule="auto" w:before="14"/>
        <w:ind w:left="99" w:right="99" w:firstLine="0"/>
        <w:jc w:val="both"/>
        <w:rPr>
          <w:sz w:val="30"/>
        </w:rPr>
      </w:pPr>
      <w:r>
        <w:rPr>
          <w:b/>
          <w:sz w:val="30"/>
        </w:rPr>
        <w:t>4.5 is almost always observed with estrogen deficiency.</w:t>
      </w:r>
      <w:r>
        <w:rPr>
          <w:sz w:val="30"/>
          <w:vertAlign w:val="superscript"/>
        </w:rPr>
        <w:t>246,247</w:t>
      </w:r>
      <w:r>
        <w:rPr>
          <w:sz w:val="30"/>
          <w:vertAlign w:val="baseline"/>
        </w:rPr>
        <w:t> </w:t>
      </w:r>
      <w:r>
        <w:rPr>
          <w:sz w:val="30"/>
          <w:vertAlign w:val="baseline"/>
        </w:rPr>
        <w:t>Infecting organisms can ascend into the urinary system to cause urethritis, urinary tract infections, and cystitis.</w:t>
      </w:r>
    </w:p>
    <w:p>
      <w:pPr>
        <w:pStyle w:val="BodyText"/>
        <w:spacing w:line="249" w:lineRule="auto" w:before="4"/>
        <w:ind w:right="97" w:firstLine="450"/>
      </w:pPr>
      <w:r>
        <w:rPr/>
        <w:t>Dyspareunia, sometimes with postcoital bleeding, is the </w:t>
      </w:r>
      <w:r>
        <w:rPr/>
        <w:t>inevitable consequence of a severely atrophied vagina with scant lubrication. Even</w:t>
      </w:r>
      <w:r>
        <w:rPr>
          <w:spacing w:val="-2"/>
        </w:rPr>
        <w:t> </w:t>
      </w:r>
      <w:r>
        <w:rPr/>
        <w:t>for women who are not sexually active, atrophic vaginitis can cause itching, irritation, and burning. These symptoms often go unmentioned, and it is important to inspect for signs of vaginal atrophy even in the absence of complaints.</w:t>
      </w:r>
      <w:r>
        <w:rPr>
          <w:spacing w:val="-3"/>
        </w:rPr>
        <w:t> </w:t>
      </w:r>
      <w:r>
        <w:rPr/>
        <w:t>Dyspareunia or vaginal discomfort seldom brings older women to</w:t>
      </w:r>
      <w:r>
        <w:rPr>
          <w:spacing w:val="-3"/>
        </w:rPr>
        <w:t> </w:t>
      </w:r>
      <w:r>
        <w:rPr/>
        <w:t>see</w:t>
      </w:r>
      <w:r>
        <w:rPr>
          <w:spacing w:val="-3"/>
        </w:rPr>
        <w:t> </w:t>
      </w:r>
      <w:r>
        <w:rPr/>
        <w:t>their</w:t>
      </w:r>
      <w:r>
        <w:rPr>
          <w:spacing w:val="-3"/>
        </w:rPr>
        <w:t> </w:t>
      </w:r>
      <w:r>
        <w:rPr/>
        <w:t>gynecologists.</w:t>
      </w:r>
      <w:r>
        <w:rPr>
          <w:spacing w:val="-3"/>
        </w:rPr>
        <w:t> </w:t>
      </w:r>
      <w:r>
        <w:rPr/>
        <w:t>A</w:t>
      </w:r>
      <w:r>
        <w:rPr>
          <w:spacing w:val="-3"/>
        </w:rPr>
        <w:t> </w:t>
      </w:r>
      <w:r>
        <w:rPr/>
        <w:t>basic</w:t>
      </w:r>
      <w:r>
        <w:rPr>
          <w:spacing w:val="-3"/>
        </w:rPr>
        <w:t> </w:t>
      </w:r>
      <w:r>
        <w:rPr/>
        <w:t>reluctance</w:t>
      </w:r>
      <w:r>
        <w:rPr>
          <w:spacing w:val="-3"/>
        </w:rPr>
        <w:t> </w:t>
      </w:r>
      <w:r>
        <w:rPr/>
        <w:t>to</w:t>
      </w:r>
      <w:r>
        <w:rPr>
          <w:spacing w:val="-3"/>
        </w:rPr>
        <w:t> </w:t>
      </w:r>
      <w:r>
        <w:rPr/>
        <w:t>discuss</w:t>
      </w:r>
      <w:r>
        <w:rPr>
          <w:spacing w:val="-3"/>
        </w:rPr>
        <w:t> </w:t>
      </w:r>
      <w:r>
        <w:rPr/>
        <w:t>sexual</w:t>
      </w:r>
      <w:r>
        <w:rPr>
          <w:spacing w:val="-3"/>
        </w:rPr>
        <w:t> </w:t>
      </w:r>
      <w:r>
        <w:rPr/>
        <w:t>behavior</w:t>
      </w:r>
      <w:r>
        <w:rPr>
          <w:spacing w:val="-3"/>
        </w:rPr>
        <w:t> </w:t>
      </w:r>
      <w:r>
        <w:rPr/>
        <w:t>still permeates society, and per the literature summary from the North American Menopause Society (NAMS), anywhere between one-third and three-fourths of women who experience symptoms of estrogen deprivation do not discuss this with providers, while another one-third desire the providers to start the discussion (NAMS).</w:t>
      </w:r>
    </w:p>
    <w:p>
      <w:pPr>
        <w:pStyle w:val="BodyText"/>
        <w:spacing w:line="249" w:lineRule="auto" w:before="15"/>
        <w:ind w:right="101" w:firstLine="450"/>
      </w:pPr>
      <w:r>
        <w:rPr/>
        <w:t>Objective measurements have demonstrated that vaginal factors that influence the enjoyment of sexual intercourse can be maintained by appropriate targeted treatment; until recently, only estrogen-based </w:t>
      </w:r>
      <w:r>
        <w:rPr/>
        <w:t>therapy was</w:t>
      </w:r>
      <w:r>
        <w:rPr>
          <w:spacing w:val="-6"/>
        </w:rPr>
        <w:t> </w:t>
      </w:r>
      <w:r>
        <w:rPr/>
        <w:t>available</w:t>
      </w:r>
      <w:r>
        <w:rPr>
          <w:spacing w:val="-6"/>
        </w:rPr>
        <w:t> </w:t>
      </w:r>
      <w:r>
        <w:rPr/>
        <w:t>to</w:t>
      </w:r>
      <w:r>
        <w:rPr>
          <w:spacing w:val="-6"/>
        </w:rPr>
        <w:t> </w:t>
      </w:r>
      <w:r>
        <w:rPr/>
        <w:t>effectively</w:t>
      </w:r>
      <w:r>
        <w:rPr>
          <w:spacing w:val="-6"/>
        </w:rPr>
        <w:t> </w:t>
      </w:r>
      <w:r>
        <w:rPr/>
        <w:t>address</w:t>
      </w:r>
      <w:r>
        <w:rPr>
          <w:spacing w:val="-6"/>
        </w:rPr>
        <w:t> </w:t>
      </w:r>
      <w:r>
        <w:rPr/>
        <w:t>symptoms</w:t>
      </w:r>
      <w:r>
        <w:rPr>
          <w:spacing w:val="-6"/>
        </w:rPr>
        <w:t> </w:t>
      </w:r>
      <w:r>
        <w:rPr/>
        <w:t>of</w:t>
      </w:r>
      <w:r>
        <w:rPr>
          <w:spacing w:val="-6"/>
        </w:rPr>
        <w:t> </w:t>
      </w:r>
      <w:r>
        <w:rPr/>
        <w:t>vaginal</w:t>
      </w:r>
      <w:r>
        <w:rPr>
          <w:spacing w:val="-6"/>
        </w:rPr>
        <w:t> </w:t>
      </w:r>
      <w:r>
        <w:rPr/>
        <w:t>atrophy,</w:t>
      </w:r>
      <w:r>
        <w:rPr>
          <w:spacing w:val="-6"/>
        </w:rPr>
        <w:t> </w:t>
      </w:r>
      <w:r>
        <w:rPr/>
        <w:t>but</w:t>
      </w:r>
      <w:r>
        <w:rPr>
          <w:spacing w:val="-6"/>
        </w:rPr>
        <w:t> </w:t>
      </w:r>
      <w:r>
        <w:rPr/>
        <w:t>now</w:t>
      </w:r>
      <w:r>
        <w:rPr>
          <w:spacing w:val="-6"/>
        </w:rPr>
        <w:t> </w:t>
      </w:r>
      <w:r>
        <w:rPr/>
        <w:t>a postmenopausal woman can choose from a finite variety of hormonal and nonhormonal</w:t>
      </w:r>
      <w:r>
        <w:rPr>
          <w:spacing w:val="76"/>
        </w:rPr>
        <w:t> </w:t>
      </w:r>
      <w:r>
        <w:rPr/>
        <w:t>treatment</w:t>
      </w:r>
      <w:r>
        <w:rPr>
          <w:spacing w:val="76"/>
        </w:rPr>
        <w:t> </w:t>
      </w:r>
      <w:r>
        <w:rPr/>
        <w:t>options,</w:t>
      </w:r>
      <w:r>
        <w:rPr>
          <w:spacing w:val="76"/>
        </w:rPr>
        <w:t> </w:t>
      </w:r>
      <w:r>
        <w:rPr/>
        <w:t>which</w:t>
      </w:r>
      <w:r>
        <w:rPr>
          <w:spacing w:val="76"/>
        </w:rPr>
        <w:t> </w:t>
      </w:r>
      <w:r>
        <w:rPr/>
        <w:t>are</w:t>
      </w:r>
      <w:r>
        <w:rPr>
          <w:spacing w:val="76"/>
        </w:rPr>
        <w:t> </w:t>
      </w:r>
      <w:r>
        <w:rPr/>
        <w:t>further</w:t>
      </w:r>
      <w:r>
        <w:rPr>
          <w:spacing w:val="76"/>
        </w:rPr>
        <w:t> </w:t>
      </w:r>
      <w:r>
        <w:rPr/>
        <w:t>discussed</w:t>
      </w:r>
      <w:r>
        <w:rPr>
          <w:spacing w:val="76"/>
        </w:rPr>
        <w:t> </w:t>
      </w:r>
      <w:r>
        <w:rPr/>
        <w:t>in</w:t>
      </w:r>
      <w:r>
        <w:rPr>
          <w:spacing w:val="76"/>
        </w:rPr>
        <w:t> </w:t>
      </w:r>
      <w:r>
        <w:rPr>
          <w:spacing w:val="-2"/>
        </w:rPr>
        <w:t>Chapter</w:t>
      </w:r>
    </w:p>
    <w:p>
      <w:pPr>
        <w:pStyle w:val="BodyText"/>
        <w:spacing w:line="249" w:lineRule="auto" w:before="7"/>
        <w:ind w:right="110"/>
      </w:pPr>
      <w:r>
        <w:rPr/>
        <w:t>22.</w:t>
      </w:r>
      <w:r>
        <w:rPr>
          <w:position w:val="10"/>
          <w:sz w:val="17"/>
        </w:rPr>
        <w:t>248</w:t>
      </w:r>
      <w:r>
        <w:rPr>
          <w:spacing w:val="40"/>
          <w:position w:val="10"/>
          <w:sz w:val="17"/>
        </w:rPr>
        <w:t> </w:t>
      </w:r>
      <w:r>
        <w:rPr/>
        <w:t>Both patient and clinician should be aware that a significant response can</w:t>
      </w:r>
      <w:r>
        <w:rPr>
          <w:spacing w:val="-3"/>
        </w:rPr>
        <w:t> </w:t>
      </w:r>
      <w:r>
        <w:rPr/>
        <w:t>be</w:t>
      </w:r>
      <w:r>
        <w:rPr>
          <w:spacing w:val="-3"/>
        </w:rPr>
        <w:t> </w:t>
      </w:r>
      <w:r>
        <w:rPr/>
        <w:t>expected</w:t>
      </w:r>
      <w:r>
        <w:rPr>
          <w:spacing w:val="-3"/>
        </w:rPr>
        <w:t> </w:t>
      </w:r>
      <w:r>
        <w:rPr/>
        <w:t>by</w:t>
      </w:r>
      <w:r>
        <w:rPr>
          <w:spacing w:val="-3"/>
        </w:rPr>
        <w:t> </w:t>
      </w:r>
      <w:r>
        <w:rPr/>
        <w:t>1</w:t>
      </w:r>
      <w:r>
        <w:rPr>
          <w:spacing w:val="-3"/>
        </w:rPr>
        <w:t> </w:t>
      </w:r>
      <w:r>
        <w:rPr/>
        <w:t>month</w:t>
      </w:r>
      <w:r>
        <w:rPr>
          <w:spacing w:val="-3"/>
        </w:rPr>
        <w:t> </w:t>
      </w:r>
      <w:r>
        <w:rPr/>
        <w:t>but</w:t>
      </w:r>
      <w:r>
        <w:rPr>
          <w:spacing w:val="-3"/>
        </w:rPr>
        <w:t> </w:t>
      </w:r>
      <w:r>
        <w:rPr/>
        <w:t>that</w:t>
      </w:r>
      <w:r>
        <w:rPr>
          <w:spacing w:val="-3"/>
        </w:rPr>
        <w:t> </w:t>
      </w:r>
      <w:r>
        <w:rPr/>
        <w:t>it</w:t>
      </w:r>
      <w:r>
        <w:rPr>
          <w:spacing w:val="-3"/>
        </w:rPr>
        <w:t> </w:t>
      </w:r>
      <w:r>
        <w:rPr/>
        <w:t>can</w:t>
      </w:r>
      <w:r>
        <w:rPr>
          <w:spacing w:val="-3"/>
        </w:rPr>
        <w:t> </w:t>
      </w:r>
      <w:r>
        <w:rPr/>
        <w:t>take</w:t>
      </w:r>
      <w:r>
        <w:rPr>
          <w:spacing w:val="-3"/>
        </w:rPr>
        <w:t> </w:t>
      </w:r>
      <w:r>
        <w:rPr/>
        <w:t>a</w:t>
      </w:r>
      <w:r>
        <w:rPr>
          <w:spacing w:val="-3"/>
        </w:rPr>
        <w:t> </w:t>
      </w:r>
      <w:r>
        <w:rPr/>
        <w:t>longer</w:t>
      </w:r>
      <w:r>
        <w:rPr>
          <w:spacing w:val="-3"/>
        </w:rPr>
        <w:t> </w:t>
      </w:r>
      <w:r>
        <w:rPr/>
        <w:t>time</w:t>
      </w:r>
      <w:r>
        <w:rPr>
          <w:spacing w:val="-3"/>
        </w:rPr>
        <w:t> </w:t>
      </w:r>
      <w:r>
        <w:rPr/>
        <w:t>to</w:t>
      </w:r>
      <w:r>
        <w:rPr>
          <w:spacing w:val="-3"/>
        </w:rPr>
        <w:t> </w:t>
      </w:r>
      <w:r>
        <w:rPr/>
        <w:t>fully</w:t>
      </w:r>
      <w:r>
        <w:rPr>
          <w:spacing w:val="-3"/>
        </w:rPr>
        <w:t> </w:t>
      </w:r>
      <w:r>
        <w:rPr/>
        <w:t>restore wellness</w:t>
      </w:r>
      <w:r>
        <w:rPr>
          <w:spacing w:val="67"/>
          <w:w w:val="150"/>
        </w:rPr>
        <w:t> </w:t>
      </w:r>
      <w:r>
        <w:rPr/>
        <w:t>of</w:t>
      </w:r>
      <w:r>
        <w:rPr>
          <w:spacing w:val="68"/>
          <w:w w:val="150"/>
        </w:rPr>
        <w:t> </w:t>
      </w:r>
      <w:r>
        <w:rPr/>
        <w:t>the</w:t>
      </w:r>
      <w:r>
        <w:rPr>
          <w:spacing w:val="67"/>
          <w:w w:val="150"/>
        </w:rPr>
        <w:t> </w:t>
      </w:r>
      <w:r>
        <w:rPr/>
        <w:t>genitourinary</w:t>
      </w:r>
      <w:r>
        <w:rPr>
          <w:spacing w:val="68"/>
          <w:w w:val="150"/>
        </w:rPr>
        <w:t> </w:t>
      </w:r>
      <w:r>
        <w:rPr/>
        <w:t>tract</w:t>
      </w:r>
      <w:r>
        <w:rPr>
          <w:spacing w:val="67"/>
          <w:w w:val="150"/>
        </w:rPr>
        <w:t> </w:t>
      </w:r>
      <w:r>
        <w:rPr/>
        <w:t>(6-12</w:t>
      </w:r>
      <w:r>
        <w:rPr>
          <w:spacing w:val="68"/>
          <w:w w:val="150"/>
        </w:rPr>
        <w:t> </w:t>
      </w:r>
      <w:r>
        <w:rPr/>
        <w:t>months),</w:t>
      </w:r>
      <w:r>
        <w:rPr>
          <w:spacing w:val="67"/>
          <w:w w:val="150"/>
        </w:rPr>
        <w:t> </w:t>
      </w:r>
      <w:r>
        <w:rPr/>
        <w:t>and</w:t>
      </w:r>
      <w:r>
        <w:rPr>
          <w:spacing w:val="68"/>
          <w:w w:val="150"/>
        </w:rPr>
        <w:t> </w:t>
      </w:r>
      <w:r>
        <w:rPr/>
        <w:t>clinicians</w:t>
      </w:r>
      <w:r>
        <w:rPr>
          <w:spacing w:val="67"/>
          <w:w w:val="150"/>
        </w:rPr>
        <w:t> </w:t>
      </w:r>
      <w:r>
        <w:rPr>
          <w:spacing w:val="-5"/>
        </w:rPr>
        <w:t>and</w:t>
      </w:r>
    </w:p>
    <w:p>
      <w:pPr>
        <w:pStyle w:val="BodyText"/>
        <w:spacing w:after="0" w:line="249" w:lineRule="auto"/>
        <w:sectPr>
          <w:pgSz w:w="12240" w:h="15840"/>
          <w:pgMar w:top="1380" w:bottom="280" w:left="1440" w:right="1440"/>
        </w:sectPr>
      </w:pPr>
    </w:p>
    <w:p>
      <w:pPr>
        <w:pStyle w:val="BodyText"/>
        <w:spacing w:line="249" w:lineRule="auto"/>
        <w:ind w:right="100"/>
      </w:pPr>
      <w:r>
        <w:rPr/>
        <w:t>patients should not be discouraged by an apparent lack of immediate response. Vaginal dryness is worse with use of aromatase inhibitors commonly utilized as adjuvant therapy for postmenopausal breast cancer and as chemoprophylaxis. Sexual activity by itself supports the </w:t>
      </w:r>
      <w:r>
        <w:rPr/>
        <w:t>circulatory response of the vaginal tissues and can itself improve vaginal tissue elasticity, stretchability as well as mucosal integrity as well as enhances the therapeutic effects of estrogen. Therefore, sexually active older women</w:t>
      </w:r>
      <w:r>
        <w:rPr>
          <w:spacing w:val="40"/>
        </w:rPr>
        <w:t> </w:t>
      </w:r>
      <w:r>
        <w:rPr/>
        <w:t>have less atrophy of the vagina, even without estrogen.</w:t>
      </w:r>
    </w:p>
    <w:p>
      <w:pPr>
        <w:pStyle w:val="BodyText"/>
        <w:spacing w:line="249" w:lineRule="auto" w:before="10"/>
        <w:ind w:right="99" w:firstLine="450"/>
        <w:rPr>
          <w:b/>
        </w:rPr>
      </w:pPr>
      <w:r>
        <w:rPr/>
        <w:t>Although it is argued that genuine stress incontinence is not affected by treatment with estrogen, others contend that estrogen treatment improves </w:t>
      </w:r>
      <w:r>
        <w:rPr/>
        <w:t>or cures stress incontinence in over 50% of patients due to a direct effect on the urethral mucosa.</w:t>
      </w:r>
      <w:r>
        <w:rPr>
          <w:vertAlign w:val="superscript"/>
        </w:rPr>
        <w:t>249-251</w:t>
      </w:r>
      <w:r>
        <w:rPr>
          <w:vertAlign w:val="baseline"/>
        </w:rPr>
        <w:t> A metaanalysis concluded that improvement was reported</w:t>
      </w:r>
      <w:r>
        <w:rPr>
          <w:spacing w:val="-3"/>
          <w:vertAlign w:val="baseline"/>
        </w:rPr>
        <w:t> </w:t>
      </w:r>
      <w:r>
        <w:rPr>
          <w:vertAlign w:val="baseline"/>
        </w:rPr>
        <w:t>only</w:t>
      </w:r>
      <w:r>
        <w:rPr>
          <w:spacing w:val="-3"/>
          <w:vertAlign w:val="baseline"/>
        </w:rPr>
        <w:t> </w:t>
      </w:r>
      <w:r>
        <w:rPr>
          <w:vertAlign w:val="baseline"/>
        </w:rPr>
        <w:t>in</w:t>
      </w:r>
      <w:r>
        <w:rPr>
          <w:spacing w:val="-3"/>
          <w:vertAlign w:val="baseline"/>
        </w:rPr>
        <w:t> </w:t>
      </w:r>
      <w:r>
        <w:rPr>
          <w:vertAlign w:val="baseline"/>
        </w:rPr>
        <w:t>nonrandomized</w:t>
      </w:r>
      <w:r>
        <w:rPr>
          <w:spacing w:val="-3"/>
          <w:vertAlign w:val="baseline"/>
        </w:rPr>
        <w:t> </w:t>
      </w:r>
      <w:r>
        <w:rPr>
          <w:vertAlign w:val="baseline"/>
        </w:rPr>
        <w:t>studies.</w:t>
      </w:r>
      <w:r>
        <w:rPr>
          <w:vertAlign w:val="superscript"/>
        </w:rPr>
        <w:t>252</w:t>
      </w:r>
      <w:r>
        <w:rPr>
          <w:spacing w:val="-3"/>
          <w:vertAlign w:val="baseline"/>
        </w:rPr>
        <w:t> </w:t>
      </w:r>
      <w:r>
        <w:rPr>
          <w:vertAlign w:val="baseline"/>
        </w:rPr>
        <w:t>Two</w:t>
      </w:r>
      <w:r>
        <w:rPr>
          <w:spacing w:val="-3"/>
          <w:vertAlign w:val="baseline"/>
        </w:rPr>
        <w:t> </w:t>
      </w:r>
      <w:r>
        <w:rPr>
          <w:vertAlign w:val="baseline"/>
        </w:rPr>
        <w:t>randomized</w:t>
      </w:r>
      <w:r>
        <w:rPr>
          <w:spacing w:val="-3"/>
          <w:vertAlign w:val="baseline"/>
        </w:rPr>
        <w:t> </w:t>
      </w:r>
      <w:r>
        <w:rPr>
          <w:vertAlign w:val="baseline"/>
        </w:rPr>
        <w:t>trials</w:t>
      </w:r>
      <w:r>
        <w:rPr>
          <w:spacing w:val="-3"/>
          <w:vertAlign w:val="baseline"/>
        </w:rPr>
        <w:t> </w:t>
      </w:r>
      <w:r>
        <w:rPr>
          <w:vertAlign w:val="baseline"/>
        </w:rPr>
        <w:t>dedicated to this clinical problem failed to demonstrate a beneficial effect of estrogen treatment.</w:t>
      </w:r>
      <w:r>
        <w:rPr>
          <w:vertAlign w:val="superscript"/>
        </w:rPr>
        <w:t>253,254</w:t>
      </w:r>
      <w:r>
        <w:rPr>
          <w:vertAlign w:val="baseline"/>
        </w:rPr>
        <w:t> Most cases of urinary leakage in older women are due to a mixed problem with a significant component of urge incontinence, which, unlike stress incontinence, may be improved by estrogen therapy. However, the Heart and Estrogen-Progestin Replacement Study (HERS) randomized trial indicated a worsening of incontinence with hormone therapy for both urge and stress incontinence, and the Nurses’ Health Study reported a small increase in incontinence in hormone users.</w:t>
      </w:r>
      <w:r>
        <w:rPr>
          <w:vertAlign w:val="superscript"/>
        </w:rPr>
        <w:t>255,256</w:t>
      </w:r>
      <w:r>
        <w:rPr>
          <w:vertAlign w:val="baseline"/>
        </w:rPr>
        <w:t> In the SWAN study, only 15% of incontinent women reported a worsening of urinary incontinence during the menopausal transition, largely because of weight gain.</w:t>
      </w:r>
      <w:r>
        <w:rPr>
          <w:vertAlign w:val="superscript"/>
        </w:rPr>
        <w:t>257</w:t>
      </w:r>
      <w:r>
        <w:rPr>
          <w:vertAlign w:val="baseline"/>
        </w:rPr>
        <w:t> The majority of incontinent women experienced either no change or an improvement. The SWAN study results imply that urinary incontinence is not</w:t>
      </w:r>
      <w:r>
        <w:rPr>
          <w:spacing w:val="-4"/>
          <w:vertAlign w:val="baseline"/>
        </w:rPr>
        <w:t> </w:t>
      </w:r>
      <w:r>
        <w:rPr>
          <w:vertAlign w:val="baseline"/>
        </w:rPr>
        <w:t>a</w:t>
      </w:r>
      <w:r>
        <w:rPr>
          <w:spacing w:val="-4"/>
          <w:vertAlign w:val="baseline"/>
        </w:rPr>
        <w:t> </w:t>
      </w:r>
      <w:r>
        <w:rPr>
          <w:vertAlign w:val="baseline"/>
        </w:rPr>
        <w:t>major</w:t>
      </w:r>
      <w:r>
        <w:rPr>
          <w:spacing w:val="-4"/>
          <w:vertAlign w:val="baseline"/>
        </w:rPr>
        <w:t> </w:t>
      </w:r>
      <w:r>
        <w:rPr>
          <w:vertAlign w:val="baseline"/>
        </w:rPr>
        <w:t>symptom</w:t>
      </w:r>
      <w:r>
        <w:rPr>
          <w:spacing w:val="-4"/>
          <w:vertAlign w:val="baseline"/>
        </w:rPr>
        <w:t> </w:t>
      </w:r>
      <w:r>
        <w:rPr>
          <w:vertAlign w:val="baseline"/>
        </w:rPr>
        <w:t>of</w:t>
      </w:r>
      <w:r>
        <w:rPr>
          <w:spacing w:val="-4"/>
          <w:vertAlign w:val="baseline"/>
        </w:rPr>
        <w:t> </w:t>
      </w:r>
      <w:r>
        <w:rPr>
          <w:vertAlign w:val="baseline"/>
        </w:rPr>
        <w:t>menopause and the perimenopausal transition.</w:t>
      </w:r>
      <w:r>
        <w:rPr>
          <w:vertAlign w:val="superscript"/>
        </w:rPr>
        <w:t>257,258</w:t>
      </w:r>
      <w:r>
        <w:rPr>
          <w:vertAlign w:val="baseline"/>
        </w:rPr>
        <w:t> In contrast, a Cochrane review from 2012 found that compared to placebo, women</w:t>
      </w:r>
      <w:r>
        <w:rPr>
          <w:spacing w:val="-4"/>
          <w:vertAlign w:val="baseline"/>
        </w:rPr>
        <w:t> </w:t>
      </w:r>
      <w:r>
        <w:rPr>
          <w:vertAlign w:val="baseline"/>
        </w:rPr>
        <w:t>who</w:t>
      </w:r>
      <w:r>
        <w:rPr>
          <w:spacing w:val="-4"/>
          <w:vertAlign w:val="baseline"/>
        </w:rPr>
        <w:t> </w:t>
      </w:r>
      <w:r>
        <w:rPr>
          <w:vertAlign w:val="baseline"/>
        </w:rPr>
        <w:t>received</w:t>
      </w:r>
      <w:r>
        <w:rPr>
          <w:spacing w:val="-4"/>
          <w:vertAlign w:val="baseline"/>
        </w:rPr>
        <w:t> </w:t>
      </w:r>
      <w:r>
        <w:rPr>
          <w:vertAlign w:val="baseline"/>
        </w:rPr>
        <w:t>vaginal</w:t>
      </w:r>
      <w:r>
        <w:rPr>
          <w:spacing w:val="-4"/>
          <w:vertAlign w:val="baseline"/>
        </w:rPr>
        <w:t> </w:t>
      </w:r>
      <w:r>
        <w:rPr>
          <w:vertAlign w:val="baseline"/>
        </w:rPr>
        <w:t>estrogen-based</w:t>
      </w:r>
      <w:r>
        <w:rPr>
          <w:spacing w:val="-4"/>
          <w:vertAlign w:val="baseline"/>
        </w:rPr>
        <w:t> </w:t>
      </w:r>
      <w:r>
        <w:rPr>
          <w:vertAlign w:val="baseline"/>
        </w:rPr>
        <w:t>therapy</w:t>
      </w:r>
      <w:r>
        <w:rPr>
          <w:spacing w:val="-4"/>
          <w:vertAlign w:val="baseline"/>
        </w:rPr>
        <w:t> </w:t>
      </w:r>
      <w:r>
        <w:rPr>
          <w:vertAlign w:val="baseline"/>
        </w:rPr>
        <w:t>for</w:t>
      </w:r>
      <w:r>
        <w:rPr>
          <w:spacing w:val="-4"/>
          <w:vertAlign w:val="baseline"/>
        </w:rPr>
        <w:t> </w:t>
      </w:r>
      <w:r>
        <w:rPr>
          <w:vertAlign w:val="baseline"/>
        </w:rPr>
        <w:t>incontinence</w:t>
      </w:r>
      <w:r>
        <w:rPr>
          <w:spacing w:val="-4"/>
          <w:vertAlign w:val="baseline"/>
        </w:rPr>
        <w:t> </w:t>
      </w:r>
      <w:r>
        <w:rPr>
          <w:vertAlign w:val="baseline"/>
        </w:rPr>
        <w:t>noted an improvement in symptoms.</w:t>
      </w:r>
      <w:r>
        <w:rPr>
          <w:vertAlign w:val="superscript"/>
        </w:rPr>
        <w:t>259</w:t>
      </w:r>
      <w:r>
        <w:rPr>
          <w:vertAlign w:val="baseline"/>
        </w:rPr>
        <w:t> Interestingly, in trials using oral estrogen, women reported worsening of urinary symptoms.</w:t>
      </w:r>
      <w:r>
        <w:rPr>
          <w:vertAlign w:val="superscript"/>
        </w:rPr>
        <w:t>260</w:t>
      </w:r>
      <w:r>
        <w:rPr>
          <w:vertAlign w:val="baseline"/>
        </w:rPr>
        <w:t> </w:t>
      </w:r>
      <w:r>
        <w:rPr>
          <w:b/>
          <w:vertAlign w:val="baseline"/>
        </w:rPr>
        <w:t>Overall, data suggest that new-onset urinary incontinence at midlife is not a consequence of hormonal changes and, therefore, is not likely to be impacted with the use of estrogen.</w:t>
      </w:r>
    </w:p>
    <w:p>
      <w:pPr>
        <w:pStyle w:val="BodyText"/>
        <w:spacing w:line="249" w:lineRule="auto" w:before="30"/>
        <w:ind w:right="104" w:firstLine="450"/>
      </w:pPr>
      <w:r>
        <w:rPr/>
        <w:t>A decline in skin collagen content, elasticity, and skin thickness </w:t>
      </w:r>
      <w:r>
        <w:rPr/>
        <w:t>that occurs with aging can be considerably avoided by postmenopausal estrogen therapy.</w:t>
      </w:r>
      <w:r>
        <w:rPr>
          <w:vertAlign w:val="superscript"/>
        </w:rPr>
        <w:t>261-265</w:t>
      </w:r>
      <w:r>
        <w:rPr>
          <w:spacing w:val="3"/>
          <w:vertAlign w:val="baseline"/>
        </w:rPr>
        <w:t> </w:t>
      </w:r>
      <w:r>
        <w:rPr>
          <w:vertAlign w:val="baseline"/>
        </w:rPr>
        <w:t>The</w:t>
      </w:r>
      <w:r>
        <w:rPr>
          <w:spacing w:val="4"/>
          <w:vertAlign w:val="baseline"/>
        </w:rPr>
        <w:t> </w:t>
      </w:r>
      <w:r>
        <w:rPr>
          <w:vertAlign w:val="baseline"/>
        </w:rPr>
        <w:t>effect</w:t>
      </w:r>
      <w:r>
        <w:rPr>
          <w:spacing w:val="4"/>
          <w:vertAlign w:val="baseline"/>
        </w:rPr>
        <w:t> </w:t>
      </w:r>
      <w:r>
        <w:rPr>
          <w:vertAlign w:val="baseline"/>
        </w:rPr>
        <w:t>of</w:t>
      </w:r>
      <w:r>
        <w:rPr>
          <w:spacing w:val="3"/>
          <w:vertAlign w:val="baseline"/>
        </w:rPr>
        <w:t> </w:t>
      </w:r>
      <w:r>
        <w:rPr>
          <w:vertAlign w:val="baseline"/>
        </w:rPr>
        <w:t>estrogen</w:t>
      </w:r>
      <w:r>
        <w:rPr>
          <w:spacing w:val="4"/>
          <w:vertAlign w:val="baseline"/>
        </w:rPr>
        <w:t> </w:t>
      </w:r>
      <w:r>
        <w:rPr>
          <w:vertAlign w:val="baseline"/>
        </w:rPr>
        <w:t>on</w:t>
      </w:r>
      <w:r>
        <w:rPr>
          <w:spacing w:val="4"/>
          <w:vertAlign w:val="baseline"/>
        </w:rPr>
        <w:t> </w:t>
      </w:r>
      <w:r>
        <w:rPr>
          <w:vertAlign w:val="baseline"/>
        </w:rPr>
        <w:t>collagen</w:t>
      </w:r>
      <w:r>
        <w:rPr>
          <w:spacing w:val="3"/>
          <w:vertAlign w:val="baseline"/>
        </w:rPr>
        <w:t> </w:t>
      </w:r>
      <w:r>
        <w:rPr>
          <w:vertAlign w:val="baseline"/>
        </w:rPr>
        <w:t>is</w:t>
      </w:r>
      <w:r>
        <w:rPr>
          <w:spacing w:val="4"/>
          <w:vertAlign w:val="baseline"/>
        </w:rPr>
        <w:t> </w:t>
      </w:r>
      <w:r>
        <w:rPr>
          <w:vertAlign w:val="baseline"/>
        </w:rPr>
        <w:t>evident</w:t>
      </w:r>
      <w:r>
        <w:rPr>
          <w:spacing w:val="4"/>
          <w:vertAlign w:val="baseline"/>
        </w:rPr>
        <w:t> </w:t>
      </w:r>
      <w:r>
        <w:rPr>
          <w:vertAlign w:val="baseline"/>
        </w:rPr>
        <w:t>in</w:t>
      </w:r>
      <w:r>
        <w:rPr>
          <w:spacing w:val="3"/>
          <w:vertAlign w:val="baseline"/>
        </w:rPr>
        <w:t> </w:t>
      </w:r>
      <w:r>
        <w:rPr>
          <w:vertAlign w:val="baseline"/>
        </w:rPr>
        <w:t>both</w:t>
      </w:r>
      <w:r>
        <w:rPr>
          <w:spacing w:val="4"/>
          <w:vertAlign w:val="baseline"/>
        </w:rPr>
        <w:t> </w:t>
      </w:r>
      <w:r>
        <w:rPr>
          <w:vertAlign w:val="baseline"/>
        </w:rPr>
        <w:t>bone</w:t>
      </w:r>
      <w:r>
        <w:rPr>
          <w:spacing w:val="4"/>
          <w:vertAlign w:val="baseline"/>
        </w:rPr>
        <w:t> </w:t>
      </w:r>
      <w:r>
        <w:rPr>
          <w:spacing w:val="-5"/>
          <w:vertAlign w:val="baseline"/>
        </w:rPr>
        <w:t>and</w:t>
      </w:r>
    </w:p>
    <w:p>
      <w:pPr>
        <w:pStyle w:val="BodyText"/>
        <w:spacing w:after="0" w:line="249" w:lineRule="auto"/>
        <w:sectPr>
          <w:pgSz w:w="12240" w:h="15840"/>
          <w:pgMar w:top="1380" w:bottom="280" w:left="1440" w:right="1440"/>
        </w:sectPr>
      </w:pPr>
    </w:p>
    <w:p>
      <w:pPr>
        <w:pStyle w:val="BodyText"/>
        <w:spacing w:line="249" w:lineRule="auto"/>
        <w:ind w:right="99"/>
      </w:pPr>
      <w:r>
        <w:rPr/>
        <w:t>skin; bone mass and collagen decline in parallel after menopause, </w:t>
      </w:r>
      <w:r>
        <w:rPr/>
        <w:t>and estrogen treatment reduces collagen turnover and improves collagen quality.</w:t>
      </w:r>
      <w:r>
        <w:rPr>
          <w:vertAlign w:val="superscript"/>
        </w:rPr>
        <w:t>266,267</w:t>
      </w:r>
      <w:r>
        <w:rPr>
          <w:spacing w:val="-9"/>
          <w:vertAlign w:val="baseline"/>
        </w:rPr>
        <w:t> </w:t>
      </w:r>
      <w:r>
        <w:rPr>
          <w:vertAlign w:val="baseline"/>
        </w:rPr>
        <w:t>Several</w:t>
      </w:r>
      <w:r>
        <w:rPr>
          <w:spacing w:val="-9"/>
          <w:vertAlign w:val="baseline"/>
        </w:rPr>
        <w:t> </w:t>
      </w:r>
      <w:r>
        <w:rPr>
          <w:vertAlign w:val="baseline"/>
        </w:rPr>
        <w:t>studies</w:t>
      </w:r>
      <w:r>
        <w:rPr>
          <w:spacing w:val="-9"/>
          <w:vertAlign w:val="baseline"/>
        </w:rPr>
        <w:t> </w:t>
      </w:r>
      <w:r>
        <w:rPr>
          <w:vertAlign w:val="baseline"/>
        </w:rPr>
        <w:t>demonstrated</w:t>
      </w:r>
      <w:r>
        <w:rPr>
          <w:spacing w:val="-9"/>
          <w:vertAlign w:val="baseline"/>
        </w:rPr>
        <w:t> </w:t>
      </w:r>
      <w:r>
        <w:rPr>
          <w:vertAlign w:val="baseline"/>
        </w:rPr>
        <w:t>not</w:t>
      </w:r>
      <w:r>
        <w:rPr>
          <w:spacing w:val="-9"/>
          <w:vertAlign w:val="baseline"/>
        </w:rPr>
        <w:t> </w:t>
      </w:r>
      <w:r>
        <w:rPr>
          <w:vertAlign w:val="baseline"/>
        </w:rPr>
        <w:t>only</w:t>
      </w:r>
      <w:r>
        <w:rPr>
          <w:spacing w:val="-9"/>
          <w:vertAlign w:val="baseline"/>
        </w:rPr>
        <w:t> </w:t>
      </w:r>
      <w:r>
        <w:rPr>
          <w:vertAlign w:val="baseline"/>
        </w:rPr>
        <w:t>an</w:t>
      </w:r>
      <w:r>
        <w:rPr>
          <w:spacing w:val="-9"/>
          <w:vertAlign w:val="baseline"/>
        </w:rPr>
        <w:t> </w:t>
      </w:r>
      <w:r>
        <w:rPr>
          <w:vertAlign w:val="baseline"/>
        </w:rPr>
        <w:t>increase</w:t>
      </w:r>
      <w:r>
        <w:rPr>
          <w:spacing w:val="-9"/>
          <w:vertAlign w:val="baseline"/>
        </w:rPr>
        <w:t> </w:t>
      </w:r>
      <w:r>
        <w:rPr>
          <w:vertAlign w:val="baseline"/>
        </w:rPr>
        <w:t>in</w:t>
      </w:r>
      <w:r>
        <w:rPr>
          <w:spacing w:val="-9"/>
          <w:vertAlign w:val="baseline"/>
        </w:rPr>
        <w:t> </w:t>
      </w:r>
      <w:r>
        <w:rPr>
          <w:vertAlign w:val="baseline"/>
        </w:rPr>
        <w:t>facial</w:t>
      </w:r>
      <w:r>
        <w:rPr>
          <w:spacing w:val="-9"/>
          <w:vertAlign w:val="baseline"/>
        </w:rPr>
        <w:t> </w:t>
      </w:r>
      <w:r>
        <w:rPr>
          <w:vertAlign w:val="baseline"/>
        </w:rPr>
        <w:t>skin thickness but also an improvement in wrinkles, dryness, elasticity, and thickness with hormone therapy.</w:t>
      </w:r>
      <w:r>
        <w:rPr>
          <w:vertAlign w:val="superscript"/>
        </w:rPr>
        <w:t>268-271</w:t>
      </w:r>
      <w:r>
        <w:rPr>
          <w:vertAlign w:val="baseline"/>
        </w:rPr>
        <w:t> Smoking is a major risk factor for facial skin wrinkling, and hormone therapy cannot diminish its negative impact.</w:t>
      </w:r>
      <w:r>
        <w:rPr>
          <w:vertAlign w:val="superscript"/>
        </w:rPr>
        <w:t>272</w:t>
      </w:r>
      <w:r>
        <w:rPr>
          <w:vertAlign w:val="baseline"/>
        </w:rPr>
        <w:t> In a 1-year clinical trial, hormone therapy did not improve skin wrinkling already present.</w:t>
      </w:r>
      <w:r>
        <w:rPr>
          <w:vertAlign w:val="superscript"/>
        </w:rPr>
        <w:t>271</w:t>
      </w:r>
    </w:p>
    <w:p>
      <w:pPr>
        <w:pStyle w:val="BodyText"/>
        <w:spacing w:line="249" w:lineRule="auto" w:before="9"/>
        <w:ind w:right="97" w:firstLine="450"/>
      </w:pPr>
      <w:r>
        <w:rPr/>
        <w:t>One of the features of aging in men and women is a steady reduction in muscular strength. Many factors affect this decline, including height, weight,</w:t>
      </w:r>
      <w:r>
        <w:rPr>
          <w:spacing w:val="-2"/>
        </w:rPr>
        <w:t> </w:t>
      </w:r>
      <w:r>
        <w:rPr/>
        <w:t>and</w:t>
      </w:r>
      <w:r>
        <w:rPr>
          <w:spacing w:val="-2"/>
        </w:rPr>
        <w:t> </w:t>
      </w:r>
      <w:r>
        <w:rPr/>
        <w:t>level</w:t>
      </w:r>
      <w:r>
        <w:rPr>
          <w:spacing w:val="-2"/>
        </w:rPr>
        <w:t> </w:t>
      </w:r>
      <w:r>
        <w:rPr/>
        <w:t>of</w:t>
      </w:r>
      <w:r>
        <w:rPr>
          <w:spacing w:val="-2"/>
        </w:rPr>
        <w:t> </w:t>
      </w:r>
      <w:r>
        <w:rPr/>
        <w:t>physical</w:t>
      </w:r>
      <w:r>
        <w:rPr>
          <w:spacing w:val="-2"/>
        </w:rPr>
        <w:t> </w:t>
      </w:r>
      <w:r>
        <w:rPr/>
        <w:t>activity.</w:t>
      </w:r>
      <w:r>
        <w:rPr>
          <w:spacing w:val="-3"/>
        </w:rPr>
        <w:t> </w:t>
      </w:r>
      <w:r>
        <w:rPr/>
        <w:t>Women</w:t>
      </w:r>
      <w:r>
        <w:rPr>
          <w:spacing w:val="-4"/>
        </w:rPr>
        <w:t> </w:t>
      </w:r>
      <w:r>
        <w:rPr/>
        <w:t>currently</w:t>
      </w:r>
      <w:r>
        <w:rPr>
          <w:spacing w:val="-4"/>
        </w:rPr>
        <w:t> </w:t>
      </w:r>
      <w:r>
        <w:rPr/>
        <w:t>using</w:t>
      </w:r>
      <w:r>
        <w:rPr>
          <w:spacing w:val="-4"/>
        </w:rPr>
        <w:t> </w:t>
      </w:r>
      <w:r>
        <w:rPr/>
        <w:t>estrogen</w:t>
      </w:r>
      <w:r>
        <w:rPr>
          <w:spacing w:val="-4"/>
        </w:rPr>
        <w:t> </w:t>
      </w:r>
      <w:r>
        <w:rPr/>
        <w:t>have been reported to demonstrate a lesser decline in muscular strength, although at least one study could detect no impact of estrogen.</w:t>
      </w:r>
      <w:r>
        <w:rPr>
          <w:vertAlign w:val="superscript"/>
        </w:rPr>
        <w:t>273-278</w:t>
      </w:r>
      <w:r>
        <w:rPr>
          <w:vertAlign w:val="baseline"/>
        </w:rPr>
        <w:t> This is </w:t>
      </w:r>
      <w:r>
        <w:rPr>
          <w:vertAlign w:val="baseline"/>
        </w:rPr>
        <w:t>an important issue because of the potential protective consequences against fractures, as well as a benefit due to the ability to maintain vigorous physical exercise.</w:t>
      </w:r>
    </w:p>
    <w:p>
      <w:pPr>
        <w:pStyle w:val="BodyText"/>
        <w:spacing w:before="54"/>
        <w:ind w:left="0"/>
        <w:jc w:val="left"/>
      </w:pPr>
    </w:p>
    <w:p>
      <w:pPr>
        <w:spacing w:before="0"/>
        <w:ind w:left="99" w:right="0" w:firstLine="0"/>
        <w:jc w:val="both"/>
        <w:rPr>
          <w:rFonts w:ascii="Arial"/>
          <w:b/>
          <w:sz w:val="30"/>
        </w:rPr>
      </w:pPr>
      <w:r>
        <w:rPr>
          <w:rFonts w:ascii="Arial"/>
          <w:b/>
          <w:color w:val="2674AE"/>
          <w:sz w:val="30"/>
        </w:rPr>
        <w:t>Sexuality,</w:t>
      </w:r>
      <w:r>
        <w:rPr>
          <w:rFonts w:ascii="Arial"/>
          <w:b/>
          <w:color w:val="2674AE"/>
          <w:spacing w:val="-8"/>
          <w:sz w:val="30"/>
        </w:rPr>
        <w:t> </w:t>
      </w:r>
      <w:r>
        <w:rPr>
          <w:rFonts w:ascii="Arial"/>
          <w:b/>
          <w:color w:val="2674AE"/>
          <w:sz w:val="30"/>
        </w:rPr>
        <w:t>Aging,</w:t>
      </w:r>
      <w:r>
        <w:rPr>
          <w:rFonts w:ascii="Arial"/>
          <w:b/>
          <w:color w:val="2674AE"/>
          <w:spacing w:val="-8"/>
          <w:sz w:val="30"/>
        </w:rPr>
        <w:t> </w:t>
      </w:r>
      <w:r>
        <w:rPr>
          <w:rFonts w:ascii="Arial"/>
          <w:b/>
          <w:color w:val="2674AE"/>
          <w:sz w:val="30"/>
        </w:rPr>
        <w:t>and</w:t>
      </w:r>
      <w:r>
        <w:rPr>
          <w:rFonts w:ascii="Arial"/>
          <w:b/>
          <w:color w:val="2674AE"/>
          <w:spacing w:val="-7"/>
          <w:sz w:val="30"/>
        </w:rPr>
        <w:t> </w:t>
      </w:r>
      <w:r>
        <w:rPr>
          <w:rFonts w:ascii="Arial"/>
          <w:b/>
          <w:color w:val="2674AE"/>
          <w:spacing w:val="-2"/>
          <w:sz w:val="30"/>
        </w:rPr>
        <w:t>Menopause</w:t>
      </w:r>
    </w:p>
    <w:p>
      <w:pPr>
        <w:pStyle w:val="BodyText"/>
        <w:spacing w:line="249" w:lineRule="auto" w:before="166"/>
        <w:ind w:right="102"/>
      </w:pPr>
      <w:r>
        <w:rPr/>
        <w:t>Sexuality is behavior that evolves and chances across the lifespan. It </w:t>
      </w:r>
      <w:r>
        <w:rPr/>
        <w:t>begins with birth (maybe before) and ends with death. The notion that sexuality ends with aging is inherently illogical. The need for closeness, caring, and companionship is lifelong. Old people today live longer, are healthier, have more education and leisure time, and have had their consciousness raised in regard to sexuality.</w:t>
      </w:r>
    </w:p>
    <w:p>
      <w:pPr>
        <w:pStyle w:val="BodyText"/>
        <w:spacing w:line="249" w:lineRule="auto" w:before="8"/>
        <w:ind w:right="99" w:firstLine="450"/>
      </w:pPr>
      <w:r>
        <w:rPr/>
        <w:t>Younger people, especially physicians, underrate the extent of sexual interest in older people. In a random sample of women aged 50 to 82 </w:t>
      </w:r>
      <w:r>
        <w:rPr/>
        <w:t>in Madison, Wisconsin, nearly one-half of the women reported an ongoing sexual</w:t>
      </w:r>
      <w:r>
        <w:rPr>
          <w:spacing w:val="-5"/>
        </w:rPr>
        <w:t> </w:t>
      </w:r>
      <w:r>
        <w:rPr/>
        <w:t>relationship.</w:t>
      </w:r>
      <w:r>
        <w:rPr>
          <w:vertAlign w:val="superscript"/>
        </w:rPr>
        <w:t>138</w:t>
      </w:r>
      <w:r>
        <w:rPr>
          <w:vertAlign w:val="baseline"/>
        </w:rPr>
        <w:t> In the Duke longitudinal study on aging, 70% of men in the 67 to 77 age group were sexually active, and 80% reported</w:t>
      </w:r>
      <w:r>
        <w:rPr>
          <w:spacing w:val="40"/>
          <w:vertAlign w:val="baseline"/>
        </w:rPr>
        <w:t> </w:t>
      </w:r>
      <w:r>
        <w:rPr>
          <w:vertAlign w:val="baseline"/>
        </w:rPr>
        <w:t>continuing sexual interest, while 50% of all older women were still interested in sex.</w:t>
      </w:r>
      <w:r>
        <w:rPr>
          <w:vertAlign w:val="superscript"/>
        </w:rPr>
        <w:t>139</w:t>
      </w:r>
      <w:r>
        <w:rPr>
          <w:vertAlign w:val="baseline"/>
        </w:rPr>
        <w:t> In the PEPI trial, 60% of women 55 to 64 years old</w:t>
      </w:r>
      <w:r>
        <w:rPr>
          <w:spacing w:val="40"/>
          <w:vertAlign w:val="baseline"/>
        </w:rPr>
        <w:t> </w:t>
      </w:r>
      <w:r>
        <w:rPr>
          <w:vertAlign w:val="baseline"/>
        </w:rPr>
        <w:t>were sexually active.</w:t>
      </w:r>
      <w:r>
        <w:rPr>
          <w:vertAlign w:val="superscript"/>
        </w:rPr>
        <w:t>140</w:t>
      </w:r>
      <w:r>
        <w:rPr>
          <w:vertAlign w:val="baseline"/>
        </w:rPr>
        <w:t> In a national sample of American men and women, the prevalence of sexual behavior declined with aging; however, 26% of individuals aged 75 to 85 years were still sexually active.</w:t>
      </w:r>
      <w:r>
        <w:rPr>
          <w:vertAlign w:val="superscript"/>
        </w:rPr>
        <w:t>141</w:t>
      </w:r>
      <w:r>
        <w:rPr>
          <w:vertAlign w:val="baseline"/>
        </w:rPr>
        <w:t> The prevalence of</w:t>
      </w:r>
      <w:r>
        <w:rPr>
          <w:spacing w:val="5"/>
          <w:vertAlign w:val="baseline"/>
        </w:rPr>
        <w:t> </w:t>
      </w:r>
      <w:r>
        <w:rPr>
          <w:vertAlign w:val="baseline"/>
        </w:rPr>
        <w:t>self-reported</w:t>
      </w:r>
      <w:r>
        <w:rPr>
          <w:spacing w:val="7"/>
          <w:vertAlign w:val="baseline"/>
        </w:rPr>
        <w:t> </w:t>
      </w:r>
      <w:r>
        <w:rPr>
          <w:vertAlign w:val="baseline"/>
        </w:rPr>
        <w:t>sexual</w:t>
      </w:r>
      <w:r>
        <w:rPr>
          <w:spacing w:val="8"/>
          <w:vertAlign w:val="baseline"/>
        </w:rPr>
        <w:t> </w:t>
      </w:r>
      <w:r>
        <w:rPr>
          <w:vertAlign w:val="baseline"/>
        </w:rPr>
        <w:t>problems</w:t>
      </w:r>
      <w:r>
        <w:rPr>
          <w:spacing w:val="7"/>
          <w:vertAlign w:val="baseline"/>
        </w:rPr>
        <w:t> </w:t>
      </w:r>
      <w:r>
        <w:rPr>
          <w:vertAlign w:val="baseline"/>
        </w:rPr>
        <w:t>peaks</w:t>
      </w:r>
      <w:r>
        <w:rPr>
          <w:spacing w:val="7"/>
          <w:vertAlign w:val="baseline"/>
        </w:rPr>
        <w:t> </w:t>
      </w:r>
      <w:r>
        <w:rPr>
          <w:vertAlign w:val="baseline"/>
        </w:rPr>
        <w:t>in</w:t>
      </w:r>
      <w:r>
        <w:rPr>
          <w:spacing w:val="8"/>
          <w:vertAlign w:val="baseline"/>
        </w:rPr>
        <w:t> </w:t>
      </w:r>
      <w:r>
        <w:rPr>
          <w:vertAlign w:val="baseline"/>
        </w:rPr>
        <w:t>middle-aged</w:t>
      </w:r>
      <w:r>
        <w:rPr>
          <w:spacing w:val="7"/>
          <w:vertAlign w:val="baseline"/>
        </w:rPr>
        <w:t> </w:t>
      </w:r>
      <w:r>
        <w:rPr>
          <w:vertAlign w:val="baseline"/>
        </w:rPr>
        <w:t>women,</w:t>
      </w:r>
      <w:r>
        <w:rPr>
          <w:spacing w:val="7"/>
          <w:vertAlign w:val="baseline"/>
        </w:rPr>
        <w:t> </w:t>
      </w:r>
      <w:r>
        <w:rPr>
          <w:vertAlign w:val="baseline"/>
        </w:rPr>
        <w:t>sufficient</w:t>
      </w:r>
      <w:r>
        <w:rPr>
          <w:spacing w:val="8"/>
          <w:vertAlign w:val="baseline"/>
        </w:rPr>
        <w:t> </w:t>
      </w:r>
      <w:r>
        <w:rPr>
          <w:spacing w:val="-5"/>
          <w:vertAlign w:val="baseline"/>
        </w:rPr>
        <w:t>to</w:t>
      </w:r>
    </w:p>
    <w:p>
      <w:pPr>
        <w:pStyle w:val="BodyText"/>
        <w:spacing w:after="0" w:line="249" w:lineRule="auto"/>
        <w:sectPr>
          <w:pgSz w:w="12240" w:h="15840"/>
          <w:pgMar w:top="1380" w:bottom="280" w:left="1440" w:right="1440"/>
        </w:sectPr>
      </w:pPr>
    </w:p>
    <w:p>
      <w:pPr>
        <w:pStyle w:val="BodyText"/>
        <w:spacing w:line="249" w:lineRule="auto"/>
        <w:ind w:right="100"/>
      </w:pPr>
      <w:r>
        <w:rPr/>
        <w:t>cause distress in about 22% of US women and about 12% of women </w:t>
      </w:r>
      <w:r>
        <w:rPr/>
        <w:t>aged 45 to 64.</w:t>
      </w:r>
      <w:r>
        <w:rPr>
          <w:vertAlign w:val="superscript"/>
        </w:rPr>
        <w:t>142</w:t>
      </w:r>
      <w:r>
        <w:rPr>
          <w:vertAlign w:val="baseline"/>
        </w:rPr>
        <w:t> Up to 23% of menopausal women are negatively affected by decreased sexual desire.</w:t>
      </w:r>
      <w:r>
        <w:rPr>
          <w:vertAlign w:val="superscript"/>
        </w:rPr>
        <w:t>143</w:t>
      </w:r>
    </w:p>
    <w:p>
      <w:pPr>
        <w:pStyle w:val="BodyText"/>
        <w:spacing w:line="249" w:lineRule="auto" w:before="3"/>
        <w:ind w:right="99" w:firstLine="450"/>
      </w:pPr>
      <w:r>
        <w:rPr/>
        <w:t>The decline in sexual activity with aging is influenced by culture </w:t>
      </w:r>
      <w:r>
        <w:rPr/>
        <w:t>and attitudes, as well as by nature and physiology (or hormones). As estradiol regulates</w:t>
      </w:r>
      <w:r>
        <w:rPr>
          <w:spacing w:val="-6"/>
        </w:rPr>
        <w:t> </w:t>
      </w:r>
      <w:r>
        <w:rPr/>
        <w:t>serotonergic</w:t>
      </w:r>
      <w:r>
        <w:rPr>
          <w:spacing w:val="-6"/>
        </w:rPr>
        <w:t> </w:t>
      </w:r>
      <w:r>
        <w:rPr/>
        <w:t>function,</w:t>
      </w:r>
      <w:r>
        <w:rPr>
          <w:spacing w:val="-6"/>
        </w:rPr>
        <w:t> </w:t>
      </w:r>
      <w:r>
        <w:rPr/>
        <w:t>it</w:t>
      </w:r>
      <w:r>
        <w:rPr>
          <w:spacing w:val="-6"/>
        </w:rPr>
        <w:t> </w:t>
      </w:r>
      <w:r>
        <w:rPr/>
        <w:t>can</w:t>
      </w:r>
      <w:r>
        <w:rPr>
          <w:spacing w:val="-6"/>
        </w:rPr>
        <w:t> </w:t>
      </w:r>
      <w:r>
        <w:rPr/>
        <w:t>affect</w:t>
      </w:r>
      <w:r>
        <w:rPr>
          <w:spacing w:val="-6"/>
        </w:rPr>
        <w:t> </w:t>
      </w:r>
      <w:r>
        <w:rPr/>
        <w:t>desire</w:t>
      </w:r>
      <w:r>
        <w:rPr>
          <w:spacing w:val="-6"/>
        </w:rPr>
        <w:t> </w:t>
      </w:r>
      <w:r>
        <w:rPr/>
        <w:t>and</w:t>
      </w:r>
      <w:r>
        <w:rPr>
          <w:spacing w:val="-6"/>
        </w:rPr>
        <w:t> </w:t>
      </w:r>
      <w:r>
        <w:rPr/>
        <w:t>sexual</w:t>
      </w:r>
      <w:r>
        <w:rPr>
          <w:spacing w:val="-6"/>
        </w:rPr>
        <w:t> </w:t>
      </w:r>
      <w:r>
        <w:rPr/>
        <w:t>function.</w:t>
      </w:r>
      <w:r>
        <w:rPr>
          <w:vertAlign w:val="superscript"/>
        </w:rPr>
        <w:t>143</w:t>
      </w:r>
      <w:r>
        <w:rPr>
          <w:spacing w:val="-7"/>
          <w:vertAlign w:val="baseline"/>
        </w:rPr>
        <w:t> </w:t>
      </w:r>
      <w:r>
        <w:rPr>
          <w:vertAlign w:val="baseline"/>
        </w:rPr>
        <w:t>In addition, the discomfort resulting from vaginal dryness and tissue atrophy consequent to low estradiol levels can make coitus unwelcome, even to the point of avoidance. Thus, a significant component of decline in sexual activity in reproductively aging women can be attributed to menopausal symptoms associated with decreasing estrogen levels, a problem that is easily ameliorated by targeted treatment.</w:t>
      </w:r>
    </w:p>
    <w:p>
      <w:pPr>
        <w:pStyle w:val="BodyText"/>
        <w:spacing w:line="249" w:lineRule="auto" w:before="11"/>
        <w:ind w:right="97" w:firstLine="450"/>
      </w:pPr>
      <w:r>
        <w:rPr/>
        <w:t>There are two main sexual changes in the aging woman. There is </w:t>
      </w:r>
      <w:r>
        <w:rPr/>
        <w:t>a reduction in the rate of production and volume of vaginal lubricating fluid, and there is some loss of vaginal elasticity and thickness of the epithelium. Less vaginal atrophy is noted in sexually active women than in inactive women; presumably, the activity maintains vaginal vasculature and circulation. The spectrum of uncomfortable symptoms that are often described by transitioning and menopausal women with evidence of genital atrophy include a feeling of dryness and tightness, vaginal irritation and burning with penetration, and postcoital spotting and soreness. Given that these symptoms are the direct result of tissue estrogen deprivation, the underlying tissue changes can be effectively prevented by focal estrogen treatment. Systemic estrogen therapy may even have a positive impact on sexuality beyond effects on vaginal tissue.</w:t>
      </w:r>
      <w:r>
        <w:rPr>
          <w:vertAlign w:val="superscript"/>
        </w:rPr>
        <w:t>140</w:t>
      </w:r>
      <w:r>
        <w:rPr>
          <w:vertAlign w:val="baseline"/>
        </w:rPr>
        <w:t> In an ancillary sexual study of the KEEPS—a randomized, double-blinded, placebo-controlled trial—early menopausal women were randomized to receive either low-dose oral CEE or transdermal estradiol (transdermal E2), over the 4 years of intervention. While both routes of estrogen treatment resulted in an improvement in vaginal dryness and dyspareunia,</w:t>
      </w:r>
      <w:r>
        <w:rPr>
          <w:vertAlign w:val="superscript"/>
        </w:rPr>
        <w:t>143</w:t>
      </w:r>
      <w:r>
        <w:rPr>
          <w:vertAlign w:val="baseline"/>
        </w:rPr>
        <w:t> improvements in libido and sexual satisfaction were observed only in transdermal E2 users.</w:t>
      </w:r>
      <w:r>
        <w:rPr>
          <w:vertAlign w:val="superscript"/>
        </w:rPr>
        <w:t>143</w:t>
      </w:r>
      <w:r>
        <w:rPr>
          <w:vertAlign w:val="baseline"/>
        </w:rPr>
        <w:t> In an Australian study assessing changes in sexual functioning during the menopausal transition, a correlation with a decline in sexuality was demonstrated with estradiol levels but not with testosterone levels. There are likely many important factors other than hormone levels that are relevant in determining midlife sexual function.</w:t>
      </w:r>
      <w:r>
        <w:rPr>
          <w:vertAlign w:val="superscript"/>
        </w:rPr>
        <w:t>143,144</w:t>
      </w:r>
    </w:p>
    <w:p>
      <w:pPr>
        <w:pStyle w:val="BodyText"/>
        <w:spacing w:after="0" w:line="249" w:lineRule="auto"/>
        <w:sectPr>
          <w:pgSz w:w="12240" w:h="15840"/>
          <w:pgMar w:top="1380" w:bottom="280" w:left="1440" w:right="1440"/>
        </w:sectPr>
      </w:pPr>
    </w:p>
    <w:p>
      <w:pPr>
        <w:spacing w:before="83"/>
        <w:ind w:left="99" w:right="0" w:firstLine="0"/>
        <w:jc w:val="both"/>
        <w:rPr>
          <w:rFonts w:ascii="Arial"/>
          <w:b/>
          <w:i/>
          <w:sz w:val="22"/>
        </w:rPr>
      </w:pPr>
      <w:r>
        <w:rPr>
          <w:rFonts w:ascii="Arial"/>
          <w:b/>
          <w:i/>
          <w:color w:val="A0234E"/>
          <w:sz w:val="22"/>
        </w:rPr>
        <w:t>Illness</w:t>
      </w:r>
      <w:r>
        <w:rPr>
          <w:rFonts w:ascii="Arial"/>
          <w:b/>
          <w:i/>
          <w:color w:val="A0234E"/>
          <w:spacing w:val="11"/>
          <w:sz w:val="22"/>
        </w:rPr>
        <w:t> </w:t>
      </w:r>
      <w:r>
        <w:rPr>
          <w:rFonts w:ascii="Arial"/>
          <w:b/>
          <w:i/>
          <w:color w:val="A0234E"/>
          <w:sz w:val="22"/>
        </w:rPr>
        <w:t>and</w:t>
      </w:r>
      <w:r>
        <w:rPr>
          <w:rFonts w:ascii="Arial"/>
          <w:b/>
          <w:i/>
          <w:color w:val="A0234E"/>
          <w:spacing w:val="12"/>
          <w:sz w:val="22"/>
        </w:rPr>
        <w:t> </w:t>
      </w:r>
      <w:r>
        <w:rPr>
          <w:rFonts w:ascii="Arial"/>
          <w:b/>
          <w:i/>
          <w:color w:val="A0234E"/>
          <w:spacing w:val="-5"/>
          <w:sz w:val="22"/>
        </w:rPr>
        <w:t>Sex</w:t>
      </w:r>
    </w:p>
    <w:p>
      <w:pPr>
        <w:pStyle w:val="BodyText"/>
        <w:spacing w:line="249" w:lineRule="auto" w:before="139"/>
        <w:ind w:right="102"/>
      </w:pPr>
      <w:r>
        <w:rPr/>
        <w:t>It is not uncommon to encounter medical or surgical underpinnings </w:t>
      </w:r>
      <w:r>
        <w:rPr/>
        <w:t>to disorders of sexuality. Surgical menopause (removal of both ovaries in premenopausal</w:t>
      </w:r>
      <w:r>
        <w:rPr>
          <w:spacing w:val="-1"/>
        </w:rPr>
        <w:t> </w:t>
      </w:r>
      <w:r>
        <w:rPr/>
        <w:t>women)</w:t>
      </w:r>
      <w:r>
        <w:rPr>
          <w:spacing w:val="-1"/>
        </w:rPr>
        <w:t> </w:t>
      </w:r>
      <w:r>
        <w:rPr/>
        <w:t>is</w:t>
      </w:r>
      <w:r>
        <w:rPr>
          <w:spacing w:val="-1"/>
        </w:rPr>
        <w:t> </w:t>
      </w:r>
      <w:r>
        <w:rPr/>
        <w:t>probably</w:t>
      </w:r>
      <w:r>
        <w:rPr>
          <w:spacing w:val="-1"/>
        </w:rPr>
        <w:t> </w:t>
      </w:r>
      <w:r>
        <w:rPr/>
        <w:t>one</w:t>
      </w:r>
      <w:r>
        <w:rPr>
          <w:spacing w:val="-1"/>
        </w:rPr>
        <w:t> </w:t>
      </w:r>
      <w:r>
        <w:rPr/>
        <w:t>of</w:t>
      </w:r>
      <w:r>
        <w:rPr>
          <w:spacing w:val="-1"/>
        </w:rPr>
        <w:t> </w:t>
      </w:r>
      <w:r>
        <w:rPr/>
        <w:t>the</w:t>
      </w:r>
      <w:r>
        <w:rPr>
          <w:spacing w:val="-1"/>
        </w:rPr>
        <w:t> </w:t>
      </w:r>
      <w:r>
        <w:rPr/>
        <w:t>most</w:t>
      </w:r>
      <w:r>
        <w:rPr>
          <w:spacing w:val="-1"/>
        </w:rPr>
        <w:t> </w:t>
      </w:r>
      <w:r>
        <w:rPr/>
        <w:t>commonly</w:t>
      </w:r>
      <w:r>
        <w:rPr>
          <w:spacing w:val="-1"/>
        </w:rPr>
        <w:t> </w:t>
      </w:r>
      <w:r>
        <w:rPr/>
        <w:t>encountered iatrogenic contributors to altered sexual function. Remember that vaginal lubrication is an important physiologic sexual response, and therefore, vaginal dryness is a likely consequence following total hysterectomy even</w:t>
      </w:r>
      <w:r>
        <w:rPr>
          <w:spacing w:val="40"/>
        </w:rPr>
        <w:t> </w:t>
      </w:r>
      <w:r>
        <w:rPr/>
        <w:t>if the premenopausal ovaries are retained. Sexual problems are not limited, however, to surgical procedures and illnesses of the genitalia. Altered self-image such as following vulvectomy or mastectomy can also impact sexual function.</w:t>
      </w:r>
      <w:r>
        <w:rPr>
          <w:spacing w:val="-6"/>
        </w:rPr>
        <w:t> </w:t>
      </w:r>
      <w:r>
        <w:rPr/>
        <w:t>However, studies have not found postmenopausal hysterectomy to have a detrimental impact on sexuality.</w:t>
      </w:r>
      <w:r>
        <w:rPr>
          <w:vertAlign w:val="superscript"/>
        </w:rPr>
        <w:t>140,145</w:t>
      </w:r>
    </w:p>
    <w:p>
      <w:pPr>
        <w:pStyle w:val="BodyText"/>
        <w:spacing w:line="249" w:lineRule="auto" w:before="13"/>
        <w:ind w:right="101" w:firstLine="450"/>
      </w:pPr>
      <w:r>
        <w:rPr/>
        <w:t>Sexual counseling, to be effective, must be provided to couples </w:t>
      </w:r>
      <w:r>
        <w:rPr/>
        <w:t>both before and after surgery. It is not unexpected that the surgeon may not be fully capable of providing this counseling. A major contribution from an older woman’s primary clinician is to arrange for competent and experienced sexual counseling. Unfortunately, most physicians operate on the principle that if no questions are raised, there is no problem. The expert surgeon should be grateful for the help of experts in psychosexual therapy. Seek</w:t>
      </w:r>
      <w:r>
        <w:rPr>
          <w:spacing w:val="-6"/>
        </w:rPr>
        <w:t> </w:t>
      </w:r>
      <w:r>
        <w:rPr/>
        <w:t>out</w:t>
      </w:r>
      <w:r>
        <w:rPr>
          <w:spacing w:val="-6"/>
        </w:rPr>
        <w:t> </w:t>
      </w:r>
      <w:r>
        <w:rPr/>
        <w:t>the</w:t>
      </w:r>
      <w:r>
        <w:rPr>
          <w:spacing w:val="-6"/>
        </w:rPr>
        <w:t> </w:t>
      </w:r>
      <w:r>
        <w:rPr/>
        <w:t>potential</w:t>
      </w:r>
      <w:r>
        <w:rPr>
          <w:spacing w:val="-6"/>
        </w:rPr>
        <w:t> </w:t>
      </w:r>
      <w:r>
        <w:rPr/>
        <w:t>for</w:t>
      </w:r>
      <w:r>
        <w:rPr>
          <w:spacing w:val="-6"/>
        </w:rPr>
        <w:t> </w:t>
      </w:r>
      <w:r>
        <w:rPr/>
        <w:t>posttreatment</w:t>
      </w:r>
      <w:r>
        <w:rPr>
          <w:spacing w:val="-6"/>
        </w:rPr>
        <w:t> </w:t>
      </w:r>
      <w:r>
        <w:rPr/>
        <w:t>sexual</w:t>
      </w:r>
      <w:r>
        <w:rPr>
          <w:spacing w:val="-6"/>
        </w:rPr>
        <w:t> </w:t>
      </w:r>
      <w:r>
        <w:rPr/>
        <w:t>morbidity</w:t>
      </w:r>
      <w:r>
        <w:rPr>
          <w:spacing w:val="-6"/>
        </w:rPr>
        <w:t> </w:t>
      </w:r>
      <w:r>
        <w:rPr/>
        <w:t>before</w:t>
      </w:r>
      <w:r>
        <w:rPr>
          <w:spacing w:val="-6"/>
        </w:rPr>
        <w:t> </w:t>
      </w:r>
      <w:r>
        <w:rPr/>
        <w:t>the</w:t>
      </w:r>
      <w:r>
        <w:rPr>
          <w:spacing w:val="-6"/>
        </w:rPr>
        <w:t> </w:t>
      </w:r>
      <w:r>
        <w:rPr/>
        <w:t>surgery. Assess the patient’s abilities for coping and her sense of body image. Consider the quality of the patient’s relationship, and be sensitive to the absence of a relationship. This entire effort may take some time. The</w:t>
      </w:r>
      <w:r>
        <w:rPr>
          <w:spacing w:val="40"/>
        </w:rPr>
        <w:t> </w:t>
      </w:r>
      <w:r>
        <w:rPr/>
        <w:t>normal state of presurgical anxiety, fear, and denial hampers good </w:t>
      </w:r>
      <w:r>
        <w:rPr>
          <w:spacing w:val="-2"/>
        </w:rPr>
        <w:t>communication.</w:t>
      </w:r>
    </w:p>
    <w:p>
      <w:pPr>
        <w:pStyle w:val="BodyText"/>
        <w:spacing w:line="249" w:lineRule="auto" w:before="16"/>
        <w:ind w:right="105" w:firstLine="450"/>
      </w:pPr>
      <w:r>
        <w:rPr/>
        <w:t>Increasing use of SSRI antidepressants is another iatrogenic </w:t>
      </w:r>
      <w:r>
        <w:rPr/>
        <w:t>contributor to female sexual dysfunction that merits attention.</w:t>
      </w:r>
      <w:r>
        <w:rPr>
          <w:vertAlign w:val="superscript"/>
        </w:rPr>
        <w:t>146</w:t>
      </w:r>
    </w:p>
    <w:p>
      <w:pPr>
        <w:pStyle w:val="BodyText"/>
        <w:spacing w:line="249" w:lineRule="auto" w:before="3"/>
        <w:ind w:right="100" w:firstLine="450"/>
      </w:pPr>
      <w:r>
        <w:rPr/>
        <w:t>Antihypertensive agents are frequently responsible for male sexual dysfunction, but little information is available regarding female sexual function. Adrenergic blocking agents are especially noted to affect </w:t>
      </w:r>
      <w:r>
        <w:rPr/>
        <w:t>libido and potency in men. Similarly, psychotropic drugs of all categories have been associated with inhibition of sexual function. Finally, one should always suspect alcoholism when patients complain of sexual dysfunction. Androgen treatment for decreased female sexuality is discussed later in this </w:t>
      </w:r>
      <w:r>
        <w:rPr>
          <w:spacing w:val="-2"/>
        </w:rPr>
        <w:t>chapter.</w:t>
      </w:r>
    </w:p>
    <w:p>
      <w:pPr>
        <w:pStyle w:val="BodyText"/>
        <w:spacing w:after="0" w:line="249" w:lineRule="auto"/>
        <w:sectPr>
          <w:pgSz w:w="12240" w:h="15840"/>
          <w:pgMar w:top="1360" w:bottom="280" w:left="1440" w:right="1440"/>
        </w:sectPr>
      </w:pPr>
    </w:p>
    <w:p>
      <w:pPr>
        <w:pStyle w:val="BodyText"/>
        <w:spacing w:line="249" w:lineRule="auto"/>
        <w:ind w:right="97" w:firstLine="450"/>
        <w:rPr>
          <w:sz w:val="17"/>
        </w:rPr>
      </w:pPr>
      <w:r>
        <w:rPr/>
        <w:t>The two most important influences on sexual satisfaction in aging couples are the strength of relationship and the physical condition of each partner.</w:t>
      </w:r>
      <w:r>
        <w:rPr>
          <w:vertAlign w:val="superscript"/>
        </w:rPr>
        <w:t>140,141,147</w:t>
      </w:r>
      <w:r>
        <w:rPr>
          <w:vertAlign w:val="baseline"/>
        </w:rPr>
        <w:t> The single most significant determinant of sexual </w:t>
      </w:r>
      <w:r>
        <w:rPr>
          <w:vertAlign w:val="baseline"/>
        </w:rPr>
        <w:t>activity for older women is the lack of availability of partners due to divorce or demise as women are outliving men. Given availability of a partner, the same general high or low rate of sexual activity can be maintained throughout life.</w:t>
      </w:r>
      <w:r>
        <w:rPr>
          <w:vertAlign w:val="superscript"/>
        </w:rPr>
        <w:t>4,148</w:t>
      </w:r>
      <w:r>
        <w:rPr>
          <w:vertAlign w:val="baseline"/>
        </w:rPr>
        <w:t> Longitudinal studies indicate that the level of sexual activity</w:t>
      </w:r>
      <w:r>
        <w:rPr>
          <w:spacing w:val="-7"/>
          <w:vertAlign w:val="baseline"/>
        </w:rPr>
        <w:t> </w:t>
      </w:r>
      <w:r>
        <w:rPr>
          <w:vertAlign w:val="baseline"/>
        </w:rPr>
        <w:t>is</w:t>
      </w:r>
      <w:r>
        <w:rPr>
          <w:spacing w:val="-7"/>
          <w:vertAlign w:val="baseline"/>
        </w:rPr>
        <w:t> </w:t>
      </w:r>
      <w:r>
        <w:rPr>
          <w:vertAlign w:val="baseline"/>
        </w:rPr>
        <w:t>more</w:t>
      </w:r>
      <w:r>
        <w:rPr>
          <w:spacing w:val="-7"/>
          <w:vertAlign w:val="baseline"/>
        </w:rPr>
        <w:t> </w:t>
      </w:r>
      <w:r>
        <w:rPr>
          <w:vertAlign w:val="baseline"/>
        </w:rPr>
        <w:t>stable</w:t>
      </w:r>
      <w:r>
        <w:rPr>
          <w:spacing w:val="-7"/>
          <w:vertAlign w:val="baseline"/>
        </w:rPr>
        <w:t> </w:t>
      </w:r>
      <w:r>
        <w:rPr>
          <w:vertAlign w:val="baseline"/>
        </w:rPr>
        <w:t>over</w:t>
      </w:r>
      <w:r>
        <w:rPr>
          <w:spacing w:val="-7"/>
          <w:vertAlign w:val="baseline"/>
        </w:rPr>
        <w:t> </w:t>
      </w:r>
      <w:r>
        <w:rPr>
          <w:vertAlign w:val="baseline"/>
        </w:rPr>
        <w:t>time</w:t>
      </w:r>
      <w:r>
        <w:rPr>
          <w:spacing w:val="-7"/>
          <w:vertAlign w:val="baseline"/>
        </w:rPr>
        <w:t> </w:t>
      </w:r>
      <w:r>
        <w:rPr>
          <w:vertAlign w:val="baseline"/>
        </w:rPr>
        <w:t>than</w:t>
      </w:r>
      <w:r>
        <w:rPr>
          <w:spacing w:val="-7"/>
          <w:vertAlign w:val="baseline"/>
        </w:rPr>
        <w:t> </w:t>
      </w:r>
      <w:r>
        <w:rPr>
          <w:vertAlign w:val="baseline"/>
        </w:rPr>
        <w:t>previously</w:t>
      </w:r>
      <w:r>
        <w:rPr>
          <w:spacing w:val="-7"/>
          <w:vertAlign w:val="baseline"/>
        </w:rPr>
        <w:t> </w:t>
      </w:r>
      <w:r>
        <w:rPr>
          <w:vertAlign w:val="baseline"/>
        </w:rPr>
        <w:t>suggested.</w:t>
      </w:r>
      <w:r>
        <w:rPr>
          <w:vertAlign w:val="superscript"/>
        </w:rPr>
        <w:t>149-151</w:t>
      </w:r>
      <w:r>
        <w:rPr>
          <w:spacing w:val="-8"/>
          <w:vertAlign w:val="baseline"/>
        </w:rPr>
        <w:t> </w:t>
      </w:r>
      <w:r>
        <w:rPr>
          <w:vertAlign w:val="baseline"/>
        </w:rPr>
        <w:t>Individuals who are sexually active earlier in life continue to be sexually active into old age.</w:t>
      </w:r>
      <w:r>
        <w:rPr>
          <w:spacing w:val="-4"/>
          <w:vertAlign w:val="baseline"/>
        </w:rPr>
        <w:t> </w:t>
      </w:r>
      <w:r>
        <w:rPr>
          <w:vertAlign w:val="baseline"/>
        </w:rPr>
        <w:t>However, aging is associated with a decline in sexual function in many women, and this decline has been documented in the years well before the </w:t>
      </w:r>
      <w:r>
        <w:rPr>
          <w:spacing w:val="-2"/>
          <w:position w:val="-10"/>
          <w:vertAlign w:val="baseline"/>
        </w:rPr>
        <w:t>FMP.</w:t>
      </w:r>
      <w:r>
        <w:rPr>
          <w:spacing w:val="-2"/>
          <w:sz w:val="17"/>
          <w:vertAlign w:val="baseline"/>
        </w:rPr>
        <w:t>152,153</w:t>
      </w:r>
    </w:p>
    <w:p>
      <w:pPr>
        <w:pStyle w:val="BodyText"/>
        <w:spacing w:before="58"/>
        <w:ind w:left="0"/>
        <w:jc w:val="left"/>
      </w:pPr>
    </w:p>
    <w:p>
      <w:pPr>
        <w:spacing w:before="0"/>
        <w:ind w:left="99" w:right="0" w:firstLine="0"/>
        <w:jc w:val="both"/>
        <w:rPr>
          <w:rFonts w:ascii="Arial"/>
          <w:b/>
          <w:sz w:val="30"/>
        </w:rPr>
      </w:pPr>
      <w:r>
        <w:rPr>
          <w:rFonts w:ascii="Arial"/>
          <w:b/>
          <w:color w:val="2674AE"/>
          <w:sz w:val="30"/>
        </w:rPr>
        <w:t>Mental Health, Perimenopause, and </w:t>
      </w:r>
      <w:r>
        <w:rPr>
          <w:rFonts w:ascii="Arial"/>
          <w:b/>
          <w:color w:val="2674AE"/>
          <w:spacing w:val="-2"/>
          <w:sz w:val="30"/>
        </w:rPr>
        <w:t>Menopause</w:t>
      </w:r>
    </w:p>
    <w:p>
      <w:pPr>
        <w:pStyle w:val="BodyText"/>
        <w:spacing w:line="249" w:lineRule="auto" w:before="166"/>
        <w:ind w:right="98"/>
      </w:pPr>
      <w:r>
        <w:rPr/>
        <w:t>The view that menopause has a deleterious effect on mental health or induces psychiatric disorders (involutional melancholia) is not supported in the psychiatric literature or in surveys of the general population, and this belief has been abandoned.</w:t>
      </w:r>
      <w:r>
        <w:rPr>
          <w:vertAlign w:val="superscript"/>
        </w:rPr>
        <w:t>217,218,279,280</w:t>
      </w:r>
      <w:r>
        <w:rPr>
          <w:vertAlign w:val="baseline"/>
        </w:rPr>
        <w:t> Indeed, depression is less </w:t>
      </w:r>
      <w:r>
        <w:rPr>
          <w:vertAlign w:val="baseline"/>
        </w:rPr>
        <w:t>common among middle-aged women, and the menopause cannot be linked as causative to psychological distress.</w:t>
      </w:r>
      <w:r>
        <w:rPr>
          <w:vertAlign w:val="superscript"/>
        </w:rPr>
        <w:t>2-8,281,282</w:t>
      </w:r>
      <w:r>
        <w:rPr>
          <w:vertAlign w:val="baseline"/>
        </w:rPr>
        <w:t> The longitudinal study of premenopausal women indicates that hysterectomy with or without oophorectomy is not associated with a negative psychological impact among</w:t>
      </w:r>
      <w:r>
        <w:rPr>
          <w:spacing w:val="-5"/>
          <w:vertAlign w:val="baseline"/>
        </w:rPr>
        <w:t> </w:t>
      </w:r>
      <w:r>
        <w:rPr>
          <w:vertAlign w:val="baseline"/>
        </w:rPr>
        <w:t>middle-aged</w:t>
      </w:r>
      <w:r>
        <w:rPr>
          <w:spacing w:val="-5"/>
          <w:vertAlign w:val="baseline"/>
        </w:rPr>
        <w:t> </w:t>
      </w:r>
      <w:r>
        <w:rPr>
          <w:vertAlign w:val="baseline"/>
        </w:rPr>
        <w:t>women.</w:t>
      </w:r>
      <w:r>
        <w:rPr>
          <w:vertAlign w:val="superscript"/>
        </w:rPr>
        <w:t>283,284</w:t>
      </w:r>
      <w:r>
        <w:rPr>
          <w:spacing w:val="-4"/>
          <w:vertAlign w:val="baseline"/>
        </w:rPr>
        <w:t> </w:t>
      </w:r>
      <w:r>
        <w:rPr>
          <w:vertAlign w:val="baseline"/>
        </w:rPr>
        <w:t>Longitudinal</w:t>
      </w:r>
      <w:r>
        <w:rPr>
          <w:spacing w:val="-4"/>
          <w:vertAlign w:val="baseline"/>
        </w:rPr>
        <w:t> </w:t>
      </w:r>
      <w:r>
        <w:rPr>
          <w:vertAlign w:val="baseline"/>
        </w:rPr>
        <w:t>data</w:t>
      </w:r>
      <w:r>
        <w:rPr>
          <w:spacing w:val="-4"/>
          <w:vertAlign w:val="baseline"/>
        </w:rPr>
        <w:t> </w:t>
      </w:r>
      <w:r>
        <w:rPr>
          <w:vertAlign w:val="baseline"/>
        </w:rPr>
        <w:t>from</w:t>
      </w:r>
      <w:r>
        <w:rPr>
          <w:spacing w:val="-4"/>
          <w:vertAlign w:val="baseline"/>
        </w:rPr>
        <w:t> </w:t>
      </w:r>
      <w:r>
        <w:rPr>
          <w:vertAlign w:val="baseline"/>
        </w:rPr>
        <w:t>the</w:t>
      </w:r>
      <w:r>
        <w:rPr>
          <w:spacing w:val="-4"/>
          <w:vertAlign w:val="baseline"/>
        </w:rPr>
        <w:t> </w:t>
      </w:r>
      <w:r>
        <w:rPr>
          <w:vertAlign w:val="baseline"/>
        </w:rPr>
        <w:t>Massachusetts Women’s Health Study document that menopause is not associated with an increased risk of depression.</w:t>
      </w:r>
      <w:r>
        <w:rPr>
          <w:vertAlign w:val="superscript"/>
        </w:rPr>
        <w:t>282</w:t>
      </w:r>
      <w:r>
        <w:rPr>
          <w:vertAlign w:val="baseline"/>
        </w:rPr>
        <w:t> Although women are more likely to experience depression than men, this sex difference begins in early adolescence, not at menopause.</w:t>
      </w:r>
      <w:r>
        <w:rPr>
          <w:vertAlign w:val="superscript"/>
        </w:rPr>
        <w:t>285</w:t>
      </w:r>
    </w:p>
    <w:p>
      <w:pPr>
        <w:pStyle w:val="BodyText"/>
        <w:spacing w:line="249" w:lineRule="auto" w:before="16"/>
        <w:ind w:right="104" w:firstLine="450"/>
      </w:pPr>
      <w:r>
        <w:rPr/>
        <w:t>The U.S. National Health Examination Follow-up Study includes </w:t>
      </w:r>
      <w:r>
        <w:rPr/>
        <w:t>both longitudinal and cross-sectional assessments of a nationally representative sample of women. This study has found no evidence linking either natural or surgical menopause to psychological distress.</w:t>
      </w:r>
      <w:r>
        <w:rPr>
          <w:vertAlign w:val="superscript"/>
        </w:rPr>
        <w:t>284</w:t>
      </w:r>
      <w:r>
        <w:rPr>
          <w:vertAlign w:val="baseline"/>
        </w:rPr>
        <w:t> Indeed, the only longitudinal change was a slight decline in the prevalence of depression as women aged through the menopausal transition. Results in this study were the same in estrogen users and nonusers.</w:t>
      </w:r>
    </w:p>
    <w:p>
      <w:pPr>
        <w:pStyle w:val="BodyText"/>
        <w:spacing w:after="0" w:line="249" w:lineRule="auto"/>
        <w:sectPr>
          <w:pgSz w:w="12240" w:h="15840"/>
          <w:pgMar w:top="1380" w:bottom="280" w:left="1440" w:right="1440"/>
        </w:sectPr>
      </w:pPr>
    </w:p>
    <w:p>
      <w:pPr>
        <w:pStyle w:val="BodyText"/>
        <w:spacing w:line="249" w:lineRule="auto"/>
        <w:ind w:right="100" w:firstLine="450"/>
      </w:pPr>
      <w:r>
        <w:rPr>
          <w:b/>
        </w:rPr>
        <w:t>A negative view of mental health at the time of menopause is not justified; many of the problems reported at menopause are due to </w:t>
      </w:r>
      <w:r>
        <w:rPr>
          <w:b/>
        </w:rPr>
        <w:t>life events.</w:t>
      </w:r>
      <w:r>
        <w:rPr>
          <w:vertAlign w:val="superscript"/>
        </w:rPr>
        <w:t>10,11,286,287</w:t>
      </w:r>
      <w:r>
        <w:rPr>
          <w:vertAlign w:val="baseline"/>
        </w:rPr>
        <w:t> Thus, there are problems encountered in the perimenopausal</w:t>
      </w:r>
      <w:r>
        <w:rPr>
          <w:spacing w:val="-7"/>
          <w:vertAlign w:val="baseline"/>
        </w:rPr>
        <w:t> </w:t>
      </w:r>
      <w:r>
        <w:rPr>
          <w:vertAlign w:val="baseline"/>
        </w:rPr>
        <w:t>transition</w:t>
      </w:r>
      <w:r>
        <w:rPr>
          <w:spacing w:val="-7"/>
          <w:vertAlign w:val="baseline"/>
        </w:rPr>
        <w:t> </w:t>
      </w:r>
      <w:r>
        <w:rPr>
          <w:vertAlign w:val="baseline"/>
        </w:rPr>
        <w:t>and</w:t>
      </w:r>
      <w:r>
        <w:rPr>
          <w:spacing w:val="-7"/>
          <w:vertAlign w:val="baseline"/>
        </w:rPr>
        <w:t> </w:t>
      </w:r>
      <w:r>
        <w:rPr>
          <w:vertAlign w:val="baseline"/>
        </w:rPr>
        <w:t>early</w:t>
      </w:r>
      <w:r>
        <w:rPr>
          <w:spacing w:val="-7"/>
          <w:vertAlign w:val="baseline"/>
        </w:rPr>
        <w:t> </w:t>
      </w:r>
      <w:r>
        <w:rPr>
          <w:vertAlign w:val="baseline"/>
        </w:rPr>
        <w:t>postmenopause</w:t>
      </w:r>
      <w:r>
        <w:rPr>
          <w:spacing w:val="-7"/>
          <w:vertAlign w:val="baseline"/>
        </w:rPr>
        <w:t> </w:t>
      </w:r>
      <w:r>
        <w:rPr>
          <w:vertAlign w:val="baseline"/>
        </w:rPr>
        <w:t>that</w:t>
      </w:r>
      <w:r>
        <w:rPr>
          <w:spacing w:val="-7"/>
          <w:vertAlign w:val="baseline"/>
        </w:rPr>
        <w:t> </w:t>
      </w:r>
      <w:r>
        <w:rPr>
          <w:vertAlign w:val="baseline"/>
        </w:rPr>
        <w:t>are</w:t>
      </w:r>
      <w:r>
        <w:rPr>
          <w:spacing w:val="-7"/>
          <w:vertAlign w:val="baseline"/>
        </w:rPr>
        <w:t> </w:t>
      </w:r>
      <w:r>
        <w:rPr>
          <w:vertAlign w:val="baseline"/>
        </w:rPr>
        <w:t>seen</w:t>
      </w:r>
      <w:r>
        <w:rPr>
          <w:spacing w:val="-7"/>
          <w:vertAlign w:val="baseline"/>
        </w:rPr>
        <w:t> </w:t>
      </w:r>
      <w:r>
        <w:rPr>
          <w:vertAlign w:val="baseline"/>
        </w:rPr>
        <w:t>frequently, but their causal relation with estrogen is unlikely. These problems include fatigue, nervousness, headaches, insomnia, depression, irritability, and palpitations. Indeed, at this stage of life, both men and women express a multitude of complaints that do not reveal a gender difference that could be explained by a hormonal cause.</w:t>
      </w:r>
      <w:r>
        <w:rPr>
          <w:vertAlign w:val="superscript"/>
        </w:rPr>
        <w:t>288,289</w:t>
      </w:r>
      <w:r>
        <w:rPr>
          <w:vertAlign w:val="baseline"/>
        </w:rPr>
        <w:t> Nevertheless, midlife women report complaints more often than men,</w:t>
      </w:r>
      <w:r>
        <w:rPr>
          <w:vertAlign w:val="superscript"/>
        </w:rPr>
        <w:t>289</w:t>
      </w:r>
      <w:r>
        <w:rPr>
          <w:vertAlign w:val="baseline"/>
        </w:rPr>
        <w:t> perhaps reflecting the generally</w:t>
      </w:r>
      <w:r>
        <w:rPr>
          <w:spacing w:val="40"/>
          <w:vertAlign w:val="baseline"/>
        </w:rPr>
        <w:t> </w:t>
      </w:r>
      <w:r>
        <w:rPr>
          <w:vertAlign w:val="baseline"/>
        </w:rPr>
        <w:t>negative perceptions and connotations our cultures and societies have attributed to menopause.</w:t>
      </w:r>
    </w:p>
    <w:p>
      <w:pPr>
        <w:pStyle w:val="BodyText"/>
        <w:spacing w:line="249" w:lineRule="auto" w:before="14"/>
        <w:ind w:right="98" w:firstLine="450"/>
      </w:pPr>
      <w:r>
        <w:rPr/>
        <w:t>Sleep disturbances are a common complaint during the menopausal transition and in early postmenopausal years.</w:t>
      </w:r>
      <w:r>
        <w:rPr>
          <w:vertAlign w:val="superscript"/>
        </w:rPr>
        <w:t>290</w:t>
      </w:r>
      <w:r>
        <w:rPr>
          <w:vertAlign w:val="baseline"/>
        </w:rPr>
        <w:t> Difficulties with </w:t>
      </w:r>
      <w:r>
        <w:rPr>
          <w:vertAlign w:val="baseline"/>
        </w:rPr>
        <w:t>falling asleep and with staying asleep, sleep interruptions, and early awakenings</w:t>
      </w:r>
      <w:r>
        <w:rPr>
          <w:spacing w:val="40"/>
          <w:vertAlign w:val="baseline"/>
        </w:rPr>
        <w:t> </w:t>
      </w:r>
      <w:r>
        <w:rPr>
          <w:vertAlign w:val="baseline"/>
        </w:rPr>
        <w:t>are all more often encountered during menopausal transition and postmenopause than during the reproductive stage of aging. Disordered sleep itself can negatively affect health outcomes, including risk of depression.</w:t>
      </w:r>
      <w:r>
        <w:rPr>
          <w:vertAlign w:val="superscript"/>
        </w:rPr>
        <w:t>290</w:t>
      </w:r>
      <w:r>
        <w:rPr>
          <w:spacing w:val="-2"/>
          <w:vertAlign w:val="baseline"/>
        </w:rPr>
        <w:t> </w:t>
      </w:r>
      <w:r>
        <w:rPr>
          <w:vertAlign w:val="baseline"/>
        </w:rPr>
        <w:t>While</w:t>
      </w:r>
      <w:r>
        <w:rPr>
          <w:spacing w:val="-1"/>
          <w:vertAlign w:val="baseline"/>
        </w:rPr>
        <w:t> </w:t>
      </w:r>
      <w:r>
        <w:rPr>
          <w:vertAlign w:val="baseline"/>
        </w:rPr>
        <w:t>hormonal</w:t>
      </w:r>
      <w:r>
        <w:rPr>
          <w:spacing w:val="-1"/>
          <w:vertAlign w:val="baseline"/>
        </w:rPr>
        <w:t> </w:t>
      </w:r>
      <w:r>
        <w:rPr>
          <w:vertAlign w:val="baseline"/>
        </w:rPr>
        <w:t>changes</w:t>
      </w:r>
      <w:r>
        <w:rPr>
          <w:spacing w:val="-1"/>
          <w:vertAlign w:val="baseline"/>
        </w:rPr>
        <w:t> </w:t>
      </w:r>
      <w:r>
        <w:rPr>
          <w:vertAlign w:val="baseline"/>
        </w:rPr>
        <w:t>can</w:t>
      </w:r>
      <w:r>
        <w:rPr>
          <w:spacing w:val="-1"/>
          <w:vertAlign w:val="baseline"/>
        </w:rPr>
        <w:t> </w:t>
      </w:r>
      <w:r>
        <w:rPr>
          <w:vertAlign w:val="baseline"/>
        </w:rPr>
        <w:t>affect</w:t>
      </w:r>
      <w:r>
        <w:rPr>
          <w:spacing w:val="-1"/>
          <w:vertAlign w:val="baseline"/>
        </w:rPr>
        <w:t> </w:t>
      </w:r>
      <w:r>
        <w:rPr>
          <w:vertAlign w:val="baseline"/>
        </w:rPr>
        <w:t>sleep,</w:t>
      </w:r>
      <w:r>
        <w:rPr>
          <w:spacing w:val="-1"/>
          <w:vertAlign w:val="baseline"/>
        </w:rPr>
        <w:t> </w:t>
      </w:r>
      <w:r>
        <w:rPr>
          <w:vertAlign w:val="baseline"/>
        </w:rPr>
        <w:t>it</w:t>
      </w:r>
      <w:r>
        <w:rPr>
          <w:spacing w:val="-1"/>
          <w:vertAlign w:val="baseline"/>
        </w:rPr>
        <w:t> </w:t>
      </w:r>
      <w:r>
        <w:rPr>
          <w:vertAlign w:val="baseline"/>
        </w:rPr>
        <w:t>has</w:t>
      </w:r>
      <w:r>
        <w:rPr>
          <w:spacing w:val="-1"/>
          <w:vertAlign w:val="baseline"/>
        </w:rPr>
        <w:t> </w:t>
      </w:r>
      <w:r>
        <w:rPr>
          <w:vertAlign w:val="baseline"/>
        </w:rPr>
        <w:t>been</w:t>
      </w:r>
      <w:r>
        <w:rPr>
          <w:spacing w:val="-1"/>
          <w:vertAlign w:val="baseline"/>
        </w:rPr>
        <w:t> </w:t>
      </w:r>
      <w:r>
        <w:rPr>
          <w:vertAlign w:val="baseline"/>
        </w:rPr>
        <w:t>difficult to establish the extent to which hormonal changes contribute to poor sleep. Several epidemiologic studies have demonstrated that men and women, on entering midlife, experience poor sleep quality.</w:t>
      </w:r>
      <w:r>
        <w:rPr>
          <w:vertAlign w:val="superscript"/>
        </w:rPr>
        <w:t>291</w:t>
      </w:r>
      <w:r>
        <w:rPr>
          <w:vertAlign w:val="baseline"/>
        </w:rPr>
        <w:t> Increased nighttime awakening and an overall loss of total sleep time are common in women in the menopausal transition and postmenopause.</w:t>
      </w:r>
      <w:r>
        <w:rPr>
          <w:vertAlign w:val="superscript"/>
        </w:rPr>
        <w:t>291-294</w:t>
      </w:r>
      <w:r>
        <w:rPr>
          <w:vertAlign w:val="baseline"/>
        </w:rPr>
        <w:t> Perhaps not surprisingly,</w:t>
      </w:r>
      <w:r>
        <w:rPr>
          <w:spacing w:val="-3"/>
          <w:vertAlign w:val="baseline"/>
        </w:rPr>
        <w:t> </w:t>
      </w:r>
      <w:r>
        <w:rPr>
          <w:vertAlign w:val="baseline"/>
        </w:rPr>
        <w:t>nocturnal</w:t>
      </w:r>
      <w:r>
        <w:rPr>
          <w:spacing w:val="-3"/>
          <w:vertAlign w:val="baseline"/>
        </w:rPr>
        <w:t> </w:t>
      </w:r>
      <w:r>
        <w:rPr>
          <w:vertAlign w:val="baseline"/>
        </w:rPr>
        <w:t>VMS</w:t>
      </w:r>
      <w:r>
        <w:rPr>
          <w:spacing w:val="-3"/>
          <w:vertAlign w:val="baseline"/>
        </w:rPr>
        <w:t> </w:t>
      </w:r>
      <w:r>
        <w:rPr>
          <w:vertAlign w:val="baseline"/>
        </w:rPr>
        <w:t>(hot</w:t>
      </w:r>
      <w:r>
        <w:rPr>
          <w:spacing w:val="-3"/>
          <w:vertAlign w:val="baseline"/>
        </w:rPr>
        <w:t> </w:t>
      </w:r>
      <w:r>
        <w:rPr>
          <w:vertAlign w:val="baseline"/>
        </w:rPr>
        <w:t>flushes</w:t>
      </w:r>
      <w:r>
        <w:rPr>
          <w:spacing w:val="-3"/>
          <w:vertAlign w:val="baseline"/>
        </w:rPr>
        <w:t> </w:t>
      </w:r>
      <w:r>
        <w:rPr>
          <w:vertAlign w:val="baseline"/>
        </w:rPr>
        <w:t>and</w:t>
      </w:r>
      <w:r>
        <w:rPr>
          <w:spacing w:val="-3"/>
          <w:vertAlign w:val="baseline"/>
        </w:rPr>
        <w:t> </w:t>
      </w:r>
      <w:r>
        <w:rPr>
          <w:vertAlign w:val="baseline"/>
        </w:rPr>
        <w:t>night</w:t>
      </w:r>
      <w:r>
        <w:rPr>
          <w:spacing w:val="-3"/>
          <w:vertAlign w:val="baseline"/>
        </w:rPr>
        <w:t> </w:t>
      </w:r>
      <w:r>
        <w:rPr>
          <w:vertAlign w:val="baseline"/>
        </w:rPr>
        <w:t>sweats)</w:t>
      </w:r>
      <w:r>
        <w:rPr>
          <w:spacing w:val="-3"/>
          <w:vertAlign w:val="baseline"/>
        </w:rPr>
        <w:t> </w:t>
      </w:r>
      <w:r>
        <w:rPr>
          <w:vertAlign w:val="baseline"/>
        </w:rPr>
        <w:t>likely</w:t>
      </w:r>
      <w:r>
        <w:rPr>
          <w:spacing w:val="-3"/>
          <w:vertAlign w:val="baseline"/>
        </w:rPr>
        <w:t> </w:t>
      </w:r>
      <w:r>
        <w:rPr>
          <w:vertAlign w:val="baseline"/>
        </w:rPr>
        <w:t>contribute to</w:t>
      </w:r>
      <w:r>
        <w:rPr>
          <w:spacing w:val="-7"/>
          <w:vertAlign w:val="baseline"/>
        </w:rPr>
        <w:t> </w:t>
      </w:r>
      <w:r>
        <w:rPr>
          <w:vertAlign w:val="baseline"/>
        </w:rPr>
        <w:t>sleep</w:t>
      </w:r>
      <w:r>
        <w:rPr>
          <w:spacing w:val="-7"/>
          <w:vertAlign w:val="baseline"/>
        </w:rPr>
        <w:t> </w:t>
      </w:r>
      <w:r>
        <w:rPr>
          <w:vertAlign w:val="baseline"/>
        </w:rPr>
        <w:t>disturbances.</w:t>
      </w:r>
      <w:r>
        <w:rPr>
          <w:vertAlign w:val="superscript"/>
        </w:rPr>
        <w:t>291</w:t>
      </w:r>
      <w:r>
        <w:rPr>
          <w:spacing w:val="-8"/>
          <w:vertAlign w:val="baseline"/>
        </w:rPr>
        <w:t> </w:t>
      </w:r>
      <w:r>
        <w:rPr>
          <w:vertAlign w:val="baseline"/>
        </w:rPr>
        <w:t>The</w:t>
      </w:r>
      <w:r>
        <w:rPr>
          <w:spacing w:val="-7"/>
          <w:vertAlign w:val="baseline"/>
        </w:rPr>
        <w:t> </w:t>
      </w:r>
      <w:r>
        <w:rPr>
          <w:vertAlign w:val="baseline"/>
        </w:rPr>
        <w:t>underlying</w:t>
      </w:r>
      <w:r>
        <w:rPr>
          <w:spacing w:val="-7"/>
          <w:vertAlign w:val="baseline"/>
        </w:rPr>
        <w:t> </w:t>
      </w:r>
      <w:r>
        <w:rPr>
          <w:vertAlign w:val="baseline"/>
        </w:rPr>
        <w:t>body</w:t>
      </w:r>
      <w:r>
        <w:rPr>
          <w:spacing w:val="-7"/>
          <w:vertAlign w:val="baseline"/>
        </w:rPr>
        <w:t> </w:t>
      </w:r>
      <w:r>
        <w:rPr>
          <w:vertAlign w:val="baseline"/>
        </w:rPr>
        <w:t>temperature</w:t>
      </w:r>
      <w:r>
        <w:rPr>
          <w:spacing w:val="-7"/>
          <w:vertAlign w:val="baseline"/>
        </w:rPr>
        <w:t> </w:t>
      </w:r>
      <w:r>
        <w:rPr>
          <w:vertAlign w:val="baseline"/>
        </w:rPr>
        <w:t>dysregulation</w:t>
      </w:r>
      <w:r>
        <w:rPr>
          <w:spacing w:val="-7"/>
          <w:vertAlign w:val="baseline"/>
        </w:rPr>
        <w:t> </w:t>
      </w:r>
      <w:r>
        <w:rPr>
          <w:vertAlign w:val="baseline"/>
        </w:rPr>
        <w:t>and stress activation during episodes of vasomotor phenomenon are detrimental to sleep.</w:t>
      </w:r>
      <w:r>
        <w:rPr>
          <w:vertAlign w:val="superscript"/>
        </w:rPr>
        <w:t>291</w:t>
      </w:r>
      <w:r>
        <w:rPr>
          <w:vertAlign w:val="baseline"/>
        </w:rPr>
        <w:t> Studies assessing correlation between VMS and sleep patterns on polysomnography, however, are conflicting, suggesting the existence of unidentified confounders.</w:t>
      </w:r>
      <w:r>
        <w:rPr>
          <w:vertAlign w:val="superscript"/>
        </w:rPr>
        <w:t>291</w:t>
      </w:r>
    </w:p>
    <w:p>
      <w:pPr>
        <w:pStyle w:val="BodyText"/>
        <w:spacing w:line="249" w:lineRule="auto" w:before="23"/>
        <w:ind w:right="100" w:firstLine="450"/>
      </w:pPr>
      <w:r>
        <w:rPr/>
        <w:t>The high prevalence of sleep issues during the menopausal </w:t>
      </w:r>
      <w:r>
        <w:rPr/>
        <w:t>transition and postmenopause has been suggested to contribute to depressive symptoms and to an overall decline in the quality of life.</w:t>
      </w:r>
      <w:r>
        <w:rPr>
          <w:vertAlign w:val="superscript"/>
        </w:rPr>
        <w:t>292-294</w:t>
      </w:r>
      <w:r>
        <w:rPr>
          <w:vertAlign w:val="baseline"/>
        </w:rPr>
        <w:t> Two longitudinal cohort studies assessed the new onset of depressive symptoms and disorders during the menopausal transition. The Penn Ovarian Aging Study</w:t>
      </w:r>
      <w:r>
        <w:rPr>
          <w:spacing w:val="23"/>
          <w:vertAlign w:val="baseline"/>
        </w:rPr>
        <w:t> </w:t>
      </w:r>
      <w:r>
        <w:rPr>
          <w:vertAlign w:val="baseline"/>
        </w:rPr>
        <w:t>followed</w:t>
      </w:r>
      <w:r>
        <w:rPr>
          <w:spacing w:val="23"/>
          <w:vertAlign w:val="baseline"/>
        </w:rPr>
        <w:t> </w:t>
      </w:r>
      <w:r>
        <w:rPr>
          <w:vertAlign w:val="baseline"/>
        </w:rPr>
        <w:t>for</w:t>
      </w:r>
      <w:r>
        <w:rPr>
          <w:spacing w:val="23"/>
          <w:vertAlign w:val="baseline"/>
        </w:rPr>
        <w:t> </w:t>
      </w:r>
      <w:r>
        <w:rPr>
          <w:vertAlign w:val="baseline"/>
        </w:rPr>
        <w:t>over</w:t>
      </w:r>
      <w:r>
        <w:rPr>
          <w:spacing w:val="23"/>
          <w:vertAlign w:val="baseline"/>
        </w:rPr>
        <w:t> </w:t>
      </w:r>
      <w:r>
        <w:rPr>
          <w:vertAlign w:val="baseline"/>
        </w:rPr>
        <w:t>8</w:t>
      </w:r>
      <w:r>
        <w:rPr>
          <w:spacing w:val="23"/>
          <w:vertAlign w:val="baseline"/>
        </w:rPr>
        <w:t> </w:t>
      </w:r>
      <w:r>
        <w:rPr>
          <w:vertAlign w:val="baseline"/>
        </w:rPr>
        <w:t>years</w:t>
      </w:r>
      <w:r>
        <w:rPr>
          <w:spacing w:val="23"/>
          <w:vertAlign w:val="baseline"/>
        </w:rPr>
        <w:t> </w:t>
      </w:r>
      <w:r>
        <w:rPr>
          <w:vertAlign w:val="baseline"/>
        </w:rPr>
        <w:t>436</w:t>
      </w:r>
      <w:r>
        <w:rPr>
          <w:spacing w:val="23"/>
          <w:vertAlign w:val="baseline"/>
        </w:rPr>
        <w:t> </w:t>
      </w:r>
      <w:r>
        <w:rPr>
          <w:vertAlign w:val="baseline"/>
        </w:rPr>
        <w:t>women</w:t>
      </w:r>
      <w:r>
        <w:rPr>
          <w:spacing w:val="23"/>
          <w:vertAlign w:val="baseline"/>
        </w:rPr>
        <w:t> </w:t>
      </w:r>
      <w:r>
        <w:rPr>
          <w:vertAlign w:val="baseline"/>
        </w:rPr>
        <w:t>with</w:t>
      </w:r>
      <w:r>
        <w:rPr>
          <w:spacing w:val="23"/>
          <w:vertAlign w:val="baseline"/>
        </w:rPr>
        <w:t> </w:t>
      </w:r>
      <w:r>
        <w:rPr>
          <w:vertAlign w:val="baseline"/>
        </w:rPr>
        <w:t>no</w:t>
      </w:r>
      <w:r>
        <w:rPr>
          <w:spacing w:val="23"/>
          <w:vertAlign w:val="baseline"/>
        </w:rPr>
        <w:t> </w:t>
      </w:r>
      <w:r>
        <w:rPr>
          <w:vertAlign w:val="baseline"/>
        </w:rPr>
        <w:t>history</w:t>
      </w:r>
      <w:r>
        <w:rPr>
          <w:spacing w:val="23"/>
          <w:vertAlign w:val="baseline"/>
        </w:rPr>
        <w:t> </w:t>
      </w:r>
      <w:r>
        <w:rPr>
          <w:vertAlign w:val="baseline"/>
        </w:rPr>
        <w:t>of</w:t>
      </w:r>
      <w:r>
        <w:rPr>
          <w:spacing w:val="23"/>
          <w:vertAlign w:val="baseline"/>
        </w:rPr>
        <w:t> </w:t>
      </w:r>
      <w:r>
        <w:rPr>
          <w:spacing w:val="-2"/>
          <w:vertAlign w:val="baseline"/>
        </w:rPr>
        <w:t>depression</w:t>
      </w:r>
    </w:p>
    <w:p>
      <w:pPr>
        <w:pStyle w:val="BodyText"/>
        <w:spacing w:after="0" w:line="249" w:lineRule="auto"/>
        <w:sectPr>
          <w:pgSz w:w="12240" w:h="15840"/>
          <w:pgMar w:top="1380" w:bottom="280" w:left="1440" w:right="1440"/>
        </w:sectPr>
      </w:pPr>
    </w:p>
    <w:p>
      <w:pPr>
        <w:pStyle w:val="BodyText"/>
        <w:spacing w:line="249" w:lineRule="auto"/>
        <w:ind w:right="98"/>
      </w:pPr>
      <w:r>
        <w:rPr/>
        <w:t>and correlated hormonal changes with the onset of depressed mood.</w:t>
      </w:r>
      <w:r>
        <w:rPr>
          <w:vertAlign w:val="superscript"/>
        </w:rPr>
        <w:t>295</w:t>
      </w:r>
      <w:r>
        <w:rPr>
          <w:vertAlign w:val="baseline"/>
        </w:rPr>
        <w:t> </w:t>
      </w:r>
      <w:r>
        <w:rPr>
          <w:vertAlign w:val="baseline"/>
        </w:rPr>
        <w:t>Fifty percent of the women developed an increase in measures of depression, and 26% met the criteria for a clinical diagnosis of depressive disorder. Using the women as their own controls, the depression group was 2.5 times more likely to develop clinical depression comparing status during the perimenopausal transition to the premenopausal state. These symptoms during the perimenopausal transition were associated with greater</w:t>
      </w:r>
      <w:r>
        <w:rPr>
          <w:spacing w:val="40"/>
          <w:vertAlign w:val="baseline"/>
        </w:rPr>
        <w:t> </w:t>
      </w:r>
      <w:r>
        <w:rPr>
          <w:vertAlign w:val="baseline"/>
        </w:rPr>
        <w:t>variability (but no average differences) in estradiol levels. These data suggest that fluctuations of estradiol can be an important destabilizing </w:t>
      </w:r>
      <w:r>
        <w:rPr>
          <w:spacing w:val="-2"/>
          <w:vertAlign w:val="baseline"/>
        </w:rPr>
        <w:t>factor.</w:t>
      </w:r>
    </w:p>
    <w:p>
      <w:pPr>
        <w:pStyle w:val="BodyText"/>
        <w:spacing w:line="249" w:lineRule="auto" w:before="12"/>
        <w:ind w:right="97" w:firstLine="450"/>
      </w:pPr>
      <w:r>
        <w:rPr/>
        <w:t>The Harvard Study of Moods and Cycles is a prospective cohort of women with and without histories of depression.</w:t>
      </w:r>
      <w:r>
        <w:rPr>
          <w:vertAlign w:val="superscript"/>
        </w:rPr>
        <w:t>296</w:t>
      </w:r>
      <w:r>
        <w:rPr>
          <w:vertAlign w:val="baseline"/>
        </w:rPr>
        <w:t> In the women </w:t>
      </w:r>
      <w:r>
        <w:rPr>
          <w:vertAlign w:val="baseline"/>
        </w:rPr>
        <w:t>who entered the menopausal transition, the risk of new depression was almost doubled compared with premenopausal women, from 9.5% to 16.6%, and this risk was linked to the presence of VMS. Importantly, a statistically significant increase in risk of new depressive symptoms was present only in women with a history of adverse life events (the events are not defined or specified in the report). Also of note, 83% of the women experienced no mood changes.</w:t>
      </w:r>
    </w:p>
    <w:p>
      <w:pPr>
        <w:pStyle w:val="BodyText"/>
        <w:spacing w:line="249" w:lineRule="auto" w:before="11"/>
        <w:ind w:right="101" w:firstLine="450"/>
      </w:pPr>
      <w:r>
        <w:rPr/>
        <w:t>The SWAN study reported similar results. A first episode of </w:t>
      </w:r>
      <w:r>
        <w:rPr/>
        <w:t>depression in perimenopausal women was linked to poor physical health, anxiety disorders, stressful life events, and hot flushing.</w:t>
      </w:r>
      <w:r>
        <w:rPr>
          <w:vertAlign w:val="superscript"/>
        </w:rPr>
        <w:t>297</w:t>
      </w:r>
    </w:p>
    <w:p>
      <w:pPr>
        <w:pStyle w:val="BodyText"/>
        <w:spacing w:line="249" w:lineRule="auto" w:before="4"/>
        <w:ind w:right="98" w:firstLine="450"/>
      </w:pPr>
      <w:r>
        <w:rPr/>
        <w:t>Additional studies have shed further light on the role of VMS, sleep disturbances, and depressive symptoms. In a pooled analysis of </w:t>
      </w:r>
      <w:r>
        <w:rPr/>
        <w:t>eight</w:t>
      </w:r>
      <w:r>
        <w:rPr>
          <w:spacing w:val="40"/>
        </w:rPr>
        <w:t> </w:t>
      </w:r>
      <w:r>
        <w:rPr/>
        <w:t>studies from the InterLACE consortium, it was found that sleep difficulties related to VMS explained to a large extent the relationship between VMS and depressed mood.</w:t>
      </w:r>
      <w:r>
        <w:rPr>
          <w:vertAlign w:val="superscript"/>
        </w:rPr>
        <w:t>293</w:t>
      </w:r>
      <w:r>
        <w:rPr>
          <w:vertAlign w:val="baseline"/>
        </w:rPr>
        <w:t> Interestingly, the OR of depressed mood associated with often/severe VMS was not significant when adjusted for baseline sleep disturbances at baseline.</w:t>
      </w:r>
      <w:r>
        <w:rPr>
          <w:vertAlign w:val="superscript"/>
        </w:rPr>
        <w:t>293</w:t>
      </w:r>
      <w:r>
        <w:rPr>
          <w:vertAlign w:val="baseline"/>
        </w:rPr>
        <w:t> However, having an often/severe depressed mood remained associated with subsequent risk of VMS.</w:t>
      </w:r>
      <w:r>
        <w:rPr>
          <w:vertAlign w:val="superscript"/>
        </w:rPr>
        <w:t>293</w:t>
      </w:r>
      <w:r>
        <w:rPr>
          <w:vertAlign w:val="baseline"/>
        </w:rPr>
        <w:t> Alternatively, using the SWAN cohort, a study by Kravitz et al noted that while sleep disturbances increased across the menopausal transition, they did not necessarily worsen over time.</w:t>
      </w:r>
      <w:r>
        <w:rPr>
          <w:vertAlign w:val="superscript"/>
        </w:rPr>
        <w:t>298</w:t>
      </w:r>
      <w:r>
        <w:rPr>
          <w:vertAlign w:val="baseline"/>
        </w:rPr>
        <w:t> It is important to note, however, that VMS were significantly associated with the number of sleep disturbances experienced throughout the menopausal transition.</w:t>
      </w:r>
      <w:r>
        <w:rPr>
          <w:vertAlign w:val="superscript"/>
        </w:rPr>
        <w:t>298</w:t>
      </w:r>
    </w:p>
    <w:p>
      <w:pPr>
        <w:pStyle w:val="BodyText"/>
        <w:spacing w:after="0" w:line="249" w:lineRule="auto"/>
        <w:sectPr>
          <w:pgSz w:w="12240" w:h="15840"/>
          <w:pgMar w:top="1380" w:bottom="280" w:left="1440" w:right="1440"/>
        </w:sectPr>
      </w:pPr>
    </w:p>
    <w:p>
      <w:pPr>
        <w:spacing w:line="249" w:lineRule="auto" w:before="65"/>
        <w:ind w:left="99" w:right="104" w:firstLine="450"/>
        <w:jc w:val="both"/>
        <w:rPr>
          <w:b/>
          <w:sz w:val="30"/>
        </w:rPr>
      </w:pPr>
      <w:r>
        <w:rPr>
          <w:sz w:val="30"/>
        </w:rPr>
        <w:t>This</w:t>
      </w:r>
      <w:r>
        <w:rPr>
          <w:spacing w:val="-5"/>
          <w:sz w:val="30"/>
        </w:rPr>
        <w:t> </w:t>
      </w:r>
      <w:r>
        <w:rPr>
          <w:sz w:val="30"/>
        </w:rPr>
        <w:t>area</w:t>
      </w:r>
      <w:r>
        <w:rPr>
          <w:spacing w:val="-5"/>
          <w:sz w:val="30"/>
        </w:rPr>
        <w:t> </w:t>
      </w:r>
      <w:r>
        <w:rPr>
          <w:sz w:val="30"/>
        </w:rPr>
        <w:t>of</w:t>
      </w:r>
      <w:r>
        <w:rPr>
          <w:spacing w:val="-5"/>
          <w:sz w:val="30"/>
        </w:rPr>
        <w:t> </w:t>
      </w:r>
      <w:r>
        <w:rPr>
          <w:sz w:val="30"/>
        </w:rPr>
        <w:t>concern</w:t>
      </w:r>
      <w:r>
        <w:rPr>
          <w:spacing w:val="-5"/>
          <w:sz w:val="30"/>
        </w:rPr>
        <w:t> </w:t>
      </w:r>
      <w:r>
        <w:rPr>
          <w:sz w:val="30"/>
        </w:rPr>
        <w:t>has</w:t>
      </w:r>
      <w:r>
        <w:rPr>
          <w:spacing w:val="-5"/>
          <w:sz w:val="30"/>
        </w:rPr>
        <w:t> </w:t>
      </w:r>
      <w:r>
        <w:rPr>
          <w:sz w:val="30"/>
        </w:rPr>
        <w:t>been</w:t>
      </w:r>
      <w:r>
        <w:rPr>
          <w:spacing w:val="-5"/>
          <w:sz w:val="30"/>
        </w:rPr>
        <w:t> </w:t>
      </w:r>
      <w:r>
        <w:rPr>
          <w:sz w:val="30"/>
        </w:rPr>
        <w:t>very</w:t>
      </w:r>
      <w:r>
        <w:rPr>
          <w:spacing w:val="-5"/>
          <w:sz w:val="30"/>
        </w:rPr>
        <w:t> </w:t>
      </w:r>
      <w:r>
        <w:rPr>
          <w:sz w:val="30"/>
        </w:rPr>
        <w:t>difficult</w:t>
      </w:r>
      <w:r>
        <w:rPr>
          <w:spacing w:val="-5"/>
          <w:sz w:val="30"/>
        </w:rPr>
        <w:t> </w:t>
      </w:r>
      <w:r>
        <w:rPr>
          <w:sz w:val="30"/>
        </w:rPr>
        <w:t>to</w:t>
      </w:r>
      <w:r>
        <w:rPr>
          <w:spacing w:val="-5"/>
          <w:sz w:val="30"/>
        </w:rPr>
        <w:t> </w:t>
      </w:r>
      <w:r>
        <w:rPr>
          <w:sz w:val="30"/>
        </w:rPr>
        <w:t>study.</w:t>
      </w:r>
      <w:r>
        <w:rPr>
          <w:spacing w:val="-5"/>
          <w:sz w:val="30"/>
        </w:rPr>
        <w:t> </w:t>
      </w:r>
      <w:r>
        <w:rPr>
          <w:sz w:val="30"/>
        </w:rPr>
        <w:t>Inconsistent</w:t>
      </w:r>
      <w:r>
        <w:rPr>
          <w:spacing w:val="-6"/>
          <w:sz w:val="30"/>
        </w:rPr>
        <w:t> </w:t>
      </w:r>
      <w:r>
        <w:rPr>
          <w:sz w:val="30"/>
        </w:rPr>
        <w:t>results can reflect variations in study designs, selection of subjects, methods used to measure mood, and the definition of menopausal status. </w:t>
      </w:r>
      <w:r>
        <w:rPr>
          <w:b/>
          <w:sz w:val="30"/>
        </w:rPr>
        <w:t>However, the best reports provide reliable evidence that there may be a vulnerable population of women who do experience depression during menopause, and thus, the most important question is how to identify these women.</w:t>
      </w:r>
    </w:p>
    <w:p>
      <w:pPr>
        <w:spacing w:line="249" w:lineRule="auto" w:before="7"/>
        <w:ind w:left="99" w:right="97" w:firstLine="450"/>
        <w:jc w:val="both"/>
        <w:rPr>
          <w:b/>
          <w:sz w:val="30"/>
        </w:rPr>
      </w:pPr>
      <w:r>
        <w:rPr>
          <w:sz w:val="30"/>
        </w:rPr>
        <w:t>Unfortunately, identifying this specific subset of women has </w:t>
      </w:r>
      <w:r>
        <w:rPr>
          <w:sz w:val="30"/>
        </w:rPr>
        <w:t>been difficult. Depressive mood changes are influenced by numerous factors, including body weight, smoking, PMS (discussed in Chapter 14), employment, and marital status. </w:t>
      </w:r>
      <w:r>
        <w:rPr>
          <w:b/>
          <w:sz w:val="30"/>
        </w:rPr>
        <w:t>PMS during reproductive years is a strong predictor of depressive symptoms arising in the menopausal </w:t>
      </w:r>
      <w:r>
        <w:rPr>
          <w:b/>
          <w:spacing w:val="-2"/>
          <w:sz w:val="30"/>
        </w:rPr>
        <w:t>transition.</w:t>
      </w:r>
    </w:p>
    <w:p>
      <w:pPr>
        <w:pStyle w:val="BodyText"/>
        <w:spacing w:line="249" w:lineRule="auto" w:before="7"/>
        <w:ind w:right="97" w:firstLine="450"/>
      </w:pPr>
      <w:r>
        <w:rPr/>
        <w:t>The most important questions are whether truly normal women experience an increase in depression during the menopausal transition </w:t>
      </w:r>
      <w:r>
        <w:rPr/>
        <w:t>and whether there are subtle or even clinically apparent psychological problems that identify a susceptible subgroup. In a cross-sectional analysis of the SWAN cohort, it was found that only 5% of women were affected with the “triad” of depressed mood, disturbed sleep, and sexual problems,</w:t>
      </w:r>
      <w:r>
        <w:rPr>
          <w:spacing w:val="40"/>
        </w:rPr>
        <w:t> </w:t>
      </w:r>
      <w:r>
        <w:rPr/>
        <w:t>suggesting that perhaps there is a susceptible group of women predisposed to psychological consequences in menopause.</w:t>
      </w:r>
      <w:r>
        <w:rPr>
          <w:vertAlign w:val="superscript"/>
        </w:rPr>
        <w:t>299</w:t>
      </w:r>
      <w:r>
        <w:rPr>
          <w:vertAlign w:val="baseline"/>
        </w:rPr>
        <w:t> Cohort studies support the argument that there is a vulnerable group of women who are at risk for experiencing new-onset depressive symptoms during the menopausal transition. Existing data are consistent with the idea that fluctuations in reproductive hormone levels appear to relate to mood symptoms during the period of menopause transition; however, it is impossible to know if this is</w:t>
      </w:r>
      <w:r>
        <w:rPr>
          <w:spacing w:val="40"/>
          <w:vertAlign w:val="baseline"/>
        </w:rPr>
        <w:t> </w:t>
      </w:r>
      <w:r>
        <w:rPr>
          <w:vertAlign w:val="baseline"/>
        </w:rPr>
        <w:t>a true cause-and-effect relationship. Until such a cause-and-effect relationship is elucidated, current efforts should focus on identifying and treating menopausal women suffering from sleep disturbances related to VMS. Therefore, focusing on a part of this “triad” by improving sleep quality through the reduction of VMS has been successful in improving the quality of life. In a pooled analysis of individual participant data from four randomized, control trials (RCTs) assessing the effect of various interventions for insomnia related to VMS, cognitive behavioral therapy (CBT) was most successful in reducing insomnia symptoms.</w:t>
      </w:r>
      <w:r>
        <w:rPr>
          <w:vertAlign w:val="superscript"/>
        </w:rPr>
        <w:t>294</w:t>
      </w:r>
      <w:r>
        <w:rPr>
          <w:vertAlign w:val="baseline"/>
        </w:rPr>
        <w:t> Exercise, venlafaxine, escitalopram, yoga, and estradiol were also effective but less</w:t>
      </w:r>
      <w:r>
        <w:rPr>
          <w:spacing w:val="40"/>
          <w:vertAlign w:val="baseline"/>
        </w:rPr>
        <w:t> </w:t>
      </w:r>
      <w:r>
        <w:rPr>
          <w:vertAlign w:val="baseline"/>
        </w:rPr>
        <w:t>so</w:t>
      </w:r>
      <w:r>
        <w:rPr>
          <w:spacing w:val="52"/>
          <w:vertAlign w:val="baseline"/>
        </w:rPr>
        <w:t> </w:t>
      </w:r>
      <w:r>
        <w:rPr>
          <w:vertAlign w:val="baseline"/>
        </w:rPr>
        <w:t>when</w:t>
      </w:r>
      <w:r>
        <w:rPr>
          <w:spacing w:val="52"/>
          <w:vertAlign w:val="baseline"/>
        </w:rPr>
        <w:t> </w:t>
      </w:r>
      <w:r>
        <w:rPr>
          <w:vertAlign w:val="baseline"/>
        </w:rPr>
        <w:t>compared</w:t>
      </w:r>
      <w:r>
        <w:rPr>
          <w:spacing w:val="52"/>
          <w:vertAlign w:val="baseline"/>
        </w:rPr>
        <w:t> </w:t>
      </w:r>
      <w:r>
        <w:rPr>
          <w:vertAlign w:val="baseline"/>
        </w:rPr>
        <w:t>to</w:t>
      </w:r>
      <w:r>
        <w:rPr>
          <w:spacing w:val="52"/>
          <w:vertAlign w:val="baseline"/>
        </w:rPr>
        <w:t> </w:t>
      </w:r>
      <w:r>
        <w:rPr>
          <w:vertAlign w:val="baseline"/>
        </w:rPr>
        <w:t>CBT.</w:t>
      </w:r>
      <w:r>
        <w:rPr>
          <w:vertAlign w:val="superscript"/>
        </w:rPr>
        <w:t>294</w:t>
      </w:r>
      <w:r>
        <w:rPr>
          <w:spacing w:val="53"/>
          <w:vertAlign w:val="baseline"/>
        </w:rPr>
        <w:t> </w:t>
      </w:r>
      <w:r>
        <w:rPr>
          <w:vertAlign w:val="baseline"/>
        </w:rPr>
        <w:t>One</w:t>
      </w:r>
      <w:r>
        <w:rPr>
          <w:spacing w:val="53"/>
          <w:vertAlign w:val="baseline"/>
        </w:rPr>
        <w:t> </w:t>
      </w:r>
      <w:r>
        <w:rPr>
          <w:vertAlign w:val="baseline"/>
        </w:rPr>
        <w:t>recent</w:t>
      </w:r>
      <w:r>
        <w:rPr>
          <w:spacing w:val="53"/>
          <w:vertAlign w:val="baseline"/>
        </w:rPr>
        <w:t> </w:t>
      </w:r>
      <w:r>
        <w:rPr>
          <w:vertAlign w:val="baseline"/>
        </w:rPr>
        <w:t>small</w:t>
      </w:r>
      <w:r>
        <w:rPr>
          <w:spacing w:val="53"/>
          <w:vertAlign w:val="baseline"/>
        </w:rPr>
        <w:t> </w:t>
      </w:r>
      <w:r>
        <w:rPr>
          <w:vertAlign w:val="baseline"/>
        </w:rPr>
        <w:t>RCT</w:t>
      </w:r>
      <w:r>
        <w:rPr>
          <w:spacing w:val="53"/>
          <w:vertAlign w:val="baseline"/>
        </w:rPr>
        <w:t> </w:t>
      </w:r>
      <w:r>
        <w:rPr>
          <w:vertAlign w:val="baseline"/>
        </w:rPr>
        <w:t>suggested</w:t>
      </w:r>
      <w:r>
        <w:rPr>
          <w:spacing w:val="53"/>
          <w:vertAlign w:val="baseline"/>
        </w:rPr>
        <w:t> </w:t>
      </w:r>
      <w:r>
        <w:rPr>
          <w:vertAlign w:val="baseline"/>
        </w:rPr>
        <w:t>that</w:t>
      </w:r>
      <w:r>
        <w:rPr>
          <w:spacing w:val="53"/>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ind w:right="100"/>
      </w:pPr>
      <w:r>
        <w:rPr/>
        <w:t>prophylactic use of hormone therapy in women around their FMP may help reduce depressive events. However, they did not assess for previous history of depression and noted a more pronounced effect when patients had </w:t>
      </w:r>
      <w:r>
        <w:rPr/>
        <w:t>more stressful life events in the year of treatment and when hormones were started closer to their FMP.</w:t>
      </w:r>
      <w:r>
        <w:rPr>
          <w:vertAlign w:val="superscript"/>
        </w:rPr>
        <w:t>300</w:t>
      </w:r>
    </w:p>
    <w:p>
      <w:pPr>
        <w:spacing w:line="249" w:lineRule="auto" w:before="6"/>
        <w:ind w:left="99" w:right="97" w:firstLine="450"/>
        <w:jc w:val="both"/>
        <w:rPr>
          <w:b/>
          <w:sz w:val="30"/>
        </w:rPr>
      </w:pPr>
      <w:r>
        <w:rPr>
          <w:b/>
          <w:sz w:val="30"/>
        </w:rPr>
        <w:t>In summary, most women (over 85%) experience the menopausal transition without mood difficulties. Some, however, are at greater risk of new-onset depressive symptoms, and this is probably enhanced by hormonal variations and VMS. This “vulnerable” population is likely derived from a group of premenopausal women with </w:t>
      </w:r>
      <w:r>
        <w:rPr>
          <w:b/>
          <w:sz w:val="30"/>
        </w:rPr>
        <w:t>underlying psychological underpinnings. Although it can be hypothesized that the perimenopausal hormone milieu makes an individual less able to deal with adverse events in life, concrete data to support this concept are </w:t>
      </w:r>
      <w:r>
        <w:rPr>
          <w:b/>
          <w:spacing w:val="-2"/>
          <w:sz w:val="30"/>
        </w:rPr>
        <w:t>lacking.</w:t>
      </w:r>
    </w:p>
    <w:p>
      <w:pPr>
        <w:pStyle w:val="BodyText"/>
        <w:spacing w:line="249" w:lineRule="auto" w:before="11"/>
        <w:ind w:right="98" w:firstLine="450"/>
      </w:pPr>
      <w:r>
        <w:rPr/>
        <w:t>Attempts to study the effects of estrogen on these problems have been hampered by the subjectivity of the complaints (high placebo responses)</w:t>
      </w:r>
      <w:r>
        <w:rPr>
          <w:spacing w:val="40"/>
        </w:rPr>
        <w:t> </w:t>
      </w:r>
      <w:r>
        <w:rPr/>
        <w:t>and the “domino effect” of what a reduction of hot flushes does toward improvement in sleep quality and this correlation to depression. Using a double-blind crossover prospective study format, Campbell and Whitehead concluded that many symptomatic “improvements” ascribed to estrogen therapy</w:t>
      </w:r>
      <w:r>
        <w:rPr>
          <w:spacing w:val="-4"/>
        </w:rPr>
        <w:t> </w:t>
      </w:r>
      <w:r>
        <w:rPr/>
        <w:t>result</w:t>
      </w:r>
      <w:r>
        <w:rPr>
          <w:spacing w:val="-4"/>
        </w:rPr>
        <w:t> </w:t>
      </w:r>
      <w:r>
        <w:rPr/>
        <w:t>from</w:t>
      </w:r>
      <w:r>
        <w:rPr>
          <w:spacing w:val="-4"/>
        </w:rPr>
        <w:t> </w:t>
      </w:r>
      <w:r>
        <w:rPr/>
        <w:t>relief</w:t>
      </w:r>
      <w:r>
        <w:rPr>
          <w:spacing w:val="-4"/>
        </w:rPr>
        <w:t> </w:t>
      </w:r>
      <w:r>
        <w:rPr/>
        <w:t>of</w:t>
      </w:r>
      <w:r>
        <w:rPr>
          <w:spacing w:val="-4"/>
        </w:rPr>
        <w:t> </w:t>
      </w:r>
      <w:r>
        <w:rPr/>
        <w:t>hot</w:t>
      </w:r>
      <w:r>
        <w:rPr>
          <w:spacing w:val="-4"/>
        </w:rPr>
        <w:t> </w:t>
      </w:r>
      <w:r>
        <w:rPr/>
        <w:t>flushes—a</w:t>
      </w:r>
      <w:r>
        <w:rPr>
          <w:spacing w:val="-4"/>
        </w:rPr>
        <w:t> </w:t>
      </w:r>
      <w:r>
        <w:rPr/>
        <w:t>“domino”</w:t>
      </w:r>
      <w:r>
        <w:rPr>
          <w:spacing w:val="-4"/>
        </w:rPr>
        <w:t> </w:t>
      </w:r>
      <w:r>
        <w:rPr/>
        <w:t>effect,</w:t>
      </w:r>
      <w:r>
        <w:rPr>
          <w:spacing w:val="-4"/>
        </w:rPr>
        <w:t> </w:t>
      </w:r>
      <w:r>
        <w:rPr/>
        <w:t>which</w:t>
      </w:r>
      <w:r>
        <w:rPr>
          <w:spacing w:val="-4"/>
        </w:rPr>
        <w:t> </w:t>
      </w:r>
      <w:r>
        <w:rPr/>
        <w:t>has</w:t>
      </w:r>
      <w:r>
        <w:rPr>
          <w:spacing w:val="-4"/>
        </w:rPr>
        <w:t> </w:t>
      </w:r>
      <w:r>
        <w:rPr/>
        <w:t>been corroborated by several other studies.</w:t>
      </w:r>
      <w:r>
        <w:rPr>
          <w:vertAlign w:val="superscript"/>
        </w:rPr>
        <w:t>152,301,302</w:t>
      </w:r>
      <w:r>
        <w:rPr>
          <w:vertAlign w:val="baseline"/>
        </w:rPr>
        <w:t> In fact, many studies have demonstrated</w:t>
      </w:r>
      <w:r>
        <w:rPr>
          <w:spacing w:val="-2"/>
          <w:vertAlign w:val="baseline"/>
        </w:rPr>
        <w:t> </w:t>
      </w:r>
      <w:r>
        <w:rPr>
          <w:vertAlign w:val="baseline"/>
        </w:rPr>
        <w:t>the</w:t>
      </w:r>
      <w:r>
        <w:rPr>
          <w:spacing w:val="-2"/>
          <w:vertAlign w:val="baseline"/>
        </w:rPr>
        <w:t> </w:t>
      </w:r>
      <w:r>
        <w:rPr>
          <w:vertAlign w:val="baseline"/>
        </w:rPr>
        <w:t>positive</w:t>
      </w:r>
      <w:r>
        <w:rPr>
          <w:spacing w:val="-2"/>
          <w:vertAlign w:val="baseline"/>
        </w:rPr>
        <w:t> </w:t>
      </w:r>
      <w:r>
        <w:rPr>
          <w:vertAlign w:val="baseline"/>
        </w:rPr>
        <w:t>impacts</w:t>
      </w:r>
      <w:r>
        <w:rPr>
          <w:spacing w:val="-2"/>
          <w:vertAlign w:val="baseline"/>
        </w:rPr>
        <w:t> </w:t>
      </w:r>
      <w:r>
        <w:rPr>
          <w:vertAlign w:val="baseline"/>
        </w:rPr>
        <w:t>of</w:t>
      </w:r>
      <w:r>
        <w:rPr>
          <w:spacing w:val="-2"/>
          <w:vertAlign w:val="baseline"/>
        </w:rPr>
        <w:t> </w:t>
      </w:r>
      <w:r>
        <w:rPr>
          <w:vertAlign w:val="baseline"/>
        </w:rPr>
        <w:t>estrogen</w:t>
      </w:r>
      <w:r>
        <w:rPr>
          <w:spacing w:val="-2"/>
          <w:vertAlign w:val="baseline"/>
        </w:rPr>
        <w:t> </w:t>
      </w:r>
      <w:r>
        <w:rPr>
          <w:vertAlign w:val="baseline"/>
        </w:rPr>
        <w:t>therapy</w:t>
      </w:r>
      <w:r>
        <w:rPr>
          <w:spacing w:val="-2"/>
          <w:vertAlign w:val="baseline"/>
        </w:rPr>
        <w:t> </w:t>
      </w:r>
      <w:r>
        <w:rPr>
          <w:vertAlign w:val="baseline"/>
        </w:rPr>
        <w:t>on</w:t>
      </w:r>
      <w:r>
        <w:rPr>
          <w:spacing w:val="-2"/>
          <w:vertAlign w:val="baseline"/>
        </w:rPr>
        <w:t> </w:t>
      </w:r>
      <w:r>
        <w:rPr>
          <w:vertAlign w:val="baseline"/>
        </w:rPr>
        <w:t>sleep</w:t>
      </w:r>
      <w:r>
        <w:rPr>
          <w:spacing w:val="-2"/>
          <w:vertAlign w:val="baseline"/>
        </w:rPr>
        <w:t> </w:t>
      </w:r>
      <w:r>
        <w:rPr>
          <w:vertAlign w:val="baseline"/>
        </w:rPr>
        <w:t>quality,</w:t>
      </w:r>
      <w:r>
        <w:rPr>
          <w:spacing w:val="-2"/>
          <w:vertAlign w:val="baseline"/>
        </w:rPr>
        <w:t> </w:t>
      </w:r>
      <w:r>
        <w:rPr>
          <w:vertAlign w:val="baseline"/>
        </w:rPr>
        <w:t>time to sleep, increase in rapid eye movement (REM) time, even in asymptomatic women.</w:t>
      </w:r>
      <w:r>
        <w:rPr>
          <w:vertAlign w:val="superscript"/>
        </w:rPr>
        <w:t>303-309</w:t>
      </w:r>
      <w:r>
        <w:rPr>
          <w:vertAlign w:val="baseline"/>
        </w:rPr>
        <w:t> Studies that have been controlled for menopausal symptoms conclude that mood is greatly affected by VMS and sleep disturbances, besides reflecting life problems.</w:t>
      </w:r>
      <w:r>
        <w:rPr>
          <w:vertAlign w:val="superscript"/>
        </w:rPr>
        <w:t>152,302</w:t>
      </w:r>
    </w:p>
    <w:p>
      <w:pPr>
        <w:pStyle w:val="BodyText"/>
        <w:spacing w:line="249" w:lineRule="auto" w:before="16"/>
        <w:ind w:right="97" w:firstLine="450"/>
      </w:pPr>
      <w:r>
        <w:rPr/>
        <w:t>Selection bias is problematic when analyzing the interplay between psychosomatic and VMS. A study of 2,001 Australian women aged 45 to</w:t>
      </w:r>
      <w:r>
        <w:rPr>
          <w:spacing w:val="40"/>
        </w:rPr>
        <w:t> </w:t>
      </w:r>
      <w:r>
        <w:rPr/>
        <w:t>55 years focused on the utilization of the health care system by women in the perimenopausal period of life.</w:t>
      </w:r>
      <w:r>
        <w:rPr>
          <w:vertAlign w:val="superscript"/>
        </w:rPr>
        <w:t>13</w:t>
      </w:r>
      <w:r>
        <w:rPr>
          <w:vertAlign w:val="baseline"/>
        </w:rPr>
        <w:t> Users of the health care system in this age group were frequent previous users of health care, were less healthy, and had more psychosomatic symptoms and vasomotor reactions.</w:t>
      </w:r>
      <w:r>
        <w:rPr>
          <w:vertAlign w:val="superscript"/>
        </w:rPr>
        <w:t>13</w:t>
      </w:r>
      <w:r>
        <w:rPr>
          <w:vertAlign w:val="baseline"/>
        </w:rPr>
        <w:t> These women were more likely to have had a significant previous adverse </w:t>
      </w:r>
      <w:r>
        <w:rPr>
          <w:vertAlign w:val="baseline"/>
        </w:rPr>
        <w:t>health history, including a prior history of premenstrual complaints. This study emphasized</w:t>
      </w:r>
      <w:r>
        <w:rPr>
          <w:spacing w:val="73"/>
          <w:vertAlign w:val="baseline"/>
        </w:rPr>
        <w:t> </w:t>
      </w:r>
      <w:r>
        <w:rPr>
          <w:vertAlign w:val="baseline"/>
        </w:rPr>
        <w:t>that</w:t>
      </w:r>
      <w:r>
        <w:rPr>
          <w:spacing w:val="73"/>
          <w:vertAlign w:val="baseline"/>
        </w:rPr>
        <w:t> </w:t>
      </w:r>
      <w:r>
        <w:rPr>
          <w:vertAlign w:val="baseline"/>
        </w:rPr>
        <w:t>perimenopausal</w:t>
      </w:r>
      <w:r>
        <w:rPr>
          <w:spacing w:val="73"/>
          <w:vertAlign w:val="baseline"/>
        </w:rPr>
        <w:t> </w:t>
      </w:r>
      <w:r>
        <w:rPr>
          <w:vertAlign w:val="baseline"/>
        </w:rPr>
        <w:t>women</w:t>
      </w:r>
      <w:r>
        <w:rPr>
          <w:spacing w:val="73"/>
          <w:vertAlign w:val="baseline"/>
        </w:rPr>
        <w:t> </w:t>
      </w:r>
      <w:r>
        <w:rPr>
          <w:vertAlign w:val="baseline"/>
        </w:rPr>
        <w:t>who</w:t>
      </w:r>
      <w:r>
        <w:rPr>
          <w:spacing w:val="73"/>
          <w:vertAlign w:val="baseline"/>
        </w:rPr>
        <w:t> </w:t>
      </w:r>
      <w:r>
        <w:rPr>
          <w:vertAlign w:val="baseline"/>
        </w:rPr>
        <w:t>seek</w:t>
      </w:r>
      <w:r>
        <w:rPr>
          <w:spacing w:val="73"/>
          <w:vertAlign w:val="baseline"/>
        </w:rPr>
        <w:t> </w:t>
      </w:r>
      <w:r>
        <w:rPr>
          <w:vertAlign w:val="baseline"/>
        </w:rPr>
        <w:t>health</w:t>
      </w:r>
      <w:r>
        <w:rPr>
          <w:spacing w:val="73"/>
          <w:vertAlign w:val="baseline"/>
        </w:rPr>
        <w:t> </w:t>
      </w:r>
      <w:r>
        <w:rPr>
          <w:vertAlign w:val="baseline"/>
        </w:rPr>
        <w:t>care</w:t>
      </w:r>
      <w:r>
        <w:rPr>
          <w:spacing w:val="73"/>
          <w:vertAlign w:val="baseline"/>
        </w:rPr>
        <w:t> </w:t>
      </w:r>
      <w:r>
        <w:rPr>
          <w:vertAlign w:val="baseline"/>
        </w:rPr>
        <w:t>help</w:t>
      </w:r>
      <w:r>
        <w:rPr>
          <w:spacing w:val="73"/>
          <w:vertAlign w:val="baseline"/>
        </w:rPr>
        <w:t> </w:t>
      </w:r>
      <w:r>
        <w:rPr>
          <w:spacing w:val="-5"/>
          <w:vertAlign w:val="baseline"/>
        </w:rPr>
        <w:t>are</w:t>
      </w:r>
    </w:p>
    <w:p>
      <w:pPr>
        <w:pStyle w:val="BodyText"/>
        <w:spacing w:after="0" w:line="249" w:lineRule="auto"/>
        <w:sectPr>
          <w:pgSz w:w="12240" w:h="15840"/>
          <w:pgMar w:top="1380" w:bottom="280" w:left="1440" w:right="1440"/>
        </w:sectPr>
      </w:pPr>
    </w:p>
    <w:p>
      <w:pPr>
        <w:pStyle w:val="BodyText"/>
        <w:spacing w:line="249" w:lineRule="auto"/>
        <w:ind w:right="99"/>
      </w:pPr>
      <w:r>
        <w:rPr/>
        <w:t>different</w:t>
      </w:r>
      <w:r>
        <w:rPr>
          <w:spacing w:val="-1"/>
        </w:rPr>
        <w:t> </w:t>
      </w:r>
      <w:r>
        <w:rPr/>
        <w:t>from</w:t>
      </w:r>
      <w:r>
        <w:rPr>
          <w:spacing w:val="-1"/>
        </w:rPr>
        <w:t> </w:t>
      </w:r>
      <w:r>
        <w:rPr/>
        <w:t>those</w:t>
      </w:r>
      <w:r>
        <w:rPr>
          <w:spacing w:val="-1"/>
        </w:rPr>
        <w:t> </w:t>
      </w:r>
      <w:r>
        <w:rPr/>
        <w:t>who</w:t>
      </w:r>
      <w:r>
        <w:rPr>
          <w:spacing w:val="-1"/>
        </w:rPr>
        <w:t> </w:t>
      </w:r>
      <w:r>
        <w:rPr/>
        <w:t>do</w:t>
      </w:r>
      <w:r>
        <w:rPr>
          <w:spacing w:val="-1"/>
        </w:rPr>
        <w:t> </w:t>
      </w:r>
      <w:r>
        <w:rPr/>
        <w:t>not</w:t>
      </w:r>
      <w:r>
        <w:rPr>
          <w:spacing w:val="-1"/>
        </w:rPr>
        <w:t> </w:t>
      </w:r>
      <w:r>
        <w:rPr/>
        <w:t>seek</w:t>
      </w:r>
      <w:r>
        <w:rPr>
          <w:spacing w:val="-1"/>
        </w:rPr>
        <w:t> </w:t>
      </w:r>
      <w:r>
        <w:rPr/>
        <w:t>help,</w:t>
      </w:r>
      <w:r>
        <w:rPr>
          <w:spacing w:val="-1"/>
        </w:rPr>
        <w:t> </w:t>
      </w:r>
      <w:r>
        <w:rPr/>
        <w:t>and</w:t>
      </w:r>
      <w:r>
        <w:rPr>
          <w:spacing w:val="-1"/>
        </w:rPr>
        <w:t> </w:t>
      </w:r>
      <w:r>
        <w:rPr/>
        <w:t>they</w:t>
      </w:r>
      <w:r>
        <w:rPr>
          <w:spacing w:val="-1"/>
        </w:rPr>
        <w:t> </w:t>
      </w:r>
      <w:r>
        <w:rPr/>
        <w:t>often</w:t>
      </w:r>
      <w:r>
        <w:rPr>
          <w:spacing w:val="-1"/>
        </w:rPr>
        <w:t> </w:t>
      </w:r>
      <w:r>
        <w:rPr/>
        <w:t>embrace</w:t>
      </w:r>
      <w:r>
        <w:rPr>
          <w:spacing w:val="-1"/>
        </w:rPr>
        <w:t> </w:t>
      </w:r>
      <w:r>
        <w:rPr/>
        <w:t>hormone therapy in the hope that it will solve their problems. Similar findings </w:t>
      </w:r>
      <w:r>
        <w:rPr/>
        <w:t>have been reported in a cohort of British women.</w:t>
      </w:r>
      <w:r>
        <w:rPr>
          <w:vertAlign w:val="superscript"/>
        </w:rPr>
        <w:t>310</w:t>
      </w:r>
      <w:r>
        <w:rPr>
          <w:vertAlign w:val="baseline"/>
        </w:rPr>
        <w:t> It is this population that is seen most often, producing biased opinions among clinicians regarding menopause. We must be careful not to generalize to the entire female population the behavior experienced by a few. Most importantly, menopausal women who present to clinicians often end up being treated with estrogen inappropriately and unnecessarily. Nevertheless, it is well established that a woman’s quality of life is disrupted by VMS and that estrogen therapy provides impressive improvement.</w:t>
      </w:r>
      <w:r>
        <w:rPr>
          <w:vertAlign w:val="superscript"/>
        </w:rPr>
        <w:t>311-313</w:t>
      </w:r>
      <w:r>
        <w:rPr>
          <w:vertAlign w:val="baseline"/>
        </w:rPr>
        <w:t> Patients are grateful to be the recipients of this “domino” effect.</w:t>
      </w:r>
    </w:p>
    <w:p>
      <w:pPr>
        <w:pStyle w:val="BodyText"/>
        <w:spacing w:line="249" w:lineRule="auto" w:before="13"/>
        <w:ind w:right="97" w:firstLine="450"/>
      </w:pPr>
      <w:r>
        <w:rPr/>
        <w:t>The</w:t>
      </w:r>
      <w:r>
        <w:rPr>
          <w:spacing w:val="-7"/>
        </w:rPr>
        <w:t> </w:t>
      </w:r>
      <w:r>
        <w:rPr/>
        <w:t>Women’s</w:t>
      </w:r>
      <w:r>
        <w:rPr>
          <w:spacing w:val="-7"/>
        </w:rPr>
        <w:t> </w:t>
      </w:r>
      <w:r>
        <w:rPr/>
        <w:t>Health</w:t>
      </w:r>
      <w:r>
        <w:rPr>
          <w:spacing w:val="-7"/>
        </w:rPr>
        <w:t> </w:t>
      </w:r>
      <w:r>
        <w:rPr/>
        <w:t>Initiative</w:t>
      </w:r>
      <w:r>
        <w:rPr>
          <w:spacing w:val="-7"/>
        </w:rPr>
        <w:t> </w:t>
      </w:r>
      <w:r>
        <w:rPr/>
        <w:t>(WHI;</w:t>
      </w:r>
      <w:r>
        <w:rPr>
          <w:spacing w:val="-7"/>
        </w:rPr>
        <w:t> </w:t>
      </w:r>
      <w:r>
        <w:rPr/>
        <w:t>discussed</w:t>
      </w:r>
      <w:r>
        <w:rPr>
          <w:spacing w:val="-7"/>
        </w:rPr>
        <w:t> </w:t>
      </w:r>
      <w:r>
        <w:rPr/>
        <w:t>in</w:t>
      </w:r>
      <w:r>
        <w:rPr>
          <w:spacing w:val="-8"/>
        </w:rPr>
        <w:t> </w:t>
      </w:r>
      <w:r>
        <w:rPr/>
        <w:t>Chapter</w:t>
      </w:r>
      <w:r>
        <w:rPr>
          <w:spacing w:val="-7"/>
        </w:rPr>
        <w:t> </w:t>
      </w:r>
      <w:r>
        <w:rPr/>
        <w:t>22</w:t>
      </w:r>
      <w:r>
        <w:rPr>
          <w:spacing w:val="-1"/>
        </w:rPr>
        <w:t> </w:t>
      </w:r>
      <w:r>
        <w:rPr/>
        <w:t>under</w:t>
      </w:r>
      <w:r>
        <w:rPr>
          <w:spacing w:val="-1"/>
        </w:rPr>
        <w:t> </w:t>
      </w:r>
      <w:r>
        <w:rPr/>
        <w:t>the section “Menopausal Hormone Therapy”) concluded that estrogen-progestin therapy had no beneficial impact on health-related quality </w:t>
      </w:r>
      <w:r>
        <w:rPr/>
        <w:t>of life.</w:t>
      </w:r>
      <w:r>
        <w:rPr>
          <w:vertAlign w:val="superscript"/>
        </w:rPr>
        <w:t>314</w:t>
      </w:r>
      <w:r>
        <w:rPr>
          <w:vertAlign w:val="baseline"/>
        </w:rPr>
        <w:t> However, only 12.7% of the participants had moderate to severe VMS at entry to the study, and the symptom burden in this population can be questioned because the participants were willing to take placebo medication. The overall baseline quality of life in this study was relatively high, and the study participants were older (the average number of years distant from menopause was 12+). This randomized, clinical trial did not study the appropriate population of women in order to assess the effect of hormone therapy on measures of quality of life.</w:t>
      </w:r>
    </w:p>
    <w:p>
      <w:pPr>
        <w:pStyle w:val="BodyText"/>
        <w:spacing w:line="249" w:lineRule="auto" w:before="14"/>
        <w:ind w:right="97" w:firstLine="450"/>
      </w:pPr>
      <w:r>
        <w:rPr/>
        <w:t>The Women’s International Study of Long Duration Oestrogen after the Menopause (WISDOM) trial was a randomized, controlled trial in the United Kingdom, Australia, and New Zealand of 3,721 women aged 50 to 69 treated with either combined 0.625-mg conjugated estrogens to 2.5/5.0 mg</w:t>
      </w:r>
      <w:r>
        <w:rPr>
          <w:spacing w:val="-1"/>
        </w:rPr>
        <w:t> </w:t>
      </w:r>
      <w:r>
        <w:rPr/>
        <w:t>medroxyprogesterone</w:t>
      </w:r>
      <w:r>
        <w:rPr>
          <w:spacing w:val="-1"/>
        </w:rPr>
        <w:t> </w:t>
      </w:r>
      <w:r>
        <w:rPr/>
        <w:t>or</w:t>
      </w:r>
      <w:r>
        <w:rPr>
          <w:spacing w:val="-1"/>
        </w:rPr>
        <w:t> </w:t>
      </w:r>
      <w:r>
        <w:rPr/>
        <w:t>placebo.</w:t>
      </w:r>
      <w:r>
        <w:rPr>
          <w:vertAlign w:val="superscript"/>
        </w:rPr>
        <w:t>315</w:t>
      </w:r>
      <w:r>
        <w:rPr>
          <w:vertAlign w:val="baseline"/>
        </w:rPr>
        <w:t> The original plan was to </w:t>
      </w:r>
      <w:r>
        <w:rPr>
          <w:vertAlign w:val="baseline"/>
        </w:rPr>
        <w:t>randomize 22,300 women to the study that would last 10 years. The study was</w:t>
      </w:r>
      <w:r>
        <w:rPr>
          <w:spacing w:val="40"/>
          <w:vertAlign w:val="baseline"/>
        </w:rPr>
        <w:t> </w:t>
      </w:r>
      <w:r>
        <w:rPr>
          <w:vertAlign w:val="baseline"/>
        </w:rPr>
        <w:t>canceled in October 2002 in reaction to the initial reports from the WHI. Unfortunately, the premature cancellation precludes the possibility of any long-term data from WISDOM. In the 2,130 women who completed 1 year, there were statistically significant improvements in the treated women in</w:t>
      </w:r>
      <w:r>
        <w:rPr>
          <w:spacing w:val="40"/>
          <w:vertAlign w:val="baseline"/>
        </w:rPr>
        <w:t> </w:t>
      </w:r>
      <w:r>
        <w:rPr>
          <w:vertAlign w:val="baseline"/>
        </w:rPr>
        <w:t>the categories of vasomotor, sexual, and sleep symptoms. Treated women reported a reduction in aching joints and muscles, night sweats, insomnia, and vaginal dryness. The treated group reported more breast tenderness, but the</w:t>
      </w:r>
      <w:r>
        <w:rPr>
          <w:spacing w:val="20"/>
          <w:vertAlign w:val="baseline"/>
        </w:rPr>
        <w:t> </w:t>
      </w:r>
      <w:r>
        <w:rPr>
          <w:vertAlign w:val="baseline"/>
        </w:rPr>
        <w:t>percentages</w:t>
      </w:r>
      <w:r>
        <w:rPr>
          <w:spacing w:val="20"/>
          <w:vertAlign w:val="baseline"/>
        </w:rPr>
        <w:t> </w:t>
      </w:r>
      <w:r>
        <w:rPr>
          <w:vertAlign w:val="baseline"/>
        </w:rPr>
        <w:t>were</w:t>
      </w:r>
      <w:r>
        <w:rPr>
          <w:spacing w:val="20"/>
          <w:vertAlign w:val="baseline"/>
        </w:rPr>
        <w:t> </w:t>
      </w:r>
      <w:r>
        <w:rPr>
          <w:vertAlign w:val="baseline"/>
        </w:rPr>
        <w:t>notably</w:t>
      </w:r>
      <w:r>
        <w:rPr>
          <w:spacing w:val="20"/>
          <w:vertAlign w:val="baseline"/>
        </w:rPr>
        <w:t> </w:t>
      </w:r>
      <w:r>
        <w:rPr>
          <w:vertAlign w:val="baseline"/>
        </w:rPr>
        <w:t>low</w:t>
      </w:r>
      <w:r>
        <w:rPr>
          <w:spacing w:val="20"/>
          <w:vertAlign w:val="baseline"/>
        </w:rPr>
        <w:t> </w:t>
      </w:r>
      <w:r>
        <w:rPr>
          <w:vertAlign w:val="baseline"/>
        </w:rPr>
        <w:t>(16%</w:t>
      </w:r>
      <w:r>
        <w:rPr>
          <w:spacing w:val="20"/>
          <w:vertAlign w:val="baseline"/>
        </w:rPr>
        <w:t> </w:t>
      </w:r>
      <w:r>
        <w:rPr>
          <w:vertAlign w:val="baseline"/>
        </w:rPr>
        <w:t>in</w:t>
      </w:r>
      <w:r>
        <w:rPr>
          <w:spacing w:val="20"/>
          <w:vertAlign w:val="baseline"/>
        </w:rPr>
        <w:t> </w:t>
      </w:r>
      <w:r>
        <w:rPr>
          <w:vertAlign w:val="baseline"/>
        </w:rPr>
        <w:t>the</w:t>
      </w:r>
      <w:r>
        <w:rPr>
          <w:spacing w:val="20"/>
          <w:vertAlign w:val="baseline"/>
        </w:rPr>
        <w:t> </w:t>
      </w:r>
      <w:r>
        <w:rPr>
          <w:vertAlign w:val="baseline"/>
        </w:rPr>
        <w:t>treated</w:t>
      </w:r>
      <w:r>
        <w:rPr>
          <w:spacing w:val="20"/>
          <w:vertAlign w:val="baseline"/>
        </w:rPr>
        <w:t> </w:t>
      </w:r>
      <w:r>
        <w:rPr>
          <w:vertAlign w:val="baseline"/>
        </w:rPr>
        <w:t>group</w:t>
      </w:r>
      <w:r>
        <w:rPr>
          <w:spacing w:val="20"/>
          <w:vertAlign w:val="baseline"/>
        </w:rPr>
        <w:t> </w:t>
      </w:r>
      <w:r>
        <w:rPr>
          <w:vertAlign w:val="baseline"/>
        </w:rPr>
        <w:t>and</w:t>
      </w:r>
      <w:r>
        <w:rPr>
          <w:spacing w:val="20"/>
          <w:vertAlign w:val="baseline"/>
        </w:rPr>
        <w:t> </w:t>
      </w:r>
      <w:r>
        <w:rPr>
          <w:vertAlign w:val="baseline"/>
        </w:rPr>
        <w:t>7%</w:t>
      </w:r>
      <w:r>
        <w:rPr>
          <w:spacing w:val="20"/>
          <w:vertAlign w:val="baseline"/>
        </w:rPr>
        <w:t> </w:t>
      </w:r>
      <w:r>
        <w:rPr>
          <w:vertAlign w:val="baseline"/>
        </w:rPr>
        <w:t>in</w:t>
      </w:r>
      <w:r>
        <w:rPr>
          <w:spacing w:val="20"/>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ind w:right="99"/>
      </w:pPr>
      <w:r>
        <w:rPr/>
        <w:t>placebo group), with minimal side effects. In contrast, no differences in depression, anxiety, quality of life, or self-esteem were noted </w:t>
      </w:r>
      <w:r>
        <w:rPr/>
        <w:t>between hormone therapy or placebo. Similar results with VMS, sleep, and joint complaints</w:t>
      </w:r>
      <w:r>
        <w:rPr>
          <w:spacing w:val="-4"/>
        </w:rPr>
        <w:t> </w:t>
      </w:r>
      <w:r>
        <w:rPr/>
        <w:t>were</w:t>
      </w:r>
      <w:r>
        <w:rPr>
          <w:spacing w:val="-4"/>
        </w:rPr>
        <w:t> </w:t>
      </w:r>
      <w:r>
        <w:rPr/>
        <w:t>actually</w:t>
      </w:r>
      <w:r>
        <w:rPr>
          <w:spacing w:val="-4"/>
        </w:rPr>
        <w:t> </w:t>
      </w:r>
      <w:r>
        <w:rPr/>
        <w:t>reported</w:t>
      </w:r>
      <w:r>
        <w:rPr>
          <w:spacing w:val="-4"/>
        </w:rPr>
        <w:t> </w:t>
      </w:r>
      <w:r>
        <w:rPr/>
        <w:t>by</w:t>
      </w:r>
      <w:r>
        <w:rPr>
          <w:spacing w:val="-4"/>
        </w:rPr>
        <w:t> </w:t>
      </w:r>
      <w:r>
        <w:rPr/>
        <w:t>the</w:t>
      </w:r>
      <w:r>
        <w:rPr>
          <w:spacing w:val="-4"/>
        </w:rPr>
        <w:t> </w:t>
      </w:r>
      <w:r>
        <w:rPr/>
        <w:t>WHI,</w:t>
      </w:r>
      <w:r>
        <w:rPr>
          <w:spacing w:val="-4"/>
        </w:rPr>
        <w:t> </w:t>
      </w:r>
      <w:r>
        <w:rPr/>
        <w:t>but</w:t>
      </w:r>
      <w:r>
        <w:rPr>
          <w:spacing w:val="-4"/>
        </w:rPr>
        <w:t> </w:t>
      </w:r>
      <w:r>
        <w:rPr/>
        <w:t>with</w:t>
      </w:r>
      <w:r>
        <w:rPr>
          <w:spacing w:val="-4"/>
        </w:rPr>
        <w:t> </w:t>
      </w:r>
      <w:r>
        <w:rPr/>
        <w:t>a</w:t>
      </w:r>
      <w:r>
        <w:rPr>
          <w:spacing w:val="-4"/>
        </w:rPr>
        <w:t> </w:t>
      </w:r>
      <w:r>
        <w:rPr/>
        <w:t>smaller</w:t>
      </w:r>
      <w:r>
        <w:rPr>
          <w:spacing w:val="-4"/>
        </w:rPr>
        <w:t> </w:t>
      </w:r>
      <w:r>
        <w:rPr/>
        <w:t>difference between treated and placebo groups. The most important point of these</w:t>
      </w:r>
      <w:r>
        <w:rPr>
          <w:spacing w:val="40"/>
        </w:rPr>
        <w:t> </w:t>
      </w:r>
      <w:r>
        <w:rPr/>
        <w:t>trials (WISDOM, WHI, and HERS; discussed further in Chapter 22) were all similar in that they all enrolled postmenopausal women heavily tilted toward older asymptomatic women. The authors acknowledged that younger, symptomatic women may have benefit from hormone therapy not seen in an older, asymptomatic population.</w:t>
      </w:r>
      <w:r>
        <w:rPr>
          <w:vertAlign w:val="superscript"/>
        </w:rPr>
        <w:t>315</w:t>
      </w:r>
    </w:p>
    <w:p>
      <w:pPr>
        <w:pStyle w:val="BodyText"/>
        <w:spacing w:line="249" w:lineRule="auto" w:before="12"/>
        <w:ind w:right="97" w:firstLine="450"/>
      </w:pPr>
      <w:r>
        <w:rPr/>
        <w:t>It is a simple and logical conclusion that hormone therapy in a younger, symptomatic group of postmenopausal women would produce greater quality of life benefits than that quantified in the clinical trials. All three clinical trials, therefore, underestimated the beneficial impact because of</w:t>
      </w:r>
      <w:r>
        <w:rPr>
          <w:spacing w:val="40"/>
        </w:rPr>
        <w:t> </w:t>
      </w:r>
      <w:r>
        <w:rPr/>
        <w:t>age and symptom status of their participants. However, in the WISDOM trial, even older postmenopausal women who were symptomatic benefited from hormone therapy. Age should not be the sole guiding factor </w:t>
      </w:r>
      <w:r>
        <w:rPr/>
        <w:t>in </w:t>
      </w:r>
      <w:r>
        <w:rPr>
          <w:spacing w:val="-2"/>
        </w:rPr>
        <w:t>decision-making.</w:t>
      </w:r>
    </w:p>
    <w:p>
      <w:pPr>
        <w:pStyle w:val="BodyText"/>
        <w:spacing w:line="249" w:lineRule="auto" w:before="10"/>
        <w:ind w:right="103" w:firstLine="450"/>
      </w:pPr>
      <w:r>
        <w:rPr/>
        <w:t>Emotional stability during the perimenopausal period can be disrupted by poor sleep patterns. Hot flushing does have an adverse impact on the quality of sleep.</w:t>
      </w:r>
      <w:r>
        <w:rPr>
          <w:vertAlign w:val="superscript"/>
        </w:rPr>
        <w:t>303-305</w:t>
      </w:r>
      <w:r>
        <w:rPr>
          <w:vertAlign w:val="baseline"/>
        </w:rPr>
        <w:t> Estrogen therapy improves the quality of </w:t>
      </w:r>
      <w:r>
        <w:rPr>
          <w:vertAlign w:val="baseline"/>
        </w:rPr>
        <w:t>sleep, decreasing the time to onset of sleep and increasing the REM sleep time.</w:t>
      </w:r>
      <w:r>
        <w:rPr>
          <w:vertAlign w:val="superscript"/>
        </w:rPr>
        <w:t>306,307,311</w:t>
      </w:r>
      <w:r>
        <w:rPr>
          <w:vertAlign w:val="baseline"/>
        </w:rPr>
        <w:t> In the SWAN study, one-third of the women reported sleep problems, even without hot flushes or night sweats, and the prevalence of VMS was associated with an increased risk of sleep disturbances; hormone therapy</w:t>
      </w:r>
      <w:r>
        <w:rPr>
          <w:spacing w:val="-12"/>
          <w:vertAlign w:val="baseline"/>
        </w:rPr>
        <w:t> </w:t>
      </w:r>
      <w:r>
        <w:rPr>
          <w:vertAlign w:val="baseline"/>
        </w:rPr>
        <w:t>improved</w:t>
      </w:r>
      <w:r>
        <w:rPr>
          <w:spacing w:val="-12"/>
          <w:vertAlign w:val="baseline"/>
        </w:rPr>
        <w:t> </w:t>
      </w:r>
      <w:r>
        <w:rPr>
          <w:vertAlign w:val="baseline"/>
        </w:rPr>
        <w:t>sleep</w:t>
      </w:r>
      <w:r>
        <w:rPr>
          <w:spacing w:val="-12"/>
          <w:vertAlign w:val="baseline"/>
        </w:rPr>
        <w:t> </w:t>
      </w:r>
      <w:r>
        <w:rPr>
          <w:vertAlign w:val="baseline"/>
        </w:rPr>
        <w:t>quality.</w:t>
      </w:r>
      <w:r>
        <w:rPr>
          <w:vertAlign w:val="superscript"/>
        </w:rPr>
        <w:t>308,309</w:t>
      </w:r>
      <w:r>
        <w:rPr>
          <w:spacing w:val="-9"/>
          <w:vertAlign w:val="baseline"/>
        </w:rPr>
        <w:t> </w:t>
      </w:r>
      <w:r>
        <w:rPr>
          <w:vertAlign w:val="baseline"/>
        </w:rPr>
        <w:t>Perhaps</w:t>
      </w:r>
      <w:r>
        <w:rPr>
          <w:spacing w:val="-8"/>
          <w:vertAlign w:val="baseline"/>
        </w:rPr>
        <w:t> </w:t>
      </w:r>
      <w:r>
        <w:rPr>
          <w:vertAlign w:val="baseline"/>
        </w:rPr>
        <w:t>flushing</w:t>
      </w:r>
      <w:r>
        <w:rPr>
          <w:spacing w:val="-8"/>
          <w:vertAlign w:val="baseline"/>
        </w:rPr>
        <w:t> </w:t>
      </w:r>
      <w:r>
        <w:rPr>
          <w:vertAlign w:val="baseline"/>
        </w:rPr>
        <w:t>may</w:t>
      </w:r>
      <w:r>
        <w:rPr>
          <w:spacing w:val="-8"/>
          <w:vertAlign w:val="baseline"/>
        </w:rPr>
        <w:t> </w:t>
      </w:r>
      <w:r>
        <w:rPr>
          <w:vertAlign w:val="baseline"/>
        </w:rPr>
        <w:t>be</w:t>
      </w:r>
      <w:r>
        <w:rPr>
          <w:spacing w:val="-8"/>
          <w:vertAlign w:val="baseline"/>
        </w:rPr>
        <w:t> </w:t>
      </w:r>
      <w:r>
        <w:rPr>
          <w:vertAlign w:val="baseline"/>
        </w:rPr>
        <w:t>insufficient</w:t>
      </w:r>
      <w:r>
        <w:rPr>
          <w:spacing w:val="-8"/>
          <w:vertAlign w:val="baseline"/>
        </w:rPr>
        <w:t> </w:t>
      </w:r>
      <w:r>
        <w:rPr>
          <w:vertAlign w:val="baseline"/>
        </w:rPr>
        <w:t>to awaken a woman but sufficient to affect the quality of sleep, thereby diminishing the ability to handle the next day’s problems and stresses. An improvement in sleeping with estrogen treatment can even be documented in postmenopausal women who are reportedly asymptomatic.</w:t>
      </w:r>
      <w:r>
        <w:rPr>
          <w:vertAlign w:val="superscript"/>
        </w:rPr>
        <w:t>307</w:t>
      </w:r>
    </w:p>
    <w:p>
      <w:pPr>
        <w:pStyle w:val="BodyText"/>
        <w:spacing w:line="249" w:lineRule="auto" w:before="15"/>
        <w:ind w:right="99" w:firstLine="450"/>
      </w:pPr>
      <w:r>
        <w:rPr/>
        <w:t>Thus, the overall “quality of life” reported by women can be improved by better sleep and alleviation of hot flushing. However, it is still uncertain whether estrogen treatment has an additional direct </w:t>
      </w:r>
      <w:r>
        <w:rPr/>
        <w:t>pharmacologic antidepressant effect or whether the mood response is totally an indirect benefit of relief from physical symptoms and, consequently, improved sleep.</w:t>
      </w:r>
      <w:r>
        <w:rPr>
          <w:spacing w:val="75"/>
        </w:rPr>
        <w:t> </w:t>
      </w:r>
      <w:r>
        <w:rPr/>
        <w:t>Although</w:t>
      </w:r>
      <w:r>
        <w:rPr>
          <w:spacing w:val="47"/>
          <w:w w:val="150"/>
        </w:rPr>
        <w:t> </w:t>
      </w:r>
      <w:r>
        <w:rPr/>
        <w:t>multiple</w:t>
      </w:r>
      <w:r>
        <w:rPr>
          <w:spacing w:val="48"/>
          <w:w w:val="150"/>
        </w:rPr>
        <w:t> </w:t>
      </w:r>
      <w:r>
        <w:rPr/>
        <w:t>studies</w:t>
      </w:r>
      <w:r>
        <w:rPr>
          <w:spacing w:val="47"/>
          <w:w w:val="150"/>
        </w:rPr>
        <w:t> </w:t>
      </w:r>
      <w:r>
        <w:rPr/>
        <w:t>have</w:t>
      </w:r>
      <w:r>
        <w:rPr>
          <w:spacing w:val="48"/>
          <w:w w:val="150"/>
        </w:rPr>
        <w:t> </w:t>
      </w:r>
      <w:r>
        <w:rPr/>
        <w:t>seen</w:t>
      </w:r>
      <w:r>
        <w:rPr>
          <w:spacing w:val="47"/>
          <w:w w:val="150"/>
        </w:rPr>
        <w:t> </w:t>
      </w:r>
      <w:r>
        <w:rPr/>
        <w:t>improvement</w:t>
      </w:r>
      <w:r>
        <w:rPr>
          <w:spacing w:val="48"/>
          <w:w w:val="150"/>
        </w:rPr>
        <w:t> </w:t>
      </w:r>
      <w:r>
        <w:rPr/>
        <w:t>of</w:t>
      </w:r>
      <w:r>
        <w:rPr>
          <w:spacing w:val="47"/>
          <w:w w:val="150"/>
        </w:rPr>
        <w:t> </w:t>
      </w:r>
      <w:r>
        <w:rPr>
          <w:spacing w:val="-2"/>
        </w:rPr>
        <w:t>depressive</w:t>
      </w:r>
    </w:p>
    <w:p>
      <w:pPr>
        <w:pStyle w:val="BodyText"/>
        <w:spacing w:after="0" w:line="249" w:lineRule="auto"/>
        <w:sectPr>
          <w:pgSz w:w="12240" w:h="15840"/>
          <w:pgMar w:top="1380" w:bottom="280" w:left="1440" w:right="1440"/>
        </w:sectPr>
      </w:pPr>
    </w:p>
    <w:p>
      <w:pPr>
        <w:pStyle w:val="BodyText"/>
        <w:spacing w:line="249" w:lineRule="auto"/>
        <w:ind w:right="98"/>
      </w:pPr>
      <w:r>
        <w:rPr/>
        <w:t>symptoms with hormone therapy with an antidepressant, another cohort study</w:t>
      </w:r>
      <w:r>
        <w:rPr>
          <w:spacing w:val="-7"/>
        </w:rPr>
        <w:t> </w:t>
      </w:r>
      <w:r>
        <w:rPr/>
        <w:t>saw</w:t>
      </w:r>
      <w:r>
        <w:rPr>
          <w:spacing w:val="-7"/>
        </w:rPr>
        <w:t> </w:t>
      </w:r>
      <w:r>
        <w:rPr/>
        <w:t>no</w:t>
      </w:r>
      <w:r>
        <w:rPr>
          <w:spacing w:val="-7"/>
        </w:rPr>
        <w:t> </w:t>
      </w:r>
      <w:r>
        <w:rPr/>
        <w:t>benefit</w:t>
      </w:r>
      <w:r>
        <w:rPr>
          <w:spacing w:val="-7"/>
        </w:rPr>
        <w:t> </w:t>
      </w:r>
      <w:r>
        <w:rPr/>
        <w:t>with</w:t>
      </w:r>
      <w:r>
        <w:rPr>
          <w:spacing w:val="-7"/>
        </w:rPr>
        <w:t> </w:t>
      </w:r>
      <w:r>
        <w:rPr/>
        <w:t>the</w:t>
      </w:r>
      <w:r>
        <w:rPr>
          <w:spacing w:val="-7"/>
        </w:rPr>
        <w:t> </w:t>
      </w:r>
      <w:r>
        <w:rPr/>
        <w:t>use</w:t>
      </w:r>
      <w:r>
        <w:rPr>
          <w:spacing w:val="-7"/>
        </w:rPr>
        <w:t> </w:t>
      </w:r>
      <w:r>
        <w:rPr/>
        <w:t>of</w:t>
      </w:r>
      <w:r>
        <w:rPr>
          <w:spacing w:val="-7"/>
        </w:rPr>
        <w:t> </w:t>
      </w:r>
      <w:r>
        <w:rPr/>
        <w:t>estrogen</w:t>
      </w:r>
      <w:r>
        <w:rPr>
          <w:spacing w:val="-7"/>
        </w:rPr>
        <w:t> </w:t>
      </w:r>
      <w:r>
        <w:rPr/>
        <w:t>therapy.</w:t>
      </w:r>
      <w:r>
        <w:rPr>
          <w:vertAlign w:val="superscript"/>
        </w:rPr>
        <w:t>316-321</w:t>
      </w:r>
      <w:r>
        <w:rPr>
          <w:spacing w:val="-8"/>
          <w:vertAlign w:val="baseline"/>
        </w:rPr>
        <w:t> </w:t>
      </w:r>
      <w:r>
        <w:rPr>
          <w:vertAlign w:val="baseline"/>
        </w:rPr>
        <w:t>Utilizing</w:t>
      </w:r>
      <w:r>
        <w:rPr>
          <w:spacing w:val="-7"/>
          <w:vertAlign w:val="baseline"/>
        </w:rPr>
        <w:t> </w:t>
      </w:r>
      <w:r>
        <w:rPr>
          <w:vertAlign w:val="baseline"/>
        </w:rPr>
        <w:t>various assessment tools for measuring depression, improvements with estrogen treatment were recorded in oophorectomized women.</w:t>
      </w:r>
      <w:r>
        <w:rPr>
          <w:vertAlign w:val="superscript"/>
        </w:rPr>
        <w:t>316,317</w:t>
      </w:r>
      <w:r>
        <w:rPr>
          <w:vertAlign w:val="baseline"/>
        </w:rPr>
        <w:t> In the large prospective cohort study of the Rancho Bernardo retirement community, no benefit could be detected in measures of depression in current users of postmenopausal estrogen compared with untreated women.</w:t>
      </w:r>
      <w:r>
        <w:rPr>
          <w:vertAlign w:val="superscript"/>
        </w:rPr>
        <w:t>322</w:t>
      </w:r>
      <w:r>
        <w:rPr>
          <w:vertAlign w:val="baseline"/>
        </w:rPr>
        <w:t> Indeed, treated women had higher depressive symptom scores, presumably reflecting treatment selection bias; symptomatic and depressed women seek hormone therapy. Others report that estrogen therapy has a more powerful impact on women’s well-being beyond the relief of symptoms such as hot flushes.</w:t>
      </w:r>
      <w:r>
        <w:rPr>
          <w:vertAlign w:val="superscript"/>
        </w:rPr>
        <w:t>311,318,319</w:t>
      </w:r>
      <w:r>
        <w:rPr>
          <w:vertAlign w:val="baseline"/>
        </w:rPr>
        <w:t> In older depressed women, improvements in response to fluoxetine were enhanced by the addition of estrogen therapy.</w:t>
      </w:r>
      <w:r>
        <w:rPr>
          <w:vertAlign w:val="superscript"/>
        </w:rPr>
        <w:t>320</w:t>
      </w:r>
      <w:r>
        <w:rPr>
          <w:vertAlign w:val="baseline"/>
        </w:rPr>
        <w:t> In a 12-week, randomized, placebo-controlled trial of 55 perimenopausal women with</w:t>
      </w:r>
      <w:r>
        <w:rPr>
          <w:spacing w:val="63"/>
          <w:vertAlign w:val="baseline"/>
        </w:rPr>
        <w:t> </w:t>
      </w:r>
      <w:r>
        <w:rPr>
          <w:vertAlign w:val="baseline"/>
        </w:rPr>
        <w:t>clinically</w:t>
      </w:r>
      <w:r>
        <w:rPr>
          <w:spacing w:val="63"/>
          <w:vertAlign w:val="baseline"/>
        </w:rPr>
        <w:t> </w:t>
      </w:r>
      <w:r>
        <w:rPr>
          <w:vertAlign w:val="baseline"/>
        </w:rPr>
        <w:t>significant</w:t>
      </w:r>
      <w:r>
        <w:rPr>
          <w:spacing w:val="63"/>
          <w:vertAlign w:val="baseline"/>
        </w:rPr>
        <w:t> </w:t>
      </w:r>
      <w:r>
        <w:rPr>
          <w:vertAlign w:val="baseline"/>
        </w:rPr>
        <w:t>major</w:t>
      </w:r>
      <w:r>
        <w:rPr>
          <w:spacing w:val="63"/>
          <w:vertAlign w:val="baseline"/>
        </w:rPr>
        <w:t> </w:t>
      </w:r>
      <w:r>
        <w:rPr>
          <w:vertAlign w:val="baseline"/>
        </w:rPr>
        <w:t>depression,</w:t>
      </w:r>
      <w:r>
        <w:rPr>
          <w:spacing w:val="63"/>
          <w:vertAlign w:val="baseline"/>
        </w:rPr>
        <w:t> </w:t>
      </w:r>
      <w:r>
        <w:rPr>
          <w:vertAlign w:val="baseline"/>
        </w:rPr>
        <w:t>estradiol</w:t>
      </w:r>
      <w:r>
        <w:rPr>
          <w:spacing w:val="63"/>
          <w:vertAlign w:val="baseline"/>
        </w:rPr>
        <w:t> </w:t>
      </w:r>
      <w:r>
        <w:rPr>
          <w:vertAlign w:val="baseline"/>
        </w:rPr>
        <w:t>treatment</w:t>
      </w:r>
      <w:r>
        <w:rPr>
          <w:spacing w:val="63"/>
          <w:vertAlign w:val="baseline"/>
        </w:rPr>
        <w:t> </w:t>
      </w:r>
      <w:r>
        <w:rPr>
          <w:vertAlign w:val="baseline"/>
        </w:rPr>
        <w:t>with</w:t>
      </w:r>
      <w:r>
        <w:rPr>
          <w:spacing w:val="63"/>
          <w:vertAlign w:val="baseline"/>
        </w:rPr>
        <w:t> </w:t>
      </w:r>
      <w:r>
        <w:rPr>
          <w:spacing w:val="-5"/>
          <w:vertAlign w:val="baseline"/>
        </w:rPr>
        <w:t>the</w:t>
      </w:r>
    </w:p>
    <w:p>
      <w:pPr>
        <w:pStyle w:val="BodyText"/>
        <w:spacing w:line="249" w:lineRule="auto" w:before="18"/>
        <w:ind w:right="99"/>
      </w:pPr>
      <w:r>
        <w:rPr/>
        <w:t>100 mg transdermal method significantly improved mood.</w:t>
      </w:r>
      <w:r>
        <w:rPr>
          <w:vertAlign w:val="superscript"/>
        </w:rPr>
        <w:t>323</w:t>
      </w:r>
      <w:r>
        <w:rPr>
          <w:vertAlign w:val="baseline"/>
        </w:rPr>
        <w:t> A </w:t>
      </w:r>
      <w:r>
        <w:rPr>
          <w:vertAlign w:val="baseline"/>
        </w:rPr>
        <w:t>similar American short-term study of 34 perimenopausal women with both major and minor depressions treated with 50 mg estradiol transdermally demonstrated</w:t>
      </w:r>
      <w:r>
        <w:rPr>
          <w:spacing w:val="-1"/>
          <w:vertAlign w:val="baseline"/>
        </w:rPr>
        <w:t> </w:t>
      </w:r>
      <w:r>
        <w:rPr>
          <w:vertAlign w:val="baseline"/>
        </w:rPr>
        <w:t>improvements</w:t>
      </w:r>
      <w:r>
        <w:rPr>
          <w:spacing w:val="-1"/>
          <w:vertAlign w:val="baseline"/>
        </w:rPr>
        <w:t> </w:t>
      </w:r>
      <w:r>
        <w:rPr>
          <w:vertAlign w:val="baseline"/>
        </w:rPr>
        <w:t>independently</w:t>
      </w:r>
      <w:r>
        <w:rPr>
          <w:spacing w:val="-1"/>
          <w:vertAlign w:val="baseline"/>
        </w:rPr>
        <w:t> </w:t>
      </w:r>
      <w:r>
        <w:rPr>
          <w:vertAlign w:val="baseline"/>
        </w:rPr>
        <w:t>of</w:t>
      </w:r>
      <w:r>
        <w:rPr>
          <w:spacing w:val="-1"/>
          <w:vertAlign w:val="baseline"/>
        </w:rPr>
        <w:t> </w:t>
      </w:r>
      <w:r>
        <w:rPr>
          <w:vertAlign w:val="baseline"/>
        </w:rPr>
        <w:t>an</w:t>
      </w:r>
      <w:r>
        <w:rPr>
          <w:spacing w:val="-1"/>
          <w:vertAlign w:val="baseline"/>
        </w:rPr>
        <w:t> </w:t>
      </w:r>
      <w:r>
        <w:rPr>
          <w:vertAlign w:val="baseline"/>
        </w:rPr>
        <w:t>effect</w:t>
      </w:r>
      <w:r>
        <w:rPr>
          <w:spacing w:val="-1"/>
          <w:vertAlign w:val="baseline"/>
        </w:rPr>
        <w:t> </w:t>
      </w:r>
      <w:r>
        <w:rPr>
          <w:vertAlign w:val="baseline"/>
        </w:rPr>
        <w:t>on</w:t>
      </w:r>
      <w:r>
        <w:rPr>
          <w:spacing w:val="-1"/>
          <w:vertAlign w:val="baseline"/>
        </w:rPr>
        <w:t> </w:t>
      </w:r>
      <w:r>
        <w:rPr>
          <w:vertAlign w:val="baseline"/>
        </w:rPr>
        <w:t>VMS.</w:t>
      </w:r>
      <w:r>
        <w:rPr>
          <w:vertAlign w:val="superscript"/>
        </w:rPr>
        <w:t>321</w:t>
      </w:r>
      <w:r>
        <w:rPr>
          <w:spacing w:val="-7"/>
          <w:vertAlign w:val="baseline"/>
        </w:rPr>
        <w:t> </w:t>
      </w:r>
      <w:r>
        <w:rPr>
          <w:vertAlign w:val="baseline"/>
        </w:rPr>
        <w:t>Overall, these small clinical trials argue that estrogen treatment is beneficial as an adjunct for the treatment of clinical depression. This conclusion is</w:t>
      </w:r>
      <w:r>
        <w:rPr>
          <w:spacing w:val="40"/>
          <w:vertAlign w:val="baseline"/>
        </w:rPr>
        <w:t> </w:t>
      </w:r>
      <w:r>
        <w:rPr>
          <w:vertAlign w:val="baseline"/>
        </w:rPr>
        <w:t>supported by the successful treatment of postpartum depression with estradiol treatment.</w:t>
      </w:r>
      <w:r>
        <w:rPr>
          <w:vertAlign w:val="superscript"/>
        </w:rPr>
        <w:t>324,325</w:t>
      </w:r>
    </w:p>
    <w:p>
      <w:pPr>
        <w:pStyle w:val="BodyText"/>
        <w:spacing w:line="249" w:lineRule="auto" w:before="10"/>
        <w:ind w:right="98" w:firstLine="450"/>
      </w:pPr>
      <w:r>
        <w:rPr>
          <w:b/>
        </w:rPr>
        <w:t>The most common cause of mood problems is preexisting depression,</w:t>
      </w:r>
      <w:r>
        <w:rPr>
          <w:vertAlign w:val="superscript"/>
        </w:rPr>
        <w:t>9,326</w:t>
      </w:r>
      <w:r>
        <w:rPr>
          <w:vertAlign w:val="baseline"/>
        </w:rPr>
        <w:t> </w:t>
      </w:r>
      <w:r>
        <w:rPr>
          <w:b/>
          <w:vertAlign w:val="baseline"/>
        </w:rPr>
        <w:t>but there does exist a small population of women </w:t>
      </w:r>
      <w:r>
        <w:rPr>
          <w:b/>
          <w:vertAlign w:val="baseline"/>
        </w:rPr>
        <w:t>whose moods are sensitive to hormonal changes.</w:t>
      </w:r>
      <w:r>
        <w:rPr>
          <w:vertAlign w:val="superscript"/>
        </w:rPr>
        <w:t>9,326,327</w:t>
      </w:r>
      <w:r>
        <w:rPr>
          <w:vertAlign w:val="baseline"/>
        </w:rPr>
        <w:t> In the American SWAN study, the prevalence of mood changes increased from premenopause to early menopause, from about 10% to about 16.5%.</w:t>
      </w:r>
      <w:r>
        <w:rPr>
          <w:vertAlign w:val="superscript"/>
        </w:rPr>
        <w:t>326</w:t>
      </w:r>
      <w:r>
        <w:rPr>
          <w:vertAlign w:val="baseline"/>
        </w:rPr>
        <w:t> There are three possible explanations: (1) the decline in estrogen at menopause affects neurotransmitters that regulate mood; (2) mood is adversely affected by VMS (domino theory); and (3) mood is affected by the vicissitudes of life that are commonly prevalent around menopause. Some would argue that these mood swings are in response to the hormonal fluctuations that occur during the perimenopausal years. These fluctuations do indeed occur,</w:t>
      </w:r>
      <w:r>
        <w:rPr>
          <w:vertAlign w:val="superscript"/>
        </w:rPr>
        <w:t>70</w:t>
      </w:r>
      <w:r>
        <w:rPr>
          <w:vertAlign w:val="baseline"/>
        </w:rPr>
        <w:t> but whether they cause any symptoms remains to be determined. It seems logical</w:t>
      </w:r>
      <w:r>
        <w:rPr>
          <w:spacing w:val="42"/>
          <w:vertAlign w:val="baseline"/>
        </w:rPr>
        <w:t>  </w:t>
      </w:r>
      <w:r>
        <w:rPr>
          <w:vertAlign w:val="baseline"/>
        </w:rPr>
        <w:t>that</w:t>
      </w:r>
      <w:r>
        <w:rPr>
          <w:spacing w:val="43"/>
          <w:vertAlign w:val="baseline"/>
        </w:rPr>
        <w:t>  </w:t>
      </w:r>
      <w:r>
        <w:rPr>
          <w:vertAlign w:val="baseline"/>
        </w:rPr>
        <w:t>individuals</w:t>
      </w:r>
      <w:r>
        <w:rPr>
          <w:spacing w:val="42"/>
          <w:vertAlign w:val="baseline"/>
        </w:rPr>
        <w:t>  </w:t>
      </w:r>
      <w:r>
        <w:rPr>
          <w:vertAlign w:val="baseline"/>
        </w:rPr>
        <w:t>with</w:t>
      </w:r>
      <w:r>
        <w:rPr>
          <w:spacing w:val="43"/>
          <w:vertAlign w:val="baseline"/>
        </w:rPr>
        <w:t>  </w:t>
      </w:r>
      <w:r>
        <w:rPr>
          <w:vertAlign w:val="baseline"/>
        </w:rPr>
        <w:t>mood</w:t>
      </w:r>
      <w:r>
        <w:rPr>
          <w:spacing w:val="42"/>
          <w:vertAlign w:val="baseline"/>
        </w:rPr>
        <w:t>  </w:t>
      </w:r>
      <w:r>
        <w:rPr>
          <w:vertAlign w:val="baseline"/>
        </w:rPr>
        <w:t>problems</w:t>
      </w:r>
      <w:r>
        <w:rPr>
          <w:spacing w:val="43"/>
          <w:vertAlign w:val="baseline"/>
        </w:rPr>
        <w:t>  </w:t>
      </w:r>
      <w:r>
        <w:rPr>
          <w:vertAlign w:val="baseline"/>
        </w:rPr>
        <w:t>can</w:t>
      </w:r>
      <w:r>
        <w:rPr>
          <w:spacing w:val="42"/>
          <w:vertAlign w:val="baseline"/>
        </w:rPr>
        <w:t>  </w:t>
      </w:r>
      <w:r>
        <w:rPr>
          <w:vertAlign w:val="baseline"/>
        </w:rPr>
        <w:t>reflect</w:t>
      </w:r>
      <w:r>
        <w:rPr>
          <w:spacing w:val="43"/>
          <w:vertAlign w:val="baseline"/>
        </w:rPr>
        <w:t>  </w:t>
      </w:r>
      <w:r>
        <w:rPr>
          <w:vertAlign w:val="baseline"/>
        </w:rPr>
        <w:t>all</w:t>
      </w:r>
      <w:r>
        <w:rPr>
          <w:spacing w:val="42"/>
          <w:vertAlign w:val="baseline"/>
        </w:rPr>
        <w:t>  </w:t>
      </w:r>
      <w:r>
        <w:rPr>
          <w:spacing w:val="-2"/>
          <w:vertAlign w:val="baseline"/>
        </w:rPr>
        <w:t>these</w:t>
      </w:r>
    </w:p>
    <w:p>
      <w:pPr>
        <w:pStyle w:val="BodyText"/>
        <w:spacing w:after="0" w:line="249" w:lineRule="auto"/>
        <w:sectPr>
          <w:pgSz w:w="12240" w:h="15840"/>
          <w:pgMar w:top="1380" w:bottom="280" w:left="1440" w:right="1440"/>
        </w:sectPr>
      </w:pPr>
    </w:p>
    <w:p>
      <w:pPr>
        <w:spacing w:line="249" w:lineRule="auto" w:before="65"/>
        <w:ind w:left="99" w:right="98" w:firstLine="0"/>
        <w:jc w:val="both"/>
        <w:rPr>
          <w:sz w:val="30"/>
        </w:rPr>
      </w:pPr>
      <w:r>
        <w:rPr>
          <w:sz w:val="30"/>
        </w:rPr>
        <w:t>mechanisms. The menopause transition is full of confounders </w:t>
      </w:r>
      <w:r>
        <w:rPr>
          <w:sz w:val="30"/>
        </w:rPr>
        <w:t>for depression, such as poor sleep/dyspareunia/vaginal dryness due to estrogen deprivation, and life factors with decreasing personal or partner physical well-being. Thus, it is important to consider all potential contributing</w:t>
      </w:r>
      <w:r>
        <w:rPr>
          <w:spacing w:val="40"/>
          <w:sz w:val="30"/>
        </w:rPr>
        <w:t> </w:t>
      </w:r>
      <w:r>
        <w:rPr>
          <w:sz w:val="30"/>
        </w:rPr>
        <w:t>factors of depression when treating an individual with peri/postmenopause. </w:t>
      </w:r>
      <w:r>
        <w:rPr>
          <w:b/>
          <w:sz w:val="30"/>
        </w:rPr>
        <w:t>Although the literature has seemed convoluted and is fraught with selection and recall bias, as well as a variety of potential outcomes, existing data have led to a consensus, endorsed by the NAMS, that it does appear that the menopause transition is a time when women are more susceptible to depressive symptoms or a major depressive</w:t>
      </w:r>
      <w:r>
        <w:rPr>
          <w:b/>
          <w:spacing w:val="40"/>
          <w:sz w:val="30"/>
        </w:rPr>
        <w:t> </w:t>
      </w:r>
      <w:r>
        <w:rPr>
          <w:b/>
          <w:sz w:val="30"/>
        </w:rPr>
        <w:t>episode. However, this is more likely in women who have preexisting depression or in those whose moods are sensitive to hormonal changes (such as those with a history of PMS).</w:t>
      </w:r>
      <w:r>
        <w:rPr>
          <w:sz w:val="30"/>
          <w:vertAlign w:val="superscript"/>
        </w:rPr>
        <w:t>9,326</w:t>
      </w:r>
    </w:p>
    <w:p>
      <w:pPr>
        <w:pStyle w:val="BodyText"/>
        <w:spacing w:before="59"/>
        <w:ind w:left="0"/>
        <w:jc w:val="left"/>
      </w:pPr>
    </w:p>
    <w:p>
      <w:pPr>
        <w:spacing w:before="0"/>
        <w:ind w:left="99" w:right="0" w:firstLine="0"/>
        <w:jc w:val="both"/>
        <w:rPr>
          <w:rFonts w:ascii="Arial"/>
          <w:b/>
          <w:sz w:val="30"/>
        </w:rPr>
      </w:pPr>
      <w:r>
        <w:rPr>
          <w:rFonts w:ascii="Arial"/>
          <w:b/>
          <w:color w:val="2674AE"/>
          <w:sz w:val="30"/>
        </w:rPr>
        <w:t>Cognition, Dementia, Aging, and </w:t>
      </w:r>
      <w:r>
        <w:rPr>
          <w:rFonts w:ascii="Arial"/>
          <w:b/>
          <w:color w:val="2674AE"/>
          <w:spacing w:val="-2"/>
          <w:sz w:val="30"/>
        </w:rPr>
        <w:t>Menopause</w:t>
      </w:r>
    </w:p>
    <w:p>
      <w:pPr>
        <w:pStyle w:val="BodyText"/>
        <w:spacing w:line="249" w:lineRule="auto" w:before="167"/>
        <w:ind w:right="98"/>
      </w:pPr>
      <w:r>
        <w:rPr/>
        <w:t>Cognitive decline and dementia are recognized accompaniments to aging. The role and relevance of female hormones and their deprivation </w:t>
      </w:r>
      <w:r>
        <w:rPr/>
        <w:t>post-menopause has been examined in multiple observational studies as well as in</w:t>
      </w:r>
      <w:r>
        <w:rPr>
          <w:spacing w:val="-1"/>
        </w:rPr>
        <w:t> </w:t>
      </w:r>
      <w:r>
        <w:rPr/>
        <w:t>a</w:t>
      </w:r>
      <w:r>
        <w:rPr>
          <w:spacing w:val="-1"/>
        </w:rPr>
        <w:t> </w:t>
      </w:r>
      <w:r>
        <w:rPr/>
        <w:t>few</w:t>
      </w:r>
      <w:r>
        <w:rPr>
          <w:spacing w:val="-1"/>
        </w:rPr>
        <w:t> </w:t>
      </w:r>
      <w:r>
        <w:rPr/>
        <w:t>RCTs.</w:t>
      </w:r>
      <w:r>
        <w:rPr>
          <w:vertAlign w:val="superscript"/>
        </w:rPr>
        <w:t>328</w:t>
      </w:r>
      <w:r>
        <w:rPr>
          <w:vertAlign w:val="baseline"/>
        </w:rPr>
        <w:t> Depending on the method of assessment, evidence for the beneficial effects of estrogen on cognition can be found in the literature, especially in the domain of verbal memory.</w:t>
      </w:r>
      <w:r>
        <w:rPr>
          <w:vertAlign w:val="superscript"/>
        </w:rPr>
        <w:t>329,330</w:t>
      </w:r>
      <w:r>
        <w:rPr>
          <w:vertAlign w:val="baseline"/>
        </w:rPr>
        <w:t> However, the effects in healthy women are not impressive and perhaps of little clinical value. A short-term study failed to document an objective improvement in memory, although</w:t>
      </w:r>
      <w:r>
        <w:rPr>
          <w:spacing w:val="-4"/>
          <w:vertAlign w:val="baseline"/>
        </w:rPr>
        <w:t> </w:t>
      </w:r>
      <w:r>
        <w:rPr>
          <w:vertAlign w:val="baseline"/>
        </w:rPr>
        <w:t>a</w:t>
      </w:r>
      <w:r>
        <w:rPr>
          <w:spacing w:val="-5"/>
          <w:vertAlign w:val="baseline"/>
        </w:rPr>
        <w:t> </w:t>
      </w:r>
      <w:r>
        <w:rPr>
          <w:vertAlign w:val="baseline"/>
        </w:rPr>
        <w:t>slight</w:t>
      </w:r>
      <w:r>
        <w:rPr>
          <w:spacing w:val="-4"/>
          <w:vertAlign w:val="baseline"/>
        </w:rPr>
        <w:t> </w:t>
      </w:r>
      <w:r>
        <w:rPr>
          <w:vertAlign w:val="baseline"/>
        </w:rPr>
        <w:t>improvement</w:t>
      </w:r>
      <w:r>
        <w:rPr>
          <w:spacing w:val="-5"/>
          <w:vertAlign w:val="baseline"/>
        </w:rPr>
        <w:t> </w:t>
      </w:r>
      <w:r>
        <w:rPr>
          <w:vertAlign w:val="baseline"/>
        </w:rPr>
        <w:t>in</w:t>
      </w:r>
      <w:r>
        <w:rPr>
          <w:spacing w:val="-4"/>
          <w:vertAlign w:val="baseline"/>
        </w:rPr>
        <w:t> </w:t>
      </w:r>
      <w:r>
        <w:rPr>
          <w:vertAlign w:val="baseline"/>
        </w:rPr>
        <w:t>mood</w:t>
      </w:r>
      <w:r>
        <w:rPr>
          <w:spacing w:val="-5"/>
          <w:vertAlign w:val="baseline"/>
        </w:rPr>
        <w:t> </w:t>
      </w:r>
      <w:r>
        <w:rPr>
          <w:vertAlign w:val="baseline"/>
        </w:rPr>
        <w:t>was</w:t>
      </w:r>
      <w:r>
        <w:rPr>
          <w:spacing w:val="-4"/>
          <w:vertAlign w:val="baseline"/>
        </w:rPr>
        <w:t> </w:t>
      </w:r>
      <w:r>
        <w:rPr>
          <w:vertAlign w:val="baseline"/>
        </w:rPr>
        <w:t>recorded.</w:t>
      </w:r>
      <w:r>
        <w:rPr>
          <w:vertAlign w:val="superscript"/>
        </w:rPr>
        <w:t>331</w:t>
      </w:r>
      <w:r>
        <w:rPr>
          <w:vertAlign w:val="baseline"/>
        </w:rPr>
        <w:t> Another short-term (3 months) randomized, double-blind study could detect no improvement in cognitive performance compared with placebo treatment.</w:t>
      </w:r>
      <w:r>
        <w:rPr>
          <w:vertAlign w:val="superscript"/>
        </w:rPr>
        <w:t>332</w:t>
      </w:r>
      <w:r>
        <w:rPr>
          <w:vertAlign w:val="baseline"/>
        </w:rPr>
        <w:t> The Melbourne Women’s Midlife Health Project could not document an effect on verbal memory during the menopausal transition.</w:t>
      </w:r>
      <w:r>
        <w:rPr>
          <w:vertAlign w:val="superscript"/>
        </w:rPr>
        <w:t>333</w:t>
      </w:r>
      <w:r>
        <w:rPr>
          <w:vertAlign w:val="baseline"/>
        </w:rPr>
        <w:t> A longitudinal study in Chicago could not detect a cognitive decline through menopause, as assessed by working memory and perceptual speed.</w:t>
      </w:r>
      <w:r>
        <w:rPr>
          <w:vertAlign w:val="superscript"/>
        </w:rPr>
        <w:t>334</w:t>
      </w:r>
      <w:r>
        <w:rPr>
          <w:vertAlign w:val="baseline"/>
        </w:rPr>
        <w:t> The KEEPS cognitive and affective study was an ancillary study to the KEEPS (discussed</w:t>
      </w:r>
      <w:r>
        <w:rPr>
          <w:spacing w:val="-3"/>
          <w:vertAlign w:val="baseline"/>
        </w:rPr>
        <w:t> </w:t>
      </w:r>
      <w:r>
        <w:rPr>
          <w:vertAlign w:val="baseline"/>
        </w:rPr>
        <w:t>in</w:t>
      </w:r>
      <w:r>
        <w:rPr>
          <w:spacing w:val="-3"/>
          <w:vertAlign w:val="baseline"/>
        </w:rPr>
        <w:t> </w:t>
      </w:r>
      <w:r>
        <w:rPr>
          <w:vertAlign w:val="baseline"/>
        </w:rPr>
        <w:t>more</w:t>
      </w:r>
      <w:r>
        <w:rPr>
          <w:spacing w:val="-3"/>
          <w:vertAlign w:val="baseline"/>
        </w:rPr>
        <w:t> </w:t>
      </w:r>
      <w:r>
        <w:rPr>
          <w:vertAlign w:val="baseline"/>
        </w:rPr>
        <w:t>detail</w:t>
      </w:r>
      <w:r>
        <w:rPr>
          <w:spacing w:val="-3"/>
          <w:vertAlign w:val="baseline"/>
        </w:rPr>
        <w:t> </w:t>
      </w:r>
      <w:r>
        <w:rPr>
          <w:vertAlign w:val="baseline"/>
        </w:rPr>
        <w:t>in</w:t>
      </w:r>
      <w:r>
        <w:rPr>
          <w:spacing w:val="-4"/>
          <w:vertAlign w:val="baseline"/>
        </w:rPr>
        <w:t> </w:t>
      </w:r>
      <w:r>
        <w:rPr>
          <w:vertAlign w:val="baseline"/>
        </w:rPr>
        <w:t>Chapter</w:t>
      </w:r>
      <w:r>
        <w:rPr>
          <w:spacing w:val="-3"/>
          <w:vertAlign w:val="baseline"/>
        </w:rPr>
        <w:t> </w:t>
      </w:r>
      <w:r>
        <w:rPr>
          <w:vertAlign w:val="baseline"/>
        </w:rPr>
        <w:t>22) that had examined cognitive effects of menopausal hormone therapy when initiated within 3 years of onset of menopause. The parent KEEPS trial examined the </w:t>
      </w:r>
      <w:r>
        <w:rPr>
          <w:i/>
          <w:vertAlign w:val="baseline"/>
        </w:rPr>
        <w:t>timing hypothesis </w:t>
      </w:r>
      <w:r>
        <w:rPr>
          <w:vertAlign w:val="baseline"/>
        </w:rPr>
        <w:t>from the</w:t>
      </w:r>
      <w:r>
        <w:rPr>
          <w:spacing w:val="1"/>
          <w:vertAlign w:val="baseline"/>
        </w:rPr>
        <w:t> </w:t>
      </w:r>
      <w:r>
        <w:rPr>
          <w:vertAlign w:val="baseline"/>
        </w:rPr>
        <w:t>perspective</w:t>
      </w:r>
      <w:r>
        <w:rPr>
          <w:spacing w:val="1"/>
          <w:vertAlign w:val="baseline"/>
        </w:rPr>
        <w:t> </w:t>
      </w:r>
      <w:r>
        <w:rPr>
          <w:vertAlign w:val="baseline"/>
        </w:rPr>
        <w:t>of</w:t>
      </w:r>
      <w:r>
        <w:rPr>
          <w:spacing w:val="1"/>
          <w:vertAlign w:val="baseline"/>
        </w:rPr>
        <w:t> </w:t>
      </w:r>
      <w:r>
        <w:rPr>
          <w:vertAlign w:val="baseline"/>
        </w:rPr>
        <w:t>CVD,</w:t>
      </w:r>
      <w:r>
        <w:rPr>
          <w:spacing w:val="1"/>
          <w:vertAlign w:val="baseline"/>
        </w:rPr>
        <w:t> </w:t>
      </w:r>
      <w:r>
        <w:rPr>
          <w:vertAlign w:val="baseline"/>
        </w:rPr>
        <w:t>whereas</w:t>
      </w:r>
      <w:r>
        <w:rPr>
          <w:spacing w:val="1"/>
          <w:vertAlign w:val="baseline"/>
        </w:rPr>
        <w:t> </w:t>
      </w:r>
      <w:r>
        <w:rPr>
          <w:vertAlign w:val="baseline"/>
        </w:rPr>
        <w:t>the</w:t>
      </w:r>
      <w:r>
        <w:rPr>
          <w:spacing w:val="1"/>
          <w:vertAlign w:val="baseline"/>
        </w:rPr>
        <w:t> </w:t>
      </w:r>
      <w:r>
        <w:rPr>
          <w:vertAlign w:val="baseline"/>
        </w:rPr>
        <w:t>cognitive</w:t>
      </w:r>
      <w:r>
        <w:rPr>
          <w:spacing w:val="1"/>
          <w:vertAlign w:val="baseline"/>
        </w:rPr>
        <w:t> </w:t>
      </w:r>
      <w:r>
        <w:rPr>
          <w:vertAlign w:val="baseline"/>
        </w:rPr>
        <w:t>ancillary</w:t>
      </w:r>
      <w:r>
        <w:rPr>
          <w:spacing w:val="1"/>
          <w:vertAlign w:val="baseline"/>
        </w:rPr>
        <w:t> </w:t>
      </w:r>
      <w:r>
        <w:rPr>
          <w:vertAlign w:val="baseline"/>
        </w:rPr>
        <w:t>study</w:t>
      </w:r>
      <w:r>
        <w:rPr>
          <w:spacing w:val="1"/>
          <w:vertAlign w:val="baseline"/>
        </w:rPr>
        <w:t> </w:t>
      </w:r>
      <w:r>
        <w:rPr>
          <w:vertAlign w:val="baseline"/>
        </w:rPr>
        <w:t>examined</w:t>
      </w:r>
      <w:r>
        <w:rPr>
          <w:spacing w:val="1"/>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spacing w:line="249" w:lineRule="auto"/>
        <w:ind w:right="98"/>
      </w:pPr>
      <w:r>
        <w:rPr/>
        <w:t>timing hypothesis from the perspective of cognition and mood.</w:t>
      </w:r>
      <w:r>
        <w:rPr>
          <w:vertAlign w:val="superscript"/>
        </w:rPr>
        <w:t>335</w:t>
      </w:r>
      <w:r>
        <w:rPr>
          <w:vertAlign w:val="baseline"/>
        </w:rPr>
        <w:t> In KEEPS, postmenopausal women within 3 years of the FMP were randomized to oral versus transdermal estrogen versus placebo and </w:t>
      </w:r>
      <w:r>
        <w:rPr>
          <w:vertAlign w:val="baseline"/>
        </w:rPr>
        <w:t>were followed for 4 years. The primary outcomes for the cognitive and affective ancillary study included the Modified Mini-Mental State Examination, verbal learning/memory, auditory attention/working memory, visual attention/executive function, speeded language/mental flexibility, and a mood measure (Profile of Mood States).</w:t>
      </w:r>
      <w:r>
        <w:rPr>
          <w:vertAlign w:val="superscript"/>
        </w:rPr>
        <w:t>335</w:t>
      </w:r>
      <w:r>
        <w:rPr>
          <w:vertAlign w:val="baseline"/>
        </w:rPr>
        <w:t> KEEPS cognitive study failed to demonstrate</w:t>
      </w:r>
      <w:r>
        <w:rPr>
          <w:spacing w:val="-1"/>
          <w:vertAlign w:val="baseline"/>
        </w:rPr>
        <w:t> </w:t>
      </w:r>
      <w:r>
        <w:rPr>
          <w:vertAlign w:val="baseline"/>
        </w:rPr>
        <w:t>any</w:t>
      </w:r>
      <w:r>
        <w:rPr>
          <w:spacing w:val="-1"/>
          <w:vertAlign w:val="baseline"/>
        </w:rPr>
        <w:t> </w:t>
      </w:r>
      <w:r>
        <w:rPr>
          <w:vertAlign w:val="baseline"/>
        </w:rPr>
        <w:t>neuroprotective</w:t>
      </w:r>
      <w:r>
        <w:rPr>
          <w:spacing w:val="-1"/>
          <w:vertAlign w:val="baseline"/>
        </w:rPr>
        <w:t> </w:t>
      </w:r>
      <w:r>
        <w:rPr>
          <w:vertAlign w:val="baseline"/>
        </w:rPr>
        <w:t>effects</w:t>
      </w:r>
      <w:r>
        <w:rPr>
          <w:spacing w:val="-1"/>
          <w:vertAlign w:val="baseline"/>
        </w:rPr>
        <w:t> </w:t>
      </w:r>
      <w:r>
        <w:rPr>
          <w:vertAlign w:val="baseline"/>
        </w:rPr>
        <w:t>of</w:t>
      </w:r>
      <w:r>
        <w:rPr>
          <w:spacing w:val="-1"/>
          <w:vertAlign w:val="baseline"/>
        </w:rPr>
        <w:t> </w:t>
      </w:r>
      <w:r>
        <w:rPr>
          <w:vertAlign w:val="baseline"/>
        </w:rPr>
        <w:t>menopausal</w:t>
      </w:r>
      <w:r>
        <w:rPr>
          <w:spacing w:val="-1"/>
          <w:vertAlign w:val="baseline"/>
        </w:rPr>
        <w:t> </w:t>
      </w:r>
      <w:r>
        <w:rPr>
          <w:vertAlign w:val="baseline"/>
        </w:rPr>
        <w:t>hormone</w:t>
      </w:r>
      <w:r>
        <w:rPr>
          <w:spacing w:val="-1"/>
          <w:vertAlign w:val="baseline"/>
        </w:rPr>
        <w:t> </w:t>
      </w:r>
      <w:r>
        <w:rPr>
          <w:vertAlign w:val="baseline"/>
        </w:rPr>
        <w:t>therapy</w:t>
      </w:r>
      <w:r>
        <w:rPr>
          <w:spacing w:val="-1"/>
          <w:vertAlign w:val="baseline"/>
        </w:rPr>
        <w:t> </w:t>
      </w:r>
      <w:r>
        <w:rPr>
          <w:vertAlign w:val="baseline"/>
        </w:rPr>
        <w:t>on the studied cognitive outcomes.</w:t>
      </w:r>
    </w:p>
    <w:p>
      <w:pPr>
        <w:pStyle w:val="BodyText"/>
        <w:spacing w:line="249" w:lineRule="auto" w:before="12"/>
        <w:ind w:right="97" w:firstLine="450"/>
      </w:pPr>
      <w:r>
        <w:rPr/>
        <w:t>Unlike natural menopause, estrogen treatment of women immediately after bilateral oophorectomy was associated with improvement in certain, but not all, specific tests of memory, and healthy postmenopausal </w:t>
      </w:r>
      <w:r>
        <w:rPr/>
        <w:t>women taking</w:t>
      </w:r>
      <w:r>
        <w:rPr>
          <w:spacing w:val="-4"/>
        </w:rPr>
        <w:t> </w:t>
      </w:r>
      <w:r>
        <w:rPr/>
        <w:t>estrogen</w:t>
      </w:r>
      <w:r>
        <w:rPr>
          <w:spacing w:val="-4"/>
        </w:rPr>
        <w:t> </w:t>
      </w:r>
      <w:r>
        <w:rPr/>
        <w:t>scored</w:t>
      </w:r>
      <w:r>
        <w:rPr>
          <w:spacing w:val="-4"/>
        </w:rPr>
        <w:t> </w:t>
      </w:r>
      <w:r>
        <w:rPr/>
        <w:t>higher</w:t>
      </w:r>
      <w:r>
        <w:rPr>
          <w:spacing w:val="-4"/>
        </w:rPr>
        <w:t> </w:t>
      </w:r>
      <w:r>
        <w:rPr/>
        <w:t>on</w:t>
      </w:r>
      <w:r>
        <w:rPr>
          <w:spacing w:val="-4"/>
        </w:rPr>
        <w:t> </w:t>
      </w:r>
      <w:r>
        <w:rPr/>
        <w:t>tests</w:t>
      </w:r>
      <w:r>
        <w:rPr>
          <w:spacing w:val="-4"/>
        </w:rPr>
        <w:t> </w:t>
      </w:r>
      <w:r>
        <w:rPr/>
        <w:t>of</w:t>
      </w:r>
      <w:r>
        <w:rPr>
          <w:spacing w:val="-4"/>
        </w:rPr>
        <w:t> </w:t>
      </w:r>
      <w:r>
        <w:rPr/>
        <w:t>immediate</w:t>
      </w:r>
      <w:r>
        <w:rPr>
          <w:spacing w:val="-4"/>
        </w:rPr>
        <w:t> </w:t>
      </w:r>
      <w:r>
        <w:rPr/>
        <w:t>and</w:t>
      </w:r>
      <w:r>
        <w:rPr>
          <w:spacing w:val="-4"/>
        </w:rPr>
        <w:t> </w:t>
      </w:r>
      <w:r>
        <w:rPr/>
        <w:t>delayed</w:t>
      </w:r>
      <w:r>
        <w:rPr>
          <w:spacing w:val="-4"/>
        </w:rPr>
        <w:t> </w:t>
      </w:r>
      <w:r>
        <w:rPr/>
        <w:t>recall.</w:t>
      </w:r>
      <w:r>
        <w:rPr>
          <w:vertAlign w:val="superscript"/>
        </w:rPr>
        <w:t>336-338</w:t>
      </w:r>
      <w:r>
        <w:rPr>
          <w:vertAlign w:val="baseline"/>
        </w:rPr>
        <w:t> In a case-control study of women aged 55 to 93 years, estrogen users had better recall of proper names but no improvement in word recall.</w:t>
      </w:r>
      <w:r>
        <w:rPr>
          <w:vertAlign w:val="superscript"/>
        </w:rPr>
        <w:t>339</w:t>
      </w:r>
      <w:r>
        <w:rPr>
          <w:vertAlign w:val="baseline"/>
        </w:rPr>
        <w:t> Women in the Baltimore Longitudinal Study of Aging who were using estrogen performed better in tests of visual learning and memory.</w:t>
      </w:r>
      <w:r>
        <w:rPr>
          <w:vertAlign w:val="superscript"/>
        </w:rPr>
        <w:t>339-342</w:t>
      </w:r>
      <w:r>
        <w:rPr>
          <w:vertAlign w:val="baseline"/>
        </w:rPr>
        <w:t> In a New York City cohort of women, the use of estrogen was associated with better performance</w:t>
      </w:r>
      <w:r>
        <w:rPr>
          <w:spacing w:val="-6"/>
          <w:vertAlign w:val="baseline"/>
        </w:rPr>
        <w:t> </w:t>
      </w:r>
      <w:r>
        <w:rPr>
          <w:vertAlign w:val="baseline"/>
        </w:rPr>
        <w:t>in</w:t>
      </w:r>
      <w:r>
        <w:rPr>
          <w:spacing w:val="-6"/>
          <w:vertAlign w:val="baseline"/>
        </w:rPr>
        <w:t> </w:t>
      </w:r>
      <w:r>
        <w:rPr>
          <w:vertAlign w:val="baseline"/>
        </w:rPr>
        <w:t>tests</w:t>
      </w:r>
      <w:r>
        <w:rPr>
          <w:spacing w:val="-6"/>
          <w:vertAlign w:val="baseline"/>
        </w:rPr>
        <w:t> </w:t>
      </w:r>
      <w:r>
        <w:rPr>
          <w:vertAlign w:val="baseline"/>
        </w:rPr>
        <w:t>of</w:t>
      </w:r>
      <w:r>
        <w:rPr>
          <w:spacing w:val="-6"/>
          <w:vertAlign w:val="baseline"/>
        </w:rPr>
        <w:t> </w:t>
      </w:r>
      <w:r>
        <w:rPr>
          <w:vertAlign w:val="baseline"/>
        </w:rPr>
        <w:t>cognition,</w:t>
      </w:r>
      <w:r>
        <w:rPr>
          <w:spacing w:val="-6"/>
          <w:vertAlign w:val="baseline"/>
        </w:rPr>
        <w:t> </w:t>
      </w:r>
      <w:r>
        <w:rPr>
          <w:vertAlign w:val="baseline"/>
        </w:rPr>
        <w:t>and</w:t>
      </w:r>
      <w:r>
        <w:rPr>
          <w:spacing w:val="-6"/>
          <w:vertAlign w:val="baseline"/>
        </w:rPr>
        <w:t> </w:t>
      </w:r>
      <w:r>
        <w:rPr>
          <w:vertAlign w:val="baseline"/>
        </w:rPr>
        <w:t>better</w:t>
      </w:r>
      <w:r>
        <w:rPr>
          <w:spacing w:val="-6"/>
          <w:vertAlign w:val="baseline"/>
        </w:rPr>
        <w:t> </w:t>
      </w:r>
      <w:r>
        <w:rPr>
          <w:vertAlign w:val="baseline"/>
        </w:rPr>
        <w:t>performance</w:t>
      </w:r>
      <w:r>
        <w:rPr>
          <w:spacing w:val="-6"/>
          <w:vertAlign w:val="baseline"/>
        </w:rPr>
        <w:t> </w:t>
      </w:r>
      <w:r>
        <w:rPr>
          <w:vertAlign w:val="baseline"/>
        </w:rPr>
        <w:t>in</w:t>
      </w:r>
      <w:r>
        <w:rPr>
          <w:spacing w:val="-6"/>
          <w:vertAlign w:val="baseline"/>
        </w:rPr>
        <w:t> </w:t>
      </w:r>
      <w:r>
        <w:rPr>
          <w:vertAlign w:val="baseline"/>
        </w:rPr>
        <w:t>verbal</w:t>
      </w:r>
      <w:r>
        <w:rPr>
          <w:spacing w:val="-6"/>
          <w:vertAlign w:val="baseline"/>
        </w:rPr>
        <w:t> </w:t>
      </w:r>
      <w:r>
        <w:rPr>
          <w:vertAlign w:val="baseline"/>
        </w:rPr>
        <w:t>memory, but</w:t>
      </w:r>
      <w:r>
        <w:rPr>
          <w:spacing w:val="-3"/>
          <w:vertAlign w:val="baseline"/>
        </w:rPr>
        <w:t> </w:t>
      </w:r>
      <w:r>
        <w:rPr>
          <w:vertAlign w:val="baseline"/>
        </w:rPr>
        <w:t>the</w:t>
      </w:r>
      <w:r>
        <w:rPr>
          <w:spacing w:val="-3"/>
          <w:vertAlign w:val="baseline"/>
        </w:rPr>
        <w:t> </w:t>
      </w:r>
      <w:r>
        <w:rPr>
          <w:vertAlign w:val="baseline"/>
        </w:rPr>
        <w:t>cohort</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Study</w:t>
      </w:r>
      <w:r>
        <w:rPr>
          <w:spacing w:val="-3"/>
          <w:vertAlign w:val="baseline"/>
        </w:rPr>
        <w:t> </w:t>
      </w:r>
      <w:r>
        <w:rPr>
          <w:vertAlign w:val="baseline"/>
        </w:rPr>
        <w:t>of</w:t>
      </w:r>
      <w:r>
        <w:rPr>
          <w:spacing w:val="-3"/>
          <w:vertAlign w:val="baseline"/>
        </w:rPr>
        <w:t> </w:t>
      </w:r>
      <w:r>
        <w:rPr>
          <w:vertAlign w:val="baseline"/>
        </w:rPr>
        <w:t>Osteoporotic</w:t>
      </w:r>
      <w:r>
        <w:rPr>
          <w:spacing w:val="-3"/>
          <w:vertAlign w:val="baseline"/>
        </w:rPr>
        <w:t> </w:t>
      </w:r>
      <w:r>
        <w:rPr>
          <w:vertAlign w:val="baseline"/>
        </w:rPr>
        <w:t>Fractures</w:t>
      </w:r>
      <w:r>
        <w:rPr>
          <w:spacing w:val="-3"/>
          <w:vertAlign w:val="baseline"/>
        </w:rPr>
        <w:t> </w:t>
      </w:r>
      <w:r>
        <w:rPr>
          <w:vertAlign w:val="baseline"/>
        </w:rPr>
        <w:t>demonstrated</w:t>
      </w:r>
      <w:r>
        <w:rPr>
          <w:spacing w:val="-3"/>
          <w:vertAlign w:val="baseline"/>
        </w:rPr>
        <w:t> </w:t>
      </w:r>
      <w:r>
        <w:rPr>
          <w:vertAlign w:val="baseline"/>
        </w:rPr>
        <w:t>no</w:t>
      </w:r>
      <w:r>
        <w:rPr>
          <w:spacing w:val="-3"/>
          <w:vertAlign w:val="baseline"/>
        </w:rPr>
        <w:t> </w:t>
      </w:r>
      <w:r>
        <w:rPr>
          <w:vertAlign w:val="baseline"/>
        </w:rPr>
        <w:t>effect of estrogen use on the age-related decline in cognition.</w:t>
      </w:r>
      <w:r>
        <w:rPr>
          <w:vertAlign w:val="superscript"/>
        </w:rPr>
        <w:t>342,343</w:t>
      </w:r>
      <w:r>
        <w:rPr>
          <w:spacing w:val="-1"/>
          <w:vertAlign w:val="baseline"/>
        </w:rPr>
        <w:t> </w:t>
      </w:r>
      <w:r>
        <w:rPr>
          <w:vertAlign w:val="baseline"/>
        </w:rPr>
        <w:t>In</w:t>
      </w:r>
      <w:r>
        <w:rPr>
          <w:spacing w:val="-1"/>
          <w:vertAlign w:val="baseline"/>
        </w:rPr>
        <w:t> </w:t>
      </w:r>
      <w:r>
        <w:rPr>
          <w:vertAlign w:val="baseline"/>
        </w:rPr>
        <w:t>Connecticut, a randomized, placebo-controlled trial demonstrated better reading ability and verbal memory in the estrogen-treated group of postmenopausal women.</w:t>
      </w:r>
      <w:r>
        <w:rPr>
          <w:vertAlign w:val="superscript"/>
        </w:rPr>
        <w:t>344</w:t>
      </w:r>
      <w:r>
        <w:rPr>
          <w:vertAlign w:val="baseline"/>
        </w:rPr>
        <w:t> Perhaps a lack of agreement is due to the variability in test vehicles and the specific aspects of memory function studied. Furthermore, there is impressive individual variability, and when differences have been observed, they have not been large and perhaps of little clinical importance. In addition, any beneficial effects may be attenuated by progestational </w:t>
      </w:r>
      <w:r>
        <w:rPr>
          <w:spacing w:val="-2"/>
          <w:vertAlign w:val="baseline"/>
        </w:rPr>
        <w:t>agents.</w:t>
      </w:r>
      <w:r>
        <w:rPr>
          <w:spacing w:val="-2"/>
          <w:vertAlign w:val="superscript"/>
        </w:rPr>
        <w:t>330</w:t>
      </w:r>
    </w:p>
    <w:p>
      <w:pPr>
        <w:pStyle w:val="BodyText"/>
        <w:spacing w:line="249" w:lineRule="auto" w:before="25"/>
        <w:ind w:right="103" w:firstLine="450"/>
      </w:pPr>
      <w:r>
        <w:rPr/>
        <w:t>Another possibility for the variable effects of estrogen treatment on cognition is the variability among women in endogenous estrogen </w:t>
      </w:r>
      <w:r>
        <w:rPr/>
        <w:t>levels. Using sensitive assays for free, non-protein-bound estradiol and bioavailable (loosely bound) estradiol, cognitive decline occurred at a greater rate in women with low estradiol levels.</w:t>
      </w:r>
      <w:r>
        <w:rPr>
          <w:vertAlign w:val="superscript"/>
        </w:rPr>
        <w:t>345</w:t>
      </w:r>
      <w:r>
        <w:rPr>
          <w:vertAlign w:val="baseline"/>
        </w:rPr>
        <w:t> Studies of cognition may have</w:t>
      </w:r>
      <w:r>
        <w:rPr>
          <w:spacing w:val="56"/>
          <w:w w:val="150"/>
          <w:vertAlign w:val="baseline"/>
        </w:rPr>
        <w:t> </w:t>
      </w:r>
      <w:r>
        <w:rPr>
          <w:vertAlign w:val="baseline"/>
        </w:rPr>
        <w:t>to</w:t>
      </w:r>
      <w:r>
        <w:rPr>
          <w:spacing w:val="57"/>
          <w:w w:val="150"/>
          <w:vertAlign w:val="baseline"/>
        </w:rPr>
        <w:t> </w:t>
      </w:r>
      <w:r>
        <w:rPr>
          <w:vertAlign w:val="baseline"/>
        </w:rPr>
        <w:t>differentiate</w:t>
      </w:r>
      <w:r>
        <w:rPr>
          <w:spacing w:val="57"/>
          <w:w w:val="150"/>
          <w:vertAlign w:val="baseline"/>
        </w:rPr>
        <w:t> </w:t>
      </w:r>
      <w:r>
        <w:rPr>
          <w:vertAlign w:val="baseline"/>
        </w:rPr>
        <w:t>between</w:t>
      </w:r>
      <w:r>
        <w:rPr>
          <w:spacing w:val="57"/>
          <w:w w:val="150"/>
          <w:vertAlign w:val="baseline"/>
        </w:rPr>
        <w:t> </w:t>
      </w:r>
      <w:r>
        <w:rPr>
          <w:vertAlign w:val="baseline"/>
        </w:rPr>
        <w:t>low-</w:t>
      </w:r>
      <w:r>
        <w:rPr>
          <w:spacing w:val="57"/>
          <w:w w:val="150"/>
          <w:vertAlign w:val="baseline"/>
        </w:rPr>
        <w:t> </w:t>
      </w:r>
      <w:r>
        <w:rPr>
          <w:vertAlign w:val="baseline"/>
        </w:rPr>
        <w:t>and</w:t>
      </w:r>
      <w:r>
        <w:rPr>
          <w:spacing w:val="57"/>
          <w:w w:val="150"/>
          <w:vertAlign w:val="baseline"/>
        </w:rPr>
        <w:t> </w:t>
      </w:r>
      <w:r>
        <w:rPr>
          <w:vertAlign w:val="baseline"/>
        </w:rPr>
        <w:t>high-risk</w:t>
      </w:r>
      <w:r>
        <w:rPr>
          <w:spacing w:val="56"/>
          <w:w w:val="150"/>
          <w:vertAlign w:val="baseline"/>
        </w:rPr>
        <w:t> </w:t>
      </w:r>
      <w:r>
        <w:rPr>
          <w:vertAlign w:val="baseline"/>
        </w:rPr>
        <w:t>women</w:t>
      </w:r>
      <w:r>
        <w:rPr>
          <w:spacing w:val="57"/>
          <w:w w:val="150"/>
          <w:vertAlign w:val="baseline"/>
        </w:rPr>
        <w:t> </w:t>
      </w:r>
      <w:r>
        <w:rPr>
          <w:vertAlign w:val="baseline"/>
        </w:rPr>
        <w:t>according</w:t>
      </w:r>
      <w:r>
        <w:rPr>
          <w:spacing w:val="57"/>
          <w:w w:val="150"/>
          <w:vertAlign w:val="baseline"/>
        </w:rPr>
        <w:t> </w:t>
      </w:r>
      <w:r>
        <w:rPr>
          <w:spacing w:val="-5"/>
          <w:vertAlign w:val="baseline"/>
        </w:rPr>
        <w:t>to</w:t>
      </w:r>
    </w:p>
    <w:p>
      <w:pPr>
        <w:pStyle w:val="BodyText"/>
        <w:spacing w:after="0" w:line="249" w:lineRule="auto"/>
        <w:sectPr>
          <w:pgSz w:w="12240" w:h="15840"/>
          <w:pgMar w:top="1380" w:bottom="280" w:left="1440" w:right="1440"/>
        </w:sectPr>
      </w:pPr>
    </w:p>
    <w:p>
      <w:pPr>
        <w:pStyle w:val="BodyText"/>
        <w:spacing w:line="249" w:lineRule="auto"/>
        <w:ind w:right="105"/>
      </w:pPr>
      <w:r>
        <w:rPr/>
        <w:t>endogenous, biologically active estradiol levels. Similarly, a </w:t>
      </w:r>
      <w:r>
        <w:rPr/>
        <w:t>beneficial effect on cognitive decline has been observed only in women negative for the gene associated with Alzheimer disease, </w:t>
      </w:r>
      <w:r>
        <w:rPr>
          <w:i/>
        </w:rPr>
        <w:t>APOE-</w:t>
      </w:r>
      <w:r>
        <w:rPr/>
        <w:t>ε</w:t>
      </w:r>
      <w:r>
        <w:rPr>
          <w:i/>
        </w:rPr>
        <w:t>4</w:t>
      </w:r>
      <w:r>
        <w:rPr/>
        <w:t>, which encodes the ε4 allele of the glycoprotein known as apolipoprotein E, which has, as one of its functions, the shuttling of lipids during neuronal repair.</w:t>
      </w:r>
      <w:r>
        <w:rPr>
          <w:vertAlign w:val="superscript"/>
        </w:rPr>
        <w:t>346</w:t>
      </w:r>
    </w:p>
    <w:p>
      <w:pPr>
        <w:pStyle w:val="BodyText"/>
        <w:spacing w:line="249" w:lineRule="auto" w:before="6"/>
        <w:ind w:right="99" w:firstLine="450"/>
      </w:pPr>
      <w:r>
        <w:rPr/>
        <w:t>Up to 3 times as many women as men develop Alzheimer disease. Estrogen is capable of protecting central nervous system function by </w:t>
      </w:r>
      <w:r>
        <w:rPr/>
        <w:t>means of multiple mechanisms. For example, estrogen protects against neuronal cytotoxicity induced by oxidation; estrogen reduces the serum</w:t>
      </w:r>
      <w:r>
        <w:rPr>
          <w:spacing w:val="40"/>
        </w:rPr>
        <w:t> </w:t>
      </w:r>
      <w:r>
        <w:rPr/>
        <w:t>concentration of amyloid P component (the glycoprotein found in Alzheimer amyloid plaques); and estrogen increases synapses and neuronal growth, especially dendritic spine density.</w:t>
      </w:r>
      <w:r>
        <w:rPr>
          <w:vertAlign w:val="superscript"/>
        </w:rPr>
        <w:t>347-349</w:t>
      </w:r>
      <w:r>
        <w:rPr>
          <w:vertAlign w:val="baseline"/>
        </w:rPr>
        <w:t> Estrogen protects against the cerebrovascular toxicity exerted by amyloid peptides and promotes synaptic formation and neuronal growth and survival.</w:t>
      </w:r>
      <w:r>
        <w:rPr>
          <w:vertAlign w:val="superscript"/>
        </w:rPr>
        <w:t>350-352</w:t>
      </w:r>
      <w:r>
        <w:rPr>
          <w:vertAlign w:val="baseline"/>
        </w:rPr>
        <w:t> Progestational agents do not exert similar actions.</w:t>
      </w:r>
    </w:p>
    <w:p>
      <w:pPr>
        <w:pStyle w:val="BodyText"/>
        <w:spacing w:line="249" w:lineRule="auto" w:before="12"/>
        <w:ind w:right="99" w:firstLine="450"/>
      </w:pPr>
      <w:r>
        <w:rPr/>
        <w:t>Case-control and cohort findings indicated that Alzheimer disease and related dementia occurred less frequently (perhaps as much as 60% less) in estrogen users, and the effect was greater with increasing dose and duration of use.</w:t>
      </w:r>
      <w:r>
        <w:rPr>
          <w:vertAlign w:val="superscript"/>
        </w:rPr>
        <w:t>353-355</w:t>
      </w:r>
      <w:r>
        <w:rPr>
          <w:vertAlign w:val="baseline"/>
        </w:rPr>
        <w:t> In the Baltimore Longitudinal Study of Aging (a </w:t>
      </w:r>
      <w:r>
        <w:rPr>
          <w:vertAlign w:val="baseline"/>
        </w:rPr>
        <w:t>prospective cohort), the risk of Alzheimer disease was 54% reduced; in a cohort in New York City, the risk was reduced 60%; and in the Italian Longitudinal Study of</w:t>
      </w:r>
      <w:r>
        <w:rPr>
          <w:spacing w:val="-4"/>
          <w:vertAlign w:val="baseline"/>
        </w:rPr>
        <w:t> </w:t>
      </w:r>
      <w:r>
        <w:rPr>
          <w:vertAlign w:val="baseline"/>
        </w:rPr>
        <w:t>Aging,</w:t>
      </w:r>
      <w:r>
        <w:rPr>
          <w:spacing w:val="-4"/>
          <w:vertAlign w:val="baseline"/>
        </w:rPr>
        <w:t> </w:t>
      </w:r>
      <w:r>
        <w:rPr>
          <w:vertAlign w:val="baseline"/>
        </w:rPr>
        <w:t>the</w:t>
      </w:r>
      <w:r>
        <w:rPr>
          <w:spacing w:val="-4"/>
          <w:vertAlign w:val="baseline"/>
        </w:rPr>
        <w:t> </w:t>
      </w:r>
      <w:r>
        <w:rPr>
          <w:vertAlign w:val="baseline"/>
        </w:rPr>
        <w:t>risk</w:t>
      </w:r>
      <w:r>
        <w:rPr>
          <w:spacing w:val="-4"/>
          <w:vertAlign w:val="baseline"/>
        </w:rPr>
        <w:t> </w:t>
      </w:r>
      <w:r>
        <w:rPr>
          <w:vertAlign w:val="baseline"/>
        </w:rPr>
        <w:t>was</w:t>
      </w:r>
      <w:r>
        <w:rPr>
          <w:spacing w:val="-4"/>
          <w:vertAlign w:val="baseline"/>
        </w:rPr>
        <w:t> </w:t>
      </w:r>
      <w:r>
        <w:rPr>
          <w:vertAlign w:val="baseline"/>
        </w:rPr>
        <w:t>72%</w:t>
      </w:r>
      <w:r>
        <w:rPr>
          <w:spacing w:val="-4"/>
          <w:vertAlign w:val="baseline"/>
        </w:rPr>
        <w:t> </w:t>
      </w:r>
      <w:r>
        <w:rPr>
          <w:vertAlign w:val="baseline"/>
        </w:rPr>
        <w:t>reduced</w:t>
      </w:r>
      <w:r>
        <w:rPr>
          <w:spacing w:val="-4"/>
          <w:vertAlign w:val="baseline"/>
        </w:rPr>
        <w:t> </w:t>
      </w:r>
      <w:r>
        <w:rPr>
          <w:vertAlign w:val="baseline"/>
        </w:rPr>
        <w:t>in</w:t>
      </w:r>
      <w:r>
        <w:rPr>
          <w:spacing w:val="-4"/>
          <w:vertAlign w:val="baseline"/>
        </w:rPr>
        <w:t> </w:t>
      </w:r>
      <w:r>
        <w:rPr>
          <w:vertAlign w:val="baseline"/>
        </w:rPr>
        <w:t>estrogen</w:t>
      </w:r>
      <w:r>
        <w:rPr>
          <w:spacing w:val="-4"/>
          <w:vertAlign w:val="baseline"/>
        </w:rPr>
        <w:t> </w:t>
      </w:r>
      <w:r>
        <w:rPr>
          <w:vertAlign w:val="baseline"/>
        </w:rPr>
        <w:t>users.</w:t>
      </w:r>
      <w:r>
        <w:rPr>
          <w:vertAlign w:val="superscript"/>
        </w:rPr>
        <w:t>356-358</w:t>
      </w:r>
      <w:r>
        <w:rPr>
          <w:spacing w:val="-1"/>
          <w:vertAlign w:val="baseline"/>
        </w:rPr>
        <w:t> </w:t>
      </w:r>
      <w:r>
        <w:rPr>
          <w:vertAlign w:val="baseline"/>
        </w:rPr>
        <w:t>The findings are not uniformly positive; a case-control study with accurate information on clinical diagnoses and estrogen use from the UK General Practice Research Database could detect no impact of estrogen treatment on the risk of developing Alzheimer disease, but the number of estrogen users was very </w:t>
      </w:r>
      <w:r>
        <w:rPr>
          <w:spacing w:val="-2"/>
          <w:vertAlign w:val="baseline"/>
        </w:rPr>
        <w:t>small.</w:t>
      </w:r>
      <w:r>
        <w:rPr>
          <w:spacing w:val="-2"/>
          <w:vertAlign w:val="superscript"/>
        </w:rPr>
        <w:t>359</w:t>
      </w:r>
    </w:p>
    <w:p>
      <w:pPr>
        <w:pStyle w:val="BodyText"/>
        <w:spacing w:line="249" w:lineRule="auto" w:before="15"/>
        <w:ind w:right="98" w:firstLine="450"/>
      </w:pPr>
      <w:r>
        <w:rPr/>
        <w:t>The short-term administration of unopposed estrogen to patients with Alzheimer disease (secondary prevention) has been reported to improve cognitive performance but mostly to have no effect.</w:t>
      </w:r>
      <w:r>
        <w:rPr>
          <w:vertAlign w:val="superscript"/>
        </w:rPr>
        <w:t>360-365</w:t>
      </w:r>
      <w:r>
        <w:rPr>
          <w:vertAlign w:val="baseline"/>
        </w:rPr>
        <w:t> The</w:t>
      </w:r>
      <w:r>
        <w:rPr>
          <w:spacing w:val="40"/>
          <w:vertAlign w:val="baseline"/>
        </w:rPr>
        <w:t> </w:t>
      </w:r>
      <w:r>
        <w:rPr>
          <w:vertAlign w:val="baseline"/>
        </w:rPr>
        <w:t>administration of combinations of estrogen and progestin has also failed </w:t>
      </w:r>
      <w:r>
        <w:rPr>
          <w:vertAlign w:val="baseline"/>
        </w:rPr>
        <w:t>to demonstrate a beneficial impact in Alzheimer disease.</w:t>
      </w:r>
      <w:r>
        <w:rPr>
          <w:vertAlign w:val="superscript"/>
        </w:rPr>
        <w:t>366</w:t>
      </w:r>
      <w:r>
        <w:rPr>
          <w:vertAlign w:val="baseline"/>
        </w:rPr>
        <w:t> The presence of estrogen therapy has been reported to enhance the beneficial response to tacrine in women with Alzheimer disease,</w:t>
      </w:r>
      <w:r>
        <w:rPr>
          <w:vertAlign w:val="superscript"/>
        </w:rPr>
        <w:t>365</w:t>
      </w:r>
      <w:r>
        <w:rPr>
          <w:vertAlign w:val="baseline"/>
        </w:rPr>
        <w:t> but overall, the evidence is consistent with a failure of estrogen to influence already existing Alzheimer disease or other forms of dementia.</w:t>
      </w:r>
      <w:r>
        <w:rPr>
          <w:vertAlign w:val="superscript"/>
        </w:rPr>
        <w:t>367</w:t>
      </w:r>
    </w:p>
    <w:p>
      <w:pPr>
        <w:pStyle w:val="BodyText"/>
        <w:spacing w:after="0" w:line="249" w:lineRule="auto"/>
        <w:sectPr>
          <w:pgSz w:w="12240" w:h="15840"/>
          <w:pgMar w:top="1380" w:bottom="280" w:left="1440" w:right="1440"/>
        </w:sectPr>
      </w:pPr>
    </w:p>
    <w:p>
      <w:pPr>
        <w:pStyle w:val="BodyText"/>
        <w:spacing w:line="249" w:lineRule="auto"/>
        <w:ind w:right="98" w:firstLine="450"/>
      </w:pPr>
      <w:r>
        <w:rPr>
          <w:b/>
        </w:rPr>
        <w:t>Although observational data support a primary preventive effect of estrogens, this impression remains unproven by RCT data. </w:t>
      </w:r>
      <w:r>
        <w:rPr/>
        <w:t>In a prospective cohort study of women living in Cache County, Utah,</w:t>
      </w:r>
      <w:r>
        <w:rPr>
          <w:vertAlign w:val="superscript"/>
        </w:rPr>
        <w:t>368</w:t>
      </w:r>
      <w:r>
        <w:rPr>
          <w:vertAlign w:val="baseline"/>
        </w:rPr>
        <w:t> hormone therapy provided about a 41% reduced risk of developing Alzheimer</w:t>
      </w:r>
      <w:r>
        <w:rPr>
          <w:spacing w:val="-2"/>
          <w:vertAlign w:val="baseline"/>
        </w:rPr>
        <w:t> </w:t>
      </w:r>
      <w:r>
        <w:rPr>
          <w:vertAlign w:val="baseline"/>
        </w:rPr>
        <w:t>with</w:t>
      </w:r>
      <w:r>
        <w:rPr>
          <w:spacing w:val="-2"/>
          <w:vertAlign w:val="baseline"/>
        </w:rPr>
        <w:t> </w:t>
      </w:r>
      <w:r>
        <w:rPr>
          <w:vertAlign w:val="baseline"/>
        </w:rPr>
        <w:t>any</w:t>
      </w:r>
      <w:r>
        <w:rPr>
          <w:spacing w:val="-2"/>
          <w:vertAlign w:val="baseline"/>
        </w:rPr>
        <w:t> </w:t>
      </w:r>
      <w:r>
        <w:rPr>
          <w:vertAlign w:val="baseline"/>
        </w:rPr>
        <w:t>use</w:t>
      </w:r>
      <w:r>
        <w:rPr>
          <w:spacing w:val="-2"/>
          <w:vertAlign w:val="baseline"/>
        </w:rPr>
        <w:t> </w:t>
      </w:r>
      <w:r>
        <w:rPr>
          <w:vertAlign w:val="baseline"/>
        </w:rPr>
        <w:t>and</w:t>
      </w:r>
      <w:r>
        <w:rPr>
          <w:spacing w:val="-2"/>
          <w:vertAlign w:val="baseline"/>
        </w:rPr>
        <w:t> </w:t>
      </w:r>
      <w:r>
        <w:rPr>
          <w:vertAlign w:val="baseline"/>
        </w:rPr>
        <w:t>an</w:t>
      </w:r>
      <w:r>
        <w:rPr>
          <w:spacing w:val="-2"/>
          <w:vertAlign w:val="baseline"/>
        </w:rPr>
        <w:t> </w:t>
      </w:r>
      <w:r>
        <w:rPr>
          <w:vertAlign w:val="baseline"/>
        </w:rPr>
        <w:t>83%</w:t>
      </w:r>
      <w:r>
        <w:rPr>
          <w:spacing w:val="-2"/>
          <w:vertAlign w:val="baseline"/>
        </w:rPr>
        <w:t> </w:t>
      </w:r>
      <w:r>
        <w:rPr>
          <w:vertAlign w:val="baseline"/>
        </w:rPr>
        <w:t>reduction</w:t>
      </w:r>
      <w:r>
        <w:rPr>
          <w:spacing w:val="-2"/>
          <w:vertAlign w:val="baseline"/>
        </w:rPr>
        <w:t> </w:t>
      </w:r>
      <w:r>
        <w:rPr>
          <w:vertAlign w:val="baseline"/>
        </w:rPr>
        <w:t>with</w:t>
      </w:r>
      <w:r>
        <w:rPr>
          <w:spacing w:val="-2"/>
          <w:vertAlign w:val="baseline"/>
        </w:rPr>
        <w:t> </w:t>
      </w:r>
      <w:r>
        <w:rPr>
          <w:vertAlign w:val="baseline"/>
        </w:rPr>
        <w:t>10</w:t>
      </w:r>
      <w:r>
        <w:rPr>
          <w:spacing w:val="-2"/>
          <w:vertAlign w:val="baseline"/>
        </w:rPr>
        <w:t> </w:t>
      </w:r>
      <w:r>
        <w:rPr>
          <w:vertAlign w:val="baseline"/>
        </w:rPr>
        <w:t>or</w:t>
      </w:r>
      <w:r>
        <w:rPr>
          <w:spacing w:val="-2"/>
          <w:vertAlign w:val="baseline"/>
        </w:rPr>
        <w:t> </w:t>
      </w:r>
      <w:r>
        <w:rPr>
          <w:vertAlign w:val="baseline"/>
        </w:rPr>
        <w:t>more</w:t>
      </w:r>
      <w:r>
        <w:rPr>
          <w:spacing w:val="-2"/>
          <w:vertAlign w:val="baseline"/>
        </w:rPr>
        <w:t> </w:t>
      </w:r>
      <w:r>
        <w:rPr>
          <w:vertAlign w:val="baseline"/>
        </w:rPr>
        <w:t>years</w:t>
      </w:r>
      <w:r>
        <w:rPr>
          <w:spacing w:val="-2"/>
          <w:vertAlign w:val="baseline"/>
        </w:rPr>
        <w:t> </w:t>
      </w:r>
      <w:r>
        <w:rPr>
          <w:vertAlign w:val="baseline"/>
        </w:rPr>
        <w:t>of</w:t>
      </w:r>
      <w:r>
        <w:rPr>
          <w:spacing w:val="-2"/>
          <w:vertAlign w:val="baseline"/>
        </w:rPr>
        <w:t> </w:t>
      </w:r>
      <w:r>
        <w:rPr>
          <w:vertAlign w:val="baseline"/>
        </w:rPr>
        <w:t>use. This cohort also demonstrated improved cognition in estrogen users.</w:t>
      </w:r>
      <w:r>
        <w:rPr>
          <w:vertAlign w:val="superscript"/>
        </w:rPr>
        <w:t>369</w:t>
      </w:r>
      <w:r>
        <w:rPr>
          <w:vertAlign w:val="baseline"/>
        </w:rPr>
        <w:t> Similarly, other studies have shown a dose and duration dependent relationship between estrogen and Alzheimer disease prevention, with a 54% to 72% reduction in Alzheimer disease with the use of estrogen.</w:t>
      </w:r>
      <w:r>
        <w:rPr>
          <w:vertAlign w:val="superscript"/>
        </w:rPr>
        <w:t>353-359</w:t>
      </w:r>
      <w:r>
        <w:rPr>
          <w:vertAlign w:val="baseline"/>
        </w:rPr>
        <w:t> This same reduction, however, was not seen in a small UK study. Most importantly, if women had initiated hormone therapy within a period that encompassed 10 years before the development of clinical symptoms, there was no effect. The Utah study strongly suggested that hormone therapy must be used for a significant duration of time very early in the postmenopausal period to reduce the risk of Alzheimer disease. As neurons become changed by the pathology of dementia, they lose their ability to respond.</w:t>
      </w:r>
      <w:r>
        <w:rPr>
          <w:vertAlign w:val="superscript"/>
        </w:rPr>
        <w:t>298</w:t>
      </w:r>
      <w:r>
        <w:rPr>
          <w:vertAlign w:val="baseline"/>
        </w:rPr>
        <w:t> Similarly, a beneficial effect of hormone therapy on cognitive decline was observed only in women negative for </w:t>
      </w:r>
      <w:r>
        <w:rPr>
          <w:i/>
          <w:vertAlign w:val="baseline"/>
        </w:rPr>
        <w:t>APOE-</w:t>
      </w:r>
      <w:r>
        <w:rPr>
          <w:vertAlign w:val="baseline"/>
        </w:rPr>
        <w:t>ε</w:t>
      </w:r>
      <w:r>
        <w:rPr>
          <w:i/>
          <w:vertAlign w:val="baseline"/>
        </w:rPr>
        <w:t>4, </w:t>
      </w:r>
      <w:r>
        <w:rPr>
          <w:vertAlign w:val="baseline"/>
        </w:rPr>
        <w:t>the gene associated with Alzheimer disease.</w:t>
      </w:r>
      <w:r>
        <w:rPr>
          <w:vertAlign w:val="superscript"/>
        </w:rPr>
        <w:t>346</w:t>
      </w:r>
      <w:r>
        <w:rPr>
          <w:vertAlign w:val="baseline"/>
        </w:rPr>
        <w:t> Divergently, in a subsample of 61 recently menopausal women who had enrolled in the KEEPS RCT (further discussed in Chapter 22), the effect of hormone therapy on β-amyloid protein deposition was studied using positron emission tomography (PET) scan. While there were no differences in baseline characteristics of the subjects, carriers of the </w:t>
      </w:r>
      <w:r>
        <w:rPr>
          <w:i/>
          <w:vertAlign w:val="baseline"/>
        </w:rPr>
        <w:t>APOE-</w:t>
      </w:r>
      <w:r>
        <w:rPr>
          <w:vertAlign w:val="baseline"/>
        </w:rPr>
        <w:t>ε</w:t>
      </w:r>
      <w:r>
        <w:rPr>
          <w:i/>
          <w:vertAlign w:val="baseline"/>
        </w:rPr>
        <w:t>4 </w:t>
      </w:r>
      <w:r>
        <w:rPr>
          <w:vertAlign w:val="baseline"/>
        </w:rPr>
        <w:t>allele on transdermal estradiol had evidence</w:t>
      </w:r>
      <w:r>
        <w:rPr>
          <w:spacing w:val="-6"/>
          <w:vertAlign w:val="baseline"/>
        </w:rPr>
        <w:t> </w:t>
      </w:r>
      <w:r>
        <w:rPr>
          <w:vertAlign w:val="baseline"/>
        </w:rPr>
        <w:t>of</w:t>
      </w:r>
      <w:r>
        <w:rPr>
          <w:spacing w:val="-6"/>
          <w:vertAlign w:val="baseline"/>
        </w:rPr>
        <w:t> </w:t>
      </w:r>
      <w:r>
        <w:rPr>
          <w:vertAlign w:val="baseline"/>
        </w:rPr>
        <w:t>reduced</w:t>
      </w:r>
      <w:r>
        <w:rPr>
          <w:spacing w:val="-6"/>
          <w:vertAlign w:val="baseline"/>
        </w:rPr>
        <w:t> </w:t>
      </w:r>
      <w:r>
        <w:rPr>
          <w:vertAlign w:val="baseline"/>
        </w:rPr>
        <w:t>β-amyloid</w:t>
      </w:r>
      <w:r>
        <w:rPr>
          <w:spacing w:val="-6"/>
          <w:vertAlign w:val="baseline"/>
        </w:rPr>
        <w:t> </w:t>
      </w:r>
      <w:r>
        <w:rPr>
          <w:vertAlign w:val="baseline"/>
        </w:rPr>
        <w:t>protein</w:t>
      </w:r>
      <w:r>
        <w:rPr>
          <w:spacing w:val="-6"/>
          <w:vertAlign w:val="baseline"/>
        </w:rPr>
        <w:t> </w:t>
      </w:r>
      <w:r>
        <w:rPr>
          <w:vertAlign w:val="baseline"/>
        </w:rPr>
        <w:t>deposition</w:t>
      </w:r>
      <w:r>
        <w:rPr>
          <w:spacing w:val="-6"/>
          <w:vertAlign w:val="baseline"/>
        </w:rPr>
        <w:t> </w:t>
      </w:r>
      <w:r>
        <w:rPr>
          <w:vertAlign w:val="baseline"/>
        </w:rPr>
        <w:t>on</w:t>
      </w:r>
      <w:r>
        <w:rPr>
          <w:spacing w:val="-6"/>
          <w:vertAlign w:val="baseline"/>
        </w:rPr>
        <w:t> </w:t>
      </w:r>
      <w:r>
        <w:rPr>
          <w:vertAlign w:val="baseline"/>
        </w:rPr>
        <w:t>PET</w:t>
      </w:r>
      <w:r>
        <w:rPr>
          <w:spacing w:val="-6"/>
          <w:vertAlign w:val="baseline"/>
        </w:rPr>
        <w:t> </w:t>
      </w:r>
      <w:r>
        <w:rPr>
          <w:vertAlign w:val="baseline"/>
        </w:rPr>
        <w:t>scan.</w:t>
      </w:r>
      <w:r>
        <w:rPr>
          <w:vertAlign w:val="superscript"/>
        </w:rPr>
        <w:t>370</w:t>
      </w:r>
      <w:r>
        <w:rPr>
          <w:spacing w:val="-7"/>
          <w:vertAlign w:val="baseline"/>
        </w:rPr>
        <w:t> </w:t>
      </w:r>
      <w:r>
        <w:rPr>
          <w:vertAlign w:val="baseline"/>
        </w:rPr>
        <w:t>While</w:t>
      </w:r>
      <w:r>
        <w:rPr>
          <w:spacing w:val="-6"/>
          <w:vertAlign w:val="baseline"/>
        </w:rPr>
        <w:t> </w:t>
      </w:r>
      <w:r>
        <w:rPr>
          <w:vertAlign w:val="baseline"/>
        </w:rPr>
        <w:t>the sample size is small, KEEPS and other studies’ data suggest that as the neurons change, they lose their ability to respond favorably to estrogen, known as the timing hypothesis.</w:t>
      </w:r>
    </w:p>
    <w:p>
      <w:pPr>
        <w:pStyle w:val="BodyText"/>
        <w:spacing w:line="249" w:lineRule="auto" w:before="34"/>
        <w:ind w:right="98" w:firstLine="450"/>
      </w:pPr>
      <w:r>
        <w:rPr/>
        <w:t>The importance of timing is supported by findings from the WHI. Women aged 65 years or older who were treated with either estrogen alone or combined estrogen-progestin had an increased risk of impaired cognition and</w:t>
      </w:r>
      <w:r>
        <w:rPr>
          <w:spacing w:val="-5"/>
        </w:rPr>
        <w:t> </w:t>
      </w:r>
      <w:r>
        <w:rPr/>
        <w:t>of</w:t>
      </w:r>
      <w:r>
        <w:rPr>
          <w:spacing w:val="-5"/>
        </w:rPr>
        <w:t> </w:t>
      </w:r>
      <w:r>
        <w:rPr/>
        <w:t>dementia.</w:t>
      </w:r>
      <w:r>
        <w:rPr>
          <w:vertAlign w:val="superscript"/>
        </w:rPr>
        <w:t>371-373</w:t>
      </w:r>
      <w:r>
        <w:rPr>
          <w:vertAlign w:val="baseline"/>
        </w:rPr>
        <w:t> In a subset of these women, MRI scans </w:t>
      </w:r>
      <w:r>
        <w:rPr>
          <w:vertAlign w:val="baseline"/>
        </w:rPr>
        <w:t>demonstrated greater brain atrophy in the women receiving hormone therapy.</w:t>
      </w:r>
      <w:r>
        <w:rPr>
          <w:vertAlign w:val="superscript"/>
        </w:rPr>
        <w:t>374</w:t>
      </w:r>
      <w:r>
        <w:rPr>
          <w:vertAlign w:val="baseline"/>
        </w:rPr>
        <w:t> The mechanism for this adverse effect of hormonal therapy in old women may be a neurotoxic action because the WHI study with MRI scanning could not detect</w:t>
      </w:r>
      <w:r>
        <w:rPr>
          <w:spacing w:val="72"/>
          <w:vertAlign w:val="baseline"/>
        </w:rPr>
        <w:t> </w:t>
      </w:r>
      <w:r>
        <w:rPr>
          <w:vertAlign w:val="baseline"/>
        </w:rPr>
        <w:t>an</w:t>
      </w:r>
      <w:r>
        <w:rPr>
          <w:spacing w:val="73"/>
          <w:vertAlign w:val="baseline"/>
        </w:rPr>
        <w:t> </w:t>
      </w:r>
      <w:r>
        <w:rPr>
          <w:vertAlign w:val="baseline"/>
        </w:rPr>
        <w:t>increase</w:t>
      </w:r>
      <w:r>
        <w:rPr>
          <w:spacing w:val="73"/>
          <w:vertAlign w:val="baseline"/>
        </w:rPr>
        <w:t> </w:t>
      </w:r>
      <w:r>
        <w:rPr>
          <w:vertAlign w:val="baseline"/>
        </w:rPr>
        <w:t>in</w:t>
      </w:r>
      <w:r>
        <w:rPr>
          <w:spacing w:val="73"/>
          <w:vertAlign w:val="baseline"/>
        </w:rPr>
        <w:t> </w:t>
      </w:r>
      <w:r>
        <w:rPr>
          <w:vertAlign w:val="baseline"/>
        </w:rPr>
        <w:t>ischemic</w:t>
      </w:r>
      <w:r>
        <w:rPr>
          <w:spacing w:val="73"/>
          <w:vertAlign w:val="baseline"/>
        </w:rPr>
        <w:t> </w:t>
      </w:r>
      <w:r>
        <w:rPr>
          <w:vertAlign w:val="baseline"/>
        </w:rPr>
        <w:t>brain</w:t>
      </w:r>
      <w:r>
        <w:rPr>
          <w:spacing w:val="73"/>
          <w:vertAlign w:val="baseline"/>
        </w:rPr>
        <w:t> </w:t>
      </w:r>
      <w:r>
        <w:rPr>
          <w:vertAlign w:val="baseline"/>
        </w:rPr>
        <w:t>lesions.</w:t>
      </w:r>
      <w:r>
        <w:rPr>
          <w:vertAlign w:val="superscript"/>
        </w:rPr>
        <w:t>375</w:t>
      </w:r>
      <w:r>
        <w:rPr>
          <w:spacing w:val="72"/>
          <w:vertAlign w:val="baseline"/>
        </w:rPr>
        <w:t> </w:t>
      </w:r>
      <w:r>
        <w:rPr>
          <w:vertAlign w:val="baseline"/>
        </w:rPr>
        <w:t>Smaller</w:t>
      </w:r>
      <w:r>
        <w:rPr>
          <w:spacing w:val="73"/>
          <w:vertAlign w:val="baseline"/>
        </w:rPr>
        <w:t> </w:t>
      </w:r>
      <w:r>
        <w:rPr>
          <w:vertAlign w:val="baseline"/>
        </w:rPr>
        <w:t>MRI</w:t>
      </w:r>
      <w:r>
        <w:rPr>
          <w:spacing w:val="73"/>
          <w:vertAlign w:val="baseline"/>
        </w:rPr>
        <w:t> </w:t>
      </w:r>
      <w:r>
        <w:rPr>
          <w:vertAlign w:val="baseline"/>
        </w:rPr>
        <w:t>studies</w:t>
      </w:r>
      <w:r>
        <w:rPr>
          <w:spacing w:val="73"/>
          <w:vertAlign w:val="baseline"/>
        </w:rPr>
        <w:t> </w:t>
      </w:r>
      <w:r>
        <w:rPr>
          <w:spacing w:val="-5"/>
          <w:vertAlign w:val="baseline"/>
        </w:rPr>
        <w:t>of</w:t>
      </w:r>
    </w:p>
    <w:p>
      <w:pPr>
        <w:pStyle w:val="BodyText"/>
        <w:spacing w:after="0" w:line="249" w:lineRule="auto"/>
        <w:sectPr>
          <w:pgSz w:w="12240" w:h="15840"/>
          <w:pgMar w:top="1380" w:bottom="280" w:left="1440" w:right="1440"/>
        </w:sectPr>
      </w:pPr>
    </w:p>
    <w:p>
      <w:pPr>
        <w:spacing w:line="249" w:lineRule="auto" w:before="65"/>
        <w:ind w:left="22" w:right="97" w:firstLine="0"/>
        <w:jc w:val="right"/>
        <w:rPr>
          <w:b/>
          <w:sz w:val="30"/>
        </w:rPr>
      </w:pPr>
      <w:r>
        <w:rPr>
          <w:sz w:val="30"/>
        </w:rPr>
        <w:t>younger</w:t>
      </w:r>
      <w:r>
        <w:rPr>
          <w:spacing w:val="40"/>
          <w:sz w:val="30"/>
        </w:rPr>
        <w:t> </w:t>
      </w:r>
      <w:r>
        <w:rPr>
          <w:sz w:val="30"/>
        </w:rPr>
        <w:t>women</w:t>
      </w:r>
      <w:r>
        <w:rPr>
          <w:spacing w:val="40"/>
          <w:sz w:val="30"/>
        </w:rPr>
        <w:t> </w:t>
      </w:r>
      <w:r>
        <w:rPr>
          <w:sz w:val="30"/>
        </w:rPr>
        <w:t>treated</w:t>
      </w:r>
      <w:r>
        <w:rPr>
          <w:spacing w:val="40"/>
          <w:sz w:val="30"/>
        </w:rPr>
        <w:t> </w:t>
      </w:r>
      <w:r>
        <w:rPr>
          <w:sz w:val="30"/>
        </w:rPr>
        <w:t>with</w:t>
      </w:r>
      <w:r>
        <w:rPr>
          <w:spacing w:val="40"/>
          <w:sz w:val="30"/>
        </w:rPr>
        <w:t> </w:t>
      </w:r>
      <w:r>
        <w:rPr>
          <w:sz w:val="30"/>
        </w:rPr>
        <w:t>hormone</w:t>
      </w:r>
      <w:r>
        <w:rPr>
          <w:spacing w:val="40"/>
          <w:sz w:val="30"/>
        </w:rPr>
        <w:t> </w:t>
      </w:r>
      <w:r>
        <w:rPr>
          <w:sz w:val="30"/>
        </w:rPr>
        <w:t>therapy</w:t>
      </w:r>
      <w:r>
        <w:rPr>
          <w:spacing w:val="40"/>
          <w:sz w:val="30"/>
        </w:rPr>
        <w:t> </w:t>
      </w:r>
      <w:r>
        <w:rPr>
          <w:sz w:val="30"/>
        </w:rPr>
        <w:t>found</w:t>
      </w:r>
      <w:r>
        <w:rPr>
          <w:spacing w:val="40"/>
          <w:sz w:val="30"/>
        </w:rPr>
        <w:t> </w:t>
      </w:r>
      <w:r>
        <w:rPr>
          <w:sz w:val="30"/>
        </w:rPr>
        <w:t>beneficial</w:t>
      </w:r>
      <w:r>
        <w:rPr>
          <w:spacing w:val="40"/>
          <w:sz w:val="30"/>
        </w:rPr>
        <w:t> </w:t>
      </w:r>
      <w:r>
        <w:rPr>
          <w:sz w:val="30"/>
        </w:rPr>
        <w:t>trophic</w:t>
      </w:r>
      <w:r>
        <w:rPr>
          <w:spacing w:val="80"/>
          <w:w w:val="150"/>
          <w:sz w:val="30"/>
        </w:rPr>
        <w:t> </w:t>
      </w:r>
      <w:r>
        <w:rPr>
          <w:sz w:val="30"/>
        </w:rPr>
        <w:t>changes</w:t>
      </w:r>
      <w:r>
        <w:rPr>
          <w:spacing w:val="-7"/>
          <w:sz w:val="30"/>
        </w:rPr>
        <w:t> </w:t>
      </w:r>
      <w:r>
        <w:rPr>
          <w:sz w:val="30"/>
        </w:rPr>
        <w:t>in</w:t>
      </w:r>
      <w:r>
        <w:rPr>
          <w:spacing w:val="-7"/>
          <w:sz w:val="30"/>
        </w:rPr>
        <w:t> </w:t>
      </w:r>
      <w:r>
        <w:rPr>
          <w:sz w:val="30"/>
        </w:rPr>
        <w:t>brain</w:t>
      </w:r>
      <w:r>
        <w:rPr>
          <w:spacing w:val="-7"/>
          <w:sz w:val="30"/>
        </w:rPr>
        <w:t> </w:t>
      </w:r>
      <w:r>
        <w:rPr>
          <w:sz w:val="30"/>
        </w:rPr>
        <w:t>morphology,</w:t>
      </w:r>
      <w:r>
        <w:rPr>
          <w:spacing w:val="-7"/>
          <w:sz w:val="30"/>
        </w:rPr>
        <w:t> </w:t>
      </w:r>
      <w:r>
        <w:rPr>
          <w:sz w:val="30"/>
        </w:rPr>
        <w:t>associated</w:t>
      </w:r>
      <w:r>
        <w:rPr>
          <w:spacing w:val="-7"/>
          <w:sz w:val="30"/>
        </w:rPr>
        <w:t> </w:t>
      </w:r>
      <w:r>
        <w:rPr>
          <w:sz w:val="30"/>
        </w:rPr>
        <w:t>with</w:t>
      </w:r>
      <w:r>
        <w:rPr>
          <w:spacing w:val="-7"/>
          <w:sz w:val="30"/>
        </w:rPr>
        <w:t> </w:t>
      </w:r>
      <w:r>
        <w:rPr>
          <w:sz w:val="30"/>
        </w:rPr>
        <w:t>improved</w:t>
      </w:r>
      <w:r>
        <w:rPr>
          <w:spacing w:val="-7"/>
          <w:sz w:val="30"/>
        </w:rPr>
        <w:t> </w:t>
      </w:r>
      <w:r>
        <w:rPr>
          <w:sz w:val="30"/>
        </w:rPr>
        <w:t>cognition.</w:t>
      </w:r>
      <w:r>
        <w:rPr>
          <w:sz w:val="30"/>
          <w:vertAlign w:val="superscript"/>
        </w:rPr>
        <w:t>376-378</w:t>
      </w:r>
      <w:r>
        <w:rPr>
          <w:spacing w:val="-10"/>
          <w:sz w:val="30"/>
          <w:vertAlign w:val="baseline"/>
        </w:rPr>
        <w:t> </w:t>
      </w:r>
      <w:r>
        <w:rPr>
          <w:sz w:val="30"/>
          <w:vertAlign w:val="baseline"/>
        </w:rPr>
        <w:t>The mechanism</w:t>
      </w:r>
      <w:r>
        <w:rPr>
          <w:spacing w:val="-6"/>
          <w:sz w:val="30"/>
          <w:vertAlign w:val="baseline"/>
        </w:rPr>
        <w:t> </w:t>
      </w:r>
      <w:r>
        <w:rPr>
          <w:sz w:val="30"/>
          <w:vertAlign w:val="baseline"/>
        </w:rPr>
        <w:t>seems</w:t>
      </w:r>
      <w:r>
        <w:rPr>
          <w:spacing w:val="-6"/>
          <w:sz w:val="30"/>
          <w:vertAlign w:val="baseline"/>
        </w:rPr>
        <w:t> </w:t>
      </w:r>
      <w:r>
        <w:rPr>
          <w:sz w:val="30"/>
          <w:vertAlign w:val="baseline"/>
        </w:rPr>
        <w:t>to</w:t>
      </w:r>
      <w:r>
        <w:rPr>
          <w:spacing w:val="-6"/>
          <w:sz w:val="30"/>
          <w:vertAlign w:val="baseline"/>
        </w:rPr>
        <w:t> </w:t>
      </w:r>
      <w:r>
        <w:rPr>
          <w:sz w:val="30"/>
          <w:vertAlign w:val="baseline"/>
        </w:rPr>
        <w:t>differ</w:t>
      </w:r>
      <w:r>
        <w:rPr>
          <w:spacing w:val="-6"/>
          <w:sz w:val="30"/>
          <w:vertAlign w:val="baseline"/>
        </w:rPr>
        <w:t> </w:t>
      </w:r>
      <w:r>
        <w:rPr>
          <w:sz w:val="30"/>
          <w:vertAlign w:val="baseline"/>
        </w:rPr>
        <w:t>by</w:t>
      </w:r>
      <w:r>
        <w:rPr>
          <w:spacing w:val="-6"/>
          <w:sz w:val="30"/>
          <w:vertAlign w:val="baseline"/>
        </w:rPr>
        <w:t> </w:t>
      </w:r>
      <w:r>
        <w:rPr>
          <w:sz w:val="30"/>
          <w:vertAlign w:val="baseline"/>
        </w:rPr>
        <w:t>route</w:t>
      </w:r>
      <w:r>
        <w:rPr>
          <w:spacing w:val="-6"/>
          <w:sz w:val="30"/>
          <w:vertAlign w:val="baseline"/>
        </w:rPr>
        <w:t> </w:t>
      </w:r>
      <w:r>
        <w:rPr>
          <w:sz w:val="30"/>
          <w:vertAlign w:val="baseline"/>
        </w:rPr>
        <w:t>and</w:t>
      </w:r>
      <w:r>
        <w:rPr>
          <w:spacing w:val="-6"/>
          <w:sz w:val="30"/>
          <w:vertAlign w:val="baseline"/>
        </w:rPr>
        <w:t> </w:t>
      </w:r>
      <w:r>
        <w:rPr>
          <w:sz w:val="30"/>
          <w:vertAlign w:val="baseline"/>
        </w:rPr>
        <w:t>formulation</w:t>
      </w:r>
      <w:r>
        <w:rPr>
          <w:spacing w:val="-6"/>
          <w:sz w:val="30"/>
          <w:vertAlign w:val="baseline"/>
        </w:rPr>
        <w:t> </w:t>
      </w:r>
      <w:r>
        <w:rPr>
          <w:sz w:val="30"/>
          <w:vertAlign w:val="baseline"/>
        </w:rPr>
        <w:t>of</w:t>
      </w:r>
      <w:r>
        <w:rPr>
          <w:spacing w:val="-6"/>
          <w:sz w:val="30"/>
          <w:vertAlign w:val="baseline"/>
        </w:rPr>
        <w:t> </w:t>
      </w:r>
      <w:r>
        <w:rPr>
          <w:sz w:val="30"/>
          <w:vertAlign w:val="baseline"/>
        </w:rPr>
        <w:t>hormone</w:t>
      </w:r>
      <w:r>
        <w:rPr>
          <w:spacing w:val="-6"/>
          <w:sz w:val="30"/>
          <w:vertAlign w:val="baseline"/>
        </w:rPr>
        <w:t> </w:t>
      </w:r>
      <w:r>
        <w:rPr>
          <w:sz w:val="30"/>
          <w:vertAlign w:val="baseline"/>
        </w:rPr>
        <w:t>regimen.</w:t>
      </w:r>
      <w:r>
        <w:rPr>
          <w:sz w:val="30"/>
          <w:vertAlign w:val="superscript"/>
        </w:rPr>
        <w:t>370</w:t>
      </w:r>
      <w:r>
        <w:rPr>
          <w:sz w:val="30"/>
          <w:vertAlign w:val="baseline"/>
        </w:rPr>
        <w:t> </w:t>
      </w:r>
      <w:r>
        <w:rPr>
          <w:b/>
          <w:sz w:val="30"/>
          <w:vertAlign w:val="baseline"/>
        </w:rPr>
        <w:t>The</w:t>
      </w:r>
      <w:r>
        <w:rPr>
          <w:b/>
          <w:spacing w:val="40"/>
          <w:sz w:val="30"/>
          <w:vertAlign w:val="baseline"/>
        </w:rPr>
        <w:t> </w:t>
      </w:r>
      <w:r>
        <w:rPr>
          <w:b/>
          <w:sz w:val="30"/>
          <w:vertAlign w:val="baseline"/>
        </w:rPr>
        <w:t>theme</w:t>
      </w:r>
      <w:r>
        <w:rPr>
          <w:b/>
          <w:spacing w:val="40"/>
          <w:sz w:val="30"/>
          <w:vertAlign w:val="baseline"/>
        </w:rPr>
        <w:t> </w:t>
      </w:r>
      <w:r>
        <w:rPr>
          <w:b/>
          <w:sz w:val="30"/>
          <w:vertAlign w:val="baseline"/>
        </w:rPr>
        <w:t>that</w:t>
      </w:r>
      <w:r>
        <w:rPr>
          <w:b/>
          <w:spacing w:val="40"/>
          <w:sz w:val="30"/>
          <w:vertAlign w:val="baseline"/>
        </w:rPr>
        <w:t> </w:t>
      </w:r>
      <w:r>
        <w:rPr>
          <w:b/>
          <w:sz w:val="30"/>
          <w:vertAlign w:val="baseline"/>
        </w:rPr>
        <w:t>emerges</w:t>
      </w:r>
      <w:r>
        <w:rPr>
          <w:b/>
          <w:spacing w:val="40"/>
          <w:sz w:val="30"/>
          <w:vertAlign w:val="baseline"/>
        </w:rPr>
        <w:t> </w:t>
      </w:r>
      <w:r>
        <w:rPr>
          <w:b/>
          <w:sz w:val="30"/>
          <w:vertAlign w:val="baseline"/>
        </w:rPr>
        <w:t>is</w:t>
      </w:r>
      <w:r>
        <w:rPr>
          <w:b/>
          <w:spacing w:val="40"/>
          <w:sz w:val="30"/>
          <w:vertAlign w:val="baseline"/>
        </w:rPr>
        <w:t> </w:t>
      </w:r>
      <w:r>
        <w:rPr>
          <w:b/>
          <w:sz w:val="30"/>
          <w:vertAlign w:val="baseline"/>
        </w:rPr>
        <w:t>that</w:t>
      </w:r>
      <w:r>
        <w:rPr>
          <w:b/>
          <w:spacing w:val="40"/>
          <w:sz w:val="30"/>
          <w:vertAlign w:val="baseline"/>
        </w:rPr>
        <w:t> </w:t>
      </w:r>
      <w:r>
        <w:rPr>
          <w:b/>
          <w:sz w:val="30"/>
          <w:vertAlign w:val="baseline"/>
        </w:rPr>
        <w:t>maintenance</w:t>
      </w:r>
      <w:r>
        <w:rPr>
          <w:b/>
          <w:spacing w:val="40"/>
          <w:sz w:val="30"/>
          <w:vertAlign w:val="baseline"/>
        </w:rPr>
        <w:t> </w:t>
      </w:r>
      <w:r>
        <w:rPr>
          <w:b/>
          <w:sz w:val="30"/>
          <w:vertAlign w:val="baseline"/>
        </w:rPr>
        <w:t>of</w:t>
      </w:r>
      <w:r>
        <w:rPr>
          <w:b/>
          <w:spacing w:val="40"/>
          <w:sz w:val="30"/>
          <w:vertAlign w:val="baseline"/>
        </w:rPr>
        <w:t> </w:t>
      </w:r>
      <w:r>
        <w:rPr>
          <w:b/>
          <w:sz w:val="30"/>
          <w:vertAlign w:val="baseline"/>
        </w:rPr>
        <w:t>health</w:t>
      </w:r>
      <w:r>
        <w:rPr>
          <w:b/>
          <w:spacing w:val="40"/>
          <w:sz w:val="30"/>
          <w:vertAlign w:val="baseline"/>
        </w:rPr>
        <w:t> </w:t>
      </w:r>
      <w:r>
        <w:rPr>
          <w:b/>
          <w:sz w:val="30"/>
          <w:vertAlign w:val="baseline"/>
        </w:rPr>
        <w:t>in</w:t>
      </w:r>
      <w:r>
        <w:rPr>
          <w:b/>
          <w:spacing w:val="40"/>
          <w:sz w:val="30"/>
          <w:vertAlign w:val="baseline"/>
        </w:rPr>
        <w:t> </w:t>
      </w:r>
      <w:r>
        <w:rPr>
          <w:b/>
          <w:sz w:val="30"/>
          <w:vertAlign w:val="baseline"/>
        </w:rPr>
        <w:t>target</w:t>
      </w:r>
      <w:r>
        <w:rPr>
          <w:b/>
          <w:spacing w:val="80"/>
          <w:sz w:val="30"/>
          <w:vertAlign w:val="baseline"/>
        </w:rPr>
        <w:t> </w:t>
      </w:r>
      <w:r>
        <w:rPr>
          <w:b/>
          <w:sz w:val="30"/>
          <w:vertAlign w:val="baseline"/>
        </w:rPr>
        <w:t>organs</w:t>
      </w:r>
      <w:r>
        <w:rPr>
          <w:b/>
          <w:spacing w:val="40"/>
          <w:sz w:val="30"/>
          <w:vertAlign w:val="baseline"/>
        </w:rPr>
        <w:t> </w:t>
      </w:r>
      <w:r>
        <w:rPr>
          <w:b/>
          <w:sz w:val="30"/>
          <w:vertAlign w:val="baseline"/>
        </w:rPr>
        <w:t>by</w:t>
      </w:r>
      <w:r>
        <w:rPr>
          <w:b/>
          <w:spacing w:val="40"/>
          <w:sz w:val="30"/>
          <w:vertAlign w:val="baseline"/>
        </w:rPr>
        <w:t> </w:t>
      </w:r>
      <w:r>
        <w:rPr>
          <w:b/>
          <w:sz w:val="30"/>
          <w:vertAlign w:val="baseline"/>
        </w:rPr>
        <w:t>estrogen</w:t>
      </w:r>
      <w:r>
        <w:rPr>
          <w:b/>
          <w:spacing w:val="40"/>
          <w:sz w:val="30"/>
          <w:vertAlign w:val="baseline"/>
        </w:rPr>
        <w:t> </w:t>
      </w:r>
      <w:r>
        <w:rPr>
          <w:b/>
          <w:sz w:val="30"/>
          <w:vertAlign w:val="baseline"/>
        </w:rPr>
        <w:t>requires</w:t>
      </w:r>
      <w:r>
        <w:rPr>
          <w:b/>
          <w:spacing w:val="40"/>
          <w:sz w:val="30"/>
          <w:vertAlign w:val="baseline"/>
        </w:rPr>
        <w:t> </w:t>
      </w:r>
      <w:r>
        <w:rPr>
          <w:b/>
          <w:sz w:val="30"/>
          <w:vertAlign w:val="baseline"/>
        </w:rPr>
        <w:t>normal</w:t>
      </w:r>
      <w:r>
        <w:rPr>
          <w:b/>
          <w:spacing w:val="40"/>
          <w:sz w:val="30"/>
          <w:vertAlign w:val="baseline"/>
        </w:rPr>
        <w:t> </w:t>
      </w:r>
      <w:r>
        <w:rPr>
          <w:b/>
          <w:sz w:val="30"/>
          <w:vertAlign w:val="baseline"/>
        </w:rPr>
        <w:t>tissue,</w:t>
      </w:r>
      <w:r>
        <w:rPr>
          <w:b/>
          <w:spacing w:val="40"/>
          <w:sz w:val="30"/>
          <w:vertAlign w:val="baseline"/>
        </w:rPr>
        <w:t> </w:t>
      </w:r>
      <w:r>
        <w:rPr>
          <w:b/>
          <w:sz w:val="30"/>
          <w:vertAlign w:val="baseline"/>
        </w:rPr>
        <w:t>a</w:t>
      </w:r>
      <w:r>
        <w:rPr>
          <w:b/>
          <w:spacing w:val="40"/>
          <w:sz w:val="30"/>
          <w:vertAlign w:val="baseline"/>
        </w:rPr>
        <w:t> </w:t>
      </w:r>
      <w:r>
        <w:rPr>
          <w:b/>
          <w:sz w:val="30"/>
          <w:vertAlign w:val="baseline"/>
        </w:rPr>
        <w:t>principle</w:t>
      </w:r>
      <w:r>
        <w:rPr>
          <w:b/>
          <w:spacing w:val="40"/>
          <w:sz w:val="30"/>
          <w:vertAlign w:val="baseline"/>
        </w:rPr>
        <w:t> </w:t>
      </w:r>
      <w:r>
        <w:rPr>
          <w:b/>
          <w:sz w:val="30"/>
          <w:vertAlign w:val="baseline"/>
        </w:rPr>
        <w:t>of</w:t>
      </w:r>
      <w:r>
        <w:rPr>
          <w:b/>
          <w:spacing w:val="40"/>
          <w:sz w:val="30"/>
          <w:vertAlign w:val="baseline"/>
        </w:rPr>
        <w:t> </w:t>
      </w:r>
      <w:r>
        <w:rPr>
          <w:b/>
          <w:sz w:val="30"/>
          <w:vertAlign w:val="baseline"/>
        </w:rPr>
        <w:t>timing</w:t>
      </w:r>
      <w:r>
        <w:rPr>
          <w:b/>
          <w:spacing w:val="40"/>
          <w:sz w:val="30"/>
          <w:vertAlign w:val="baseline"/>
        </w:rPr>
        <w:t> </w:t>
      </w:r>
      <w:r>
        <w:rPr>
          <w:b/>
          <w:sz w:val="30"/>
          <w:vertAlign w:val="baseline"/>
        </w:rPr>
        <w:t>that will also be discussed further in the hormone therapy chapter (Chapter 22).</w:t>
      </w:r>
      <w:r>
        <w:rPr>
          <w:b/>
          <w:spacing w:val="-5"/>
          <w:sz w:val="30"/>
          <w:vertAlign w:val="baseline"/>
        </w:rPr>
        <w:t> </w:t>
      </w:r>
      <w:r>
        <w:rPr>
          <w:b/>
          <w:sz w:val="30"/>
          <w:vertAlign w:val="baseline"/>
        </w:rPr>
        <w:t>Following the failure of secondary prevention trials to demonstrate a</w:t>
      </w:r>
      <w:r>
        <w:rPr>
          <w:b/>
          <w:spacing w:val="40"/>
          <w:sz w:val="30"/>
          <w:vertAlign w:val="baseline"/>
        </w:rPr>
        <w:t> </w:t>
      </w:r>
      <w:r>
        <w:rPr>
          <w:b/>
          <w:sz w:val="30"/>
          <w:vertAlign w:val="baseline"/>
        </w:rPr>
        <w:t>beneficial</w:t>
      </w:r>
      <w:r>
        <w:rPr>
          <w:b/>
          <w:spacing w:val="40"/>
          <w:sz w:val="30"/>
          <w:vertAlign w:val="baseline"/>
        </w:rPr>
        <w:t> </w:t>
      </w:r>
      <w:r>
        <w:rPr>
          <w:b/>
          <w:sz w:val="30"/>
          <w:vertAlign w:val="baseline"/>
        </w:rPr>
        <w:t>impact</w:t>
      </w:r>
      <w:r>
        <w:rPr>
          <w:b/>
          <w:spacing w:val="40"/>
          <w:sz w:val="30"/>
          <w:vertAlign w:val="baseline"/>
        </w:rPr>
        <w:t> </w:t>
      </w:r>
      <w:r>
        <w:rPr>
          <w:b/>
          <w:sz w:val="30"/>
          <w:vertAlign w:val="baseline"/>
        </w:rPr>
        <w:t>of</w:t>
      </w:r>
      <w:r>
        <w:rPr>
          <w:b/>
          <w:spacing w:val="40"/>
          <w:sz w:val="30"/>
          <w:vertAlign w:val="baseline"/>
        </w:rPr>
        <w:t> </w:t>
      </w:r>
      <w:r>
        <w:rPr>
          <w:b/>
          <w:sz w:val="30"/>
          <w:vertAlign w:val="baseline"/>
        </w:rPr>
        <w:t>hormone</w:t>
      </w:r>
      <w:r>
        <w:rPr>
          <w:b/>
          <w:spacing w:val="40"/>
          <w:sz w:val="30"/>
          <w:vertAlign w:val="baseline"/>
        </w:rPr>
        <w:t> </w:t>
      </w:r>
      <w:r>
        <w:rPr>
          <w:b/>
          <w:sz w:val="30"/>
          <w:vertAlign w:val="baseline"/>
        </w:rPr>
        <w:t>therapy</w:t>
      </w:r>
      <w:r>
        <w:rPr>
          <w:b/>
          <w:spacing w:val="40"/>
          <w:sz w:val="30"/>
          <w:vertAlign w:val="baseline"/>
        </w:rPr>
        <w:t> </w:t>
      </w:r>
      <w:r>
        <w:rPr>
          <w:b/>
          <w:sz w:val="30"/>
          <w:vertAlign w:val="baseline"/>
        </w:rPr>
        <w:t>on</w:t>
      </w:r>
      <w:r>
        <w:rPr>
          <w:b/>
          <w:spacing w:val="40"/>
          <w:sz w:val="30"/>
          <w:vertAlign w:val="baseline"/>
        </w:rPr>
        <w:t> </w:t>
      </w:r>
      <w:r>
        <w:rPr>
          <w:b/>
          <w:sz w:val="30"/>
          <w:vertAlign w:val="baseline"/>
        </w:rPr>
        <w:t>coronary</w:t>
      </w:r>
      <w:r>
        <w:rPr>
          <w:b/>
          <w:spacing w:val="40"/>
          <w:sz w:val="30"/>
          <w:vertAlign w:val="baseline"/>
        </w:rPr>
        <w:t> </w:t>
      </w:r>
      <w:r>
        <w:rPr>
          <w:b/>
          <w:sz w:val="30"/>
          <w:vertAlign w:val="baseline"/>
        </w:rPr>
        <w:t>disease</w:t>
      </w:r>
      <w:r>
        <w:rPr>
          <w:b/>
          <w:spacing w:val="40"/>
          <w:sz w:val="30"/>
          <w:vertAlign w:val="baseline"/>
        </w:rPr>
        <w:t> </w:t>
      </w:r>
      <w:r>
        <w:rPr>
          <w:b/>
          <w:sz w:val="30"/>
          <w:vertAlign w:val="baseline"/>
        </w:rPr>
        <w:t>in</w:t>
      </w:r>
      <w:r>
        <w:rPr>
          <w:b/>
          <w:spacing w:val="40"/>
          <w:sz w:val="30"/>
          <w:vertAlign w:val="baseline"/>
        </w:rPr>
        <w:t> </w:t>
      </w:r>
      <w:r>
        <w:rPr>
          <w:b/>
          <w:sz w:val="30"/>
          <w:vertAlign w:val="baseline"/>
        </w:rPr>
        <w:t>older women,</w:t>
      </w:r>
      <w:r>
        <w:rPr>
          <w:b/>
          <w:spacing w:val="80"/>
          <w:sz w:val="30"/>
          <w:vertAlign w:val="baseline"/>
        </w:rPr>
        <w:t> </w:t>
      </w:r>
      <w:r>
        <w:rPr>
          <w:b/>
          <w:sz w:val="30"/>
          <w:vertAlign w:val="baseline"/>
        </w:rPr>
        <w:t>it</w:t>
      </w:r>
      <w:r>
        <w:rPr>
          <w:b/>
          <w:spacing w:val="80"/>
          <w:sz w:val="30"/>
          <w:vertAlign w:val="baseline"/>
        </w:rPr>
        <w:t> </w:t>
      </w:r>
      <w:r>
        <w:rPr>
          <w:b/>
          <w:sz w:val="30"/>
          <w:vertAlign w:val="baseline"/>
        </w:rPr>
        <w:t>is</w:t>
      </w:r>
      <w:r>
        <w:rPr>
          <w:b/>
          <w:spacing w:val="80"/>
          <w:sz w:val="30"/>
          <w:vertAlign w:val="baseline"/>
        </w:rPr>
        <w:t> </w:t>
      </w:r>
      <w:r>
        <w:rPr>
          <w:b/>
          <w:sz w:val="30"/>
          <w:vertAlign w:val="baseline"/>
        </w:rPr>
        <w:t>increasingly</w:t>
      </w:r>
      <w:r>
        <w:rPr>
          <w:b/>
          <w:spacing w:val="80"/>
          <w:sz w:val="30"/>
          <w:vertAlign w:val="baseline"/>
        </w:rPr>
        <w:t> </w:t>
      </w:r>
      <w:r>
        <w:rPr>
          <w:b/>
          <w:sz w:val="30"/>
          <w:vertAlign w:val="baseline"/>
        </w:rPr>
        <w:t>argued</w:t>
      </w:r>
      <w:r>
        <w:rPr>
          <w:b/>
          <w:spacing w:val="80"/>
          <w:sz w:val="30"/>
          <w:vertAlign w:val="baseline"/>
        </w:rPr>
        <w:t> </w:t>
      </w:r>
      <w:r>
        <w:rPr>
          <w:b/>
          <w:sz w:val="30"/>
          <w:vertAlign w:val="baseline"/>
        </w:rPr>
        <w:t>that</w:t>
      </w:r>
      <w:r>
        <w:rPr>
          <w:b/>
          <w:spacing w:val="80"/>
          <w:sz w:val="30"/>
          <w:vertAlign w:val="baseline"/>
        </w:rPr>
        <w:t> </w:t>
      </w:r>
      <w:r>
        <w:rPr>
          <w:b/>
          <w:sz w:val="30"/>
          <w:vertAlign w:val="baseline"/>
        </w:rPr>
        <w:t>estrogen</w:t>
      </w:r>
      <w:r>
        <w:rPr>
          <w:b/>
          <w:spacing w:val="80"/>
          <w:sz w:val="30"/>
          <w:vertAlign w:val="baseline"/>
        </w:rPr>
        <w:t> </w:t>
      </w:r>
      <w:r>
        <w:rPr>
          <w:b/>
          <w:sz w:val="30"/>
          <w:vertAlign w:val="baseline"/>
        </w:rPr>
        <w:t>only</w:t>
      </w:r>
      <w:r>
        <w:rPr>
          <w:b/>
          <w:spacing w:val="80"/>
          <w:sz w:val="30"/>
          <w:vertAlign w:val="baseline"/>
        </w:rPr>
        <w:t> </w:t>
      </w:r>
      <w:r>
        <w:rPr>
          <w:b/>
          <w:sz w:val="30"/>
          <w:vertAlign w:val="baseline"/>
        </w:rPr>
        <w:t>exerts</w:t>
      </w:r>
      <w:r>
        <w:rPr>
          <w:b/>
          <w:spacing w:val="80"/>
          <w:sz w:val="30"/>
          <w:vertAlign w:val="baseline"/>
        </w:rPr>
        <w:t> </w:t>
      </w:r>
      <w:r>
        <w:rPr>
          <w:b/>
          <w:sz w:val="30"/>
          <w:vertAlign w:val="baseline"/>
        </w:rPr>
        <w:t>positive effects</w:t>
      </w:r>
      <w:r>
        <w:rPr>
          <w:b/>
          <w:spacing w:val="40"/>
          <w:sz w:val="30"/>
          <w:vertAlign w:val="baseline"/>
        </w:rPr>
        <w:t> </w:t>
      </w:r>
      <w:r>
        <w:rPr>
          <w:b/>
          <w:sz w:val="30"/>
          <w:vertAlign w:val="baseline"/>
        </w:rPr>
        <w:t>in</w:t>
      </w:r>
      <w:r>
        <w:rPr>
          <w:b/>
          <w:spacing w:val="40"/>
          <w:sz w:val="30"/>
          <w:vertAlign w:val="baseline"/>
        </w:rPr>
        <w:t> </w:t>
      </w:r>
      <w:r>
        <w:rPr>
          <w:b/>
          <w:sz w:val="30"/>
          <w:vertAlign w:val="baseline"/>
        </w:rPr>
        <w:t>healthy</w:t>
      </w:r>
      <w:r>
        <w:rPr>
          <w:b/>
          <w:spacing w:val="40"/>
          <w:sz w:val="30"/>
          <w:vertAlign w:val="baseline"/>
        </w:rPr>
        <w:t> </w:t>
      </w:r>
      <w:r>
        <w:rPr>
          <w:b/>
          <w:sz w:val="30"/>
          <w:vertAlign w:val="baseline"/>
        </w:rPr>
        <w:t>cardiovascular</w:t>
      </w:r>
      <w:r>
        <w:rPr>
          <w:b/>
          <w:spacing w:val="40"/>
          <w:sz w:val="30"/>
          <w:vertAlign w:val="baseline"/>
        </w:rPr>
        <w:t> </w:t>
      </w:r>
      <w:r>
        <w:rPr>
          <w:b/>
          <w:sz w:val="30"/>
          <w:vertAlign w:val="baseline"/>
        </w:rPr>
        <w:t>endothelium.</w:t>
      </w:r>
      <w:r>
        <w:rPr>
          <w:b/>
          <w:spacing w:val="40"/>
          <w:sz w:val="30"/>
          <w:vertAlign w:val="baseline"/>
        </w:rPr>
        <w:t> </w:t>
      </w:r>
      <w:r>
        <w:rPr>
          <w:b/>
          <w:sz w:val="30"/>
          <w:vertAlign w:val="baseline"/>
        </w:rPr>
        <w:t>A</w:t>
      </w:r>
      <w:r>
        <w:rPr>
          <w:b/>
          <w:spacing w:val="40"/>
          <w:sz w:val="30"/>
          <w:vertAlign w:val="baseline"/>
        </w:rPr>
        <w:t> </w:t>
      </w:r>
      <w:r>
        <w:rPr>
          <w:b/>
          <w:sz w:val="30"/>
          <w:vertAlign w:val="baseline"/>
        </w:rPr>
        <w:t>similar</w:t>
      </w:r>
      <w:r>
        <w:rPr>
          <w:b/>
          <w:spacing w:val="40"/>
          <w:sz w:val="30"/>
          <w:vertAlign w:val="baseline"/>
        </w:rPr>
        <w:t> </w:t>
      </w:r>
      <w:r>
        <w:rPr>
          <w:b/>
          <w:sz w:val="30"/>
          <w:vertAlign w:val="baseline"/>
        </w:rPr>
        <w:t>argument</w:t>
      </w:r>
      <w:r>
        <w:rPr>
          <w:b/>
          <w:spacing w:val="40"/>
          <w:sz w:val="30"/>
          <w:vertAlign w:val="baseline"/>
        </w:rPr>
        <w:t> </w:t>
      </w:r>
      <w:r>
        <w:rPr>
          <w:b/>
          <w:sz w:val="30"/>
          <w:vertAlign w:val="baseline"/>
        </w:rPr>
        <w:t>is made for brain tissue, focusing on biochemical and signaling pathways that</w:t>
      </w:r>
      <w:r>
        <w:rPr>
          <w:b/>
          <w:spacing w:val="40"/>
          <w:sz w:val="30"/>
          <w:vertAlign w:val="baseline"/>
        </w:rPr>
        <w:t> </w:t>
      </w:r>
      <w:r>
        <w:rPr>
          <w:b/>
          <w:sz w:val="30"/>
          <w:vertAlign w:val="baseline"/>
        </w:rPr>
        <w:t>do</w:t>
      </w:r>
      <w:r>
        <w:rPr>
          <w:b/>
          <w:spacing w:val="40"/>
          <w:sz w:val="30"/>
          <w:vertAlign w:val="baseline"/>
        </w:rPr>
        <w:t> </w:t>
      </w:r>
      <w:r>
        <w:rPr>
          <w:b/>
          <w:sz w:val="30"/>
          <w:vertAlign w:val="baseline"/>
        </w:rPr>
        <w:t>not</w:t>
      </w:r>
      <w:r>
        <w:rPr>
          <w:b/>
          <w:spacing w:val="40"/>
          <w:sz w:val="30"/>
          <w:vertAlign w:val="baseline"/>
        </w:rPr>
        <w:t> </w:t>
      </w:r>
      <w:r>
        <w:rPr>
          <w:b/>
          <w:sz w:val="30"/>
          <w:vertAlign w:val="baseline"/>
        </w:rPr>
        <w:t>show</w:t>
      </w:r>
      <w:r>
        <w:rPr>
          <w:b/>
          <w:spacing w:val="40"/>
          <w:sz w:val="30"/>
          <w:vertAlign w:val="baseline"/>
        </w:rPr>
        <w:t> </w:t>
      </w:r>
      <w:r>
        <w:rPr>
          <w:b/>
          <w:sz w:val="30"/>
          <w:vertAlign w:val="baseline"/>
        </w:rPr>
        <w:t>improvement</w:t>
      </w:r>
      <w:r>
        <w:rPr>
          <w:b/>
          <w:spacing w:val="40"/>
          <w:sz w:val="30"/>
          <w:vertAlign w:val="baseline"/>
        </w:rPr>
        <w:t> </w:t>
      </w:r>
      <w:r>
        <w:rPr>
          <w:b/>
          <w:sz w:val="30"/>
          <w:vertAlign w:val="baseline"/>
        </w:rPr>
        <w:t>with</w:t>
      </w:r>
      <w:r>
        <w:rPr>
          <w:b/>
          <w:spacing w:val="40"/>
          <w:sz w:val="30"/>
          <w:vertAlign w:val="baseline"/>
        </w:rPr>
        <w:t> </w:t>
      </w:r>
      <w:r>
        <w:rPr>
          <w:b/>
          <w:sz w:val="30"/>
          <w:vertAlign w:val="baseline"/>
        </w:rPr>
        <w:t>estrogen</w:t>
      </w:r>
      <w:r>
        <w:rPr>
          <w:b/>
          <w:spacing w:val="40"/>
          <w:sz w:val="30"/>
          <w:vertAlign w:val="baseline"/>
        </w:rPr>
        <w:t> </w:t>
      </w:r>
      <w:r>
        <w:rPr>
          <w:b/>
          <w:sz w:val="30"/>
          <w:vertAlign w:val="baseline"/>
        </w:rPr>
        <w:t>therapy</w:t>
      </w:r>
      <w:r>
        <w:rPr>
          <w:b/>
          <w:spacing w:val="40"/>
          <w:sz w:val="30"/>
          <w:vertAlign w:val="baseline"/>
        </w:rPr>
        <w:t> </w:t>
      </w:r>
      <w:r>
        <w:rPr>
          <w:b/>
          <w:sz w:val="30"/>
          <w:vertAlign w:val="baseline"/>
        </w:rPr>
        <w:t>when</w:t>
      </w:r>
      <w:r>
        <w:rPr>
          <w:b/>
          <w:spacing w:val="40"/>
          <w:sz w:val="30"/>
          <w:vertAlign w:val="baseline"/>
        </w:rPr>
        <w:t> </w:t>
      </w:r>
      <w:r>
        <w:rPr>
          <w:b/>
          <w:sz w:val="30"/>
          <w:vertAlign w:val="baseline"/>
        </w:rPr>
        <w:t>they</w:t>
      </w:r>
      <w:r>
        <w:rPr>
          <w:b/>
          <w:spacing w:val="40"/>
          <w:sz w:val="30"/>
          <w:vertAlign w:val="baseline"/>
        </w:rPr>
        <w:t> </w:t>
      </w:r>
      <w:r>
        <w:rPr>
          <w:b/>
          <w:sz w:val="30"/>
          <w:vertAlign w:val="baseline"/>
        </w:rPr>
        <w:t>are already</w:t>
      </w:r>
      <w:r>
        <w:rPr>
          <w:b/>
          <w:spacing w:val="80"/>
          <w:sz w:val="30"/>
          <w:vertAlign w:val="baseline"/>
        </w:rPr>
        <w:t> </w:t>
      </w:r>
      <w:r>
        <w:rPr>
          <w:b/>
          <w:sz w:val="30"/>
          <w:vertAlign w:val="baseline"/>
        </w:rPr>
        <w:t>compromised</w:t>
      </w:r>
      <w:r>
        <w:rPr>
          <w:b/>
          <w:spacing w:val="80"/>
          <w:sz w:val="30"/>
          <w:vertAlign w:val="baseline"/>
        </w:rPr>
        <w:t> </w:t>
      </w:r>
      <w:r>
        <w:rPr>
          <w:b/>
          <w:sz w:val="30"/>
          <w:vertAlign w:val="baseline"/>
        </w:rPr>
        <w:t>with</w:t>
      </w:r>
      <w:r>
        <w:rPr>
          <w:b/>
          <w:spacing w:val="80"/>
          <w:sz w:val="30"/>
          <w:vertAlign w:val="baseline"/>
        </w:rPr>
        <w:t> </w:t>
      </w:r>
      <w:r>
        <w:rPr>
          <w:b/>
          <w:sz w:val="30"/>
          <w:vertAlign w:val="baseline"/>
        </w:rPr>
        <w:t>disease.</w:t>
      </w:r>
      <w:r>
        <w:rPr>
          <w:sz w:val="30"/>
          <w:vertAlign w:val="superscript"/>
        </w:rPr>
        <w:t>379</w:t>
      </w:r>
      <w:r>
        <w:rPr>
          <w:spacing w:val="80"/>
          <w:sz w:val="30"/>
          <w:vertAlign w:val="baseline"/>
        </w:rPr>
        <w:t> </w:t>
      </w:r>
      <w:r>
        <w:rPr>
          <w:b/>
          <w:sz w:val="30"/>
          <w:vertAlign w:val="baseline"/>
        </w:rPr>
        <w:t>The</w:t>
      </w:r>
      <w:r>
        <w:rPr>
          <w:b/>
          <w:spacing w:val="80"/>
          <w:sz w:val="30"/>
          <w:vertAlign w:val="baseline"/>
        </w:rPr>
        <w:t> </w:t>
      </w:r>
      <w:r>
        <w:rPr>
          <w:b/>
          <w:sz w:val="30"/>
          <w:vertAlign w:val="baseline"/>
        </w:rPr>
        <w:t>requirement</w:t>
      </w:r>
      <w:r>
        <w:rPr>
          <w:b/>
          <w:spacing w:val="80"/>
          <w:sz w:val="30"/>
          <w:vertAlign w:val="baseline"/>
        </w:rPr>
        <w:t> </w:t>
      </w:r>
      <w:r>
        <w:rPr>
          <w:b/>
          <w:sz w:val="30"/>
          <w:vertAlign w:val="baseline"/>
        </w:rPr>
        <w:t>for</w:t>
      </w:r>
      <w:r>
        <w:rPr>
          <w:b/>
          <w:spacing w:val="80"/>
          <w:sz w:val="30"/>
          <w:vertAlign w:val="baseline"/>
        </w:rPr>
        <w:t> </w:t>
      </w:r>
      <w:r>
        <w:rPr>
          <w:b/>
          <w:sz w:val="30"/>
          <w:vertAlign w:val="baseline"/>
        </w:rPr>
        <w:t>normal tissue,</w:t>
      </w:r>
      <w:r>
        <w:rPr>
          <w:b/>
          <w:spacing w:val="80"/>
          <w:sz w:val="30"/>
          <w:vertAlign w:val="baseline"/>
        </w:rPr>
        <w:t> </w:t>
      </w:r>
      <w:r>
        <w:rPr>
          <w:b/>
          <w:sz w:val="30"/>
          <w:vertAlign w:val="baseline"/>
        </w:rPr>
        <w:t>at</w:t>
      </w:r>
      <w:r>
        <w:rPr>
          <w:b/>
          <w:spacing w:val="80"/>
          <w:sz w:val="30"/>
          <w:vertAlign w:val="baseline"/>
        </w:rPr>
        <w:t> </w:t>
      </w:r>
      <w:r>
        <w:rPr>
          <w:b/>
          <w:sz w:val="30"/>
          <w:vertAlign w:val="baseline"/>
        </w:rPr>
        <w:t>least</w:t>
      </w:r>
      <w:r>
        <w:rPr>
          <w:b/>
          <w:spacing w:val="80"/>
          <w:sz w:val="30"/>
          <w:vertAlign w:val="baseline"/>
        </w:rPr>
        <w:t> </w:t>
      </w:r>
      <w:r>
        <w:rPr>
          <w:b/>
          <w:sz w:val="30"/>
          <w:vertAlign w:val="baseline"/>
        </w:rPr>
        <w:t>in</w:t>
      </w:r>
      <w:r>
        <w:rPr>
          <w:b/>
          <w:spacing w:val="80"/>
          <w:sz w:val="30"/>
          <w:vertAlign w:val="baseline"/>
        </w:rPr>
        <w:t> </w:t>
      </w:r>
      <w:r>
        <w:rPr>
          <w:b/>
          <w:sz w:val="30"/>
          <w:vertAlign w:val="baseline"/>
        </w:rPr>
        <w:t>the</w:t>
      </w:r>
      <w:r>
        <w:rPr>
          <w:b/>
          <w:spacing w:val="80"/>
          <w:sz w:val="30"/>
          <w:vertAlign w:val="baseline"/>
        </w:rPr>
        <w:t> </w:t>
      </w:r>
      <w:r>
        <w:rPr>
          <w:b/>
          <w:sz w:val="30"/>
          <w:vertAlign w:val="baseline"/>
        </w:rPr>
        <w:t>heart</w:t>
      </w:r>
      <w:r>
        <w:rPr>
          <w:b/>
          <w:spacing w:val="80"/>
          <w:sz w:val="30"/>
          <w:vertAlign w:val="baseline"/>
        </w:rPr>
        <w:t> </w:t>
      </w:r>
      <w:r>
        <w:rPr>
          <w:b/>
          <w:sz w:val="30"/>
          <w:vertAlign w:val="baseline"/>
        </w:rPr>
        <w:t>and</w:t>
      </w:r>
      <w:r>
        <w:rPr>
          <w:b/>
          <w:spacing w:val="80"/>
          <w:sz w:val="30"/>
          <w:vertAlign w:val="baseline"/>
        </w:rPr>
        <w:t> </w:t>
      </w:r>
      <w:r>
        <w:rPr>
          <w:b/>
          <w:sz w:val="30"/>
          <w:vertAlign w:val="baseline"/>
        </w:rPr>
        <w:t>in</w:t>
      </w:r>
      <w:r>
        <w:rPr>
          <w:b/>
          <w:spacing w:val="80"/>
          <w:sz w:val="30"/>
          <w:vertAlign w:val="baseline"/>
        </w:rPr>
        <w:t> </w:t>
      </w:r>
      <w:r>
        <w:rPr>
          <w:b/>
          <w:sz w:val="30"/>
          <w:vertAlign w:val="baseline"/>
        </w:rPr>
        <w:t>the</w:t>
      </w:r>
      <w:r>
        <w:rPr>
          <w:b/>
          <w:spacing w:val="80"/>
          <w:sz w:val="30"/>
          <w:vertAlign w:val="baseline"/>
        </w:rPr>
        <w:t> </w:t>
      </w:r>
      <w:r>
        <w:rPr>
          <w:b/>
          <w:sz w:val="30"/>
          <w:vertAlign w:val="baseline"/>
        </w:rPr>
        <w:t>brain,</w:t>
      </w:r>
      <w:r>
        <w:rPr>
          <w:b/>
          <w:spacing w:val="80"/>
          <w:sz w:val="30"/>
          <w:vertAlign w:val="baseline"/>
        </w:rPr>
        <w:t> </w:t>
      </w:r>
      <w:r>
        <w:rPr>
          <w:b/>
          <w:sz w:val="30"/>
          <w:vertAlign w:val="baseline"/>
        </w:rPr>
        <w:t>would</w:t>
      </w:r>
      <w:r>
        <w:rPr>
          <w:b/>
          <w:spacing w:val="80"/>
          <w:sz w:val="30"/>
          <w:vertAlign w:val="baseline"/>
        </w:rPr>
        <w:t> </w:t>
      </w:r>
      <w:r>
        <w:rPr>
          <w:b/>
          <w:sz w:val="30"/>
          <w:vertAlign w:val="baseline"/>
        </w:rPr>
        <w:t>explain</w:t>
      </w:r>
      <w:r>
        <w:rPr>
          <w:b/>
          <w:spacing w:val="80"/>
          <w:sz w:val="30"/>
          <w:vertAlign w:val="baseline"/>
        </w:rPr>
        <w:t> </w:t>
      </w:r>
      <w:r>
        <w:rPr>
          <w:b/>
          <w:sz w:val="30"/>
          <w:vertAlign w:val="baseline"/>
        </w:rPr>
        <w:t>the</w:t>
      </w:r>
      <w:r>
        <w:rPr>
          <w:b/>
          <w:spacing w:val="80"/>
          <w:sz w:val="30"/>
          <w:vertAlign w:val="baseline"/>
        </w:rPr>
        <w:t> </w:t>
      </w:r>
      <w:r>
        <w:rPr>
          <w:b/>
          <w:sz w:val="30"/>
          <w:vertAlign w:val="baseline"/>
        </w:rPr>
        <w:t>beneficial</w:t>
      </w:r>
      <w:r>
        <w:rPr>
          <w:b/>
          <w:spacing w:val="5"/>
          <w:sz w:val="30"/>
          <w:vertAlign w:val="baseline"/>
        </w:rPr>
        <w:t> </w:t>
      </w:r>
      <w:r>
        <w:rPr>
          <w:b/>
          <w:sz w:val="30"/>
          <w:vertAlign w:val="baseline"/>
        </w:rPr>
        <w:t>effects</w:t>
      </w:r>
      <w:r>
        <w:rPr>
          <w:b/>
          <w:spacing w:val="7"/>
          <w:sz w:val="30"/>
          <w:vertAlign w:val="baseline"/>
        </w:rPr>
        <w:t> </w:t>
      </w:r>
      <w:r>
        <w:rPr>
          <w:b/>
          <w:sz w:val="30"/>
          <w:vertAlign w:val="baseline"/>
        </w:rPr>
        <w:t>in</w:t>
      </w:r>
      <w:r>
        <w:rPr>
          <w:b/>
          <w:spacing w:val="8"/>
          <w:sz w:val="30"/>
          <w:vertAlign w:val="baseline"/>
        </w:rPr>
        <w:t> </w:t>
      </w:r>
      <w:r>
        <w:rPr>
          <w:b/>
          <w:sz w:val="30"/>
          <w:vertAlign w:val="baseline"/>
        </w:rPr>
        <w:t>studies</w:t>
      </w:r>
      <w:r>
        <w:rPr>
          <w:b/>
          <w:spacing w:val="7"/>
          <w:sz w:val="30"/>
          <w:vertAlign w:val="baseline"/>
        </w:rPr>
        <w:t> </w:t>
      </w:r>
      <w:r>
        <w:rPr>
          <w:b/>
          <w:sz w:val="30"/>
          <w:vertAlign w:val="baseline"/>
        </w:rPr>
        <w:t>of</w:t>
      </w:r>
      <w:r>
        <w:rPr>
          <w:b/>
          <w:spacing w:val="8"/>
          <w:sz w:val="30"/>
          <w:vertAlign w:val="baseline"/>
        </w:rPr>
        <w:t> </w:t>
      </w:r>
      <w:r>
        <w:rPr>
          <w:b/>
          <w:sz w:val="30"/>
          <w:vertAlign w:val="baseline"/>
        </w:rPr>
        <w:t>primary</w:t>
      </w:r>
      <w:r>
        <w:rPr>
          <w:b/>
          <w:spacing w:val="7"/>
          <w:sz w:val="30"/>
          <w:vertAlign w:val="baseline"/>
        </w:rPr>
        <w:t> </w:t>
      </w:r>
      <w:r>
        <w:rPr>
          <w:b/>
          <w:sz w:val="30"/>
          <w:vertAlign w:val="baseline"/>
        </w:rPr>
        <w:t>prevention</w:t>
      </w:r>
      <w:r>
        <w:rPr>
          <w:b/>
          <w:spacing w:val="8"/>
          <w:sz w:val="30"/>
          <w:vertAlign w:val="baseline"/>
        </w:rPr>
        <w:t> </w:t>
      </w:r>
      <w:r>
        <w:rPr>
          <w:b/>
          <w:sz w:val="30"/>
          <w:vertAlign w:val="baseline"/>
        </w:rPr>
        <w:t>and</w:t>
      </w:r>
      <w:r>
        <w:rPr>
          <w:b/>
          <w:spacing w:val="7"/>
          <w:sz w:val="30"/>
          <w:vertAlign w:val="baseline"/>
        </w:rPr>
        <w:t> </w:t>
      </w:r>
      <w:r>
        <w:rPr>
          <w:b/>
          <w:sz w:val="30"/>
          <w:vertAlign w:val="baseline"/>
        </w:rPr>
        <w:t>the</w:t>
      </w:r>
      <w:r>
        <w:rPr>
          <w:b/>
          <w:spacing w:val="8"/>
          <w:sz w:val="30"/>
          <w:vertAlign w:val="baseline"/>
        </w:rPr>
        <w:t> </w:t>
      </w:r>
      <w:r>
        <w:rPr>
          <w:b/>
          <w:sz w:val="30"/>
          <w:vertAlign w:val="baseline"/>
        </w:rPr>
        <w:t>lack</w:t>
      </w:r>
      <w:r>
        <w:rPr>
          <w:b/>
          <w:spacing w:val="7"/>
          <w:sz w:val="30"/>
          <w:vertAlign w:val="baseline"/>
        </w:rPr>
        <w:t> </w:t>
      </w:r>
      <w:r>
        <w:rPr>
          <w:b/>
          <w:sz w:val="30"/>
          <w:vertAlign w:val="baseline"/>
        </w:rPr>
        <w:t>of</w:t>
      </w:r>
      <w:r>
        <w:rPr>
          <w:b/>
          <w:spacing w:val="8"/>
          <w:sz w:val="30"/>
          <w:vertAlign w:val="baseline"/>
        </w:rPr>
        <w:t> </w:t>
      </w:r>
      <w:r>
        <w:rPr>
          <w:b/>
          <w:spacing w:val="-2"/>
          <w:sz w:val="30"/>
          <w:vertAlign w:val="baseline"/>
        </w:rPr>
        <w:t>effect</w:t>
      </w:r>
    </w:p>
    <w:p>
      <w:pPr>
        <w:spacing w:before="18"/>
        <w:ind w:left="99" w:right="0" w:firstLine="0"/>
        <w:jc w:val="both"/>
        <w:rPr>
          <w:b/>
          <w:sz w:val="30"/>
        </w:rPr>
      </w:pPr>
      <w:r>
        <w:rPr>
          <w:b/>
          <w:sz w:val="30"/>
        </w:rPr>
        <w:t>in</w:t>
      </w:r>
      <w:r>
        <w:rPr>
          <w:b/>
          <w:spacing w:val="-2"/>
          <w:sz w:val="30"/>
        </w:rPr>
        <w:t> </w:t>
      </w:r>
      <w:r>
        <w:rPr>
          <w:b/>
          <w:sz w:val="30"/>
        </w:rPr>
        <w:t>secondary</w:t>
      </w:r>
      <w:r>
        <w:rPr>
          <w:b/>
          <w:spacing w:val="-2"/>
          <w:sz w:val="30"/>
        </w:rPr>
        <w:t> </w:t>
      </w:r>
      <w:r>
        <w:rPr>
          <w:b/>
          <w:sz w:val="30"/>
        </w:rPr>
        <w:t>prevention</w:t>
      </w:r>
      <w:r>
        <w:rPr>
          <w:b/>
          <w:spacing w:val="-2"/>
          <w:sz w:val="30"/>
        </w:rPr>
        <w:t> trials.</w:t>
      </w:r>
    </w:p>
    <w:p>
      <w:pPr>
        <w:pStyle w:val="BodyText"/>
        <w:spacing w:before="0"/>
        <w:ind w:left="0"/>
        <w:jc w:val="left"/>
        <w:rPr>
          <w:b/>
          <w:sz w:val="20"/>
        </w:rPr>
      </w:pPr>
    </w:p>
    <w:p>
      <w:pPr>
        <w:pStyle w:val="BodyText"/>
        <w:spacing w:before="126"/>
        <w:ind w:left="0"/>
        <w:jc w:val="left"/>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981075</wp:posOffset>
                </wp:positionH>
                <wp:positionV relativeFrom="paragraph">
                  <wp:posOffset>241622</wp:posOffset>
                </wp:positionV>
                <wp:extent cx="285750" cy="5715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285750" cy="57150"/>
                        </a:xfrm>
                        <a:custGeom>
                          <a:avLst/>
                          <a:gdLst/>
                          <a:ahLst/>
                          <a:cxnLst/>
                          <a:rect l="l" t="t" r="r" b="b"/>
                          <a:pathLst>
                            <a:path w="285750" h="57150">
                              <a:moveTo>
                                <a:pt x="32364" y="57111"/>
                              </a:moveTo>
                              <a:lnTo>
                                <a:pt x="24785" y="57111"/>
                              </a:lnTo>
                              <a:lnTo>
                                <a:pt x="21140" y="56368"/>
                              </a:lnTo>
                              <a:lnTo>
                                <a:pt x="0" y="32337"/>
                              </a:lnTo>
                              <a:lnTo>
                                <a:pt x="0" y="24745"/>
                              </a:lnTo>
                              <a:lnTo>
                                <a:pt x="24785" y="0"/>
                              </a:lnTo>
                              <a:lnTo>
                                <a:pt x="32364" y="0"/>
                              </a:lnTo>
                              <a:lnTo>
                                <a:pt x="57149" y="24745"/>
                              </a:lnTo>
                              <a:lnTo>
                                <a:pt x="57149" y="32337"/>
                              </a:lnTo>
                              <a:lnTo>
                                <a:pt x="32364" y="57111"/>
                              </a:lnTo>
                              <a:close/>
                            </a:path>
                            <a:path w="285750" h="57150">
                              <a:moveTo>
                                <a:pt x="146569" y="57111"/>
                              </a:moveTo>
                              <a:lnTo>
                                <a:pt x="138990" y="57111"/>
                              </a:lnTo>
                              <a:lnTo>
                                <a:pt x="135345" y="56368"/>
                              </a:lnTo>
                              <a:lnTo>
                                <a:pt x="114204" y="32337"/>
                              </a:lnTo>
                              <a:lnTo>
                                <a:pt x="114204" y="24745"/>
                              </a:lnTo>
                              <a:lnTo>
                                <a:pt x="138990" y="0"/>
                              </a:lnTo>
                              <a:lnTo>
                                <a:pt x="146569" y="0"/>
                              </a:lnTo>
                              <a:lnTo>
                                <a:pt x="171354" y="24745"/>
                              </a:lnTo>
                              <a:lnTo>
                                <a:pt x="171354" y="32337"/>
                              </a:lnTo>
                              <a:lnTo>
                                <a:pt x="146569" y="57111"/>
                              </a:lnTo>
                              <a:close/>
                            </a:path>
                            <a:path w="285750" h="57150">
                              <a:moveTo>
                                <a:pt x="260773" y="57111"/>
                              </a:moveTo>
                              <a:lnTo>
                                <a:pt x="253195" y="57111"/>
                              </a:lnTo>
                              <a:lnTo>
                                <a:pt x="249550" y="56368"/>
                              </a:lnTo>
                              <a:lnTo>
                                <a:pt x="228409" y="32337"/>
                              </a:lnTo>
                              <a:lnTo>
                                <a:pt x="228409" y="24745"/>
                              </a:lnTo>
                              <a:lnTo>
                                <a:pt x="253195" y="0"/>
                              </a:lnTo>
                              <a:lnTo>
                                <a:pt x="260773" y="0"/>
                              </a:lnTo>
                              <a:lnTo>
                                <a:pt x="285559" y="24745"/>
                              </a:lnTo>
                              <a:lnTo>
                                <a:pt x="285559" y="32337"/>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025358pt;width:22.5pt;height:4.5pt;mso-position-horizontal-relative:page;mso-position-vertical-relative:paragraph;z-index:-15705088;mso-wrap-distance-left:0;mso-wrap-distance-right:0" id="docshape45" coordorigin="1545,381" coordsize="450,90" path="m1596,470l1584,470,1578,469,1567,465,1562,461,1554,453,1551,448,1546,437,1545,431,1545,419,1546,414,1551,403,1554,398,1562,389,1567,386,1578,382,1584,381,1596,381,1602,382,1613,386,1618,389,1626,398,1629,403,1634,414,1635,419,1635,431,1634,437,1629,448,1626,453,1618,461,1613,465,1602,469,1596,470xm1776,470l1764,470,1758,469,1747,465,1742,461,1734,453,1731,448,1726,437,1725,431,1725,419,1726,414,1731,403,1734,398,1742,389,1747,386,1758,382,1764,381,1776,381,1782,382,1793,386,1797,389,1806,398,1809,403,1814,414,1815,419,1815,431,1814,437,1809,448,1806,453,1797,461,1793,465,1782,469,1776,470xm1956,470l1944,470,1938,469,1927,465,1922,461,1914,453,1910,448,1906,437,1905,431,1905,419,1906,414,1910,403,1914,398,1922,389,1927,386,1938,382,1944,381,1956,381,1961,382,1972,386,1977,389,1986,398,1989,403,1994,414,1995,419,1995,431,1994,437,1989,448,1986,453,1977,461,1972,465,1961,469,1956,470xe" filled="true" fillcolor="#bdb4d4" stroked="false">
                <v:path arrowok="t"/>
                <v:fill type="solid"/>
                <w10:wrap type="topAndBottom"/>
              </v:shape>
            </w:pict>
          </mc:Fallback>
        </mc:AlternateContent>
      </w:r>
    </w:p>
    <w:p>
      <w:pPr>
        <w:pStyle w:val="Heading3"/>
        <w:jc w:val="both"/>
      </w:pPr>
      <w:r>
        <w:rPr>
          <w:color w:val="534089"/>
        </w:rPr>
        <w:t>CARDIOVASCULAR</w:t>
      </w:r>
      <w:r>
        <w:rPr>
          <w:color w:val="534089"/>
          <w:spacing w:val="-6"/>
        </w:rPr>
        <w:t> </w:t>
      </w:r>
      <w:r>
        <w:rPr>
          <w:color w:val="534089"/>
        </w:rPr>
        <w:t>DISEASE,</w:t>
      </w:r>
      <w:r>
        <w:rPr>
          <w:color w:val="534089"/>
          <w:spacing w:val="-6"/>
        </w:rPr>
        <w:t> </w:t>
      </w:r>
      <w:r>
        <w:rPr>
          <w:color w:val="534089"/>
        </w:rPr>
        <w:t>AGING,</w:t>
      </w:r>
      <w:r>
        <w:rPr>
          <w:color w:val="534089"/>
          <w:spacing w:val="-6"/>
        </w:rPr>
        <w:t> </w:t>
      </w:r>
      <w:r>
        <w:rPr>
          <w:color w:val="534089"/>
        </w:rPr>
        <w:t>AND</w:t>
      </w:r>
      <w:r>
        <w:rPr>
          <w:color w:val="534089"/>
          <w:spacing w:val="-5"/>
        </w:rPr>
        <w:t> </w:t>
      </w:r>
      <w:r>
        <w:rPr>
          <w:color w:val="534089"/>
          <w:spacing w:val="-2"/>
        </w:rPr>
        <w:t>MENOPAUSE</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11904">
                <wp:simplePos x="0" y="0"/>
                <wp:positionH relativeFrom="page">
                  <wp:posOffset>981075</wp:posOffset>
                </wp:positionH>
                <wp:positionV relativeFrom="paragraph">
                  <wp:posOffset>45755</wp:posOffset>
                </wp:positionV>
                <wp:extent cx="5810250" cy="1905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802pt;width:457.499964pt;height:1.5pt;mso-position-horizontal-relative:page;mso-position-vertical-relative:paragraph;z-index:-15704576;mso-wrap-distance-left:0;mso-wrap-distance-right:0" id="docshape46" filled="true" fillcolor="#534089" stroked="false">
                <v:fill type="solid"/>
                <w10:wrap type="topAndBottom"/>
              </v:rect>
            </w:pict>
          </mc:Fallback>
        </mc:AlternateContent>
      </w:r>
    </w:p>
    <w:p>
      <w:pPr>
        <w:pStyle w:val="BodyText"/>
        <w:spacing w:line="249" w:lineRule="auto" w:before="215"/>
        <w:ind w:right="98"/>
      </w:pPr>
      <w:r>
        <w:rPr/>
        <w:t>Diseases</w:t>
      </w:r>
      <w:r>
        <w:rPr>
          <w:spacing w:val="-2"/>
        </w:rPr>
        <w:t> </w:t>
      </w:r>
      <w:r>
        <w:rPr/>
        <w:t>of</w:t>
      </w:r>
      <w:r>
        <w:rPr>
          <w:spacing w:val="-2"/>
        </w:rPr>
        <w:t> </w:t>
      </w:r>
      <w:r>
        <w:rPr/>
        <w:t>the</w:t>
      </w:r>
      <w:r>
        <w:rPr>
          <w:spacing w:val="-2"/>
        </w:rPr>
        <w:t> </w:t>
      </w:r>
      <w:r>
        <w:rPr/>
        <w:t>heart</w:t>
      </w:r>
      <w:r>
        <w:rPr>
          <w:spacing w:val="-2"/>
        </w:rPr>
        <w:t> </w:t>
      </w:r>
      <w:r>
        <w:rPr/>
        <w:t>are</w:t>
      </w:r>
      <w:r>
        <w:rPr>
          <w:spacing w:val="-2"/>
        </w:rPr>
        <w:t> </w:t>
      </w:r>
      <w:r>
        <w:rPr/>
        <w:t>the</w:t>
      </w:r>
      <w:r>
        <w:rPr>
          <w:spacing w:val="-2"/>
        </w:rPr>
        <w:t> </w:t>
      </w:r>
      <w:r>
        <w:rPr/>
        <w:t>leading</w:t>
      </w:r>
      <w:r>
        <w:rPr>
          <w:spacing w:val="-2"/>
        </w:rPr>
        <w:t> </w:t>
      </w:r>
      <w:r>
        <w:rPr/>
        <w:t>cause</w:t>
      </w:r>
      <w:r>
        <w:rPr>
          <w:spacing w:val="-2"/>
        </w:rPr>
        <w:t> </w:t>
      </w:r>
      <w:r>
        <w:rPr/>
        <w:t>of</w:t>
      </w:r>
      <w:r>
        <w:rPr>
          <w:spacing w:val="-2"/>
        </w:rPr>
        <w:t> </w:t>
      </w:r>
      <w:r>
        <w:rPr/>
        <w:t>death</w:t>
      </w:r>
      <w:r>
        <w:rPr>
          <w:spacing w:val="-2"/>
        </w:rPr>
        <w:t> </w:t>
      </w:r>
      <w:r>
        <w:rPr/>
        <w:t>for</w:t>
      </w:r>
      <w:r>
        <w:rPr>
          <w:spacing w:val="-2"/>
        </w:rPr>
        <w:t> </w:t>
      </w:r>
      <w:r>
        <w:rPr/>
        <w:t>women</w:t>
      </w:r>
      <w:r>
        <w:rPr>
          <w:spacing w:val="-2"/>
        </w:rPr>
        <w:t> </w:t>
      </w:r>
      <w:r>
        <w:rPr/>
        <w:t>in</w:t>
      </w:r>
      <w:r>
        <w:rPr>
          <w:spacing w:val="-2"/>
        </w:rPr>
        <w:t> </w:t>
      </w:r>
      <w:r>
        <w:rPr/>
        <w:t>the</w:t>
      </w:r>
      <w:r>
        <w:rPr>
          <w:spacing w:val="-2"/>
        </w:rPr>
        <w:t> </w:t>
      </w:r>
      <w:r>
        <w:rPr/>
        <w:t>United States, followed by cerebrovascular disease and malignant neoplasms. In 2016, one in four female deaths was from CHD compared with one in eight women who develop breast cancer.</w:t>
      </w:r>
      <w:r>
        <w:rPr>
          <w:vertAlign w:val="superscript"/>
        </w:rPr>
        <w:t>380</w:t>
      </w:r>
      <w:r>
        <w:rPr>
          <w:vertAlign w:val="baseline"/>
        </w:rPr>
        <w:t> More female deaths in 2016 </w:t>
      </w:r>
      <w:r>
        <w:rPr>
          <w:vertAlign w:val="baseline"/>
        </w:rPr>
        <w:t>were caused by CVD than the combined total from cancer, chronic lower respiratory disease, Alzheimer disease, accidents, and diabetes mellitus.</w:t>
      </w:r>
    </w:p>
    <w:p>
      <w:pPr>
        <w:pStyle w:val="BodyText"/>
        <w:spacing w:line="249" w:lineRule="auto" w:before="7"/>
        <w:ind w:right="100" w:firstLine="450"/>
      </w:pPr>
      <w:r>
        <w:rPr/>
        <w:t>Most CVD results from atherosclerosis in major vessels. Risk </w:t>
      </w:r>
      <w:r>
        <w:rPr/>
        <w:t>factors</w:t>
      </w:r>
      <w:r>
        <w:rPr>
          <w:spacing w:val="40"/>
        </w:rPr>
        <w:t> </w:t>
      </w:r>
      <w:r>
        <w:rPr/>
        <w:t>for CHD are the same for men and women: family history of CVD, high blood pressure, smoking, diabetes mellitus, an abnormal cholesterol/lipoprotein profile, and obesity </w:t>
      </w:r>
      <w:r>
        <w:rPr>
          <w:b/>
          <w:color w:val="256E60"/>
        </w:rPr>
        <w:t>(Table 21.6)</w:t>
      </w:r>
      <w:r>
        <w:rPr/>
        <w:t>. However, when controlling for these risk factors, men prior to age 40 have a risk of developing CHD twice that of women. With increasing age, this advantage is gradually lost, and CVD becomes the leading cause of death for both older women and men.</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285750"/>
                <wp:effectExtent l="0" t="0" r="0" b="0"/>
                <wp:docPr id="59" name="Textbox 59"/>
                <wp:cNvGraphicFramePr>
                  <a:graphicFrameLocks/>
                </wp:cNvGraphicFramePr>
                <a:graphic>
                  <a:graphicData uri="http://schemas.microsoft.com/office/word/2010/wordprocessingShape">
                    <wps:wsp>
                      <wps:cNvPr id="59" name="Textbox 59"/>
                      <wps:cNvSpPr txBox="1"/>
                      <wps:spPr>
                        <a:xfrm>
                          <a:off x="0" y="0"/>
                          <a:ext cx="5810250" cy="285750"/>
                        </a:xfrm>
                        <a:prstGeom prst="rect">
                          <a:avLst/>
                        </a:prstGeom>
                        <a:solidFill>
                          <a:srgbClr val="256E60"/>
                        </a:solidFill>
                      </wps:spPr>
                      <wps:txbx>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21.6</w:t>
                            </w:r>
                            <w:r>
                              <w:rPr>
                                <w:rFonts w:ascii="Arial"/>
                                <w:b/>
                                <w:color w:val="FFFFFF"/>
                                <w:sz w:val="22"/>
                              </w:rPr>
                              <w:tab/>
                            </w:r>
                            <w:r>
                              <w:rPr>
                                <w:rFonts w:ascii="Arial"/>
                                <w:color w:val="FFFFFF"/>
                                <w:sz w:val="22"/>
                              </w:rPr>
                              <w:t>The</w:t>
                            </w:r>
                            <w:r>
                              <w:rPr>
                                <w:rFonts w:ascii="Arial"/>
                                <w:color w:val="FFFFFF"/>
                                <w:spacing w:val="21"/>
                                <w:sz w:val="22"/>
                              </w:rPr>
                              <w:t> </w:t>
                            </w:r>
                            <w:r>
                              <w:rPr>
                                <w:rFonts w:ascii="Arial"/>
                                <w:color w:val="FFFFFF"/>
                                <w:sz w:val="22"/>
                              </w:rPr>
                              <w:t>Optimal</w:t>
                            </w:r>
                            <w:r>
                              <w:rPr>
                                <w:rFonts w:ascii="Arial"/>
                                <w:color w:val="FFFFFF"/>
                                <w:spacing w:val="24"/>
                                <w:sz w:val="22"/>
                              </w:rPr>
                              <w:t> </w:t>
                            </w:r>
                            <w:r>
                              <w:rPr>
                                <w:rFonts w:ascii="Arial"/>
                                <w:color w:val="FFFFFF"/>
                                <w:sz w:val="22"/>
                              </w:rPr>
                              <w:t>Cholesterol/Lipoprotein</w:t>
                            </w:r>
                            <w:r>
                              <w:rPr>
                                <w:rFonts w:ascii="Arial"/>
                                <w:color w:val="FFFFFF"/>
                                <w:spacing w:val="24"/>
                                <w:sz w:val="22"/>
                              </w:rPr>
                              <w:t> </w:t>
                            </w:r>
                            <w:r>
                              <w:rPr>
                                <w:rFonts w:ascii="Arial"/>
                                <w:color w:val="FFFFFF"/>
                                <w:spacing w:val="-2"/>
                                <w:sz w:val="22"/>
                              </w:rPr>
                              <w:t>Profile</w:t>
                            </w:r>
                          </w:p>
                        </w:txbxContent>
                      </wps:txbx>
                      <wps:bodyPr wrap="square" lIns="0" tIns="0" rIns="0" bIns="0" rtlCol="0">
                        <a:noAutofit/>
                      </wps:bodyPr>
                    </wps:wsp>
                  </a:graphicData>
                </a:graphic>
              </wp:inline>
            </w:drawing>
          </mc:Choice>
          <mc:Fallback>
            <w:pict>
              <v:shape style="width:457.5pt;height:22.5pt;mso-position-horizontal-relative:char;mso-position-vertical-relative:line" type="#_x0000_t202" id="docshape47" filled="true" fillcolor="#256e60" stroked="false">
                <w10:anchorlock/>
                <v:textbox inset="0,0,0,0">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21.6</w:t>
                      </w:r>
                      <w:r>
                        <w:rPr>
                          <w:rFonts w:ascii="Arial"/>
                          <w:b/>
                          <w:color w:val="FFFFFF"/>
                          <w:sz w:val="22"/>
                        </w:rPr>
                        <w:tab/>
                      </w:r>
                      <w:r>
                        <w:rPr>
                          <w:rFonts w:ascii="Arial"/>
                          <w:color w:val="FFFFFF"/>
                          <w:sz w:val="22"/>
                        </w:rPr>
                        <w:t>The</w:t>
                      </w:r>
                      <w:r>
                        <w:rPr>
                          <w:rFonts w:ascii="Arial"/>
                          <w:color w:val="FFFFFF"/>
                          <w:spacing w:val="21"/>
                          <w:sz w:val="22"/>
                        </w:rPr>
                        <w:t> </w:t>
                      </w:r>
                      <w:r>
                        <w:rPr>
                          <w:rFonts w:ascii="Arial"/>
                          <w:color w:val="FFFFFF"/>
                          <w:sz w:val="22"/>
                        </w:rPr>
                        <w:t>Optimal</w:t>
                      </w:r>
                      <w:r>
                        <w:rPr>
                          <w:rFonts w:ascii="Arial"/>
                          <w:color w:val="FFFFFF"/>
                          <w:spacing w:val="24"/>
                          <w:sz w:val="22"/>
                        </w:rPr>
                        <w:t> </w:t>
                      </w:r>
                      <w:r>
                        <w:rPr>
                          <w:rFonts w:ascii="Arial"/>
                          <w:color w:val="FFFFFF"/>
                          <w:sz w:val="22"/>
                        </w:rPr>
                        <w:t>Cholesterol/Lipoprotein</w:t>
                      </w:r>
                      <w:r>
                        <w:rPr>
                          <w:rFonts w:ascii="Arial"/>
                          <w:color w:val="FFFFFF"/>
                          <w:spacing w:val="24"/>
                          <w:sz w:val="22"/>
                        </w:rPr>
                        <w:t> </w:t>
                      </w:r>
                      <w:r>
                        <w:rPr>
                          <w:rFonts w:ascii="Arial"/>
                          <w:color w:val="FFFFFF"/>
                          <w:spacing w:val="-2"/>
                          <w:sz w:val="22"/>
                        </w:rPr>
                        <w:t>Profile</w:t>
                      </w:r>
                    </w:p>
                  </w:txbxContent>
                </v:textbox>
                <v:fill type="solid"/>
              </v:shape>
            </w:pict>
          </mc:Fallback>
        </mc:AlternateContent>
      </w:r>
      <w:r>
        <w:rPr>
          <w:sz w:val="20"/>
        </w:rPr>
      </w:r>
    </w:p>
    <w:p>
      <w:pPr>
        <w:tabs>
          <w:tab w:pos="7134" w:val="left" w:leader="none"/>
        </w:tabs>
        <w:spacing w:before="124"/>
        <w:ind w:left="189" w:right="0" w:firstLine="0"/>
        <w:jc w:val="left"/>
        <w:rPr>
          <w:sz w:val="22"/>
        </w:rPr>
      </w:pPr>
      <w:r>
        <w:rPr>
          <w:sz w:val="22"/>
        </w:rPr>
        <w:t>Total</w:t>
      </w:r>
      <w:r>
        <w:rPr>
          <w:spacing w:val="-6"/>
          <w:sz w:val="22"/>
        </w:rPr>
        <w:t> </w:t>
      </w:r>
      <w:r>
        <w:rPr>
          <w:spacing w:val="-2"/>
          <w:sz w:val="22"/>
        </w:rPr>
        <w:t>cholesterol</w:t>
      </w:r>
      <w:r>
        <w:rPr>
          <w:sz w:val="22"/>
        </w:rPr>
        <w:tab/>
        <w:t>&lt;200</w:t>
      </w:r>
      <w:r>
        <w:rPr>
          <w:spacing w:val="10"/>
          <w:sz w:val="22"/>
        </w:rPr>
        <w:t> </w:t>
      </w:r>
      <w:r>
        <w:rPr>
          <w:spacing w:val="-2"/>
          <w:sz w:val="22"/>
        </w:rPr>
        <w:t>mg/dL</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2928">
                <wp:simplePos x="0" y="0"/>
                <wp:positionH relativeFrom="page">
                  <wp:posOffset>981062</wp:posOffset>
                </wp:positionH>
                <wp:positionV relativeFrom="paragraph">
                  <wp:posOffset>103505</wp:posOffset>
                </wp:positionV>
                <wp:extent cx="5810250" cy="952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810250" cy="9525"/>
                        </a:xfrm>
                        <a:custGeom>
                          <a:avLst/>
                          <a:gdLst/>
                          <a:ahLst/>
                          <a:cxnLst/>
                          <a:rect l="l" t="t" r="r" b="b"/>
                          <a:pathLst>
                            <a:path w="5810250" h="9525">
                              <a:moveTo>
                                <a:pt x="5810250" y="0"/>
                              </a:moveTo>
                              <a:lnTo>
                                <a:pt x="4410075" y="0"/>
                              </a:lnTo>
                              <a:lnTo>
                                <a:pt x="0" y="0"/>
                              </a:lnTo>
                              <a:lnTo>
                                <a:pt x="0" y="9525"/>
                              </a:lnTo>
                              <a:lnTo>
                                <a:pt x="44100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0043pt;width:457.5pt;height:.75pt;mso-position-horizontal-relative:page;mso-position-vertical-relative:paragraph;z-index:-15703552;mso-wrap-distance-left:0;mso-wrap-distance-right:0" id="docshape48" coordorigin="1545,163" coordsize="9150,15" path="m10695,163l8490,163,1545,163,1545,178,8490,178,10695,178,10695,163xe" filled="true" fillcolor="#1c5349" stroked="false">
                <v:path arrowok="t"/>
                <v:fill type="solid"/>
                <w10:wrap type="topAndBottom"/>
              </v:shape>
            </w:pict>
          </mc:Fallback>
        </mc:AlternateContent>
      </w:r>
    </w:p>
    <w:p>
      <w:pPr>
        <w:tabs>
          <w:tab w:pos="7134" w:val="left" w:leader="none"/>
        </w:tabs>
        <w:spacing w:before="139"/>
        <w:ind w:left="189" w:right="0" w:firstLine="0"/>
        <w:jc w:val="left"/>
        <w:rPr>
          <w:sz w:val="22"/>
        </w:rPr>
      </w:pPr>
      <w:r>
        <w:rPr>
          <w:sz w:val="22"/>
        </w:rPr>
        <w:t>High-density</w:t>
      </w:r>
      <w:r>
        <w:rPr>
          <w:spacing w:val="19"/>
          <w:sz w:val="22"/>
        </w:rPr>
        <w:t> </w:t>
      </w:r>
      <w:r>
        <w:rPr>
          <w:sz w:val="22"/>
        </w:rPr>
        <w:t>lipoprotein</w:t>
      </w:r>
      <w:r>
        <w:rPr>
          <w:spacing w:val="19"/>
          <w:sz w:val="22"/>
        </w:rPr>
        <w:t> </w:t>
      </w:r>
      <w:r>
        <w:rPr>
          <w:sz w:val="22"/>
        </w:rPr>
        <w:t>(HDL)</w:t>
      </w:r>
      <w:r>
        <w:rPr>
          <w:spacing w:val="19"/>
          <w:sz w:val="22"/>
        </w:rPr>
        <w:t> </w:t>
      </w:r>
      <w:r>
        <w:rPr>
          <w:spacing w:val="-2"/>
          <w:sz w:val="22"/>
        </w:rPr>
        <w:t>cholesterol</w:t>
      </w:r>
      <w:r>
        <w:rPr>
          <w:sz w:val="22"/>
        </w:rPr>
        <w:tab/>
        <w:t>&gt;50</w:t>
      </w:r>
      <w:r>
        <w:rPr>
          <w:spacing w:val="7"/>
          <w:sz w:val="22"/>
        </w:rPr>
        <w:t> </w:t>
      </w:r>
      <w:r>
        <w:rPr>
          <w:spacing w:val="-2"/>
          <w:sz w:val="22"/>
        </w:rPr>
        <w:t>mg/dL</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3440">
                <wp:simplePos x="0" y="0"/>
                <wp:positionH relativeFrom="page">
                  <wp:posOffset>981062</wp:posOffset>
                </wp:positionH>
                <wp:positionV relativeFrom="paragraph">
                  <wp:posOffset>103525</wp:posOffset>
                </wp:positionV>
                <wp:extent cx="5810250" cy="952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810250" cy="9525"/>
                        </a:xfrm>
                        <a:custGeom>
                          <a:avLst/>
                          <a:gdLst/>
                          <a:ahLst/>
                          <a:cxnLst/>
                          <a:rect l="l" t="t" r="r" b="b"/>
                          <a:pathLst>
                            <a:path w="5810250" h="9525">
                              <a:moveTo>
                                <a:pt x="5810250" y="0"/>
                              </a:moveTo>
                              <a:lnTo>
                                <a:pt x="4410075" y="0"/>
                              </a:lnTo>
                              <a:lnTo>
                                <a:pt x="0" y="0"/>
                              </a:lnTo>
                              <a:lnTo>
                                <a:pt x="0" y="9525"/>
                              </a:lnTo>
                              <a:lnTo>
                                <a:pt x="44100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643pt;width:457.5pt;height:.75pt;mso-position-horizontal-relative:page;mso-position-vertical-relative:paragraph;z-index:-15703040;mso-wrap-distance-left:0;mso-wrap-distance-right:0" id="docshape49" coordorigin="1545,163" coordsize="9150,15" path="m10695,163l8490,163,1545,163,1545,178,8490,178,10695,178,10695,163xe" filled="true" fillcolor="#1c5349" stroked="false">
                <v:path arrowok="t"/>
                <v:fill type="solid"/>
                <w10:wrap type="topAndBottom"/>
              </v:shape>
            </w:pict>
          </mc:Fallback>
        </mc:AlternateContent>
      </w:r>
    </w:p>
    <w:p>
      <w:pPr>
        <w:tabs>
          <w:tab w:pos="7134" w:val="left" w:leader="none"/>
        </w:tabs>
        <w:spacing w:before="139"/>
        <w:ind w:left="189" w:right="0" w:firstLine="0"/>
        <w:jc w:val="left"/>
        <w:rPr>
          <w:sz w:val="22"/>
        </w:rPr>
      </w:pPr>
      <w:r>
        <w:rPr>
          <w:sz w:val="22"/>
        </w:rPr>
        <w:t>Low-density</w:t>
      </w:r>
      <w:r>
        <w:rPr>
          <w:spacing w:val="18"/>
          <w:sz w:val="22"/>
        </w:rPr>
        <w:t> </w:t>
      </w:r>
      <w:r>
        <w:rPr>
          <w:sz w:val="22"/>
        </w:rPr>
        <w:t>lipoprotein</w:t>
      </w:r>
      <w:r>
        <w:rPr>
          <w:spacing w:val="19"/>
          <w:sz w:val="22"/>
        </w:rPr>
        <w:t> </w:t>
      </w:r>
      <w:r>
        <w:rPr>
          <w:sz w:val="22"/>
        </w:rPr>
        <w:t>(LDL)</w:t>
      </w:r>
      <w:r>
        <w:rPr>
          <w:spacing w:val="19"/>
          <w:sz w:val="22"/>
        </w:rPr>
        <w:t> </w:t>
      </w:r>
      <w:r>
        <w:rPr>
          <w:spacing w:val="-2"/>
          <w:sz w:val="22"/>
        </w:rPr>
        <w:t>cholesterol</w:t>
      </w:r>
      <w:r>
        <w:rPr>
          <w:sz w:val="22"/>
        </w:rPr>
        <w:tab/>
        <w:t>&lt;100</w:t>
      </w:r>
      <w:r>
        <w:rPr>
          <w:spacing w:val="10"/>
          <w:sz w:val="22"/>
        </w:rPr>
        <w:t> </w:t>
      </w:r>
      <w:r>
        <w:rPr>
          <w:spacing w:val="-2"/>
          <w:sz w:val="22"/>
        </w:rPr>
        <w:t>mg/dL</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3952">
                <wp:simplePos x="0" y="0"/>
                <wp:positionH relativeFrom="page">
                  <wp:posOffset>981062</wp:posOffset>
                </wp:positionH>
                <wp:positionV relativeFrom="paragraph">
                  <wp:posOffset>103525</wp:posOffset>
                </wp:positionV>
                <wp:extent cx="5810250" cy="9525"/>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5810250" cy="9525"/>
                        </a:xfrm>
                        <a:custGeom>
                          <a:avLst/>
                          <a:gdLst/>
                          <a:ahLst/>
                          <a:cxnLst/>
                          <a:rect l="l" t="t" r="r" b="b"/>
                          <a:pathLst>
                            <a:path w="5810250" h="9525">
                              <a:moveTo>
                                <a:pt x="5810250" y="0"/>
                              </a:moveTo>
                              <a:lnTo>
                                <a:pt x="4410075" y="0"/>
                              </a:lnTo>
                              <a:lnTo>
                                <a:pt x="0" y="0"/>
                              </a:lnTo>
                              <a:lnTo>
                                <a:pt x="0" y="9525"/>
                              </a:lnTo>
                              <a:lnTo>
                                <a:pt x="44100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647pt;width:457.5pt;height:.75pt;mso-position-horizontal-relative:page;mso-position-vertical-relative:paragraph;z-index:-15702528;mso-wrap-distance-left:0;mso-wrap-distance-right:0" id="docshape50" coordorigin="1545,163" coordsize="9150,15" path="m10695,163l8490,163,1545,163,1545,178,8490,178,10695,178,10695,163xe" filled="true" fillcolor="#1c5349" stroked="false">
                <v:path arrowok="t"/>
                <v:fill type="solid"/>
                <w10:wrap type="topAndBottom"/>
              </v:shape>
            </w:pict>
          </mc:Fallback>
        </mc:AlternateContent>
      </w:r>
    </w:p>
    <w:p>
      <w:pPr>
        <w:tabs>
          <w:tab w:pos="7134" w:val="left" w:leader="none"/>
        </w:tabs>
        <w:spacing w:before="139"/>
        <w:ind w:left="189" w:right="0" w:firstLine="0"/>
        <w:jc w:val="left"/>
        <w:rPr>
          <w:sz w:val="22"/>
        </w:rPr>
      </w:pPr>
      <w:r>
        <w:rPr>
          <w:spacing w:val="-2"/>
          <w:sz w:val="22"/>
        </w:rPr>
        <w:t>Triglycerides</w:t>
      </w:r>
      <w:r>
        <w:rPr>
          <w:sz w:val="22"/>
        </w:rPr>
        <w:tab/>
        <w:t>&lt;150</w:t>
      </w:r>
      <w:r>
        <w:rPr>
          <w:spacing w:val="10"/>
          <w:sz w:val="22"/>
        </w:rPr>
        <w:t> </w:t>
      </w:r>
      <w:r>
        <w:rPr>
          <w:spacing w:val="-2"/>
          <w:sz w:val="22"/>
        </w:rPr>
        <w:t>mg/dL</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14464">
                <wp:simplePos x="0" y="0"/>
                <wp:positionH relativeFrom="page">
                  <wp:posOffset>981062</wp:posOffset>
                </wp:positionH>
                <wp:positionV relativeFrom="paragraph">
                  <wp:posOffset>103525</wp:posOffset>
                </wp:positionV>
                <wp:extent cx="5810250"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810250" cy="9525"/>
                        </a:xfrm>
                        <a:custGeom>
                          <a:avLst/>
                          <a:gdLst/>
                          <a:ahLst/>
                          <a:cxnLst/>
                          <a:rect l="l" t="t" r="r" b="b"/>
                          <a:pathLst>
                            <a:path w="5810250" h="9525">
                              <a:moveTo>
                                <a:pt x="5810250" y="0"/>
                              </a:moveTo>
                              <a:lnTo>
                                <a:pt x="4410075" y="0"/>
                              </a:lnTo>
                              <a:lnTo>
                                <a:pt x="0" y="0"/>
                              </a:lnTo>
                              <a:lnTo>
                                <a:pt x="0" y="9525"/>
                              </a:lnTo>
                              <a:lnTo>
                                <a:pt x="44100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65pt;width:457.5pt;height:.75pt;mso-position-horizontal-relative:page;mso-position-vertical-relative:paragraph;z-index:-15702016;mso-wrap-distance-left:0;mso-wrap-distance-right:0" id="docshape51" coordorigin="1545,163" coordsize="9150,15" path="m10695,163l8490,163,1545,163,1545,178,8490,178,10695,178,10695,163xe" filled="true" fillcolor="#1c5349" stroked="false">
                <v:path arrowok="t"/>
                <v:fill type="solid"/>
                <w10:wrap type="topAndBottom"/>
              </v:shape>
            </w:pict>
          </mc:Fallback>
        </mc:AlternateContent>
      </w:r>
    </w:p>
    <w:p>
      <w:pPr>
        <w:pStyle w:val="BodyText"/>
        <w:spacing w:before="201"/>
        <w:ind w:left="0"/>
        <w:jc w:val="left"/>
        <w:rPr>
          <w:sz w:val="22"/>
        </w:rPr>
      </w:pPr>
    </w:p>
    <w:p>
      <w:pPr>
        <w:pStyle w:val="BodyText"/>
        <w:spacing w:line="249" w:lineRule="auto" w:before="1"/>
        <w:ind w:right="99" w:firstLine="450"/>
      </w:pPr>
      <w:r>
        <w:rPr/>
        <w:t>CVD, especially atherosclerosis, is a consequence of multiple </w:t>
      </w:r>
      <w:r>
        <w:rPr/>
        <w:t>metabolic changes that interact with each other:</w:t>
      </w:r>
    </w:p>
    <w:p>
      <w:pPr>
        <w:pStyle w:val="ListParagraph"/>
        <w:numPr>
          <w:ilvl w:val="0"/>
          <w:numId w:val="6"/>
        </w:numPr>
        <w:tabs>
          <w:tab w:pos="398" w:val="left" w:leader="none"/>
        </w:tabs>
        <w:spacing w:line="240" w:lineRule="auto" w:before="257" w:after="0"/>
        <w:ind w:left="398" w:right="0" w:hanging="279"/>
        <w:jc w:val="both"/>
        <w:rPr>
          <w:sz w:val="30"/>
        </w:rPr>
      </w:pPr>
      <w:r>
        <w:rPr>
          <w:sz w:val="30"/>
        </w:rPr>
        <w:t>Adverse</w:t>
      </w:r>
      <w:r>
        <w:rPr>
          <w:spacing w:val="6"/>
          <w:sz w:val="30"/>
        </w:rPr>
        <w:t> </w:t>
      </w:r>
      <w:r>
        <w:rPr>
          <w:sz w:val="30"/>
        </w:rPr>
        <w:t>changes</w:t>
      </w:r>
      <w:r>
        <w:rPr>
          <w:spacing w:val="7"/>
          <w:sz w:val="30"/>
        </w:rPr>
        <w:t> </w:t>
      </w:r>
      <w:r>
        <w:rPr>
          <w:sz w:val="30"/>
        </w:rPr>
        <w:t>in</w:t>
      </w:r>
      <w:r>
        <w:rPr>
          <w:spacing w:val="6"/>
          <w:sz w:val="30"/>
        </w:rPr>
        <w:t> </w:t>
      </w:r>
      <w:r>
        <w:rPr>
          <w:sz w:val="30"/>
        </w:rPr>
        <w:t>the</w:t>
      </w:r>
      <w:r>
        <w:rPr>
          <w:spacing w:val="7"/>
          <w:sz w:val="30"/>
        </w:rPr>
        <w:t> </w:t>
      </w:r>
      <w:r>
        <w:rPr>
          <w:sz w:val="30"/>
        </w:rPr>
        <w:t>circulating</w:t>
      </w:r>
      <w:r>
        <w:rPr>
          <w:spacing w:val="6"/>
          <w:sz w:val="30"/>
        </w:rPr>
        <w:t> </w:t>
      </w:r>
      <w:r>
        <w:rPr>
          <w:sz w:val="30"/>
        </w:rPr>
        <w:t>lipid-lipoprotein</w:t>
      </w:r>
      <w:r>
        <w:rPr>
          <w:spacing w:val="7"/>
          <w:sz w:val="30"/>
        </w:rPr>
        <w:t> </w:t>
      </w:r>
      <w:r>
        <w:rPr>
          <w:spacing w:val="-2"/>
          <w:sz w:val="30"/>
        </w:rPr>
        <w:t>profile.</w:t>
      </w:r>
    </w:p>
    <w:p>
      <w:pPr>
        <w:pStyle w:val="ListParagraph"/>
        <w:numPr>
          <w:ilvl w:val="0"/>
          <w:numId w:val="6"/>
        </w:numPr>
        <w:tabs>
          <w:tab w:pos="399" w:val="left" w:leader="none"/>
        </w:tabs>
        <w:spacing w:line="261" w:lineRule="auto" w:before="105" w:after="0"/>
        <w:ind w:left="399" w:right="99" w:hanging="280"/>
        <w:jc w:val="both"/>
        <w:rPr>
          <w:sz w:val="30"/>
        </w:rPr>
      </w:pPr>
      <w:r>
        <w:rPr>
          <w:sz w:val="30"/>
        </w:rPr>
        <w:t>Oxidation of low-density lipoprotein (LDL), producing a modified LDL that is chemotactic for circulating monocytes and inhibits macrophage motility,</w:t>
      </w:r>
      <w:r>
        <w:rPr>
          <w:spacing w:val="-4"/>
          <w:sz w:val="30"/>
        </w:rPr>
        <w:t> </w:t>
      </w:r>
      <w:r>
        <w:rPr>
          <w:sz w:val="30"/>
        </w:rPr>
        <w:t>trapping</w:t>
      </w:r>
      <w:r>
        <w:rPr>
          <w:spacing w:val="-4"/>
          <w:sz w:val="30"/>
        </w:rPr>
        <w:t> </w:t>
      </w:r>
      <w:r>
        <w:rPr>
          <w:sz w:val="30"/>
        </w:rPr>
        <w:t>then</w:t>
      </w:r>
      <w:r>
        <w:rPr>
          <w:spacing w:val="-4"/>
          <w:sz w:val="30"/>
        </w:rPr>
        <w:t> </w:t>
      </w:r>
      <w:r>
        <w:rPr>
          <w:sz w:val="30"/>
        </w:rPr>
        <w:t>in</w:t>
      </w:r>
      <w:r>
        <w:rPr>
          <w:spacing w:val="-4"/>
          <w:sz w:val="30"/>
        </w:rPr>
        <w:t> </w:t>
      </w:r>
      <w:r>
        <w:rPr>
          <w:sz w:val="30"/>
        </w:rPr>
        <w:t>the</w:t>
      </w:r>
      <w:r>
        <w:rPr>
          <w:spacing w:val="-4"/>
          <w:sz w:val="30"/>
        </w:rPr>
        <w:t> </w:t>
      </w:r>
      <w:r>
        <w:rPr>
          <w:sz w:val="30"/>
        </w:rPr>
        <w:t>intima,</w:t>
      </w:r>
      <w:r>
        <w:rPr>
          <w:spacing w:val="-4"/>
          <w:sz w:val="30"/>
        </w:rPr>
        <w:t> </w:t>
      </w:r>
      <w:r>
        <w:rPr>
          <w:sz w:val="30"/>
        </w:rPr>
        <w:t>which</w:t>
      </w:r>
      <w:r>
        <w:rPr>
          <w:spacing w:val="-4"/>
          <w:sz w:val="30"/>
        </w:rPr>
        <w:t> </w:t>
      </w:r>
      <w:r>
        <w:rPr>
          <w:sz w:val="30"/>
        </w:rPr>
        <w:t>causes</w:t>
      </w:r>
      <w:r>
        <w:rPr>
          <w:spacing w:val="-4"/>
          <w:sz w:val="30"/>
        </w:rPr>
        <w:t> </w:t>
      </w:r>
      <w:r>
        <w:rPr>
          <w:sz w:val="30"/>
        </w:rPr>
        <w:t>cell</w:t>
      </w:r>
      <w:r>
        <w:rPr>
          <w:spacing w:val="-4"/>
          <w:sz w:val="30"/>
        </w:rPr>
        <w:t> </w:t>
      </w:r>
      <w:r>
        <w:rPr>
          <w:sz w:val="30"/>
        </w:rPr>
        <w:t>injury</w:t>
      </w:r>
      <w:r>
        <w:rPr>
          <w:spacing w:val="-4"/>
          <w:sz w:val="30"/>
        </w:rPr>
        <w:t> </w:t>
      </w:r>
      <w:r>
        <w:rPr>
          <w:sz w:val="30"/>
        </w:rPr>
        <w:t>and</w:t>
      </w:r>
      <w:r>
        <w:rPr>
          <w:spacing w:val="-4"/>
          <w:sz w:val="30"/>
        </w:rPr>
        <w:t> </w:t>
      </w:r>
      <w:r>
        <w:rPr>
          <w:sz w:val="30"/>
        </w:rPr>
        <w:t>death</w:t>
      </w:r>
      <w:r>
        <w:rPr>
          <w:spacing w:val="-4"/>
          <w:sz w:val="30"/>
        </w:rPr>
        <w:t> </w:t>
      </w:r>
      <w:r>
        <w:rPr>
          <w:sz w:val="30"/>
        </w:rPr>
        <w:t>in the endothelium.</w:t>
      </w:r>
    </w:p>
    <w:p>
      <w:pPr>
        <w:pStyle w:val="ListParagraph"/>
        <w:numPr>
          <w:ilvl w:val="0"/>
          <w:numId w:val="6"/>
        </w:numPr>
        <w:tabs>
          <w:tab w:pos="399" w:val="left" w:leader="none"/>
        </w:tabs>
        <w:spacing w:line="280" w:lineRule="auto" w:before="26" w:after="0"/>
        <w:ind w:left="399" w:right="104" w:hanging="280"/>
        <w:jc w:val="both"/>
        <w:rPr>
          <w:sz w:val="30"/>
        </w:rPr>
      </w:pPr>
      <w:r>
        <w:rPr>
          <w:sz w:val="30"/>
        </w:rPr>
        <w:t>Endothelial injury and dysfunction affecting nitric oxide and </w:t>
      </w:r>
      <w:r>
        <w:rPr>
          <w:sz w:val="30"/>
        </w:rPr>
        <w:t>prostacyclin </w:t>
      </w:r>
      <w:r>
        <w:rPr>
          <w:spacing w:val="-2"/>
          <w:sz w:val="30"/>
        </w:rPr>
        <w:t>production.</w:t>
      </w:r>
    </w:p>
    <w:p>
      <w:pPr>
        <w:pStyle w:val="ListParagraph"/>
        <w:numPr>
          <w:ilvl w:val="0"/>
          <w:numId w:val="6"/>
        </w:numPr>
        <w:tabs>
          <w:tab w:pos="399" w:val="left" w:leader="none"/>
        </w:tabs>
        <w:spacing w:line="280" w:lineRule="auto" w:before="3" w:after="0"/>
        <w:ind w:left="399" w:right="102" w:hanging="280"/>
        <w:jc w:val="both"/>
        <w:rPr>
          <w:sz w:val="30"/>
        </w:rPr>
      </w:pPr>
      <w:r>
        <w:rPr>
          <w:sz w:val="30"/>
        </w:rPr>
        <w:t>Macrophage migration and functions, influenced by growth factors </w:t>
      </w:r>
      <w:r>
        <w:rPr>
          <w:sz w:val="30"/>
        </w:rPr>
        <w:t>and </w:t>
      </w:r>
      <w:r>
        <w:rPr>
          <w:spacing w:val="-2"/>
          <w:sz w:val="30"/>
        </w:rPr>
        <w:t>cytokines.</w:t>
      </w:r>
    </w:p>
    <w:p>
      <w:pPr>
        <w:pStyle w:val="ListParagraph"/>
        <w:numPr>
          <w:ilvl w:val="0"/>
          <w:numId w:val="6"/>
        </w:numPr>
        <w:tabs>
          <w:tab w:pos="399" w:val="left" w:leader="none"/>
        </w:tabs>
        <w:spacing w:line="261" w:lineRule="auto" w:before="3" w:after="0"/>
        <w:ind w:left="399" w:right="97" w:hanging="280"/>
        <w:jc w:val="both"/>
        <w:rPr>
          <w:sz w:val="30"/>
        </w:rPr>
      </w:pPr>
      <w:r>
        <w:rPr>
          <w:sz w:val="30"/>
        </w:rPr>
        <w:t>Proliferation and migration of smooth muscle cells also influenced by growth factors and cytokines; these cells become the dominant cell type and the source of the connective tissue matrix in the </w:t>
      </w:r>
      <w:r>
        <w:rPr>
          <w:sz w:val="30"/>
        </w:rPr>
        <w:t>atherosclerotic lesion, the fibrous plaque.</w:t>
      </w:r>
    </w:p>
    <w:p>
      <w:pPr>
        <w:pStyle w:val="ListParagraph"/>
        <w:numPr>
          <w:ilvl w:val="0"/>
          <w:numId w:val="6"/>
        </w:numPr>
        <w:tabs>
          <w:tab w:pos="398" w:val="left" w:leader="none"/>
        </w:tabs>
        <w:spacing w:line="240" w:lineRule="auto" w:before="26" w:after="0"/>
        <w:ind w:left="398" w:right="0" w:hanging="279"/>
        <w:jc w:val="both"/>
        <w:rPr>
          <w:sz w:val="30"/>
        </w:rPr>
      </w:pPr>
      <w:r>
        <w:rPr>
          <w:sz w:val="30"/>
        </w:rPr>
        <w:t>Vasoconstriction</w:t>
      </w:r>
      <w:r>
        <w:rPr>
          <w:spacing w:val="-12"/>
          <w:sz w:val="30"/>
        </w:rPr>
        <w:t> </w:t>
      </w:r>
      <w:r>
        <w:rPr>
          <w:sz w:val="30"/>
        </w:rPr>
        <w:t>and</w:t>
      </w:r>
      <w:r>
        <w:rPr>
          <w:spacing w:val="-11"/>
          <w:sz w:val="30"/>
        </w:rPr>
        <w:t> </w:t>
      </w:r>
      <w:r>
        <w:rPr>
          <w:sz w:val="30"/>
        </w:rPr>
        <w:t>thrombogenic</w:t>
      </w:r>
      <w:r>
        <w:rPr>
          <w:spacing w:val="-11"/>
          <w:sz w:val="30"/>
        </w:rPr>
        <w:t> </w:t>
      </w:r>
      <w:r>
        <w:rPr>
          <w:spacing w:val="-2"/>
          <w:sz w:val="30"/>
        </w:rPr>
        <w:t>events.</w:t>
      </w:r>
    </w:p>
    <w:p>
      <w:pPr>
        <w:pStyle w:val="ListParagraph"/>
        <w:numPr>
          <w:ilvl w:val="0"/>
          <w:numId w:val="6"/>
        </w:numPr>
        <w:tabs>
          <w:tab w:pos="399" w:val="left" w:leader="none"/>
        </w:tabs>
        <w:spacing w:line="266" w:lineRule="auto" w:before="105" w:after="0"/>
        <w:ind w:left="399" w:right="102" w:hanging="280"/>
        <w:jc w:val="both"/>
        <w:rPr>
          <w:sz w:val="30"/>
        </w:rPr>
      </w:pPr>
      <w:r>
        <w:rPr>
          <w:sz w:val="30"/>
        </w:rPr>
        <w:t>Remodeling of coronary arteries. An artery is able to respond to </w:t>
      </w:r>
      <w:r>
        <w:rPr>
          <w:sz w:val="30"/>
        </w:rPr>
        <w:t>a developing atherosclerotic plaque by increasing its overall diameter in an attempt to maintain flow.</w:t>
      </w:r>
      <w:r>
        <w:rPr>
          <w:sz w:val="30"/>
          <w:vertAlign w:val="superscript"/>
        </w:rPr>
        <w:t>381</w:t>
      </w:r>
    </w:p>
    <w:p>
      <w:pPr>
        <w:pStyle w:val="BodyText"/>
        <w:spacing w:line="249" w:lineRule="auto" w:before="186"/>
        <w:ind w:right="111" w:firstLine="450"/>
      </w:pPr>
      <w:r>
        <w:rPr/>
        <w:t>The</w:t>
      </w:r>
      <w:r>
        <w:rPr>
          <w:spacing w:val="-2"/>
        </w:rPr>
        <w:t> </w:t>
      </w:r>
      <w:r>
        <w:rPr/>
        <w:t>mechanism</w:t>
      </w:r>
      <w:r>
        <w:rPr>
          <w:spacing w:val="-2"/>
        </w:rPr>
        <w:t> </w:t>
      </w:r>
      <w:r>
        <w:rPr/>
        <w:t>of</w:t>
      </w:r>
      <w:r>
        <w:rPr>
          <w:spacing w:val="-2"/>
        </w:rPr>
        <w:t> </w:t>
      </w:r>
      <w:r>
        <w:rPr/>
        <w:t>this</w:t>
      </w:r>
      <w:r>
        <w:rPr>
          <w:spacing w:val="-2"/>
        </w:rPr>
        <w:t> </w:t>
      </w:r>
      <w:r>
        <w:rPr/>
        <w:t>adaptive</w:t>
      </w:r>
      <w:r>
        <w:rPr>
          <w:spacing w:val="-2"/>
        </w:rPr>
        <w:t> </w:t>
      </w:r>
      <w:r>
        <w:rPr/>
        <w:t>remodeling</w:t>
      </w:r>
      <w:r>
        <w:rPr>
          <w:spacing w:val="-2"/>
        </w:rPr>
        <w:t> </w:t>
      </w:r>
      <w:r>
        <w:rPr/>
        <w:t>is</w:t>
      </w:r>
      <w:r>
        <w:rPr>
          <w:spacing w:val="-2"/>
        </w:rPr>
        <w:t> </w:t>
      </w:r>
      <w:r>
        <w:rPr/>
        <w:t>not</w:t>
      </w:r>
      <w:r>
        <w:rPr>
          <w:spacing w:val="-2"/>
        </w:rPr>
        <w:t> </w:t>
      </w:r>
      <w:r>
        <w:rPr/>
        <w:t>known,</w:t>
      </w:r>
      <w:r>
        <w:rPr>
          <w:spacing w:val="-2"/>
        </w:rPr>
        <w:t> </w:t>
      </w:r>
      <w:r>
        <w:rPr/>
        <w:t>but</w:t>
      </w:r>
      <w:r>
        <w:rPr>
          <w:spacing w:val="-2"/>
        </w:rPr>
        <w:t> </w:t>
      </w:r>
      <w:r>
        <w:rPr/>
        <w:t>the</w:t>
      </w:r>
      <w:r>
        <w:rPr>
          <w:spacing w:val="-2"/>
        </w:rPr>
        <w:t> </w:t>
      </w:r>
      <w:r>
        <w:rPr/>
        <w:t>extent of this process does affect the risk of occlusion and infarction.</w:t>
      </w:r>
    </w:p>
    <w:p>
      <w:pPr>
        <w:pStyle w:val="BodyText"/>
        <w:spacing w:line="249" w:lineRule="auto" w:before="2"/>
        <w:ind w:right="103" w:firstLine="450"/>
      </w:pPr>
      <w:r>
        <w:rPr/>
        <w:t>There is an established sequence of events leading to </w:t>
      </w:r>
      <w:r>
        <w:rPr/>
        <w:t>atherosclerosis </w:t>
      </w:r>
      <w:r>
        <w:rPr>
          <w:b/>
          <w:color w:val="256E60"/>
        </w:rPr>
        <w:t>(Figure</w:t>
      </w:r>
      <w:r>
        <w:rPr>
          <w:b/>
          <w:color w:val="256E60"/>
          <w:spacing w:val="-6"/>
        </w:rPr>
        <w:t> </w:t>
      </w:r>
      <w:r>
        <w:rPr>
          <w:b/>
          <w:color w:val="256E60"/>
        </w:rPr>
        <w:t>21.11)</w:t>
      </w:r>
      <w:r>
        <w:rPr/>
        <w:t>.</w:t>
      </w:r>
      <w:r>
        <w:rPr>
          <w:spacing w:val="-6"/>
        </w:rPr>
        <w:t> </w:t>
      </w:r>
      <w:r>
        <w:rPr/>
        <w:t>The</w:t>
      </w:r>
      <w:r>
        <w:rPr>
          <w:spacing w:val="-1"/>
        </w:rPr>
        <w:t> </w:t>
      </w:r>
      <w:r>
        <w:rPr/>
        <w:t>process</w:t>
      </w:r>
      <w:r>
        <w:rPr>
          <w:spacing w:val="-1"/>
        </w:rPr>
        <w:t> </w:t>
      </w:r>
      <w:r>
        <w:rPr/>
        <w:t>starts</w:t>
      </w:r>
      <w:r>
        <w:rPr>
          <w:spacing w:val="-1"/>
        </w:rPr>
        <w:t> </w:t>
      </w:r>
      <w:r>
        <w:rPr/>
        <w:t>with</w:t>
      </w:r>
      <w:r>
        <w:rPr>
          <w:spacing w:val="-1"/>
        </w:rPr>
        <w:t> </w:t>
      </w:r>
      <w:r>
        <w:rPr/>
        <w:t>endothelial</w:t>
      </w:r>
      <w:r>
        <w:rPr>
          <w:spacing w:val="-1"/>
        </w:rPr>
        <w:t> </w:t>
      </w:r>
      <w:r>
        <w:rPr/>
        <w:t>dysfunction</w:t>
      </w:r>
      <w:r>
        <w:rPr>
          <w:spacing w:val="-1"/>
        </w:rPr>
        <w:t> </w:t>
      </w:r>
      <w:r>
        <w:rPr/>
        <w:t>that</w:t>
      </w:r>
      <w:r>
        <w:rPr>
          <w:spacing w:val="-1"/>
        </w:rPr>
        <w:t> </w:t>
      </w:r>
      <w:r>
        <w:rPr/>
        <w:t>leads</w:t>
      </w:r>
      <w:r>
        <w:rPr>
          <w:spacing w:val="-1"/>
        </w:rPr>
        <w:t> </w:t>
      </w:r>
      <w:r>
        <w:rPr/>
        <w:t>to the</w:t>
      </w:r>
      <w:r>
        <w:rPr>
          <w:spacing w:val="64"/>
        </w:rPr>
        <w:t> </w:t>
      </w:r>
      <w:r>
        <w:rPr/>
        <w:t>fatty</w:t>
      </w:r>
      <w:r>
        <w:rPr>
          <w:spacing w:val="64"/>
        </w:rPr>
        <w:t> </w:t>
      </w:r>
      <w:r>
        <w:rPr/>
        <w:t>streak</w:t>
      </w:r>
      <w:r>
        <w:rPr>
          <w:spacing w:val="64"/>
        </w:rPr>
        <w:t> </w:t>
      </w:r>
      <w:r>
        <w:rPr/>
        <w:t>in</w:t>
      </w:r>
      <w:r>
        <w:rPr>
          <w:spacing w:val="64"/>
        </w:rPr>
        <w:t> </w:t>
      </w:r>
      <w:r>
        <w:rPr/>
        <w:t>arterial</w:t>
      </w:r>
      <w:r>
        <w:rPr>
          <w:spacing w:val="64"/>
        </w:rPr>
        <w:t> </w:t>
      </w:r>
      <w:r>
        <w:rPr/>
        <w:t>vessels,</w:t>
      </w:r>
      <w:r>
        <w:rPr>
          <w:spacing w:val="64"/>
        </w:rPr>
        <w:t> </w:t>
      </w:r>
      <w:r>
        <w:rPr/>
        <w:t>the</w:t>
      </w:r>
      <w:r>
        <w:rPr>
          <w:spacing w:val="64"/>
        </w:rPr>
        <w:t> </w:t>
      </w:r>
      <w:r>
        <w:rPr/>
        <w:t>precursor</w:t>
      </w:r>
      <w:r>
        <w:rPr>
          <w:spacing w:val="64"/>
        </w:rPr>
        <w:t> </w:t>
      </w:r>
      <w:r>
        <w:rPr/>
        <w:t>to</w:t>
      </w:r>
      <w:r>
        <w:rPr>
          <w:spacing w:val="64"/>
        </w:rPr>
        <w:t> </w:t>
      </w:r>
      <w:r>
        <w:rPr/>
        <w:t>clinically</w:t>
      </w:r>
      <w:r>
        <w:rPr>
          <w:spacing w:val="64"/>
        </w:rPr>
        <w:t> </w:t>
      </w:r>
      <w:r>
        <w:rPr>
          <w:spacing w:val="-2"/>
        </w:rPr>
        <w:t>significant</w:t>
      </w:r>
    </w:p>
    <w:p>
      <w:pPr>
        <w:pStyle w:val="BodyText"/>
        <w:spacing w:after="0" w:line="249" w:lineRule="auto"/>
        <w:sectPr>
          <w:pgSz w:w="12240" w:h="15840"/>
          <w:pgMar w:top="1440" w:bottom="280" w:left="1440" w:right="1440"/>
        </w:sectPr>
      </w:pPr>
    </w:p>
    <w:p>
      <w:pPr>
        <w:spacing w:line="249" w:lineRule="auto" w:before="65"/>
        <w:ind w:left="99" w:right="97" w:firstLine="0"/>
        <w:jc w:val="both"/>
        <w:rPr>
          <w:sz w:val="30"/>
        </w:rPr>
      </w:pPr>
      <w:r>
        <w:rPr>
          <w:sz w:val="30"/>
        </w:rPr>
        <w:t>lesions. The fatty streak lesion, therefore, antedates the fibrous plaque, developing under the endothelial surface and dominated by fat-laden macrophages (the foam cells). The damaged endothelium expresses cytokines, adhesion molecules, and other inflammatory agents that are involved in the formation of atherosclerotic plaques. The formation of a plaque is initiated by the aggregation and adherence of circulating monocytes (macrophages) to a site on the arterial endothelium, stimulating an inflammatory response. When the monocytes penetrate through </w:t>
      </w:r>
      <w:r>
        <w:rPr>
          <w:sz w:val="30"/>
        </w:rPr>
        <w:t>the endothelium and enter the intima, they become loaded with lipids and converted to foam cells. Modification of LDL, especially oxidation, is crucial in this conversion of monocytes to foam cells. The adherence of monocytes to endothelium can be induced by elevated cholesterol and LDL cholesterol in the circulation. Most of the cholesterol that accumulates in atherosclerotic plaques is derived from circulating LDL cholesterol. As plaques become significant in size, they are prone to instability, rupturing, and creating a prothrombotic state. Matrix metalloproteinase enzymes are secreted by inflammatory cells and smooth muscle cells. These enzymes digest the proteins in the fibrous cap of an atherosclerotic plaque, making the plaque unstable and predisposed to rupture. </w:t>
      </w:r>
      <w:r>
        <w:rPr>
          <w:b/>
          <w:sz w:val="30"/>
        </w:rPr>
        <w:t>Estrogen induces matrix metalloproteinase production or activity, which digests the fibrous cap of a plaque, exposing the underlying thrombogenic collagen, and this is believed</w:t>
      </w:r>
      <w:r>
        <w:rPr>
          <w:b/>
          <w:spacing w:val="-5"/>
          <w:sz w:val="30"/>
        </w:rPr>
        <w:t> </w:t>
      </w:r>
      <w:r>
        <w:rPr>
          <w:b/>
          <w:sz w:val="30"/>
        </w:rPr>
        <w:t>to</w:t>
      </w:r>
      <w:r>
        <w:rPr>
          <w:b/>
          <w:spacing w:val="-5"/>
          <w:sz w:val="30"/>
        </w:rPr>
        <w:t> </w:t>
      </w:r>
      <w:r>
        <w:rPr>
          <w:b/>
          <w:sz w:val="30"/>
        </w:rPr>
        <w:t>be</w:t>
      </w:r>
      <w:r>
        <w:rPr>
          <w:b/>
          <w:spacing w:val="-5"/>
          <w:sz w:val="30"/>
        </w:rPr>
        <w:t> </w:t>
      </w:r>
      <w:r>
        <w:rPr>
          <w:b/>
          <w:sz w:val="30"/>
        </w:rPr>
        <w:t>the</w:t>
      </w:r>
      <w:r>
        <w:rPr>
          <w:b/>
          <w:spacing w:val="-5"/>
          <w:sz w:val="30"/>
        </w:rPr>
        <w:t> </w:t>
      </w:r>
      <w:r>
        <w:rPr>
          <w:b/>
          <w:sz w:val="30"/>
        </w:rPr>
        <w:t>mechanism</w:t>
      </w:r>
      <w:r>
        <w:rPr>
          <w:b/>
          <w:spacing w:val="-5"/>
          <w:sz w:val="30"/>
        </w:rPr>
        <w:t> </w:t>
      </w:r>
      <w:r>
        <w:rPr>
          <w:b/>
          <w:sz w:val="30"/>
        </w:rPr>
        <w:t>involved</w:t>
      </w:r>
      <w:r>
        <w:rPr>
          <w:b/>
          <w:spacing w:val="-5"/>
          <w:sz w:val="30"/>
        </w:rPr>
        <w:t> </w:t>
      </w:r>
      <w:r>
        <w:rPr>
          <w:b/>
          <w:sz w:val="30"/>
        </w:rPr>
        <w:t>in</w:t>
      </w:r>
      <w:r>
        <w:rPr>
          <w:b/>
          <w:spacing w:val="-5"/>
          <w:sz w:val="30"/>
        </w:rPr>
        <w:t> </w:t>
      </w:r>
      <w:r>
        <w:rPr>
          <w:b/>
          <w:sz w:val="30"/>
        </w:rPr>
        <w:t>the</w:t>
      </w:r>
      <w:r>
        <w:rPr>
          <w:b/>
          <w:spacing w:val="-5"/>
          <w:sz w:val="30"/>
        </w:rPr>
        <w:t> </w:t>
      </w:r>
      <w:r>
        <w:rPr>
          <w:b/>
          <w:sz w:val="30"/>
        </w:rPr>
        <w:t>adverse</w:t>
      </w:r>
      <w:r>
        <w:rPr>
          <w:b/>
          <w:spacing w:val="-5"/>
          <w:sz w:val="30"/>
        </w:rPr>
        <w:t> </w:t>
      </w:r>
      <w:r>
        <w:rPr>
          <w:b/>
          <w:sz w:val="30"/>
        </w:rPr>
        <w:t>thrombotic</w:t>
      </w:r>
      <w:r>
        <w:rPr>
          <w:b/>
          <w:spacing w:val="-5"/>
          <w:sz w:val="30"/>
        </w:rPr>
        <w:t> </w:t>
      </w:r>
      <w:r>
        <w:rPr>
          <w:b/>
          <w:sz w:val="30"/>
        </w:rPr>
        <w:t>effects of</w:t>
      </w:r>
      <w:r>
        <w:rPr>
          <w:b/>
          <w:spacing w:val="-1"/>
          <w:sz w:val="30"/>
        </w:rPr>
        <w:t> </w:t>
      </w:r>
      <w:r>
        <w:rPr>
          <w:b/>
          <w:sz w:val="30"/>
        </w:rPr>
        <w:t>estrogen</w:t>
      </w:r>
      <w:r>
        <w:rPr>
          <w:b/>
          <w:spacing w:val="-1"/>
          <w:sz w:val="30"/>
        </w:rPr>
        <w:t> </w:t>
      </w:r>
      <w:r>
        <w:rPr>
          <w:b/>
          <w:sz w:val="30"/>
        </w:rPr>
        <w:t>in</w:t>
      </w:r>
      <w:r>
        <w:rPr>
          <w:b/>
          <w:spacing w:val="-1"/>
          <w:sz w:val="30"/>
        </w:rPr>
        <w:t> </w:t>
      </w:r>
      <w:r>
        <w:rPr>
          <w:b/>
          <w:sz w:val="30"/>
        </w:rPr>
        <w:t>the</w:t>
      </w:r>
      <w:r>
        <w:rPr>
          <w:b/>
          <w:spacing w:val="-1"/>
          <w:sz w:val="30"/>
        </w:rPr>
        <w:t> </w:t>
      </w:r>
      <w:r>
        <w:rPr>
          <w:b/>
          <w:sz w:val="30"/>
        </w:rPr>
        <w:t>presence</w:t>
      </w:r>
      <w:r>
        <w:rPr>
          <w:b/>
          <w:spacing w:val="-1"/>
          <w:sz w:val="30"/>
        </w:rPr>
        <w:t> </w:t>
      </w:r>
      <w:r>
        <w:rPr>
          <w:b/>
          <w:sz w:val="30"/>
        </w:rPr>
        <w:t>of</w:t>
      </w:r>
      <w:r>
        <w:rPr>
          <w:b/>
          <w:spacing w:val="-1"/>
          <w:sz w:val="30"/>
        </w:rPr>
        <w:t> </w:t>
      </w:r>
      <w:r>
        <w:rPr>
          <w:b/>
          <w:sz w:val="30"/>
        </w:rPr>
        <w:t>established</w:t>
      </w:r>
      <w:r>
        <w:rPr>
          <w:b/>
          <w:spacing w:val="-1"/>
          <w:sz w:val="30"/>
        </w:rPr>
        <w:t> </w:t>
      </w:r>
      <w:r>
        <w:rPr>
          <w:b/>
          <w:sz w:val="30"/>
        </w:rPr>
        <w:t>atherosclerosis.</w:t>
      </w:r>
      <w:r>
        <w:rPr>
          <w:sz w:val="30"/>
          <w:vertAlign w:val="superscript"/>
        </w:rPr>
        <w:t>382</w:t>
      </w:r>
      <w:r>
        <w:rPr>
          <w:spacing w:val="-9"/>
          <w:sz w:val="30"/>
          <w:vertAlign w:val="baseline"/>
        </w:rPr>
        <w:t> </w:t>
      </w:r>
      <w:r>
        <w:rPr>
          <w:b/>
          <w:sz w:val="30"/>
          <w:vertAlign w:val="baseline"/>
        </w:rPr>
        <w:t>In addition, 27-hydroxycholesterol, a cholesterol metabolite elevated in atherosclerotic lesions, competitively antagonizes estrogen receptor activity in cardiovascular epithelium.</w:t>
      </w:r>
      <w:r>
        <w:rPr>
          <w:sz w:val="30"/>
          <w:vertAlign w:val="superscript"/>
        </w:rPr>
        <w:t>383</w:t>
      </w:r>
    </w:p>
    <w:p>
      <w:pPr>
        <w:pStyle w:val="BodyText"/>
        <w:spacing w:before="0"/>
        <w:ind w:left="0"/>
        <w:jc w:val="left"/>
        <w:rPr>
          <w:sz w:val="20"/>
        </w:rPr>
      </w:pPr>
    </w:p>
    <w:p>
      <w:pPr>
        <w:pStyle w:val="BodyText"/>
        <w:spacing w:before="143"/>
        <w:ind w:left="0"/>
        <w:jc w:val="left"/>
        <w:rPr>
          <w:sz w:val="20"/>
        </w:rPr>
      </w:pPr>
      <w:r>
        <w:rPr>
          <w:sz w:val="20"/>
        </w:rPr>
        <w:drawing>
          <wp:anchor distT="0" distB="0" distL="0" distR="0" allowOverlap="1" layoutInCell="1" locked="0" behindDoc="1" simplePos="0" relativeHeight="487614976">
            <wp:simplePos x="0" y="0"/>
            <wp:positionH relativeFrom="page">
              <wp:posOffset>2381249</wp:posOffset>
            </wp:positionH>
            <wp:positionV relativeFrom="paragraph">
              <wp:posOffset>252102</wp:posOffset>
            </wp:positionV>
            <wp:extent cx="3781424" cy="190500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18" cstate="print"/>
                    <a:stretch>
                      <a:fillRect/>
                    </a:stretch>
                  </pic:blipFill>
                  <pic:spPr>
                    <a:xfrm>
                      <a:off x="0" y="0"/>
                      <a:ext cx="3781424" cy="1905000"/>
                    </a:xfrm>
                    <a:prstGeom prst="rect">
                      <a:avLst/>
                    </a:prstGeom>
                  </pic:spPr>
                </pic:pic>
              </a:graphicData>
            </a:graphic>
          </wp:anchor>
        </w:drawing>
      </w:r>
    </w:p>
    <w:p>
      <w:pPr>
        <w:pStyle w:val="BodyText"/>
        <w:spacing w:after="0"/>
        <w:jc w:val="left"/>
        <w:rPr>
          <w:sz w:val="20"/>
        </w:rPr>
        <w:sectPr>
          <w:pgSz w:w="12240" w:h="15840"/>
          <w:pgMar w:top="1380" w:bottom="280" w:left="1440" w:right="1440"/>
        </w:sectPr>
      </w:pPr>
    </w:p>
    <w:p>
      <w:pPr>
        <w:spacing w:line="240" w:lineRule="auto"/>
        <w:ind w:left="105" w:right="0" w:firstLine="0"/>
        <w:rPr>
          <w:sz w:val="20"/>
        </w:rPr>
      </w:pPr>
      <w:r>
        <w:rPr>
          <w:sz w:val="20"/>
        </w:rPr>
        <w:drawing>
          <wp:inline distT="0" distB="0" distL="0" distR="0">
            <wp:extent cx="5217381" cy="689610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9" cstate="print"/>
                    <a:stretch>
                      <a:fillRect/>
                    </a:stretch>
                  </pic:blipFill>
                  <pic:spPr>
                    <a:xfrm>
                      <a:off x="0" y="0"/>
                      <a:ext cx="5217381" cy="6896100"/>
                    </a:xfrm>
                    <a:prstGeom prst="rect">
                      <a:avLst/>
                    </a:prstGeom>
                  </pic:spPr>
                </pic:pic>
              </a:graphicData>
            </a:graphic>
          </wp:inline>
        </w:drawing>
      </w:r>
      <w:r>
        <w:rPr>
          <w:sz w:val="20"/>
        </w:rPr>
      </w:r>
    </w:p>
    <w:p>
      <w:pPr>
        <w:pStyle w:val="BodyText"/>
        <w:spacing w:before="31"/>
        <w:ind w:left="0"/>
        <w:jc w:val="left"/>
        <w:rPr>
          <w:sz w:val="20"/>
        </w:rPr>
      </w:pPr>
      <w:r>
        <w:rPr>
          <w:sz w:val="20"/>
        </w:rPr>
        <mc:AlternateContent>
          <mc:Choice Requires="wps">
            <w:drawing>
              <wp:anchor distT="0" distB="0" distL="0" distR="0" allowOverlap="1" layoutInCell="1" locked="0" behindDoc="1" simplePos="0" relativeHeight="487615488">
                <wp:simplePos x="0" y="0"/>
                <wp:positionH relativeFrom="page">
                  <wp:posOffset>981075</wp:posOffset>
                </wp:positionH>
                <wp:positionV relativeFrom="paragraph">
                  <wp:posOffset>180975</wp:posOffset>
                </wp:positionV>
                <wp:extent cx="932815" cy="5715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932815" cy="57150"/>
                        </a:xfrm>
                        <a:custGeom>
                          <a:avLst/>
                          <a:gdLst/>
                          <a:ahLst/>
                          <a:cxnLst/>
                          <a:rect l="l" t="t" r="r" b="b"/>
                          <a:pathLst>
                            <a:path w="932815" h="57150">
                              <a:moveTo>
                                <a:pt x="32364" y="57149"/>
                              </a:moveTo>
                              <a:lnTo>
                                <a:pt x="24785" y="57149"/>
                              </a:lnTo>
                              <a:lnTo>
                                <a:pt x="21140" y="56407"/>
                              </a:lnTo>
                              <a:lnTo>
                                <a:pt x="0" y="32337"/>
                              </a:lnTo>
                              <a:lnTo>
                                <a:pt x="0" y="24745"/>
                              </a:lnTo>
                              <a:lnTo>
                                <a:pt x="725" y="21097"/>
                              </a:lnTo>
                              <a:lnTo>
                                <a:pt x="3625" y="14068"/>
                              </a:lnTo>
                              <a:lnTo>
                                <a:pt x="5689" y="10972"/>
                              </a:lnTo>
                              <a:lnTo>
                                <a:pt x="8369" y="8334"/>
                              </a:lnTo>
                              <a:lnTo>
                                <a:pt x="11048" y="5657"/>
                              </a:lnTo>
                              <a:lnTo>
                                <a:pt x="14138" y="3571"/>
                              </a:lnTo>
                              <a:lnTo>
                                <a:pt x="21140" y="704"/>
                              </a:lnTo>
                              <a:lnTo>
                                <a:pt x="24785" y="0"/>
                              </a:lnTo>
                              <a:lnTo>
                                <a:pt x="32364" y="0"/>
                              </a:lnTo>
                              <a:lnTo>
                                <a:pt x="36009" y="704"/>
                              </a:lnTo>
                              <a:lnTo>
                                <a:pt x="43010" y="3571"/>
                              </a:lnTo>
                              <a:lnTo>
                                <a:pt x="46101" y="5657"/>
                              </a:lnTo>
                              <a:lnTo>
                                <a:pt x="48780" y="8334"/>
                              </a:lnTo>
                              <a:lnTo>
                                <a:pt x="51459" y="10972"/>
                              </a:lnTo>
                              <a:lnTo>
                                <a:pt x="53524" y="14068"/>
                              </a:lnTo>
                              <a:lnTo>
                                <a:pt x="56424" y="21097"/>
                              </a:lnTo>
                              <a:lnTo>
                                <a:pt x="57149" y="24745"/>
                              </a:lnTo>
                              <a:lnTo>
                                <a:pt x="57149" y="32337"/>
                              </a:lnTo>
                              <a:lnTo>
                                <a:pt x="36009" y="56407"/>
                              </a:lnTo>
                              <a:lnTo>
                                <a:pt x="32364" y="57149"/>
                              </a:lnTo>
                              <a:close/>
                            </a:path>
                            <a:path w="932815" h="57150">
                              <a:moveTo>
                                <a:pt x="141806" y="57149"/>
                              </a:moveTo>
                              <a:lnTo>
                                <a:pt x="134227" y="57149"/>
                              </a:lnTo>
                              <a:lnTo>
                                <a:pt x="130582" y="56407"/>
                              </a:lnTo>
                              <a:lnTo>
                                <a:pt x="109442" y="32337"/>
                              </a:lnTo>
                              <a:lnTo>
                                <a:pt x="109442" y="24745"/>
                              </a:lnTo>
                              <a:lnTo>
                                <a:pt x="110167" y="21097"/>
                              </a:lnTo>
                              <a:lnTo>
                                <a:pt x="113067" y="14068"/>
                              </a:lnTo>
                              <a:lnTo>
                                <a:pt x="115132" y="10972"/>
                              </a:lnTo>
                              <a:lnTo>
                                <a:pt x="117811" y="8334"/>
                              </a:lnTo>
                              <a:lnTo>
                                <a:pt x="120491" y="5657"/>
                              </a:lnTo>
                              <a:lnTo>
                                <a:pt x="123581" y="3571"/>
                              </a:lnTo>
                              <a:lnTo>
                                <a:pt x="130582" y="704"/>
                              </a:lnTo>
                              <a:lnTo>
                                <a:pt x="134227" y="0"/>
                              </a:lnTo>
                              <a:lnTo>
                                <a:pt x="141806" y="0"/>
                              </a:lnTo>
                              <a:lnTo>
                                <a:pt x="145451" y="704"/>
                              </a:lnTo>
                              <a:lnTo>
                                <a:pt x="152453" y="3571"/>
                              </a:lnTo>
                              <a:lnTo>
                                <a:pt x="155543" y="5657"/>
                              </a:lnTo>
                              <a:lnTo>
                                <a:pt x="158222" y="8334"/>
                              </a:lnTo>
                              <a:lnTo>
                                <a:pt x="160902" y="10972"/>
                              </a:lnTo>
                              <a:lnTo>
                                <a:pt x="162966" y="14068"/>
                              </a:lnTo>
                              <a:lnTo>
                                <a:pt x="165867" y="21097"/>
                              </a:lnTo>
                              <a:lnTo>
                                <a:pt x="166592" y="24745"/>
                              </a:lnTo>
                              <a:lnTo>
                                <a:pt x="166592" y="32337"/>
                              </a:lnTo>
                              <a:lnTo>
                                <a:pt x="145451" y="56407"/>
                              </a:lnTo>
                              <a:lnTo>
                                <a:pt x="141806" y="57149"/>
                              </a:lnTo>
                              <a:close/>
                            </a:path>
                            <a:path w="932815" h="57150">
                              <a:moveTo>
                                <a:pt x="251248" y="57149"/>
                              </a:moveTo>
                              <a:lnTo>
                                <a:pt x="243670" y="57149"/>
                              </a:lnTo>
                              <a:lnTo>
                                <a:pt x="240025" y="56407"/>
                              </a:lnTo>
                              <a:lnTo>
                                <a:pt x="218884" y="32337"/>
                              </a:lnTo>
                              <a:lnTo>
                                <a:pt x="218884" y="24745"/>
                              </a:lnTo>
                              <a:lnTo>
                                <a:pt x="219609" y="21097"/>
                              </a:lnTo>
                              <a:lnTo>
                                <a:pt x="222509" y="14068"/>
                              </a:lnTo>
                              <a:lnTo>
                                <a:pt x="224574" y="10972"/>
                              </a:lnTo>
                              <a:lnTo>
                                <a:pt x="227253" y="8334"/>
                              </a:lnTo>
                              <a:lnTo>
                                <a:pt x="229933" y="5657"/>
                              </a:lnTo>
                              <a:lnTo>
                                <a:pt x="233023" y="3571"/>
                              </a:lnTo>
                              <a:lnTo>
                                <a:pt x="240025" y="704"/>
                              </a:lnTo>
                              <a:lnTo>
                                <a:pt x="243670" y="0"/>
                              </a:lnTo>
                              <a:lnTo>
                                <a:pt x="251248" y="0"/>
                              </a:lnTo>
                              <a:lnTo>
                                <a:pt x="254893" y="704"/>
                              </a:lnTo>
                              <a:lnTo>
                                <a:pt x="261895" y="3571"/>
                              </a:lnTo>
                              <a:lnTo>
                                <a:pt x="264985" y="5657"/>
                              </a:lnTo>
                              <a:lnTo>
                                <a:pt x="267665" y="8334"/>
                              </a:lnTo>
                              <a:lnTo>
                                <a:pt x="270344" y="10972"/>
                              </a:lnTo>
                              <a:lnTo>
                                <a:pt x="272409" y="14068"/>
                              </a:lnTo>
                              <a:lnTo>
                                <a:pt x="275309" y="21097"/>
                              </a:lnTo>
                              <a:lnTo>
                                <a:pt x="276034" y="24745"/>
                              </a:lnTo>
                              <a:lnTo>
                                <a:pt x="276034" y="32337"/>
                              </a:lnTo>
                              <a:lnTo>
                                <a:pt x="254893" y="56407"/>
                              </a:lnTo>
                              <a:lnTo>
                                <a:pt x="251248" y="57149"/>
                              </a:lnTo>
                              <a:close/>
                            </a:path>
                            <a:path w="932815" h="57150">
                              <a:moveTo>
                                <a:pt x="360691" y="57149"/>
                              </a:moveTo>
                              <a:lnTo>
                                <a:pt x="353112" y="57149"/>
                              </a:lnTo>
                              <a:lnTo>
                                <a:pt x="349467" y="56407"/>
                              </a:lnTo>
                              <a:lnTo>
                                <a:pt x="328326" y="32337"/>
                              </a:lnTo>
                              <a:lnTo>
                                <a:pt x="328326" y="24745"/>
                              </a:lnTo>
                              <a:lnTo>
                                <a:pt x="329051" y="21097"/>
                              </a:lnTo>
                              <a:lnTo>
                                <a:pt x="331951" y="14068"/>
                              </a:lnTo>
                              <a:lnTo>
                                <a:pt x="334016" y="10972"/>
                              </a:lnTo>
                              <a:lnTo>
                                <a:pt x="336696" y="8334"/>
                              </a:lnTo>
                              <a:lnTo>
                                <a:pt x="339375" y="5657"/>
                              </a:lnTo>
                              <a:lnTo>
                                <a:pt x="342465" y="3571"/>
                              </a:lnTo>
                              <a:lnTo>
                                <a:pt x="349467" y="704"/>
                              </a:lnTo>
                              <a:lnTo>
                                <a:pt x="353112" y="0"/>
                              </a:lnTo>
                              <a:lnTo>
                                <a:pt x="360691" y="0"/>
                              </a:lnTo>
                              <a:lnTo>
                                <a:pt x="364336" y="704"/>
                              </a:lnTo>
                              <a:lnTo>
                                <a:pt x="371337" y="3571"/>
                              </a:lnTo>
                              <a:lnTo>
                                <a:pt x="374427" y="5657"/>
                              </a:lnTo>
                              <a:lnTo>
                                <a:pt x="377107" y="8334"/>
                              </a:lnTo>
                              <a:lnTo>
                                <a:pt x="379786" y="10972"/>
                              </a:lnTo>
                              <a:lnTo>
                                <a:pt x="381851" y="14068"/>
                              </a:lnTo>
                              <a:lnTo>
                                <a:pt x="384751" y="21097"/>
                              </a:lnTo>
                              <a:lnTo>
                                <a:pt x="385476" y="24745"/>
                              </a:lnTo>
                              <a:lnTo>
                                <a:pt x="385476" y="32337"/>
                              </a:lnTo>
                              <a:lnTo>
                                <a:pt x="364336" y="56407"/>
                              </a:lnTo>
                              <a:lnTo>
                                <a:pt x="360691" y="57149"/>
                              </a:lnTo>
                              <a:close/>
                            </a:path>
                            <a:path w="932815" h="57150">
                              <a:moveTo>
                                <a:pt x="470133" y="57149"/>
                              </a:moveTo>
                              <a:lnTo>
                                <a:pt x="462554" y="57149"/>
                              </a:lnTo>
                              <a:lnTo>
                                <a:pt x="458909" y="56407"/>
                              </a:lnTo>
                              <a:lnTo>
                                <a:pt x="437768" y="32337"/>
                              </a:lnTo>
                              <a:lnTo>
                                <a:pt x="437768" y="24745"/>
                              </a:lnTo>
                              <a:lnTo>
                                <a:pt x="438493" y="21097"/>
                              </a:lnTo>
                              <a:lnTo>
                                <a:pt x="441394" y="14068"/>
                              </a:lnTo>
                              <a:lnTo>
                                <a:pt x="443458" y="10972"/>
                              </a:lnTo>
                              <a:lnTo>
                                <a:pt x="446138" y="8334"/>
                              </a:lnTo>
                              <a:lnTo>
                                <a:pt x="448817" y="5657"/>
                              </a:lnTo>
                              <a:lnTo>
                                <a:pt x="451907" y="3571"/>
                              </a:lnTo>
                              <a:lnTo>
                                <a:pt x="458909" y="704"/>
                              </a:lnTo>
                              <a:lnTo>
                                <a:pt x="462554" y="0"/>
                              </a:lnTo>
                              <a:lnTo>
                                <a:pt x="470133" y="0"/>
                              </a:lnTo>
                              <a:lnTo>
                                <a:pt x="473778" y="704"/>
                              </a:lnTo>
                              <a:lnTo>
                                <a:pt x="480779" y="3571"/>
                              </a:lnTo>
                              <a:lnTo>
                                <a:pt x="483870" y="5657"/>
                              </a:lnTo>
                              <a:lnTo>
                                <a:pt x="486549" y="8334"/>
                              </a:lnTo>
                              <a:lnTo>
                                <a:pt x="489228" y="10972"/>
                              </a:lnTo>
                              <a:lnTo>
                                <a:pt x="491293" y="14068"/>
                              </a:lnTo>
                              <a:lnTo>
                                <a:pt x="494193" y="21097"/>
                              </a:lnTo>
                              <a:lnTo>
                                <a:pt x="494918" y="24745"/>
                              </a:lnTo>
                              <a:lnTo>
                                <a:pt x="494918" y="32337"/>
                              </a:lnTo>
                              <a:lnTo>
                                <a:pt x="473778" y="56407"/>
                              </a:lnTo>
                              <a:lnTo>
                                <a:pt x="470133" y="57149"/>
                              </a:lnTo>
                              <a:close/>
                            </a:path>
                            <a:path w="932815" h="57150">
                              <a:moveTo>
                                <a:pt x="579575" y="57149"/>
                              </a:moveTo>
                              <a:lnTo>
                                <a:pt x="571996" y="57149"/>
                              </a:lnTo>
                              <a:lnTo>
                                <a:pt x="568351" y="56407"/>
                              </a:lnTo>
                              <a:lnTo>
                                <a:pt x="547211" y="32337"/>
                              </a:lnTo>
                              <a:lnTo>
                                <a:pt x="547211" y="24745"/>
                              </a:lnTo>
                              <a:lnTo>
                                <a:pt x="547936" y="21097"/>
                              </a:lnTo>
                              <a:lnTo>
                                <a:pt x="550836" y="14068"/>
                              </a:lnTo>
                              <a:lnTo>
                                <a:pt x="552901" y="10972"/>
                              </a:lnTo>
                              <a:lnTo>
                                <a:pt x="555580" y="8334"/>
                              </a:lnTo>
                              <a:lnTo>
                                <a:pt x="558260" y="5657"/>
                              </a:lnTo>
                              <a:lnTo>
                                <a:pt x="561350" y="3571"/>
                              </a:lnTo>
                              <a:lnTo>
                                <a:pt x="568351" y="704"/>
                              </a:lnTo>
                              <a:lnTo>
                                <a:pt x="571996" y="0"/>
                              </a:lnTo>
                              <a:lnTo>
                                <a:pt x="579575" y="0"/>
                              </a:lnTo>
                              <a:lnTo>
                                <a:pt x="583220" y="704"/>
                              </a:lnTo>
                              <a:lnTo>
                                <a:pt x="590222" y="3571"/>
                              </a:lnTo>
                              <a:lnTo>
                                <a:pt x="593312" y="5657"/>
                              </a:lnTo>
                              <a:lnTo>
                                <a:pt x="595991" y="8334"/>
                              </a:lnTo>
                              <a:lnTo>
                                <a:pt x="598671" y="10972"/>
                              </a:lnTo>
                              <a:lnTo>
                                <a:pt x="600735" y="14068"/>
                              </a:lnTo>
                              <a:lnTo>
                                <a:pt x="603636" y="21097"/>
                              </a:lnTo>
                              <a:lnTo>
                                <a:pt x="604361" y="24745"/>
                              </a:lnTo>
                              <a:lnTo>
                                <a:pt x="604361" y="32337"/>
                              </a:lnTo>
                              <a:lnTo>
                                <a:pt x="583220" y="56407"/>
                              </a:lnTo>
                              <a:lnTo>
                                <a:pt x="579575" y="57149"/>
                              </a:lnTo>
                              <a:close/>
                            </a:path>
                            <a:path w="932815" h="57150">
                              <a:moveTo>
                                <a:pt x="689017" y="57149"/>
                              </a:moveTo>
                              <a:lnTo>
                                <a:pt x="681439" y="57149"/>
                              </a:lnTo>
                              <a:lnTo>
                                <a:pt x="677794" y="56407"/>
                              </a:lnTo>
                              <a:lnTo>
                                <a:pt x="656653" y="32337"/>
                              </a:lnTo>
                              <a:lnTo>
                                <a:pt x="656653" y="24745"/>
                              </a:lnTo>
                              <a:lnTo>
                                <a:pt x="657378" y="21097"/>
                              </a:lnTo>
                              <a:lnTo>
                                <a:pt x="660278" y="14068"/>
                              </a:lnTo>
                              <a:lnTo>
                                <a:pt x="662343" y="10972"/>
                              </a:lnTo>
                              <a:lnTo>
                                <a:pt x="665022" y="8334"/>
                              </a:lnTo>
                              <a:lnTo>
                                <a:pt x="667702" y="5657"/>
                              </a:lnTo>
                              <a:lnTo>
                                <a:pt x="670792" y="3571"/>
                              </a:lnTo>
                              <a:lnTo>
                                <a:pt x="677794" y="704"/>
                              </a:lnTo>
                              <a:lnTo>
                                <a:pt x="681439" y="0"/>
                              </a:lnTo>
                              <a:lnTo>
                                <a:pt x="689017" y="0"/>
                              </a:lnTo>
                              <a:lnTo>
                                <a:pt x="692662" y="704"/>
                              </a:lnTo>
                              <a:lnTo>
                                <a:pt x="699664" y="3571"/>
                              </a:lnTo>
                              <a:lnTo>
                                <a:pt x="702754" y="5657"/>
                              </a:lnTo>
                              <a:lnTo>
                                <a:pt x="705434" y="8334"/>
                              </a:lnTo>
                              <a:lnTo>
                                <a:pt x="708113" y="10972"/>
                              </a:lnTo>
                              <a:lnTo>
                                <a:pt x="710178" y="14068"/>
                              </a:lnTo>
                              <a:lnTo>
                                <a:pt x="713078" y="21097"/>
                              </a:lnTo>
                              <a:lnTo>
                                <a:pt x="713803" y="24745"/>
                              </a:lnTo>
                              <a:lnTo>
                                <a:pt x="713803" y="32337"/>
                              </a:lnTo>
                              <a:lnTo>
                                <a:pt x="692662" y="56407"/>
                              </a:lnTo>
                              <a:lnTo>
                                <a:pt x="689017" y="57149"/>
                              </a:lnTo>
                              <a:close/>
                            </a:path>
                            <a:path w="932815" h="57150">
                              <a:moveTo>
                                <a:pt x="798459" y="57149"/>
                              </a:moveTo>
                              <a:lnTo>
                                <a:pt x="790881" y="57149"/>
                              </a:lnTo>
                              <a:lnTo>
                                <a:pt x="787236" y="56407"/>
                              </a:lnTo>
                              <a:lnTo>
                                <a:pt x="766095" y="32337"/>
                              </a:lnTo>
                              <a:lnTo>
                                <a:pt x="766095" y="24745"/>
                              </a:lnTo>
                              <a:lnTo>
                                <a:pt x="766820" y="21097"/>
                              </a:lnTo>
                              <a:lnTo>
                                <a:pt x="769720" y="14068"/>
                              </a:lnTo>
                              <a:lnTo>
                                <a:pt x="771785" y="10972"/>
                              </a:lnTo>
                              <a:lnTo>
                                <a:pt x="774465" y="8334"/>
                              </a:lnTo>
                              <a:lnTo>
                                <a:pt x="777144" y="5657"/>
                              </a:lnTo>
                              <a:lnTo>
                                <a:pt x="780234" y="3571"/>
                              </a:lnTo>
                              <a:lnTo>
                                <a:pt x="787236" y="704"/>
                              </a:lnTo>
                              <a:lnTo>
                                <a:pt x="790881" y="0"/>
                              </a:lnTo>
                              <a:lnTo>
                                <a:pt x="798459" y="0"/>
                              </a:lnTo>
                              <a:lnTo>
                                <a:pt x="802105" y="704"/>
                              </a:lnTo>
                              <a:lnTo>
                                <a:pt x="809106" y="3571"/>
                              </a:lnTo>
                              <a:lnTo>
                                <a:pt x="812196" y="5657"/>
                              </a:lnTo>
                              <a:lnTo>
                                <a:pt x="814876" y="8334"/>
                              </a:lnTo>
                              <a:lnTo>
                                <a:pt x="817555" y="10972"/>
                              </a:lnTo>
                              <a:lnTo>
                                <a:pt x="819620" y="14068"/>
                              </a:lnTo>
                              <a:lnTo>
                                <a:pt x="822520" y="21097"/>
                              </a:lnTo>
                              <a:lnTo>
                                <a:pt x="823245" y="24745"/>
                              </a:lnTo>
                              <a:lnTo>
                                <a:pt x="823245" y="32337"/>
                              </a:lnTo>
                              <a:lnTo>
                                <a:pt x="802105" y="56407"/>
                              </a:lnTo>
                              <a:lnTo>
                                <a:pt x="798459" y="57149"/>
                              </a:lnTo>
                              <a:close/>
                            </a:path>
                            <a:path w="932815" h="57150">
                              <a:moveTo>
                                <a:pt x="907902" y="57149"/>
                              </a:moveTo>
                              <a:lnTo>
                                <a:pt x="900323" y="57149"/>
                              </a:lnTo>
                              <a:lnTo>
                                <a:pt x="896678" y="56407"/>
                              </a:lnTo>
                              <a:lnTo>
                                <a:pt x="875537" y="32337"/>
                              </a:lnTo>
                              <a:lnTo>
                                <a:pt x="875537" y="24745"/>
                              </a:lnTo>
                              <a:lnTo>
                                <a:pt x="876262" y="21097"/>
                              </a:lnTo>
                              <a:lnTo>
                                <a:pt x="879163" y="14068"/>
                              </a:lnTo>
                              <a:lnTo>
                                <a:pt x="881227" y="10972"/>
                              </a:lnTo>
                              <a:lnTo>
                                <a:pt x="883907" y="8334"/>
                              </a:lnTo>
                              <a:lnTo>
                                <a:pt x="886586" y="5657"/>
                              </a:lnTo>
                              <a:lnTo>
                                <a:pt x="889676" y="3571"/>
                              </a:lnTo>
                              <a:lnTo>
                                <a:pt x="896678" y="704"/>
                              </a:lnTo>
                              <a:lnTo>
                                <a:pt x="900323" y="0"/>
                              </a:lnTo>
                              <a:lnTo>
                                <a:pt x="907902" y="0"/>
                              </a:lnTo>
                              <a:lnTo>
                                <a:pt x="911547" y="704"/>
                              </a:lnTo>
                              <a:lnTo>
                                <a:pt x="918548" y="3571"/>
                              </a:lnTo>
                              <a:lnTo>
                                <a:pt x="921639" y="5657"/>
                              </a:lnTo>
                              <a:lnTo>
                                <a:pt x="924318" y="8334"/>
                              </a:lnTo>
                              <a:lnTo>
                                <a:pt x="926997" y="10972"/>
                              </a:lnTo>
                              <a:lnTo>
                                <a:pt x="929062" y="14068"/>
                              </a:lnTo>
                              <a:lnTo>
                                <a:pt x="931962" y="21097"/>
                              </a:lnTo>
                              <a:lnTo>
                                <a:pt x="932687" y="24745"/>
                              </a:lnTo>
                              <a:lnTo>
                                <a:pt x="932687" y="32337"/>
                              </a:lnTo>
                              <a:lnTo>
                                <a:pt x="911547" y="56407"/>
                              </a:lnTo>
                              <a:lnTo>
                                <a:pt x="907902" y="57149"/>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4.250059pt;width:73.45pt;height:4.5pt;mso-position-horizontal-relative:page;mso-position-vertical-relative:paragraph;z-index:-15700992;mso-wrap-distance-left:0;mso-wrap-distance-right:0" id="docshape52" coordorigin="1545,285" coordsize="1469,90" path="m1596,375l1584,375,1578,374,1567,369,1562,366,1558,362,1554,358,1551,353,1546,342,1545,336,1545,324,1546,318,1551,307,1554,302,1558,298,1562,294,1567,291,1578,286,1584,285,1596,285,1602,286,1613,291,1618,294,1622,298,1626,302,1629,307,1634,318,1635,324,1635,336,1634,342,1632,347,1629,353,1626,358,1622,362,1618,366,1613,369,1602,374,1596,375xm1768,375l1756,375,1751,374,1740,369,1735,366,1731,362,1726,358,1723,353,1718,342,1717,336,1717,324,1718,318,1723,307,1726,302,1731,298,1735,294,1740,291,1751,286,1756,285,1768,285,1774,286,1785,291,1790,294,1794,298,1798,302,1802,307,1806,318,1807,324,1807,336,1806,342,1804,347,1802,353,1798,358,1794,362,1790,366,1785,369,1774,374,1768,375xm1941,375l1929,375,1923,374,1912,369,1907,366,1903,362,1899,358,1895,353,1891,342,1890,336,1890,324,1891,318,1895,307,1899,302,1903,298,1907,294,1912,291,1923,286,1929,285,1941,285,1946,286,1957,291,1962,294,1967,298,1971,302,1974,307,1979,318,1980,324,1980,336,1979,342,1976,347,1974,353,1971,358,1967,362,1962,366,1957,369,1946,374,1941,375xm2113,375l2101,375,2095,374,2084,369,2079,366,2075,362,2071,358,2068,353,2063,342,2062,336,2062,324,2063,318,2068,307,2071,302,2075,298,2079,294,2084,291,2095,286,2101,285,2113,285,2119,286,2130,291,2135,294,2139,298,2143,302,2146,307,2151,318,2152,324,2152,336,2151,342,2149,347,2146,353,2143,358,2139,362,2135,366,2130,369,2119,374,2113,375xm2285,375l2273,375,2268,374,2257,369,2252,366,2248,362,2243,358,2240,353,2236,342,2234,336,2234,324,2236,318,2240,307,2243,302,2248,298,2252,294,2257,291,2268,286,2273,285,2285,285,2291,286,2302,291,2307,294,2311,298,2315,302,2319,307,2323,318,2324,324,2324,336,2323,342,2321,347,2319,353,2315,358,2311,362,2307,366,2302,369,2291,374,2285,375xm2458,375l2446,375,2440,374,2429,369,2424,366,2420,362,2416,358,2412,353,2408,342,2407,336,2407,324,2408,318,2412,307,2416,302,2420,298,2424,294,2429,291,2440,286,2446,285,2458,285,2463,286,2474,291,2479,294,2484,298,2488,302,2491,307,2496,318,2497,324,2497,336,2496,342,2493,347,2491,353,2488,358,2484,362,2479,366,2474,369,2463,374,2458,375xm2630,375l2618,375,2612,374,2601,369,2596,366,2592,362,2588,358,2585,353,2580,342,2579,336,2579,324,2580,318,2585,307,2588,302,2592,298,2596,294,2601,291,2612,286,2618,285,2630,285,2636,286,2647,291,2652,294,2656,298,2660,302,2663,307,2668,318,2669,324,2669,336,2668,342,2666,347,2663,353,2660,358,2656,362,2652,366,2647,369,2636,374,2630,375xm2802,375l2790,375,2785,374,2774,369,2769,366,2765,362,2760,358,2757,353,2753,342,2751,336,2751,324,2753,318,2757,307,2760,302,2765,298,2769,294,2774,291,2785,286,2790,285,2802,285,2808,286,2819,291,2824,294,2828,298,2832,302,2836,307,2840,318,2841,324,2841,336,2840,342,2838,347,2836,353,2832,358,2828,362,2824,366,2819,369,2808,374,2802,375xm2975,375l2963,375,2957,374,2946,369,2941,366,2937,362,2933,358,2930,353,2925,342,2924,336,2924,324,2925,318,2930,307,2933,302,2937,298,2941,294,2946,291,2957,286,2963,285,2975,285,2981,286,2992,291,2996,294,3001,298,3005,302,3008,307,3013,318,3014,324,3014,336,3013,342,3010,347,3008,353,3005,358,3001,362,2996,366,2992,369,2981,374,2975,375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21.11</w:t>
      </w:r>
    </w:p>
    <w:p>
      <w:pPr>
        <w:pStyle w:val="BodyText"/>
        <w:spacing w:before="215"/>
        <w:ind w:left="0"/>
        <w:jc w:val="left"/>
        <w:rPr>
          <w:rFonts w:ascii="Arial"/>
          <w:b/>
          <w:sz w:val="22"/>
        </w:rPr>
      </w:pPr>
    </w:p>
    <w:p>
      <w:pPr>
        <w:pStyle w:val="BodyText"/>
        <w:spacing w:line="249" w:lineRule="auto" w:before="1"/>
        <w:ind w:firstLine="450"/>
        <w:jc w:val="left"/>
      </w:pPr>
      <w:r>
        <w:rPr/>
        <w:t>During</w:t>
      </w:r>
      <w:r>
        <w:rPr>
          <w:spacing w:val="80"/>
        </w:rPr>
        <w:t> </w:t>
      </w:r>
      <w:r>
        <w:rPr/>
        <w:t>the</w:t>
      </w:r>
      <w:r>
        <w:rPr>
          <w:spacing w:val="80"/>
        </w:rPr>
        <w:t> </w:t>
      </w:r>
      <w:r>
        <w:rPr/>
        <w:t>reproductive</w:t>
      </w:r>
      <w:r>
        <w:rPr>
          <w:spacing w:val="80"/>
        </w:rPr>
        <w:t> </w:t>
      </w:r>
      <w:r>
        <w:rPr/>
        <w:t>years,</w:t>
      </w:r>
      <w:r>
        <w:rPr>
          <w:spacing w:val="80"/>
        </w:rPr>
        <w:t> </w:t>
      </w:r>
      <w:r>
        <w:rPr/>
        <w:t>women</w:t>
      </w:r>
      <w:r>
        <w:rPr>
          <w:spacing w:val="80"/>
        </w:rPr>
        <w:t> </w:t>
      </w:r>
      <w:r>
        <w:rPr/>
        <w:t>are</w:t>
      </w:r>
      <w:r>
        <w:rPr>
          <w:spacing w:val="80"/>
        </w:rPr>
        <w:t> </w:t>
      </w:r>
      <w:r>
        <w:rPr/>
        <w:t>“protected”</w:t>
      </w:r>
      <w:r>
        <w:rPr>
          <w:spacing w:val="80"/>
        </w:rPr>
        <w:t> </w:t>
      </w:r>
      <w:r>
        <w:rPr/>
        <w:t>from</w:t>
      </w:r>
      <w:r>
        <w:rPr>
          <w:spacing w:val="80"/>
        </w:rPr>
        <w:t> </w:t>
      </w:r>
      <w:r>
        <w:rPr/>
        <w:t>CHD. Women</w:t>
      </w:r>
      <w:r>
        <w:rPr>
          <w:spacing w:val="19"/>
        </w:rPr>
        <w:t> </w:t>
      </w:r>
      <w:r>
        <w:rPr/>
        <w:t>lag</w:t>
      </w:r>
      <w:r>
        <w:rPr>
          <w:spacing w:val="21"/>
        </w:rPr>
        <w:t> </w:t>
      </w:r>
      <w:r>
        <w:rPr/>
        <w:t>men</w:t>
      </w:r>
      <w:r>
        <w:rPr>
          <w:spacing w:val="21"/>
        </w:rPr>
        <w:t> </w:t>
      </w:r>
      <w:r>
        <w:rPr/>
        <w:t>in</w:t>
      </w:r>
      <w:r>
        <w:rPr>
          <w:spacing w:val="21"/>
        </w:rPr>
        <w:t> </w:t>
      </w:r>
      <w:r>
        <w:rPr/>
        <w:t>the</w:t>
      </w:r>
      <w:r>
        <w:rPr>
          <w:spacing w:val="21"/>
        </w:rPr>
        <w:t> </w:t>
      </w:r>
      <w:r>
        <w:rPr/>
        <w:t>incidence</w:t>
      </w:r>
      <w:r>
        <w:rPr>
          <w:spacing w:val="21"/>
        </w:rPr>
        <w:t> </w:t>
      </w:r>
      <w:r>
        <w:rPr/>
        <w:t>of</w:t>
      </w:r>
      <w:r>
        <w:rPr>
          <w:spacing w:val="21"/>
        </w:rPr>
        <w:t> </w:t>
      </w:r>
      <w:r>
        <w:rPr/>
        <w:t>CHD</w:t>
      </w:r>
      <w:r>
        <w:rPr>
          <w:spacing w:val="21"/>
        </w:rPr>
        <w:t> </w:t>
      </w:r>
      <w:r>
        <w:rPr/>
        <w:t>by</w:t>
      </w:r>
      <w:r>
        <w:rPr>
          <w:spacing w:val="21"/>
        </w:rPr>
        <w:t> </w:t>
      </w:r>
      <w:r>
        <w:rPr/>
        <w:t>10</w:t>
      </w:r>
      <w:r>
        <w:rPr>
          <w:spacing w:val="21"/>
        </w:rPr>
        <w:t> </w:t>
      </w:r>
      <w:r>
        <w:rPr/>
        <w:t>years,</w:t>
      </w:r>
      <w:r>
        <w:rPr>
          <w:spacing w:val="21"/>
        </w:rPr>
        <w:t> </w:t>
      </w:r>
      <w:r>
        <w:rPr/>
        <w:t>and</w:t>
      </w:r>
      <w:r>
        <w:rPr>
          <w:spacing w:val="21"/>
        </w:rPr>
        <w:t> </w:t>
      </w:r>
      <w:r>
        <w:rPr/>
        <w:t>for</w:t>
      </w:r>
      <w:r>
        <w:rPr>
          <w:spacing w:val="22"/>
        </w:rPr>
        <w:t> </w:t>
      </w:r>
      <w:r>
        <w:rPr>
          <w:spacing w:val="-2"/>
        </w:rPr>
        <w:t>myocardial</w:t>
      </w:r>
    </w:p>
    <w:p>
      <w:pPr>
        <w:pStyle w:val="BodyText"/>
        <w:spacing w:after="0" w:line="249" w:lineRule="auto"/>
        <w:jc w:val="left"/>
        <w:sectPr>
          <w:pgSz w:w="12240" w:h="15840"/>
          <w:pgMar w:top="1440" w:bottom="280" w:left="1440" w:right="1440"/>
        </w:sectPr>
      </w:pPr>
    </w:p>
    <w:p>
      <w:pPr>
        <w:pStyle w:val="BodyText"/>
        <w:spacing w:line="249" w:lineRule="auto"/>
        <w:ind w:right="97"/>
      </w:pPr>
      <w:r>
        <w:rPr/>
        <w:t>infarction and sudden death, women have a 20-year advantage. The reasons for this are complex, but a significant contribution to this protection can be assigned to the higher high-density lipoprotein (HDL) levels in younger women, an effect of estrogen and lower levels of testosterone. Throughout adulthood, the blood HDL cholesterol level is about 10 mg/dL higher in women, and this difference continues through the postmenopausal </w:t>
      </w:r>
      <w:r>
        <w:rPr/>
        <w:t>years. Total and LDL cholesterol levels are lower in premenopausal women than in men, although the levels gradually increase with aging and after menopause they rise rapidly.</w:t>
      </w:r>
      <w:r>
        <w:rPr>
          <w:vertAlign w:val="superscript"/>
        </w:rPr>
        <w:t>384-388</w:t>
      </w:r>
      <w:r>
        <w:rPr>
          <w:vertAlign w:val="baseline"/>
        </w:rPr>
        <w:t> After menopause, the risk of CHD doubles for women as the atherogenic lipids at about age 60 reach levels greater than those in men. These changes can be favorably reduced by dietary modifications.</w:t>
      </w:r>
      <w:r>
        <w:rPr>
          <w:vertAlign w:val="superscript"/>
        </w:rPr>
        <w:t>389,390</w:t>
      </w:r>
      <w:r>
        <w:rPr>
          <w:vertAlign w:val="baseline"/>
        </w:rPr>
        <w:t> Of course, These lipid changes </w:t>
      </w:r>
      <w:r>
        <w:rPr>
          <w:i/>
          <w:vertAlign w:val="baseline"/>
        </w:rPr>
        <w:t>at </w:t>
      </w:r>
      <w:r>
        <w:rPr>
          <w:vertAlign w:val="baseline"/>
        </w:rPr>
        <w:t>menopause (whether natural or surgical) can be reversed with estrogen treatment.</w:t>
      </w:r>
      <w:r>
        <w:rPr>
          <w:vertAlign w:val="superscript"/>
        </w:rPr>
        <w:t>391</w:t>
      </w:r>
    </w:p>
    <w:p>
      <w:pPr>
        <w:pStyle w:val="BodyText"/>
        <w:spacing w:line="249" w:lineRule="auto" w:before="16"/>
        <w:ind w:right="98" w:firstLine="450"/>
      </w:pPr>
      <w:r>
        <w:rPr/>
        <w:t>Prospective studies have documented the strong association between total cholesterol and CHD in women, although CHD risk appears at higher total cholesterol levels for women than for men.</w:t>
      </w:r>
      <w:r>
        <w:rPr>
          <w:vertAlign w:val="superscript"/>
        </w:rPr>
        <w:t>392,393</w:t>
      </w:r>
      <w:r>
        <w:rPr>
          <w:vertAlign w:val="baseline"/>
        </w:rPr>
        <w:t> Women with </w:t>
      </w:r>
      <w:r>
        <w:rPr>
          <w:vertAlign w:val="baseline"/>
        </w:rPr>
        <w:t>total cholesterol concentrations greater than 265 mg/dL have rates of CHD 3 times that of women with lower levels. Even in older women, a high total cholesterol remains a significant predictor of heart disease, but the strength of association between the cholesterol level and CVD decreases with aging, and by age 80, the cost and benefits may not justify cholesterol intervention.</w:t>
      </w:r>
      <w:r>
        <w:rPr>
          <w:vertAlign w:val="superscript"/>
        </w:rPr>
        <w:t>394</w:t>
      </w:r>
      <w:r>
        <w:rPr>
          <w:spacing w:val="2"/>
          <w:vertAlign w:val="baseline"/>
        </w:rPr>
        <w:t> </w:t>
      </w:r>
      <w:r>
        <w:rPr>
          <w:vertAlign w:val="baseline"/>
        </w:rPr>
        <w:t>This</w:t>
      </w:r>
      <w:r>
        <w:rPr>
          <w:spacing w:val="2"/>
          <w:vertAlign w:val="baseline"/>
        </w:rPr>
        <w:t> </w:t>
      </w:r>
      <w:r>
        <w:rPr>
          <w:vertAlign w:val="baseline"/>
        </w:rPr>
        <w:t>is</w:t>
      </w:r>
      <w:r>
        <w:rPr>
          <w:spacing w:val="2"/>
          <w:vertAlign w:val="baseline"/>
        </w:rPr>
        <w:t> </w:t>
      </w:r>
      <w:r>
        <w:rPr>
          <w:vertAlign w:val="baseline"/>
        </w:rPr>
        <w:t>the</w:t>
      </w:r>
      <w:r>
        <w:rPr>
          <w:spacing w:val="2"/>
          <w:vertAlign w:val="baseline"/>
        </w:rPr>
        <w:t> </w:t>
      </w:r>
      <w:r>
        <w:rPr>
          <w:vertAlign w:val="baseline"/>
        </w:rPr>
        <w:t>reason</w:t>
      </w:r>
      <w:r>
        <w:rPr>
          <w:spacing w:val="2"/>
          <w:vertAlign w:val="baseline"/>
        </w:rPr>
        <w:t> </w:t>
      </w:r>
      <w:r>
        <w:rPr>
          <w:vertAlign w:val="baseline"/>
        </w:rPr>
        <w:t>for</w:t>
      </w:r>
      <w:r>
        <w:rPr>
          <w:spacing w:val="2"/>
          <w:vertAlign w:val="baseline"/>
        </w:rPr>
        <w:t> </w:t>
      </w:r>
      <w:r>
        <w:rPr>
          <w:vertAlign w:val="baseline"/>
        </w:rPr>
        <w:t>ceasing</w:t>
      </w:r>
      <w:r>
        <w:rPr>
          <w:spacing w:val="2"/>
          <w:vertAlign w:val="baseline"/>
        </w:rPr>
        <w:t> </w:t>
      </w:r>
      <w:r>
        <w:rPr>
          <w:vertAlign w:val="baseline"/>
        </w:rPr>
        <w:t>lipoprotein</w:t>
      </w:r>
      <w:r>
        <w:rPr>
          <w:spacing w:val="2"/>
          <w:vertAlign w:val="baseline"/>
        </w:rPr>
        <w:t> </w:t>
      </w:r>
      <w:r>
        <w:rPr>
          <w:vertAlign w:val="baseline"/>
        </w:rPr>
        <w:t>screening</w:t>
      </w:r>
      <w:r>
        <w:rPr>
          <w:spacing w:val="2"/>
          <w:vertAlign w:val="baseline"/>
        </w:rPr>
        <w:t> </w:t>
      </w:r>
      <w:r>
        <w:rPr>
          <w:vertAlign w:val="baseline"/>
        </w:rPr>
        <w:t>after</w:t>
      </w:r>
      <w:r>
        <w:rPr>
          <w:spacing w:val="2"/>
          <w:vertAlign w:val="baseline"/>
        </w:rPr>
        <w:t> </w:t>
      </w:r>
      <w:r>
        <w:rPr>
          <w:spacing w:val="-5"/>
          <w:vertAlign w:val="baseline"/>
        </w:rPr>
        <w:t>age</w:t>
      </w:r>
    </w:p>
    <w:p>
      <w:pPr>
        <w:pStyle w:val="BodyText"/>
        <w:spacing w:line="249" w:lineRule="auto" w:before="11"/>
        <w:ind w:right="97"/>
      </w:pPr>
      <w:r>
        <w:rPr/>
        <w:t>75 in patients with normal lipids. However, this decision should </w:t>
      </w:r>
      <w:r>
        <w:rPr/>
        <w:t>be individualized, taking into account the vigor and health of the patient.</w:t>
      </w:r>
    </w:p>
    <w:p>
      <w:pPr>
        <w:pStyle w:val="BodyText"/>
        <w:spacing w:line="249" w:lineRule="auto" w:before="2"/>
        <w:ind w:right="99" w:firstLine="450"/>
      </w:pPr>
      <w:r>
        <w:rPr/>
        <w:t>The strongest predictor of CHD in women is a low </w:t>
      </w:r>
      <w:r>
        <w:rPr/>
        <w:t>HDL cholesterol.</w:t>
      </w:r>
      <w:r>
        <w:rPr>
          <w:vertAlign w:val="superscript"/>
        </w:rPr>
        <w:t>392,393,395</w:t>
      </w:r>
      <w:r>
        <w:rPr>
          <w:vertAlign w:val="baseline"/>
        </w:rPr>
        <w:t> The average HDL cholesterol in women is approximately 55 to 60 mg/dL.</w:t>
      </w:r>
      <w:r>
        <w:rPr>
          <w:spacing w:val="-1"/>
          <w:vertAlign w:val="baseline"/>
        </w:rPr>
        <w:t> </w:t>
      </w:r>
      <w:r>
        <w:rPr>
          <w:vertAlign w:val="baseline"/>
        </w:rPr>
        <w:t>A decrease in HDL cholesterol of 10 mg/dL increases CHD risk by 40% to 50%. In women (and men) who had normal total cholesterol and LDL cholesterol levels, but low HDL cholesterol levels, treatment with lovastatin can reduce the risk of an acute major coronary event by approximately 37%.</w:t>
      </w:r>
      <w:r>
        <w:rPr>
          <w:vertAlign w:val="superscript"/>
        </w:rPr>
        <w:t>396</w:t>
      </w:r>
      <w:r>
        <w:rPr>
          <w:vertAlign w:val="baseline"/>
        </w:rPr>
        <w:t> High HDL cholesterol levels are uncommon in women with CHD, but even women with high levels do develop CHD.</w:t>
      </w:r>
      <w:r>
        <w:rPr>
          <w:vertAlign w:val="superscript"/>
        </w:rPr>
        <w:t>397</w:t>
      </w:r>
      <w:r>
        <w:rPr>
          <w:vertAlign w:val="baseline"/>
        </w:rPr>
        <w:t> </w:t>
      </w:r>
      <w:r>
        <w:rPr>
          <w:b/>
          <w:vertAlign w:val="baseline"/>
        </w:rPr>
        <w:t>Because of the increased risk of CHD observed in individuals with low HDL, it is appropriate to be concerned when HDL cholesterol levels are less than 50 mg/dL. </w:t>
      </w:r>
      <w:r>
        <w:rPr>
          <w:vertAlign w:val="baseline"/>
        </w:rPr>
        <w:t>It should be emphasized that modest</w:t>
      </w:r>
      <w:r>
        <w:rPr>
          <w:spacing w:val="38"/>
          <w:vertAlign w:val="baseline"/>
        </w:rPr>
        <w:t>  </w:t>
      </w:r>
      <w:r>
        <w:rPr>
          <w:vertAlign w:val="baseline"/>
        </w:rPr>
        <w:t>elevations</w:t>
      </w:r>
      <w:r>
        <w:rPr>
          <w:spacing w:val="40"/>
          <w:vertAlign w:val="baseline"/>
        </w:rPr>
        <w:t>  </w:t>
      </w:r>
      <w:r>
        <w:rPr>
          <w:vertAlign w:val="baseline"/>
        </w:rPr>
        <w:t>in</w:t>
      </w:r>
      <w:r>
        <w:rPr>
          <w:spacing w:val="40"/>
          <w:vertAlign w:val="baseline"/>
        </w:rPr>
        <w:t>  </w:t>
      </w:r>
      <w:r>
        <w:rPr>
          <w:vertAlign w:val="baseline"/>
        </w:rPr>
        <w:t>blood</w:t>
      </w:r>
      <w:r>
        <w:rPr>
          <w:spacing w:val="40"/>
          <w:vertAlign w:val="baseline"/>
        </w:rPr>
        <w:t>  </w:t>
      </w:r>
      <w:r>
        <w:rPr>
          <w:vertAlign w:val="baseline"/>
        </w:rPr>
        <w:t>pressure</w:t>
      </w:r>
      <w:r>
        <w:rPr>
          <w:spacing w:val="40"/>
          <w:vertAlign w:val="baseline"/>
        </w:rPr>
        <w:t>  </w:t>
      </w:r>
      <w:r>
        <w:rPr>
          <w:vertAlign w:val="baseline"/>
        </w:rPr>
        <w:t>markedly</w:t>
      </w:r>
      <w:r>
        <w:rPr>
          <w:spacing w:val="40"/>
          <w:vertAlign w:val="baseline"/>
        </w:rPr>
        <w:t>  </w:t>
      </w:r>
      <w:r>
        <w:rPr>
          <w:vertAlign w:val="baseline"/>
        </w:rPr>
        <w:t>increase</w:t>
      </w:r>
      <w:r>
        <w:rPr>
          <w:spacing w:val="40"/>
          <w:vertAlign w:val="baseline"/>
        </w:rPr>
        <w:t>  </w:t>
      </w:r>
      <w:r>
        <w:rPr>
          <w:vertAlign w:val="baseline"/>
        </w:rPr>
        <w:t>the</w:t>
      </w:r>
      <w:r>
        <w:rPr>
          <w:spacing w:val="40"/>
          <w:vertAlign w:val="baseline"/>
        </w:rPr>
        <w:t>  </w:t>
      </w:r>
      <w:r>
        <w:rPr>
          <w:spacing w:val="-2"/>
          <w:vertAlign w:val="baseline"/>
        </w:rPr>
        <w:t>overall</w:t>
      </w:r>
    </w:p>
    <w:p>
      <w:pPr>
        <w:pStyle w:val="BodyText"/>
        <w:spacing w:after="0" w:line="249" w:lineRule="auto"/>
        <w:sectPr>
          <w:pgSz w:w="12240" w:h="15840"/>
          <w:pgMar w:top="1380" w:bottom="280" w:left="1440" w:right="1440"/>
        </w:sectPr>
      </w:pPr>
    </w:p>
    <w:p>
      <w:pPr>
        <w:pStyle w:val="BodyText"/>
        <w:spacing w:line="249" w:lineRule="auto"/>
        <w:ind w:right="108"/>
      </w:pPr>
      <w:r>
        <w:rPr/>
        <w:t>cardiovascular risk associated with an elevated LDL cholesterol or a </w:t>
      </w:r>
      <w:r>
        <w:rPr/>
        <w:t>low HDL cholesterol.</w:t>
      </w:r>
    </w:p>
    <w:p>
      <w:pPr>
        <w:pStyle w:val="BodyText"/>
        <w:spacing w:line="249" w:lineRule="auto" w:before="2"/>
        <w:ind w:right="97" w:firstLine="450"/>
      </w:pPr>
      <w:r>
        <w:rPr/>
        <w:t>Keep in mind that low HDL cholesterol levels are a component of the metabolic syndrome related to insulin resistance. The metabolic syndrome</w:t>
      </w:r>
      <w:r>
        <w:rPr>
          <w:spacing w:val="40"/>
        </w:rPr>
        <w:t> </w:t>
      </w:r>
      <w:r>
        <w:rPr/>
        <w:t>is partly a result of heredity but is also strongly influenced by obesity and physical inactivity. In the United States, the overall estimated prevalence of the metabolic syndrome is 24%, higher in women (40% by age 60) and increasing with age.</w:t>
      </w:r>
      <w:r>
        <w:rPr>
          <w:vertAlign w:val="superscript"/>
        </w:rPr>
        <w:t>398</w:t>
      </w:r>
      <w:r>
        <w:rPr>
          <w:vertAlign w:val="baseline"/>
        </w:rPr>
        <w:t> The prevalence increases with increasing </w:t>
      </w:r>
      <w:r>
        <w:rPr>
          <w:vertAlign w:val="baseline"/>
        </w:rPr>
        <w:t>body weight, from about 5% in individuals with normal weight to 60% in men and women with obesity, and the prevalence is highest in Mexican Americans and lowest in Blacks.</w:t>
      </w:r>
      <w:r>
        <w:rPr>
          <w:vertAlign w:val="superscript"/>
        </w:rPr>
        <w:t>399</w:t>
      </w:r>
    </w:p>
    <w:p>
      <w:pPr>
        <w:pStyle w:val="BodyText"/>
        <w:spacing w:before="55"/>
        <w:ind w:left="0"/>
        <w:jc w:val="left"/>
      </w:pPr>
    </w:p>
    <w:p>
      <w:pPr>
        <w:spacing w:before="0"/>
        <w:ind w:left="99" w:right="0" w:firstLine="0"/>
        <w:jc w:val="both"/>
        <w:rPr>
          <w:rFonts w:ascii="Arial"/>
          <w:b/>
          <w:sz w:val="30"/>
        </w:rPr>
      </w:pPr>
      <w:r>
        <w:rPr>
          <w:rFonts w:ascii="Arial"/>
          <w:b/>
          <w:color w:val="2674AE"/>
          <w:sz w:val="30"/>
        </w:rPr>
        <w:t>Metabolic Syndrome and Cardiovascular </w:t>
      </w:r>
      <w:r>
        <w:rPr>
          <w:rFonts w:ascii="Arial"/>
          <w:b/>
          <w:color w:val="2674AE"/>
          <w:spacing w:val="-2"/>
          <w:sz w:val="30"/>
        </w:rPr>
        <w:t>Disease</w:t>
      </w:r>
    </w:p>
    <w:p>
      <w:pPr>
        <w:spacing w:line="249" w:lineRule="auto" w:before="166"/>
        <w:ind w:left="99" w:right="98" w:firstLine="0"/>
        <w:jc w:val="both"/>
        <w:rPr>
          <w:sz w:val="30"/>
        </w:rPr>
      </w:pPr>
      <w:r>
        <w:rPr>
          <w:b/>
          <w:sz w:val="30"/>
        </w:rPr>
        <w:t>As defined by the National Heart, Lung, and Blood Institute and the American Heart Association, a diagnosis of metabolic syndrome requires the presence of any three of the following five clinical </w:t>
      </w:r>
      <w:r>
        <w:rPr>
          <w:b/>
          <w:spacing w:val="-2"/>
          <w:sz w:val="30"/>
        </w:rPr>
        <w:t>characteristics</w:t>
      </w:r>
      <w:r>
        <w:rPr>
          <w:spacing w:val="-2"/>
          <w:sz w:val="30"/>
          <w:vertAlign w:val="superscript"/>
        </w:rPr>
        <w:t>400</w:t>
      </w:r>
      <w:r>
        <w:rPr>
          <w:spacing w:val="-2"/>
          <w:sz w:val="30"/>
          <w:vertAlign w:val="baseline"/>
        </w:rPr>
        <w:t>:</w:t>
      </w:r>
    </w:p>
    <w:p>
      <w:pPr>
        <w:pStyle w:val="ListParagraph"/>
        <w:numPr>
          <w:ilvl w:val="0"/>
          <w:numId w:val="7"/>
        </w:numPr>
        <w:tabs>
          <w:tab w:pos="434" w:val="left" w:leader="none"/>
        </w:tabs>
        <w:spacing w:line="240" w:lineRule="auto" w:before="229" w:after="0"/>
        <w:ind w:left="434" w:right="0" w:hanging="240"/>
        <w:jc w:val="left"/>
        <w:rPr>
          <w:b/>
          <w:sz w:val="22"/>
        </w:rPr>
      </w:pPr>
      <w:r>
        <w:rPr>
          <w:b/>
          <w:sz w:val="22"/>
        </w:rPr>
        <w:t>Increased</w:t>
      </w:r>
      <w:r>
        <w:rPr>
          <w:b/>
          <w:spacing w:val="10"/>
          <w:sz w:val="22"/>
        </w:rPr>
        <w:t> </w:t>
      </w:r>
      <w:r>
        <w:rPr>
          <w:b/>
          <w:sz w:val="22"/>
        </w:rPr>
        <w:t>waist</w:t>
      </w:r>
      <w:r>
        <w:rPr>
          <w:b/>
          <w:spacing w:val="10"/>
          <w:sz w:val="22"/>
        </w:rPr>
        <w:t> </w:t>
      </w:r>
      <w:r>
        <w:rPr>
          <w:b/>
          <w:sz w:val="22"/>
        </w:rPr>
        <w:t>circumference</w:t>
      </w:r>
      <w:r>
        <w:rPr>
          <w:b/>
          <w:spacing w:val="10"/>
          <w:sz w:val="22"/>
        </w:rPr>
        <w:t> </w:t>
      </w:r>
      <w:r>
        <w:rPr>
          <w:b/>
          <w:sz w:val="22"/>
        </w:rPr>
        <w:t>(</w:t>
      </w:r>
      <w:r>
        <w:rPr>
          <w:sz w:val="22"/>
        </w:rPr>
        <w:t>&gt;</w:t>
      </w:r>
      <w:r>
        <w:rPr>
          <w:b/>
          <w:sz w:val="22"/>
        </w:rPr>
        <w:t>88</w:t>
      </w:r>
      <w:r>
        <w:rPr>
          <w:b/>
          <w:spacing w:val="11"/>
          <w:sz w:val="22"/>
        </w:rPr>
        <w:t> </w:t>
      </w:r>
      <w:r>
        <w:rPr>
          <w:b/>
          <w:sz w:val="22"/>
        </w:rPr>
        <w:t>cm</w:t>
      </w:r>
      <w:r>
        <w:rPr>
          <w:b/>
          <w:spacing w:val="10"/>
          <w:sz w:val="22"/>
        </w:rPr>
        <w:t> </w:t>
      </w:r>
      <w:r>
        <w:rPr>
          <w:b/>
          <w:sz w:val="22"/>
        </w:rPr>
        <w:t>for</w:t>
      </w:r>
      <w:r>
        <w:rPr>
          <w:b/>
          <w:spacing w:val="10"/>
          <w:sz w:val="22"/>
        </w:rPr>
        <w:t> </w:t>
      </w:r>
      <w:r>
        <w:rPr>
          <w:b/>
          <w:sz w:val="22"/>
        </w:rPr>
        <w:t>women</w:t>
      </w:r>
      <w:r>
        <w:rPr>
          <w:b/>
          <w:spacing w:val="11"/>
          <w:sz w:val="22"/>
        </w:rPr>
        <w:t> </w:t>
      </w:r>
      <w:r>
        <w:rPr>
          <w:b/>
          <w:sz w:val="22"/>
        </w:rPr>
        <w:t>in</w:t>
      </w:r>
      <w:r>
        <w:rPr>
          <w:b/>
          <w:spacing w:val="10"/>
          <w:sz w:val="22"/>
        </w:rPr>
        <w:t> </w:t>
      </w:r>
      <w:r>
        <w:rPr>
          <w:b/>
          <w:sz w:val="22"/>
        </w:rPr>
        <w:t>the</w:t>
      </w:r>
      <w:r>
        <w:rPr>
          <w:b/>
          <w:spacing w:val="10"/>
          <w:sz w:val="22"/>
        </w:rPr>
        <w:t> </w:t>
      </w:r>
      <w:r>
        <w:rPr>
          <w:b/>
          <w:sz w:val="22"/>
        </w:rPr>
        <w:t>United</w:t>
      </w:r>
      <w:r>
        <w:rPr>
          <w:b/>
          <w:spacing w:val="11"/>
          <w:sz w:val="22"/>
        </w:rPr>
        <w:t> </w:t>
      </w:r>
      <w:r>
        <w:rPr>
          <w:b/>
          <w:spacing w:val="-2"/>
          <w:sz w:val="22"/>
        </w:rPr>
        <w:t>States)</w:t>
      </w:r>
    </w:p>
    <w:p>
      <w:pPr>
        <w:pStyle w:val="ListParagraph"/>
        <w:numPr>
          <w:ilvl w:val="0"/>
          <w:numId w:val="7"/>
        </w:numPr>
        <w:tabs>
          <w:tab w:pos="434" w:val="left" w:leader="none"/>
          <w:tab w:pos="437" w:val="left" w:leader="none"/>
        </w:tabs>
        <w:spacing w:line="256" w:lineRule="auto" w:before="16" w:after="0"/>
        <w:ind w:left="437" w:right="101" w:hanging="243"/>
        <w:jc w:val="left"/>
        <w:rPr>
          <w:b/>
          <w:sz w:val="22"/>
        </w:rPr>
      </w:pPr>
      <w:r>
        <w:rPr>
          <w:b/>
          <w:sz w:val="22"/>
        </w:rPr>
        <w:t>Increased</w:t>
      </w:r>
      <w:r>
        <w:rPr>
          <w:b/>
          <w:spacing w:val="80"/>
          <w:sz w:val="22"/>
        </w:rPr>
        <w:t> </w:t>
      </w:r>
      <w:r>
        <w:rPr>
          <w:b/>
          <w:sz w:val="22"/>
        </w:rPr>
        <w:t>blood</w:t>
      </w:r>
      <w:r>
        <w:rPr>
          <w:b/>
          <w:spacing w:val="80"/>
          <w:sz w:val="22"/>
        </w:rPr>
        <w:t> </w:t>
      </w:r>
      <w:r>
        <w:rPr>
          <w:b/>
          <w:sz w:val="22"/>
        </w:rPr>
        <w:t>pressure</w:t>
      </w:r>
      <w:r>
        <w:rPr>
          <w:b/>
          <w:spacing w:val="80"/>
          <w:sz w:val="22"/>
        </w:rPr>
        <w:t> </w:t>
      </w:r>
      <w:r>
        <w:rPr>
          <w:b/>
          <w:sz w:val="22"/>
        </w:rPr>
        <w:t>(</w:t>
      </w:r>
      <w:r>
        <w:rPr>
          <w:sz w:val="22"/>
        </w:rPr>
        <w:t>≥</w:t>
      </w:r>
      <w:r>
        <w:rPr>
          <w:b/>
          <w:sz w:val="22"/>
        </w:rPr>
        <w:t>130</w:t>
      </w:r>
      <w:r>
        <w:rPr>
          <w:b/>
          <w:spacing w:val="80"/>
          <w:sz w:val="22"/>
        </w:rPr>
        <w:t> </w:t>
      </w:r>
      <w:r>
        <w:rPr>
          <w:b/>
          <w:sz w:val="22"/>
        </w:rPr>
        <w:t>mm</w:t>
      </w:r>
      <w:r>
        <w:rPr>
          <w:b/>
          <w:spacing w:val="80"/>
          <w:sz w:val="22"/>
        </w:rPr>
        <w:t> </w:t>
      </w:r>
      <w:r>
        <w:rPr>
          <w:b/>
          <w:sz w:val="22"/>
        </w:rPr>
        <w:t>Hg</w:t>
      </w:r>
      <w:r>
        <w:rPr>
          <w:b/>
          <w:spacing w:val="80"/>
          <w:sz w:val="22"/>
        </w:rPr>
        <w:t> </w:t>
      </w:r>
      <w:r>
        <w:rPr>
          <w:b/>
          <w:sz w:val="22"/>
        </w:rPr>
        <w:t>systolic;</w:t>
      </w:r>
      <w:r>
        <w:rPr>
          <w:b/>
          <w:spacing w:val="80"/>
          <w:sz w:val="22"/>
        </w:rPr>
        <w:t> </w:t>
      </w:r>
      <w:r>
        <w:rPr>
          <w:sz w:val="22"/>
        </w:rPr>
        <w:t>≥</w:t>
      </w:r>
      <w:r>
        <w:rPr>
          <w:b/>
          <w:sz w:val="22"/>
        </w:rPr>
        <w:t>85</w:t>
      </w:r>
      <w:r>
        <w:rPr>
          <w:b/>
          <w:spacing w:val="80"/>
          <w:sz w:val="22"/>
        </w:rPr>
        <w:t> </w:t>
      </w:r>
      <w:r>
        <w:rPr>
          <w:b/>
          <w:sz w:val="22"/>
        </w:rPr>
        <w:t>mm</w:t>
      </w:r>
      <w:r>
        <w:rPr>
          <w:b/>
          <w:spacing w:val="80"/>
          <w:sz w:val="22"/>
        </w:rPr>
        <w:t> </w:t>
      </w:r>
      <w:r>
        <w:rPr>
          <w:b/>
          <w:sz w:val="22"/>
        </w:rPr>
        <w:t>Hg</w:t>
      </w:r>
      <w:r>
        <w:rPr>
          <w:b/>
          <w:spacing w:val="80"/>
          <w:sz w:val="22"/>
        </w:rPr>
        <w:t> </w:t>
      </w:r>
      <w:r>
        <w:rPr>
          <w:b/>
          <w:sz w:val="22"/>
        </w:rPr>
        <w:t>diastolic)</w:t>
      </w:r>
      <w:r>
        <w:rPr>
          <w:b/>
          <w:spacing w:val="80"/>
          <w:sz w:val="22"/>
        </w:rPr>
        <w:t> </w:t>
      </w:r>
      <w:r>
        <w:rPr>
          <w:b/>
          <w:sz w:val="22"/>
        </w:rPr>
        <w:t>or</w:t>
      </w:r>
      <w:r>
        <w:rPr>
          <w:b/>
          <w:spacing w:val="80"/>
          <w:sz w:val="22"/>
        </w:rPr>
        <w:t> </w:t>
      </w:r>
      <w:r>
        <w:rPr>
          <w:b/>
          <w:sz w:val="22"/>
        </w:rPr>
        <w:t>receiving medication for hypertension</w:t>
      </w:r>
    </w:p>
    <w:p>
      <w:pPr>
        <w:pStyle w:val="ListParagraph"/>
        <w:numPr>
          <w:ilvl w:val="0"/>
          <w:numId w:val="7"/>
        </w:numPr>
        <w:tabs>
          <w:tab w:pos="434" w:val="left" w:leader="none"/>
        </w:tabs>
        <w:spacing w:line="252" w:lineRule="exact" w:before="0" w:after="0"/>
        <w:ind w:left="434" w:right="0" w:hanging="240"/>
        <w:jc w:val="left"/>
        <w:rPr>
          <w:b/>
          <w:sz w:val="22"/>
        </w:rPr>
      </w:pPr>
      <w:r>
        <w:rPr>
          <w:b/>
          <w:sz w:val="22"/>
        </w:rPr>
        <w:t>Increased</w:t>
      </w:r>
      <w:r>
        <w:rPr>
          <w:b/>
          <w:spacing w:val="13"/>
          <w:sz w:val="22"/>
        </w:rPr>
        <w:t> </w:t>
      </w:r>
      <w:r>
        <w:rPr>
          <w:b/>
          <w:sz w:val="22"/>
        </w:rPr>
        <w:t>triglycerides</w:t>
      </w:r>
      <w:r>
        <w:rPr>
          <w:b/>
          <w:spacing w:val="14"/>
          <w:sz w:val="22"/>
        </w:rPr>
        <w:t> </w:t>
      </w:r>
      <w:r>
        <w:rPr>
          <w:b/>
          <w:sz w:val="22"/>
        </w:rPr>
        <w:t>(</w:t>
      </w:r>
      <w:r>
        <w:rPr>
          <w:sz w:val="22"/>
        </w:rPr>
        <w:t>≥</w:t>
      </w:r>
      <w:r>
        <w:rPr>
          <w:b/>
          <w:sz w:val="22"/>
        </w:rPr>
        <w:t>150</w:t>
      </w:r>
      <w:r>
        <w:rPr>
          <w:b/>
          <w:spacing w:val="14"/>
          <w:sz w:val="22"/>
        </w:rPr>
        <w:t> </w:t>
      </w:r>
      <w:r>
        <w:rPr>
          <w:b/>
          <w:sz w:val="22"/>
        </w:rPr>
        <w:t>mg/dL)</w:t>
      </w:r>
      <w:r>
        <w:rPr>
          <w:b/>
          <w:spacing w:val="13"/>
          <w:sz w:val="22"/>
        </w:rPr>
        <w:t> </w:t>
      </w:r>
      <w:r>
        <w:rPr>
          <w:b/>
          <w:sz w:val="22"/>
        </w:rPr>
        <w:t>or</w:t>
      </w:r>
      <w:r>
        <w:rPr>
          <w:b/>
          <w:spacing w:val="14"/>
          <w:sz w:val="22"/>
        </w:rPr>
        <w:t> </w:t>
      </w:r>
      <w:r>
        <w:rPr>
          <w:b/>
          <w:sz w:val="22"/>
        </w:rPr>
        <w:t>receiving</w:t>
      </w:r>
      <w:r>
        <w:rPr>
          <w:b/>
          <w:spacing w:val="14"/>
          <w:sz w:val="22"/>
        </w:rPr>
        <w:t> </w:t>
      </w:r>
      <w:r>
        <w:rPr>
          <w:b/>
          <w:sz w:val="22"/>
        </w:rPr>
        <w:t>medication</w:t>
      </w:r>
      <w:r>
        <w:rPr>
          <w:b/>
          <w:spacing w:val="14"/>
          <w:sz w:val="22"/>
        </w:rPr>
        <w:t> </w:t>
      </w:r>
      <w:r>
        <w:rPr>
          <w:b/>
          <w:sz w:val="22"/>
        </w:rPr>
        <w:t>for</w:t>
      </w:r>
      <w:r>
        <w:rPr>
          <w:b/>
          <w:spacing w:val="13"/>
          <w:sz w:val="22"/>
        </w:rPr>
        <w:t> </w:t>
      </w:r>
      <w:r>
        <w:rPr>
          <w:b/>
          <w:spacing w:val="-2"/>
          <w:sz w:val="22"/>
        </w:rPr>
        <w:t>hypertriglyceridemia</w:t>
      </w:r>
    </w:p>
    <w:p>
      <w:pPr>
        <w:pStyle w:val="ListParagraph"/>
        <w:numPr>
          <w:ilvl w:val="0"/>
          <w:numId w:val="7"/>
        </w:numPr>
        <w:tabs>
          <w:tab w:pos="434" w:val="left" w:leader="none"/>
        </w:tabs>
        <w:spacing w:line="240" w:lineRule="auto" w:before="16" w:after="0"/>
        <w:ind w:left="434" w:right="0" w:hanging="240"/>
        <w:jc w:val="left"/>
        <w:rPr>
          <w:b/>
          <w:sz w:val="22"/>
        </w:rPr>
      </w:pPr>
      <w:r>
        <w:rPr>
          <w:b/>
          <w:sz w:val="22"/>
        </w:rPr>
        <w:t>Decreased</w:t>
      </w:r>
      <w:r>
        <w:rPr>
          <w:b/>
          <w:spacing w:val="12"/>
          <w:sz w:val="22"/>
        </w:rPr>
        <w:t> </w:t>
      </w:r>
      <w:r>
        <w:rPr>
          <w:b/>
          <w:sz w:val="22"/>
        </w:rPr>
        <w:t>HDL</w:t>
      </w:r>
      <w:r>
        <w:rPr>
          <w:b/>
          <w:spacing w:val="12"/>
          <w:sz w:val="22"/>
        </w:rPr>
        <w:t> </w:t>
      </w:r>
      <w:r>
        <w:rPr>
          <w:b/>
          <w:sz w:val="22"/>
        </w:rPr>
        <w:t>cholesterol</w:t>
      </w:r>
      <w:r>
        <w:rPr>
          <w:b/>
          <w:spacing w:val="12"/>
          <w:sz w:val="22"/>
        </w:rPr>
        <w:t> </w:t>
      </w:r>
      <w:r>
        <w:rPr>
          <w:b/>
          <w:sz w:val="22"/>
        </w:rPr>
        <w:t>(</w:t>
      </w:r>
      <w:r>
        <w:rPr>
          <w:sz w:val="22"/>
        </w:rPr>
        <w:t>&lt;</w:t>
      </w:r>
      <w:r>
        <w:rPr>
          <w:b/>
          <w:sz w:val="22"/>
        </w:rPr>
        <w:t>50</w:t>
      </w:r>
      <w:r>
        <w:rPr>
          <w:b/>
          <w:spacing w:val="12"/>
          <w:sz w:val="22"/>
        </w:rPr>
        <w:t> </w:t>
      </w:r>
      <w:r>
        <w:rPr>
          <w:b/>
          <w:sz w:val="22"/>
        </w:rPr>
        <w:t>mg/dL)</w:t>
      </w:r>
      <w:r>
        <w:rPr>
          <w:b/>
          <w:spacing w:val="13"/>
          <w:sz w:val="22"/>
        </w:rPr>
        <w:t> </w:t>
      </w:r>
      <w:r>
        <w:rPr>
          <w:b/>
          <w:sz w:val="22"/>
        </w:rPr>
        <w:t>or</w:t>
      </w:r>
      <w:r>
        <w:rPr>
          <w:b/>
          <w:spacing w:val="12"/>
          <w:sz w:val="22"/>
        </w:rPr>
        <w:t> </w:t>
      </w:r>
      <w:r>
        <w:rPr>
          <w:b/>
          <w:sz w:val="22"/>
        </w:rPr>
        <w:t>receiving</w:t>
      </w:r>
      <w:r>
        <w:rPr>
          <w:b/>
          <w:spacing w:val="12"/>
          <w:sz w:val="22"/>
        </w:rPr>
        <w:t> </w:t>
      </w:r>
      <w:r>
        <w:rPr>
          <w:b/>
          <w:sz w:val="22"/>
        </w:rPr>
        <w:t>medication</w:t>
      </w:r>
      <w:r>
        <w:rPr>
          <w:b/>
          <w:spacing w:val="12"/>
          <w:sz w:val="22"/>
        </w:rPr>
        <w:t> </w:t>
      </w:r>
      <w:r>
        <w:rPr>
          <w:b/>
          <w:sz w:val="22"/>
        </w:rPr>
        <w:t>for</w:t>
      </w:r>
      <w:r>
        <w:rPr>
          <w:b/>
          <w:spacing w:val="12"/>
          <w:sz w:val="22"/>
        </w:rPr>
        <w:t> </w:t>
      </w:r>
      <w:r>
        <w:rPr>
          <w:b/>
          <w:sz w:val="22"/>
        </w:rPr>
        <w:t>reduced</w:t>
      </w:r>
      <w:r>
        <w:rPr>
          <w:b/>
          <w:spacing w:val="13"/>
          <w:sz w:val="22"/>
        </w:rPr>
        <w:t> </w:t>
      </w:r>
      <w:r>
        <w:rPr>
          <w:b/>
          <w:spacing w:val="-5"/>
          <w:sz w:val="22"/>
        </w:rPr>
        <w:t>HDL</w:t>
      </w:r>
    </w:p>
    <w:p>
      <w:pPr>
        <w:pStyle w:val="ListParagraph"/>
        <w:numPr>
          <w:ilvl w:val="0"/>
          <w:numId w:val="7"/>
        </w:numPr>
        <w:tabs>
          <w:tab w:pos="434" w:val="left" w:leader="none"/>
        </w:tabs>
        <w:spacing w:line="240" w:lineRule="auto" w:before="16" w:after="0"/>
        <w:ind w:left="434" w:right="0" w:hanging="240"/>
        <w:jc w:val="left"/>
        <w:rPr>
          <w:b/>
          <w:sz w:val="22"/>
        </w:rPr>
      </w:pPr>
      <w:r>
        <w:rPr>
          <w:b/>
          <w:sz w:val="22"/>
        </w:rPr>
        <w:t>Increased</w:t>
      </w:r>
      <w:r>
        <w:rPr>
          <w:b/>
          <w:spacing w:val="12"/>
          <w:sz w:val="22"/>
        </w:rPr>
        <w:t> </w:t>
      </w:r>
      <w:r>
        <w:rPr>
          <w:b/>
          <w:sz w:val="22"/>
        </w:rPr>
        <w:t>fasting</w:t>
      </w:r>
      <w:r>
        <w:rPr>
          <w:b/>
          <w:spacing w:val="13"/>
          <w:sz w:val="22"/>
        </w:rPr>
        <w:t> </w:t>
      </w:r>
      <w:r>
        <w:rPr>
          <w:b/>
          <w:sz w:val="22"/>
        </w:rPr>
        <w:t>glucose</w:t>
      </w:r>
      <w:r>
        <w:rPr>
          <w:b/>
          <w:spacing w:val="12"/>
          <w:sz w:val="22"/>
        </w:rPr>
        <w:t> </w:t>
      </w:r>
      <w:r>
        <w:rPr>
          <w:b/>
          <w:sz w:val="22"/>
        </w:rPr>
        <w:t>(</w:t>
      </w:r>
      <w:r>
        <w:rPr>
          <w:sz w:val="22"/>
        </w:rPr>
        <w:t>≥</w:t>
      </w:r>
      <w:r>
        <w:rPr>
          <w:b/>
          <w:sz w:val="22"/>
        </w:rPr>
        <w:t>100</w:t>
      </w:r>
      <w:r>
        <w:rPr>
          <w:b/>
          <w:spacing w:val="13"/>
          <w:sz w:val="22"/>
        </w:rPr>
        <w:t> </w:t>
      </w:r>
      <w:r>
        <w:rPr>
          <w:b/>
          <w:sz w:val="22"/>
        </w:rPr>
        <w:t>mg/dL)</w:t>
      </w:r>
      <w:r>
        <w:rPr>
          <w:b/>
          <w:spacing w:val="13"/>
          <w:sz w:val="22"/>
        </w:rPr>
        <w:t> </w:t>
      </w:r>
      <w:r>
        <w:rPr>
          <w:b/>
          <w:sz w:val="22"/>
        </w:rPr>
        <w:t>or</w:t>
      </w:r>
      <w:r>
        <w:rPr>
          <w:b/>
          <w:spacing w:val="12"/>
          <w:sz w:val="22"/>
        </w:rPr>
        <w:t> </w:t>
      </w:r>
      <w:r>
        <w:rPr>
          <w:b/>
          <w:sz w:val="22"/>
        </w:rPr>
        <w:t>receiving</w:t>
      </w:r>
      <w:r>
        <w:rPr>
          <w:b/>
          <w:spacing w:val="13"/>
          <w:sz w:val="22"/>
        </w:rPr>
        <w:t> </w:t>
      </w:r>
      <w:r>
        <w:rPr>
          <w:b/>
          <w:sz w:val="22"/>
        </w:rPr>
        <w:t>medication</w:t>
      </w:r>
      <w:r>
        <w:rPr>
          <w:b/>
          <w:spacing w:val="13"/>
          <w:sz w:val="22"/>
        </w:rPr>
        <w:t> </w:t>
      </w:r>
      <w:r>
        <w:rPr>
          <w:b/>
          <w:sz w:val="22"/>
        </w:rPr>
        <w:t>for</w:t>
      </w:r>
      <w:r>
        <w:rPr>
          <w:b/>
          <w:spacing w:val="12"/>
          <w:sz w:val="22"/>
        </w:rPr>
        <w:t> </w:t>
      </w:r>
      <w:r>
        <w:rPr>
          <w:b/>
          <w:spacing w:val="-2"/>
          <w:sz w:val="22"/>
        </w:rPr>
        <w:t>hyperglycemia</w:t>
      </w:r>
    </w:p>
    <w:p>
      <w:pPr>
        <w:pStyle w:val="BodyText"/>
        <w:spacing w:line="249" w:lineRule="auto" w:before="242"/>
        <w:ind w:right="99" w:firstLine="450"/>
      </w:pPr>
      <w:r>
        <w:rPr/>
        <w:t>An</w:t>
      </w:r>
      <w:r>
        <w:rPr>
          <w:spacing w:val="-4"/>
        </w:rPr>
        <w:t> </w:t>
      </w:r>
      <w:r>
        <w:rPr/>
        <w:t>increasing</w:t>
      </w:r>
      <w:r>
        <w:rPr>
          <w:spacing w:val="-4"/>
        </w:rPr>
        <w:t> </w:t>
      </w:r>
      <w:r>
        <w:rPr/>
        <w:t>prevalence</w:t>
      </w:r>
      <w:r>
        <w:rPr>
          <w:spacing w:val="-4"/>
        </w:rPr>
        <w:t> </w:t>
      </w:r>
      <w:r>
        <w:rPr/>
        <w:t>of</w:t>
      </w:r>
      <w:r>
        <w:rPr>
          <w:spacing w:val="-4"/>
        </w:rPr>
        <w:t> </w:t>
      </w:r>
      <w:r>
        <w:rPr/>
        <w:t>metabolic</w:t>
      </w:r>
      <w:r>
        <w:rPr>
          <w:spacing w:val="-4"/>
        </w:rPr>
        <w:t> </w:t>
      </w:r>
      <w:r>
        <w:rPr/>
        <w:t>syndrome</w:t>
      </w:r>
      <w:r>
        <w:rPr>
          <w:spacing w:val="-4"/>
        </w:rPr>
        <w:t> </w:t>
      </w:r>
      <w:r>
        <w:rPr/>
        <w:t>during</w:t>
      </w:r>
      <w:r>
        <w:rPr>
          <w:spacing w:val="-4"/>
        </w:rPr>
        <w:t> </w:t>
      </w:r>
      <w:r>
        <w:rPr/>
        <w:t>the</w:t>
      </w:r>
      <w:r>
        <w:rPr>
          <w:spacing w:val="-4"/>
        </w:rPr>
        <w:t> </w:t>
      </w:r>
      <w:r>
        <w:rPr/>
        <w:t>menopausal transition is correlated with increasing androgen dominance that is also associated with truncal obesity, hypertension, and disorders of lipid/carbohydrate metabolism.</w:t>
      </w:r>
      <w:r>
        <w:rPr>
          <w:vertAlign w:val="superscript"/>
        </w:rPr>
        <w:t>401,402</w:t>
      </w:r>
      <w:r>
        <w:rPr>
          <w:vertAlign w:val="baseline"/>
        </w:rPr>
        <w:t> Adiposity of the trunk is a risk </w:t>
      </w:r>
      <w:r>
        <w:rPr>
          <w:vertAlign w:val="baseline"/>
        </w:rPr>
        <w:t>factor for CHD in women and is associated with a relatively androgenic hormonal state, as well as hypertension, and disorders of lipid and carbohydrate metabolism </w:t>
      </w:r>
      <w:r>
        <w:rPr>
          <w:vertAlign w:val="superscript"/>
        </w:rPr>
        <w:t>403</w:t>
      </w:r>
      <w:r>
        <w:rPr>
          <w:vertAlign w:val="baseline"/>
        </w:rPr>
        <w:t> Central fat distribution in women is positively correlated with increases in total cholesterol, triglycerides, and LDL cholesterol and negatively correlated with HDL cholesterol.</w:t>
      </w:r>
      <w:r>
        <w:rPr>
          <w:vertAlign w:val="superscript"/>
        </w:rPr>
        <w:t>404</w:t>
      </w:r>
      <w:r>
        <w:rPr>
          <w:vertAlign w:val="baseline"/>
        </w:rPr>
        <w:t> The atherogenic lipid profile associated with abdominal adiposity is at least partly mediated through an interplay with insulin and estrogen.</w:t>
      </w:r>
      <w:r>
        <w:rPr>
          <w:vertAlign w:val="superscript"/>
        </w:rPr>
        <w:t>405</w:t>
      </w:r>
      <w:r>
        <w:rPr>
          <w:vertAlign w:val="baseline"/>
        </w:rPr>
        <w:t> It is worth noting that there is a</w:t>
      </w:r>
      <w:r>
        <w:rPr>
          <w:spacing w:val="40"/>
          <w:vertAlign w:val="baseline"/>
        </w:rPr>
        <w:t> </w:t>
      </w:r>
      <w:r>
        <w:rPr>
          <w:vertAlign w:val="baseline"/>
        </w:rPr>
        <w:t>strong</w:t>
      </w:r>
      <w:r>
        <w:rPr>
          <w:spacing w:val="73"/>
          <w:vertAlign w:val="baseline"/>
        </w:rPr>
        <w:t>  </w:t>
      </w:r>
      <w:r>
        <w:rPr>
          <w:vertAlign w:val="baseline"/>
        </w:rPr>
        <w:t>correlation</w:t>
      </w:r>
      <w:r>
        <w:rPr>
          <w:spacing w:val="73"/>
          <w:vertAlign w:val="baseline"/>
        </w:rPr>
        <w:t>  </w:t>
      </w:r>
      <w:r>
        <w:rPr>
          <w:vertAlign w:val="baseline"/>
        </w:rPr>
        <w:t>between</w:t>
      </w:r>
      <w:r>
        <w:rPr>
          <w:spacing w:val="73"/>
          <w:vertAlign w:val="baseline"/>
        </w:rPr>
        <w:t>  </w:t>
      </w:r>
      <w:r>
        <w:rPr>
          <w:vertAlign w:val="baseline"/>
        </w:rPr>
        <w:t>the</w:t>
      </w:r>
      <w:r>
        <w:rPr>
          <w:spacing w:val="73"/>
          <w:vertAlign w:val="baseline"/>
        </w:rPr>
        <w:t>  </w:t>
      </w:r>
      <w:r>
        <w:rPr>
          <w:vertAlign w:val="baseline"/>
        </w:rPr>
        <w:t>magnitude</w:t>
      </w:r>
      <w:r>
        <w:rPr>
          <w:spacing w:val="73"/>
          <w:vertAlign w:val="baseline"/>
        </w:rPr>
        <w:t>  </w:t>
      </w:r>
      <w:r>
        <w:rPr>
          <w:vertAlign w:val="baseline"/>
        </w:rPr>
        <w:t>of</w:t>
      </w:r>
      <w:r>
        <w:rPr>
          <w:spacing w:val="73"/>
          <w:vertAlign w:val="baseline"/>
        </w:rPr>
        <w:t>  </w:t>
      </w:r>
      <w:r>
        <w:rPr>
          <w:vertAlign w:val="baseline"/>
        </w:rPr>
        <w:t>the</w:t>
      </w:r>
      <w:r>
        <w:rPr>
          <w:spacing w:val="73"/>
          <w:vertAlign w:val="baseline"/>
        </w:rPr>
        <w:t>  </w:t>
      </w:r>
      <w:r>
        <w:rPr>
          <w:vertAlign w:val="baseline"/>
        </w:rPr>
        <w:t>worsening</w:t>
      </w:r>
      <w:r>
        <w:rPr>
          <w:spacing w:val="73"/>
          <w:vertAlign w:val="baseline"/>
        </w:rPr>
        <w:t>  </w:t>
      </w:r>
      <w:r>
        <w:rPr>
          <w:spacing w:val="-5"/>
          <w:vertAlign w:val="baseline"/>
        </w:rPr>
        <w:t>in</w:t>
      </w:r>
    </w:p>
    <w:p>
      <w:pPr>
        <w:pStyle w:val="BodyText"/>
        <w:spacing w:after="0" w:line="249" w:lineRule="auto"/>
        <w:sectPr>
          <w:pgSz w:w="12240" w:h="15840"/>
          <w:pgMar w:top="1380" w:bottom="280" w:left="1440" w:right="1440"/>
        </w:sectPr>
      </w:pPr>
    </w:p>
    <w:p>
      <w:pPr>
        <w:spacing w:line="249" w:lineRule="auto" w:before="65"/>
        <w:ind w:left="99" w:right="99" w:firstLine="0"/>
        <w:jc w:val="both"/>
        <w:rPr>
          <w:sz w:val="30"/>
        </w:rPr>
      </w:pPr>
      <w:r>
        <w:rPr>
          <w:sz w:val="30"/>
        </w:rPr>
        <w:t>cardiovascular risk factors (lipid and lipoprotein changes, blood </w:t>
      </w:r>
      <w:r>
        <w:rPr>
          <w:sz w:val="30"/>
        </w:rPr>
        <w:t>pressure, and insulin levels) and the amount of weight gained during the menopausal transition. Thus, weight gain and lowering LDL to less than 100 mg/dL</w:t>
      </w:r>
      <w:r>
        <w:rPr>
          <w:spacing w:val="40"/>
          <w:sz w:val="30"/>
        </w:rPr>
        <w:t> </w:t>
      </w:r>
      <w:r>
        <w:rPr>
          <w:sz w:val="30"/>
        </w:rPr>
        <w:t>with cholesterol-lowering drugs (statins) in the presence of CHD is an important part of preventive health care.</w:t>
      </w:r>
      <w:r>
        <w:rPr>
          <w:sz w:val="30"/>
          <w:vertAlign w:val="superscript"/>
        </w:rPr>
        <w:t>406-409</w:t>
      </w:r>
      <w:r>
        <w:rPr>
          <w:sz w:val="30"/>
          <w:vertAlign w:val="baseline"/>
        </w:rPr>
        <w:t> Attention to weight gain during middle age is one of the most important components of good preventive health care. However,</w:t>
      </w:r>
      <w:r>
        <w:rPr>
          <w:spacing w:val="-4"/>
          <w:sz w:val="30"/>
          <w:vertAlign w:val="baseline"/>
        </w:rPr>
        <w:t> </w:t>
      </w:r>
      <w:r>
        <w:rPr>
          <w:b/>
          <w:sz w:val="30"/>
          <w:vertAlign w:val="baseline"/>
        </w:rPr>
        <w:t>weight gain at menopause is not just an effect of hormonal changes but rather a reflection of aging-related alterations in metabolism as well as changes in diet and exercise that accompany aging.</w:t>
      </w:r>
      <w:r>
        <w:rPr>
          <w:sz w:val="30"/>
          <w:vertAlign w:val="superscript"/>
        </w:rPr>
        <w:t>406</w:t>
      </w:r>
    </w:p>
    <w:p>
      <w:pPr>
        <w:pStyle w:val="BodyText"/>
        <w:spacing w:line="249" w:lineRule="auto" w:before="12"/>
        <w:ind w:right="100" w:firstLine="450"/>
      </w:pPr>
      <w:r>
        <w:rPr/>
        <w:t>Current recommendations regarding the optimal </w:t>
      </w:r>
      <w:r>
        <w:rPr/>
        <w:t>cholesterol/lipoprotein profile are more aggressive, urging more intensive treatment aimed at lowering LDL cholesterol levels; in the presence of CHD, the goal is to lower LDL cholesterol to less than 100 mg/dL.</w:t>
      </w:r>
      <w:r>
        <w:rPr>
          <w:vertAlign w:val="superscript"/>
        </w:rPr>
        <w:t>407</w:t>
      </w:r>
      <w:r>
        <w:rPr>
          <w:vertAlign w:val="baseline"/>
        </w:rPr>
        <w:t> Cholesterol-lowering drugs, specifically the statin family, have been repeatedly demonstrated in clinical trials to effect a marked reduction in the risk of clinical cardiovascular events in both men and women.</w:t>
      </w:r>
      <w:r>
        <w:rPr>
          <w:vertAlign w:val="superscript"/>
        </w:rPr>
        <w:t>408,409</w:t>
      </w:r>
    </w:p>
    <w:p>
      <w:pPr>
        <w:pStyle w:val="BodyText"/>
        <w:spacing w:line="249" w:lineRule="auto" w:before="9"/>
        <w:ind w:right="101" w:firstLine="450"/>
      </w:pPr>
      <w:r>
        <w:rPr/>
        <w:t>Triglycerides are also an important risk factor for CHD in women but are most commonly encountered in individuals with the metabolic syndrome.</w:t>
      </w:r>
      <w:r>
        <w:rPr>
          <w:vertAlign w:val="superscript"/>
        </w:rPr>
        <w:t>407</w:t>
      </w:r>
      <w:r>
        <w:rPr>
          <w:vertAlign w:val="baseline"/>
        </w:rPr>
        <w:t> If the triglyceride level is greater than 400 mg/dL and </w:t>
      </w:r>
      <w:r>
        <w:rPr>
          <w:vertAlign w:val="baseline"/>
        </w:rPr>
        <w:t>the</w:t>
      </w:r>
      <w:r>
        <w:rPr>
          <w:spacing w:val="40"/>
          <w:vertAlign w:val="baseline"/>
        </w:rPr>
        <w:t> </w:t>
      </w:r>
      <w:r>
        <w:rPr>
          <w:vertAlign w:val="baseline"/>
        </w:rPr>
        <w:t>HDL cholesterol is less than 50 mg/dL, the risk of heart disease is substantially increased. Patients with an elevated triglyceride level and a positive family history for heart disease most likely have an autosomal dominant disorder classified as familial combined hyperlipidemia. This disorder accounts for most myocardial infarctions in women under 40 years old. Triglyceride levels of 150 to 200 mg/dL are considered borderline elevated. Triglyceride levels can be elevated because of obesity, smoking, and lack of exercise. Weight loss alone can return elevated triglyceride levels to normal.</w:t>
      </w:r>
    </w:p>
    <w:p>
      <w:pPr>
        <w:spacing w:line="249" w:lineRule="auto" w:before="14"/>
        <w:ind w:left="99" w:right="99" w:firstLine="450"/>
        <w:jc w:val="both"/>
        <w:rPr>
          <w:sz w:val="30"/>
        </w:rPr>
      </w:pPr>
      <w:r>
        <w:rPr>
          <w:b/>
          <w:sz w:val="30"/>
        </w:rPr>
        <w:t>Observational studies and clinical trials indicate that the major determinants of blood lipid levels are the same for both sexes</w:t>
      </w:r>
      <w:r>
        <w:rPr>
          <w:sz w:val="30"/>
        </w:rPr>
        <w:t>. A diet high in saturated fatty acids and dietary cholesterol unfavorably increases blood lipids. Excess caloric intake and obesity decrease HDL cholesterol and increase total cholesterol, LDL cholesterol, and triglycerides. Smoking also decreases HDL cholesterol (and also produces lower estrogen </w:t>
      </w:r>
      <w:r>
        <w:rPr>
          <w:sz w:val="30"/>
        </w:rPr>
        <w:t>levels and</w:t>
      </w:r>
      <w:r>
        <w:rPr>
          <w:spacing w:val="69"/>
          <w:sz w:val="30"/>
        </w:rPr>
        <w:t> </w:t>
      </w:r>
      <w:r>
        <w:rPr>
          <w:sz w:val="30"/>
        </w:rPr>
        <w:t>an</w:t>
      </w:r>
      <w:r>
        <w:rPr>
          <w:spacing w:val="69"/>
          <w:sz w:val="30"/>
        </w:rPr>
        <w:t> </w:t>
      </w:r>
      <w:r>
        <w:rPr>
          <w:sz w:val="30"/>
        </w:rPr>
        <w:t>earlier</w:t>
      </w:r>
      <w:r>
        <w:rPr>
          <w:spacing w:val="70"/>
          <w:sz w:val="30"/>
        </w:rPr>
        <w:t> </w:t>
      </w:r>
      <w:r>
        <w:rPr>
          <w:sz w:val="30"/>
        </w:rPr>
        <w:t>age</w:t>
      </w:r>
      <w:r>
        <w:rPr>
          <w:spacing w:val="69"/>
          <w:sz w:val="30"/>
        </w:rPr>
        <w:t> </w:t>
      </w:r>
      <w:r>
        <w:rPr>
          <w:sz w:val="30"/>
        </w:rPr>
        <w:t>at</w:t>
      </w:r>
      <w:r>
        <w:rPr>
          <w:spacing w:val="69"/>
          <w:sz w:val="30"/>
        </w:rPr>
        <w:t> </w:t>
      </w:r>
      <w:r>
        <w:rPr>
          <w:sz w:val="30"/>
        </w:rPr>
        <w:t>menopause).</w:t>
      </w:r>
      <w:r>
        <w:rPr>
          <w:spacing w:val="69"/>
          <w:sz w:val="30"/>
        </w:rPr>
        <w:t> </w:t>
      </w:r>
      <w:r>
        <w:rPr>
          <w:sz w:val="30"/>
        </w:rPr>
        <w:t>Genetic</w:t>
      </w:r>
      <w:r>
        <w:rPr>
          <w:spacing w:val="69"/>
          <w:sz w:val="30"/>
        </w:rPr>
        <w:t> </w:t>
      </w:r>
      <w:r>
        <w:rPr>
          <w:sz w:val="30"/>
        </w:rPr>
        <w:t>defects</w:t>
      </w:r>
      <w:r>
        <w:rPr>
          <w:spacing w:val="69"/>
          <w:sz w:val="30"/>
        </w:rPr>
        <w:t> </w:t>
      </w:r>
      <w:r>
        <w:rPr>
          <w:sz w:val="30"/>
        </w:rPr>
        <w:t>of</w:t>
      </w:r>
      <w:r>
        <w:rPr>
          <w:spacing w:val="70"/>
          <w:sz w:val="30"/>
        </w:rPr>
        <w:t> </w:t>
      </w:r>
      <w:r>
        <w:rPr>
          <w:sz w:val="30"/>
        </w:rPr>
        <w:t>receptor-</w:t>
      </w:r>
      <w:r>
        <w:rPr>
          <w:spacing w:val="-2"/>
          <w:sz w:val="30"/>
        </w:rPr>
        <w:t>mediated</w:t>
      </w:r>
    </w:p>
    <w:p>
      <w:pPr>
        <w:spacing w:after="0" w:line="249" w:lineRule="auto"/>
        <w:jc w:val="both"/>
        <w:rPr>
          <w:sz w:val="30"/>
        </w:rPr>
        <w:sectPr>
          <w:pgSz w:w="12240" w:h="15840"/>
          <w:pgMar w:top="1380" w:bottom="280" w:left="1440" w:right="1440"/>
        </w:sectPr>
      </w:pPr>
    </w:p>
    <w:p>
      <w:pPr>
        <w:spacing w:line="249" w:lineRule="auto" w:before="65"/>
        <w:ind w:left="99" w:right="100" w:firstLine="0"/>
        <w:jc w:val="both"/>
        <w:rPr>
          <w:sz w:val="30"/>
        </w:rPr>
      </w:pPr>
      <w:r>
        <w:rPr>
          <w:sz w:val="30"/>
        </w:rPr>
        <w:t>cholesterol uptake account for only a small percentage of hyperlipidemia </w:t>
      </w:r>
      <w:r>
        <w:rPr>
          <w:sz w:val="30"/>
        </w:rPr>
        <w:t>in men and women. There is also evidence that men and women who had impaired fetal growth have increased levels of cholesterol and LDL cholesterol</w:t>
      </w:r>
      <w:r>
        <w:rPr>
          <w:spacing w:val="-5"/>
          <w:sz w:val="30"/>
        </w:rPr>
        <w:t> </w:t>
      </w:r>
      <w:r>
        <w:rPr>
          <w:sz w:val="30"/>
        </w:rPr>
        <w:t>in</w:t>
      </w:r>
      <w:r>
        <w:rPr>
          <w:spacing w:val="-5"/>
          <w:sz w:val="30"/>
        </w:rPr>
        <w:t> </w:t>
      </w:r>
      <w:r>
        <w:rPr>
          <w:sz w:val="30"/>
        </w:rPr>
        <w:t>middle</w:t>
      </w:r>
      <w:r>
        <w:rPr>
          <w:spacing w:val="-5"/>
          <w:sz w:val="30"/>
        </w:rPr>
        <w:t> </w:t>
      </w:r>
      <w:r>
        <w:rPr>
          <w:sz w:val="30"/>
        </w:rPr>
        <w:t>age.</w:t>
      </w:r>
      <w:r>
        <w:rPr>
          <w:sz w:val="30"/>
          <w:vertAlign w:val="superscript"/>
        </w:rPr>
        <w:t>410</w:t>
      </w:r>
      <w:r>
        <w:rPr>
          <w:spacing w:val="-4"/>
          <w:sz w:val="30"/>
          <w:vertAlign w:val="baseline"/>
        </w:rPr>
        <w:t> </w:t>
      </w:r>
      <w:r>
        <w:rPr>
          <w:sz w:val="30"/>
          <w:vertAlign w:val="baseline"/>
        </w:rPr>
        <w:t>The</w:t>
      </w:r>
      <w:r>
        <w:rPr>
          <w:spacing w:val="-4"/>
          <w:sz w:val="30"/>
          <w:vertAlign w:val="baseline"/>
        </w:rPr>
        <w:t> </w:t>
      </w:r>
      <w:r>
        <w:rPr>
          <w:sz w:val="30"/>
          <w:vertAlign w:val="baseline"/>
        </w:rPr>
        <w:t>speculation</w:t>
      </w:r>
      <w:r>
        <w:rPr>
          <w:spacing w:val="-4"/>
          <w:sz w:val="30"/>
          <w:vertAlign w:val="baseline"/>
        </w:rPr>
        <w:t> </w:t>
      </w:r>
      <w:r>
        <w:rPr>
          <w:sz w:val="30"/>
          <w:vertAlign w:val="baseline"/>
        </w:rPr>
        <w:t>is</w:t>
      </w:r>
      <w:r>
        <w:rPr>
          <w:spacing w:val="-4"/>
          <w:sz w:val="30"/>
          <w:vertAlign w:val="baseline"/>
        </w:rPr>
        <w:t> </w:t>
      </w:r>
      <w:r>
        <w:rPr>
          <w:sz w:val="30"/>
          <w:vertAlign w:val="baseline"/>
        </w:rPr>
        <w:t>that</w:t>
      </w:r>
      <w:r>
        <w:rPr>
          <w:spacing w:val="-4"/>
          <w:sz w:val="30"/>
          <w:vertAlign w:val="baseline"/>
        </w:rPr>
        <w:t> </w:t>
      </w:r>
      <w:r>
        <w:rPr>
          <w:sz w:val="30"/>
          <w:vertAlign w:val="baseline"/>
        </w:rPr>
        <w:t>impaired</w:t>
      </w:r>
      <w:r>
        <w:rPr>
          <w:spacing w:val="-4"/>
          <w:sz w:val="30"/>
          <w:vertAlign w:val="baseline"/>
        </w:rPr>
        <w:t> </w:t>
      </w:r>
      <w:r>
        <w:rPr>
          <w:sz w:val="30"/>
          <w:vertAlign w:val="baseline"/>
        </w:rPr>
        <w:t>liver</w:t>
      </w:r>
      <w:r>
        <w:rPr>
          <w:spacing w:val="-4"/>
          <w:sz w:val="30"/>
          <w:vertAlign w:val="baseline"/>
        </w:rPr>
        <w:t> </w:t>
      </w:r>
      <w:r>
        <w:rPr>
          <w:sz w:val="30"/>
          <w:vertAlign w:val="baseline"/>
        </w:rPr>
        <w:t>growth</w:t>
      </w:r>
      <w:r>
        <w:rPr>
          <w:spacing w:val="-4"/>
          <w:sz w:val="30"/>
          <w:vertAlign w:val="baseline"/>
        </w:rPr>
        <w:t> </w:t>
      </w:r>
      <w:r>
        <w:rPr>
          <w:sz w:val="30"/>
          <w:vertAlign w:val="baseline"/>
        </w:rPr>
        <w:t>in utero produces a permanent adverse change in cholesterol and lipoprotein metabolism.</w:t>
      </w:r>
      <w:r>
        <w:rPr>
          <w:sz w:val="30"/>
          <w:vertAlign w:val="superscript"/>
        </w:rPr>
        <w:t>410</w:t>
      </w:r>
      <w:r>
        <w:rPr>
          <w:sz w:val="30"/>
          <w:vertAlign w:val="baseline"/>
        </w:rPr>
        <w:t> Reduced fetal growth also leads in adulthood to insulin resistance and lower HDL cholesterol levels, most severe in those who become obese.</w:t>
      </w:r>
      <w:r>
        <w:rPr>
          <w:sz w:val="30"/>
          <w:vertAlign w:val="superscript"/>
        </w:rPr>
        <w:t>411</w:t>
      </w:r>
      <w:r>
        <w:rPr>
          <w:sz w:val="30"/>
          <w:vertAlign w:val="baseline"/>
        </w:rPr>
        <w:t> </w:t>
      </w:r>
      <w:r>
        <w:rPr>
          <w:b/>
          <w:sz w:val="30"/>
          <w:vertAlign w:val="baseline"/>
        </w:rPr>
        <w:t>However, obesity or weight gain, tobacco use, and other social risk factors noted at menopause is not an effect of menopausal hormonal changes but rather a reflection of aging-related alterations in lifestyle.</w:t>
      </w:r>
      <w:r>
        <w:rPr>
          <w:sz w:val="30"/>
          <w:vertAlign w:val="superscript"/>
        </w:rPr>
        <w:t>406</w:t>
      </w:r>
    </w:p>
    <w:p>
      <w:pPr>
        <w:pStyle w:val="BodyText"/>
        <w:spacing w:before="57"/>
        <w:ind w:left="0"/>
        <w:jc w:val="left"/>
      </w:pPr>
    </w:p>
    <w:p>
      <w:pPr>
        <w:spacing w:before="0"/>
        <w:ind w:left="99" w:right="0" w:firstLine="0"/>
        <w:jc w:val="both"/>
        <w:rPr>
          <w:rFonts w:ascii="Arial"/>
          <w:b/>
          <w:sz w:val="30"/>
        </w:rPr>
      </w:pPr>
      <w:r>
        <w:rPr>
          <w:rFonts w:ascii="Arial"/>
          <w:b/>
          <w:color w:val="2674AE"/>
          <w:sz w:val="30"/>
        </w:rPr>
        <w:t>C-Reactive Protein and Cardiovascular </w:t>
      </w:r>
      <w:r>
        <w:rPr>
          <w:rFonts w:ascii="Arial"/>
          <w:b/>
          <w:color w:val="2674AE"/>
          <w:spacing w:val="-2"/>
          <w:sz w:val="30"/>
        </w:rPr>
        <w:t>Disease</w:t>
      </w:r>
    </w:p>
    <w:p>
      <w:pPr>
        <w:pStyle w:val="BodyText"/>
        <w:spacing w:line="249" w:lineRule="auto" w:before="166"/>
        <w:ind w:right="98"/>
      </w:pPr>
      <w:r>
        <w:rPr/>
        <w:t>The immune system (monocytes, cytokines, and cell adhesion molecules) and inflammatory processes both play an active role in the process of atherosis.</w:t>
      </w:r>
      <w:r>
        <w:rPr>
          <w:vertAlign w:val="superscript"/>
        </w:rPr>
        <w:t>412</w:t>
      </w:r>
      <w:r>
        <w:rPr>
          <w:vertAlign w:val="baseline"/>
        </w:rPr>
        <w:t> Studies indicate that C-reactive protein (CRP) is a marker </w:t>
      </w:r>
      <w:r>
        <w:rPr>
          <w:vertAlign w:val="baseline"/>
        </w:rPr>
        <w:t>of cardiovascular risk in both men and women.</w:t>
      </w:r>
      <w:r>
        <w:rPr>
          <w:vertAlign w:val="superscript"/>
        </w:rPr>
        <w:t>413-415</w:t>
      </w:r>
      <w:r>
        <w:rPr>
          <w:vertAlign w:val="baseline"/>
        </w:rPr>
        <w:t> This risk is limited, however,</w:t>
      </w:r>
      <w:r>
        <w:rPr>
          <w:spacing w:val="-3"/>
          <w:vertAlign w:val="baseline"/>
        </w:rPr>
        <w:t> </w:t>
      </w:r>
      <w:r>
        <w:rPr>
          <w:vertAlign w:val="baseline"/>
        </w:rPr>
        <w:t>to</w:t>
      </w:r>
      <w:r>
        <w:rPr>
          <w:spacing w:val="-3"/>
          <w:vertAlign w:val="baseline"/>
        </w:rPr>
        <w:t> </w:t>
      </w:r>
      <w:r>
        <w:rPr>
          <w:vertAlign w:val="baseline"/>
        </w:rPr>
        <w:t>arterial</w:t>
      </w:r>
      <w:r>
        <w:rPr>
          <w:spacing w:val="-3"/>
          <w:vertAlign w:val="baseline"/>
        </w:rPr>
        <w:t> </w:t>
      </w:r>
      <w:r>
        <w:rPr>
          <w:vertAlign w:val="baseline"/>
        </w:rPr>
        <w:t>disease;</w:t>
      </w:r>
      <w:r>
        <w:rPr>
          <w:spacing w:val="-3"/>
          <w:vertAlign w:val="baseline"/>
        </w:rPr>
        <w:t> </w:t>
      </w:r>
      <w:r>
        <w:rPr>
          <w:vertAlign w:val="baseline"/>
        </w:rPr>
        <w:t>CRP</w:t>
      </w:r>
      <w:r>
        <w:rPr>
          <w:spacing w:val="-3"/>
          <w:vertAlign w:val="baseline"/>
        </w:rPr>
        <w:t> </w:t>
      </w:r>
      <w:r>
        <w:rPr>
          <w:vertAlign w:val="baseline"/>
        </w:rPr>
        <w:t>levels</w:t>
      </w:r>
      <w:r>
        <w:rPr>
          <w:spacing w:val="-3"/>
          <w:vertAlign w:val="baseline"/>
        </w:rPr>
        <w:t> </w:t>
      </w:r>
      <w:r>
        <w:rPr>
          <w:vertAlign w:val="baseline"/>
        </w:rPr>
        <w:t>are</w:t>
      </w:r>
      <w:r>
        <w:rPr>
          <w:spacing w:val="-3"/>
          <w:vertAlign w:val="baseline"/>
        </w:rPr>
        <w:t> </w:t>
      </w:r>
      <w:r>
        <w:rPr>
          <w:vertAlign w:val="baseline"/>
        </w:rPr>
        <w:t>not</w:t>
      </w:r>
      <w:r>
        <w:rPr>
          <w:spacing w:val="-3"/>
          <w:vertAlign w:val="baseline"/>
        </w:rPr>
        <w:t> </w:t>
      </w:r>
      <w:r>
        <w:rPr>
          <w:vertAlign w:val="baseline"/>
        </w:rPr>
        <w:t>linked</w:t>
      </w:r>
      <w:r>
        <w:rPr>
          <w:spacing w:val="-3"/>
          <w:vertAlign w:val="baseline"/>
        </w:rPr>
        <w:t> </w:t>
      </w:r>
      <w:r>
        <w:rPr>
          <w:vertAlign w:val="baseline"/>
        </w:rPr>
        <w:t>to</w:t>
      </w:r>
      <w:r>
        <w:rPr>
          <w:spacing w:val="-3"/>
          <w:vertAlign w:val="baseline"/>
        </w:rPr>
        <w:t> </w:t>
      </w:r>
      <w:r>
        <w:rPr>
          <w:vertAlign w:val="baseline"/>
        </w:rPr>
        <w:t>venous</w:t>
      </w:r>
      <w:r>
        <w:rPr>
          <w:spacing w:val="-3"/>
          <w:vertAlign w:val="baseline"/>
        </w:rPr>
        <w:t> </w:t>
      </w:r>
      <w:r>
        <w:rPr>
          <w:vertAlign w:val="baseline"/>
        </w:rPr>
        <w:t>thrombosis or pulmonary embolus.</w:t>
      </w:r>
      <w:r>
        <w:rPr>
          <w:vertAlign w:val="superscript"/>
        </w:rPr>
        <w:t>413</w:t>
      </w:r>
      <w:r>
        <w:rPr>
          <w:vertAlign w:val="baseline"/>
        </w:rPr>
        <w:t> CRP predicts an increased risk of cardiovascular events even in individuals who have normal lipid levels, and, therefore, it is argued that both CRP and lipid profiles should be used for screening purposes.</w:t>
      </w:r>
      <w:r>
        <w:rPr>
          <w:vertAlign w:val="superscript"/>
        </w:rPr>
        <w:t>415,416</w:t>
      </w:r>
      <w:r>
        <w:rPr>
          <w:vertAlign w:val="baseline"/>
        </w:rPr>
        <w:t> CRP is a protein synthesized in the liver and atherosclerotic arteries and was given its name because it reacts with the C-polysaccharide of </w:t>
      </w:r>
      <w:r>
        <w:rPr>
          <w:i/>
          <w:vertAlign w:val="baseline"/>
        </w:rPr>
        <w:t>Streptococcus pneumoniae</w:t>
      </w:r>
      <w:r>
        <w:rPr>
          <w:vertAlign w:val="baseline"/>
        </w:rPr>
        <w:t>. Thus, the circulating level of CRP increases in response to various inflammatory stimuli but, specifically, bacterial infections and chronic inflammatory conditions such as systemic lupus erythematosus (SLE). Sensitive assays now detect small increases associated with low-grade inflammation in the vascular system.</w:t>
      </w:r>
    </w:p>
    <w:p>
      <w:pPr>
        <w:pStyle w:val="BodyText"/>
        <w:spacing w:line="249" w:lineRule="auto" w:before="19"/>
        <w:ind w:right="101" w:firstLine="450"/>
      </w:pPr>
      <w:r>
        <w:rPr/>
        <w:t>Increased levels of CRP in patients with angina predict poor </w:t>
      </w:r>
      <w:r>
        <w:rPr/>
        <w:t>outcome, an increase in the relative risk of a coronary event. Prospective</w:t>
      </w:r>
      <w:r>
        <w:rPr>
          <w:spacing w:val="-3"/>
        </w:rPr>
        <w:t> </w:t>
      </w:r>
      <w:r>
        <w:rPr/>
        <w:t>studies</w:t>
      </w:r>
      <w:r>
        <w:rPr>
          <w:spacing w:val="-3"/>
        </w:rPr>
        <w:t> </w:t>
      </w:r>
      <w:r>
        <w:rPr/>
        <w:t>have documented an increased risk of cardiovascular events in patients without known CVD who have high CRP levels, an association that is even greater in smokers.</w:t>
      </w:r>
      <w:r>
        <w:rPr>
          <w:vertAlign w:val="superscript"/>
        </w:rPr>
        <w:t>417</w:t>
      </w:r>
      <w:r>
        <w:rPr>
          <w:vertAlign w:val="baseline"/>
        </w:rPr>
        <w:t> Higher mean levels are found in both men and women who subsequently have myocardial infarctions. Stroke and peripheral vascular disease</w:t>
      </w:r>
      <w:r>
        <w:rPr>
          <w:spacing w:val="32"/>
          <w:vertAlign w:val="baseline"/>
        </w:rPr>
        <w:t> </w:t>
      </w:r>
      <w:r>
        <w:rPr>
          <w:vertAlign w:val="baseline"/>
        </w:rPr>
        <w:t>are</w:t>
      </w:r>
      <w:r>
        <w:rPr>
          <w:spacing w:val="32"/>
          <w:vertAlign w:val="baseline"/>
        </w:rPr>
        <w:t> </w:t>
      </w:r>
      <w:r>
        <w:rPr>
          <w:vertAlign w:val="baseline"/>
        </w:rPr>
        <w:t>also</w:t>
      </w:r>
      <w:r>
        <w:rPr>
          <w:spacing w:val="32"/>
          <w:vertAlign w:val="baseline"/>
        </w:rPr>
        <w:t> </w:t>
      </w:r>
      <w:r>
        <w:rPr>
          <w:vertAlign w:val="baseline"/>
        </w:rPr>
        <w:t>increased</w:t>
      </w:r>
      <w:r>
        <w:rPr>
          <w:spacing w:val="32"/>
          <w:vertAlign w:val="baseline"/>
        </w:rPr>
        <w:t> </w:t>
      </w:r>
      <w:r>
        <w:rPr>
          <w:vertAlign w:val="baseline"/>
        </w:rPr>
        <w:t>in</w:t>
      </w:r>
      <w:r>
        <w:rPr>
          <w:spacing w:val="32"/>
          <w:vertAlign w:val="baseline"/>
        </w:rPr>
        <w:t> </w:t>
      </w:r>
      <w:r>
        <w:rPr>
          <w:vertAlign w:val="baseline"/>
        </w:rPr>
        <w:t>men</w:t>
      </w:r>
      <w:r>
        <w:rPr>
          <w:spacing w:val="32"/>
          <w:vertAlign w:val="baseline"/>
        </w:rPr>
        <w:t> </w:t>
      </w:r>
      <w:r>
        <w:rPr>
          <w:vertAlign w:val="baseline"/>
        </w:rPr>
        <w:t>with</w:t>
      </w:r>
      <w:r>
        <w:rPr>
          <w:spacing w:val="32"/>
          <w:vertAlign w:val="baseline"/>
        </w:rPr>
        <w:t> </w:t>
      </w:r>
      <w:r>
        <w:rPr>
          <w:vertAlign w:val="baseline"/>
        </w:rPr>
        <w:t>higher</w:t>
      </w:r>
      <w:r>
        <w:rPr>
          <w:spacing w:val="32"/>
          <w:vertAlign w:val="baseline"/>
        </w:rPr>
        <w:t> </w:t>
      </w:r>
      <w:r>
        <w:rPr>
          <w:vertAlign w:val="baseline"/>
        </w:rPr>
        <w:t>CRP</w:t>
      </w:r>
      <w:r>
        <w:rPr>
          <w:spacing w:val="32"/>
          <w:vertAlign w:val="baseline"/>
        </w:rPr>
        <w:t> </w:t>
      </w:r>
      <w:r>
        <w:rPr>
          <w:vertAlign w:val="baseline"/>
        </w:rPr>
        <w:t>levels,</w:t>
      </w:r>
      <w:r>
        <w:rPr>
          <w:spacing w:val="32"/>
          <w:vertAlign w:val="baseline"/>
        </w:rPr>
        <w:t> </w:t>
      </w:r>
      <w:r>
        <w:rPr>
          <w:vertAlign w:val="baseline"/>
        </w:rPr>
        <w:t>and</w:t>
      </w:r>
      <w:r>
        <w:rPr>
          <w:spacing w:val="32"/>
          <w:vertAlign w:val="baseline"/>
        </w:rPr>
        <w:t> </w:t>
      </w:r>
      <w:r>
        <w:rPr>
          <w:vertAlign w:val="baseline"/>
        </w:rPr>
        <w:t>in</w:t>
      </w:r>
      <w:r>
        <w:rPr>
          <w:spacing w:val="32"/>
          <w:vertAlign w:val="baseline"/>
        </w:rPr>
        <w:t> </w:t>
      </w:r>
      <w:r>
        <w:rPr>
          <w:spacing w:val="-2"/>
          <w:vertAlign w:val="baseline"/>
        </w:rPr>
        <w:t>women,</w:t>
      </w:r>
    </w:p>
    <w:p>
      <w:pPr>
        <w:pStyle w:val="BodyText"/>
        <w:spacing w:after="0" w:line="249" w:lineRule="auto"/>
        <w:sectPr>
          <w:pgSz w:w="12240" w:h="15840"/>
          <w:pgMar w:top="1380" w:bottom="280" w:left="1440" w:right="1440"/>
        </w:sectPr>
      </w:pPr>
    </w:p>
    <w:p>
      <w:pPr>
        <w:pStyle w:val="BodyText"/>
        <w:spacing w:line="249" w:lineRule="auto"/>
        <w:ind w:right="99"/>
      </w:pPr>
      <w:r>
        <w:rPr/>
        <w:t>CRP is also elevated in stroke.</w:t>
      </w:r>
      <w:r>
        <w:rPr>
          <w:vertAlign w:val="superscript"/>
        </w:rPr>
        <w:t>418</w:t>
      </w:r>
      <w:r>
        <w:rPr>
          <w:vertAlign w:val="baseline"/>
        </w:rPr>
        <w:t> In a metaanalysis of 14 </w:t>
      </w:r>
      <w:r>
        <w:rPr>
          <w:vertAlign w:val="baseline"/>
        </w:rPr>
        <w:t>prospective studies, individuals with CRP levels in the top third compared with individuals in the bottom third had a 2-fold increase in relative risk for CHD.</w:t>
      </w:r>
      <w:r>
        <w:rPr>
          <w:vertAlign w:val="superscript"/>
        </w:rPr>
        <w:t>419</w:t>
      </w:r>
      <w:r>
        <w:rPr>
          <w:vertAlign w:val="baseline"/>
        </w:rPr>
        <w:t> Thus, CRP levels have predictive value in both healthy individuals and individuals with cardiac disease. In addition, statin treatment lowers CRP</w:t>
      </w:r>
      <w:r>
        <w:rPr>
          <w:spacing w:val="-5"/>
          <w:vertAlign w:val="baseline"/>
        </w:rPr>
        <w:t> </w:t>
      </w:r>
      <w:r>
        <w:rPr>
          <w:vertAlign w:val="baseline"/>
        </w:rPr>
        <w:t>levels,</w:t>
      </w:r>
      <w:r>
        <w:rPr>
          <w:vertAlign w:val="superscript"/>
        </w:rPr>
        <w:t>420</w:t>
      </w:r>
      <w:r>
        <w:rPr>
          <w:spacing w:val="-4"/>
          <w:vertAlign w:val="baseline"/>
        </w:rPr>
        <w:t> </w:t>
      </w:r>
      <w:r>
        <w:rPr>
          <w:vertAlign w:val="baseline"/>
        </w:rPr>
        <w:t>and</w:t>
      </w:r>
      <w:r>
        <w:rPr>
          <w:spacing w:val="-4"/>
          <w:vertAlign w:val="baseline"/>
        </w:rPr>
        <w:t> </w:t>
      </w:r>
      <w:r>
        <w:rPr>
          <w:vertAlign w:val="baseline"/>
        </w:rPr>
        <w:t>evidence</w:t>
      </w:r>
      <w:r>
        <w:rPr>
          <w:spacing w:val="-4"/>
          <w:vertAlign w:val="baseline"/>
        </w:rPr>
        <w:t> </w:t>
      </w:r>
      <w:r>
        <w:rPr>
          <w:vertAlign w:val="baseline"/>
        </w:rPr>
        <w:t>indicates</w:t>
      </w:r>
      <w:r>
        <w:rPr>
          <w:spacing w:val="-4"/>
          <w:vertAlign w:val="baseline"/>
        </w:rPr>
        <w:t> </w:t>
      </w:r>
      <w:r>
        <w:rPr>
          <w:vertAlign w:val="baseline"/>
        </w:rPr>
        <w:t>that</w:t>
      </w:r>
      <w:r>
        <w:rPr>
          <w:spacing w:val="-4"/>
          <w:vertAlign w:val="baseline"/>
        </w:rPr>
        <w:t> </w:t>
      </w:r>
      <w:r>
        <w:rPr>
          <w:vertAlign w:val="baseline"/>
        </w:rPr>
        <w:t>statins</w:t>
      </w:r>
      <w:r>
        <w:rPr>
          <w:spacing w:val="-4"/>
          <w:vertAlign w:val="baseline"/>
        </w:rPr>
        <w:t> </w:t>
      </w:r>
      <w:r>
        <w:rPr>
          <w:vertAlign w:val="baseline"/>
        </w:rPr>
        <w:t>and</w:t>
      </w:r>
      <w:r>
        <w:rPr>
          <w:spacing w:val="-4"/>
          <w:vertAlign w:val="baseline"/>
        </w:rPr>
        <w:t> </w:t>
      </w:r>
      <w:r>
        <w:rPr>
          <w:vertAlign w:val="baseline"/>
        </w:rPr>
        <w:t>aspirin</w:t>
      </w:r>
      <w:r>
        <w:rPr>
          <w:spacing w:val="-4"/>
          <w:vertAlign w:val="baseline"/>
        </w:rPr>
        <w:t> </w:t>
      </w:r>
      <w:r>
        <w:rPr>
          <w:vertAlign w:val="baseline"/>
        </w:rPr>
        <w:t>achieve</w:t>
      </w:r>
      <w:r>
        <w:rPr>
          <w:spacing w:val="-4"/>
          <w:vertAlign w:val="baseline"/>
        </w:rPr>
        <w:t> </w:t>
      </w:r>
      <w:r>
        <w:rPr>
          <w:vertAlign w:val="baseline"/>
        </w:rPr>
        <w:t>greater benefits in individuals with high CRP levels.</w:t>
      </w:r>
      <w:r>
        <w:rPr>
          <w:vertAlign w:val="superscript"/>
        </w:rPr>
        <w:t>413,420,421</w:t>
      </w:r>
    </w:p>
    <w:p>
      <w:pPr>
        <w:pStyle w:val="BodyText"/>
        <w:spacing w:line="249" w:lineRule="auto" w:before="8"/>
        <w:ind w:right="98" w:firstLine="450"/>
      </w:pPr>
      <w:r>
        <w:rPr/>
        <w:t>In general, studies have indicated that oral estrogen treatment (with </w:t>
      </w:r>
      <w:r>
        <w:rPr/>
        <w:t>or without progestin) increases CRP levels and raloxifene does not. In a double-blind,</w:t>
      </w:r>
      <w:r>
        <w:rPr>
          <w:spacing w:val="-5"/>
        </w:rPr>
        <w:t> </w:t>
      </w:r>
      <w:r>
        <w:rPr/>
        <w:t>randomized</w:t>
      </w:r>
      <w:r>
        <w:rPr>
          <w:spacing w:val="-5"/>
        </w:rPr>
        <w:t> </w:t>
      </w:r>
      <w:r>
        <w:rPr/>
        <w:t>trial,</w:t>
      </w:r>
      <w:r>
        <w:rPr>
          <w:spacing w:val="-5"/>
        </w:rPr>
        <w:t> </w:t>
      </w:r>
      <w:r>
        <w:rPr/>
        <w:t>menopausal</w:t>
      </w:r>
      <w:r>
        <w:rPr>
          <w:spacing w:val="-5"/>
        </w:rPr>
        <w:t> </w:t>
      </w:r>
      <w:r>
        <w:rPr/>
        <w:t>hormone</w:t>
      </w:r>
      <w:r>
        <w:rPr>
          <w:spacing w:val="-5"/>
        </w:rPr>
        <w:t> </w:t>
      </w:r>
      <w:r>
        <w:rPr/>
        <w:t>therapy</w:t>
      </w:r>
      <w:r>
        <w:rPr>
          <w:spacing w:val="-5"/>
        </w:rPr>
        <w:t> </w:t>
      </w:r>
      <w:r>
        <w:rPr/>
        <w:t>and</w:t>
      </w:r>
      <w:r>
        <w:rPr>
          <w:spacing w:val="-5"/>
        </w:rPr>
        <w:t> </w:t>
      </w:r>
      <w:r>
        <w:rPr/>
        <w:t>raloxifene equally lowered homocysteine levels (a marker for vascular risk), but estrogen-progestin treatment increased CRP levels, whereas raloxifene had no effect.</w:t>
      </w:r>
      <w:r>
        <w:rPr>
          <w:vertAlign w:val="superscript"/>
        </w:rPr>
        <w:t>422</w:t>
      </w:r>
      <w:r>
        <w:rPr>
          <w:vertAlign w:val="baseline"/>
        </w:rPr>
        <w:t> These results were duplicated in a Dutch randomized study.</w:t>
      </w:r>
      <w:r>
        <w:rPr>
          <w:vertAlign w:val="superscript"/>
        </w:rPr>
        <w:t>423,424</w:t>
      </w:r>
      <w:r>
        <w:rPr>
          <w:vertAlign w:val="baseline"/>
        </w:rPr>
        <w:t> Tibolone (discussed later in Chapter 22 under the section “Menopausal Hormone Therapy”) increases CRP levels to the same degree as oral estrogen therapy.</w:t>
      </w:r>
      <w:r>
        <w:rPr>
          <w:vertAlign w:val="superscript"/>
        </w:rPr>
        <w:t>425</w:t>
      </w:r>
      <w:r>
        <w:rPr>
          <w:vertAlign w:val="baseline"/>
        </w:rPr>
        <w:t> A cross-sectional study found higher levels of CRP in healthy postmenopausal women using hormone therapy.</w:t>
      </w:r>
      <w:r>
        <w:rPr>
          <w:vertAlign w:val="superscript"/>
        </w:rPr>
        <w:t>424</w:t>
      </w:r>
      <w:r>
        <w:rPr>
          <w:vertAlign w:val="baseline"/>
        </w:rPr>
        <w:t> In the PEPI randomized trial, hormone therapy increased CRP levels, but the levels of E-selectin, another marker of inflammation, were reduced.</w:t>
      </w:r>
      <w:r>
        <w:rPr>
          <w:vertAlign w:val="superscript"/>
        </w:rPr>
        <w:t>426</w:t>
      </w:r>
    </w:p>
    <w:p>
      <w:pPr>
        <w:spacing w:line="249" w:lineRule="auto" w:before="15"/>
        <w:ind w:left="99" w:right="98" w:firstLine="450"/>
        <w:jc w:val="both"/>
        <w:rPr>
          <w:b/>
          <w:sz w:val="30"/>
        </w:rPr>
      </w:pPr>
      <w:r>
        <w:rPr>
          <w:sz w:val="30"/>
        </w:rPr>
        <w:t>Estrogen-induced increase in CRP levels may be due to the known stimulant effects of estrogen on hepatic synthesis of proteins, especially because of the first-pass phenomenon with oral administration. For this reason, transdermal estrogen treatment does not change CRP </w:t>
      </w:r>
      <w:r>
        <w:rPr>
          <w:sz w:val="30"/>
        </w:rPr>
        <w:t>level.</w:t>
      </w:r>
      <w:r>
        <w:rPr>
          <w:sz w:val="30"/>
          <w:vertAlign w:val="superscript"/>
        </w:rPr>
        <w:t>425,427,428</w:t>
      </w:r>
      <w:r>
        <w:rPr>
          <w:sz w:val="30"/>
          <w:vertAlign w:val="baseline"/>
        </w:rPr>
        <w:t> Studies on multiple inflammatory markers report that oral estrogen therapy increases only CRP, the only marker synthesized in the liver. In fact, oral hormone therapy, while increasing CRP, reduces the circulating levels of other inflammatory markers (E-selectin, intercellular adhesion molecule-1, vascular</w:t>
      </w:r>
      <w:r>
        <w:rPr>
          <w:spacing w:val="-5"/>
          <w:sz w:val="30"/>
          <w:vertAlign w:val="baseline"/>
        </w:rPr>
        <w:t> </w:t>
      </w:r>
      <w:r>
        <w:rPr>
          <w:sz w:val="30"/>
          <w:vertAlign w:val="baseline"/>
        </w:rPr>
        <w:t>cell</w:t>
      </w:r>
      <w:r>
        <w:rPr>
          <w:spacing w:val="-5"/>
          <w:sz w:val="30"/>
          <w:vertAlign w:val="baseline"/>
        </w:rPr>
        <w:t> </w:t>
      </w:r>
      <w:r>
        <w:rPr>
          <w:sz w:val="30"/>
          <w:vertAlign w:val="baseline"/>
        </w:rPr>
        <w:t>adhesion</w:t>
      </w:r>
      <w:r>
        <w:rPr>
          <w:spacing w:val="-5"/>
          <w:sz w:val="30"/>
          <w:vertAlign w:val="baseline"/>
        </w:rPr>
        <w:t> </w:t>
      </w:r>
      <w:r>
        <w:rPr>
          <w:sz w:val="30"/>
          <w:vertAlign w:val="baseline"/>
        </w:rPr>
        <w:t>molecule-1,</w:t>
      </w:r>
      <w:r>
        <w:rPr>
          <w:spacing w:val="-5"/>
          <w:sz w:val="30"/>
          <w:vertAlign w:val="baseline"/>
        </w:rPr>
        <w:t> </w:t>
      </w:r>
      <w:r>
        <w:rPr>
          <w:sz w:val="30"/>
          <w:vertAlign w:val="baseline"/>
        </w:rPr>
        <w:t>monocyte</w:t>
      </w:r>
      <w:r>
        <w:rPr>
          <w:spacing w:val="-5"/>
          <w:sz w:val="30"/>
          <w:vertAlign w:val="baseline"/>
        </w:rPr>
        <w:t> </w:t>
      </w:r>
      <w:r>
        <w:rPr>
          <w:sz w:val="30"/>
          <w:vertAlign w:val="baseline"/>
        </w:rPr>
        <w:t>chemoattractant</w:t>
      </w:r>
      <w:r>
        <w:rPr>
          <w:spacing w:val="-5"/>
          <w:sz w:val="30"/>
          <w:vertAlign w:val="baseline"/>
        </w:rPr>
        <w:t> </w:t>
      </w:r>
      <w:r>
        <w:rPr>
          <w:sz w:val="30"/>
          <w:vertAlign w:val="baseline"/>
        </w:rPr>
        <w:t>protein-1,</w:t>
      </w:r>
      <w:r>
        <w:rPr>
          <w:spacing w:val="-5"/>
          <w:sz w:val="30"/>
          <w:vertAlign w:val="baseline"/>
        </w:rPr>
        <w:t> </w:t>
      </w:r>
      <w:r>
        <w:rPr>
          <w:sz w:val="30"/>
          <w:vertAlign w:val="baseline"/>
        </w:rPr>
        <w:t>and tumor necrosis factor-a), with inconsistent effects on interleukin-6 (IL-6).</w:t>
      </w:r>
      <w:r>
        <w:rPr>
          <w:sz w:val="30"/>
          <w:vertAlign w:val="superscript"/>
        </w:rPr>
        <w:t>429,430</w:t>
      </w:r>
      <w:r>
        <w:rPr>
          <w:sz w:val="30"/>
          <w:vertAlign w:val="baseline"/>
        </w:rPr>
        <w:t> </w:t>
      </w:r>
      <w:r>
        <w:rPr>
          <w:b/>
          <w:sz w:val="30"/>
          <w:vertAlign w:val="baseline"/>
        </w:rPr>
        <w:t>Most importantly, it is not certain that the decrease in CRP levels with statins and the increase with estrogen are actually instrumental in clinical outcomes or reflect other effects. Thus, raising or lowering CRP levels will not necessarily increase and decrease the risk of clinical disease. A study from the WHI confirmed the</w:t>
      </w:r>
      <w:r>
        <w:rPr>
          <w:b/>
          <w:spacing w:val="40"/>
          <w:sz w:val="30"/>
          <w:vertAlign w:val="baseline"/>
        </w:rPr>
        <w:t> </w:t>
      </w:r>
      <w:r>
        <w:rPr>
          <w:b/>
          <w:sz w:val="30"/>
          <w:vertAlign w:val="baseline"/>
        </w:rPr>
        <w:t>correlation between baseline levels of CRP and an elevated risk of CHD,</w:t>
      </w:r>
      <w:r>
        <w:rPr>
          <w:b/>
          <w:spacing w:val="35"/>
          <w:sz w:val="30"/>
          <w:vertAlign w:val="baseline"/>
        </w:rPr>
        <w:t> </w:t>
      </w:r>
      <w:r>
        <w:rPr>
          <w:b/>
          <w:sz w:val="30"/>
          <w:vertAlign w:val="baseline"/>
        </w:rPr>
        <w:t>but</w:t>
      </w:r>
      <w:r>
        <w:rPr>
          <w:b/>
          <w:spacing w:val="37"/>
          <w:sz w:val="30"/>
          <w:vertAlign w:val="baseline"/>
        </w:rPr>
        <w:t> </w:t>
      </w:r>
      <w:r>
        <w:rPr>
          <w:b/>
          <w:sz w:val="30"/>
          <w:vertAlign w:val="baseline"/>
        </w:rPr>
        <w:t>the</w:t>
      </w:r>
      <w:r>
        <w:rPr>
          <w:b/>
          <w:spacing w:val="38"/>
          <w:sz w:val="30"/>
          <w:vertAlign w:val="baseline"/>
        </w:rPr>
        <w:t> </w:t>
      </w:r>
      <w:r>
        <w:rPr>
          <w:b/>
          <w:sz w:val="30"/>
          <w:vertAlign w:val="baseline"/>
        </w:rPr>
        <w:t>increase</w:t>
      </w:r>
      <w:r>
        <w:rPr>
          <w:b/>
          <w:spacing w:val="37"/>
          <w:sz w:val="30"/>
          <w:vertAlign w:val="baseline"/>
        </w:rPr>
        <w:t> </w:t>
      </w:r>
      <w:r>
        <w:rPr>
          <w:b/>
          <w:sz w:val="30"/>
          <w:vertAlign w:val="baseline"/>
        </w:rPr>
        <w:t>in</w:t>
      </w:r>
      <w:r>
        <w:rPr>
          <w:b/>
          <w:spacing w:val="38"/>
          <w:sz w:val="30"/>
          <w:vertAlign w:val="baseline"/>
        </w:rPr>
        <w:t> </w:t>
      </w:r>
      <w:r>
        <w:rPr>
          <w:b/>
          <w:sz w:val="30"/>
          <w:vertAlign w:val="baseline"/>
        </w:rPr>
        <w:t>CRP</w:t>
      </w:r>
      <w:r>
        <w:rPr>
          <w:b/>
          <w:spacing w:val="37"/>
          <w:sz w:val="30"/>
          <w:vertAlign w:val="baseline"/>
        </w:rPr>
        <w:t> </w:t>
      </w:r>
      <w:r>
        <w:rPr>
          <w:b/>
          <w:sz w:val="30"/>
          <w:vertAlign w:val="baseline"/>
        </w:rPr>
        <w:t>induced</w:t>
      </w:r>
      <w:r>
        <w:rPr>
          <w:b/>
          <w:spacing w:val="38"/>
          <w:sz w:val="30"/>
          <w:vertAlign w:val="baseline"/>
        </w:rPr>
        <w:t> </w:t>
      </w:r>
      <w:r>
        <w:rPr>
          <w:b/>
          <w:sz w:val="30"/>
          <w:vertAlign w:val="baseline"/>
        </w:rPr>
        <w:t>by</w:t>
      </w:r>
      <w:r>
        <w:rPr>
          <w:b/>
          <w:spacing w:val="37"/>
          <w:sz w:val="30"/>
          <w:vertAlign w:val="baseline"/>
        </w:rPr>
        <w:t> </w:t>
      </w:r>
      <w:r>
        <w:rPr>
          <w:b/>
          <w:sz w:val="30"/>
          <w:vertAlign w:val="baseline"/>
        </w:rPr>
        <w:t>oral</w:t>
      </w:r>
      <w:r>
        <w:rPr>
          <w:b/>
          <w:spacing w:val="38"/>
          <w:sz w:val="30"/>
          <w:vertAlign w:val="baseline"/>
        </w:rPr>
        <w:t> </w:t>
      </w:r>
      <w:r>
        <w:rPr>
          <w:b/>
          <w:sz w:val="30"/>
          <w:vertAlign w:val="baseline"/>
        </w:rPr>
        <w:t>hormone</w:t>
      </w:r>
      <w:r>
        <w:rPr>
          <w:b/>
          <w:spacing w:val="37"/>
          <w:sz w:val="30"/>
          <w:vertAlign w:val="baseline"/>
        </w:rPr>
        <w:t> </w:t>
      </w:r>
      <w:r>
        <w:rPr>
          <w:b/>
          <w:sz w:val="30"/>
          <w:vertAlign w:val="baseline"/>
        </w:rPr>
        <w:t>therapy</w:t>
      </w:r>
      <w:r>
        <w:rPr>
          <w:b/>
          <w:spacing w:val="38"/>
          <w:sz w:val="30"/>
          <w:vertAlign w:val="baseline"/>
        </w:rPr>
        <w:t> </w:t>
      </w:r>
      <w:r>
        <w:rPr>
          <w:b/>
          <w:spacing w:val="-5"/>
          <w:sz w:val="30"/>
          <w:vertAlign w:val="baseline"/>
        </w:rPr>
        <w:t>did</w:t>
      </w:r>
    </w:p>
    <w:p>
      <w:pPr>
        <w:spacing w:after="0" w:line="249" w:lineRule="auto"/>
        <w:jc w:val="both"/>
        <w:rPr>
          <w:b/>
          <w:sz w:val="30"/>
        </w:rPr>
        <w:sectPr>
          <w:pgSz w:w="12240" w:h="15840"/>
          <w:pgMar w:top="1380" w:bottom="280" w:left="1440" w:right="1440"/>
        </w:sectPr>
      </w:pPr>
    </w:p>
    <w:p>
      <w:pPr>
        <w:spacing w:line="249" w:lineRule="auto" w:before="65"/>
        <w:ind w:left="99" w:right="98" w:firstLine="0"/>
        <w:jc w:val="both"/>
        <w:rPr>
          <w:b/>
          <w:sz w:val="30"/>
        </w:rPr>
      </w:pPr>
      <w:r>
        <w:rPr>
          <w:b/>
          <w:sz w:val="30"/>
        </w:rPr>
        <w:t>not further increase this risk!</w:t>
      </w:r>
      <w:r>
        <w:rPr>
          <w:sz w:val="30"/>
          <w:vertAlign w:val="superscript"/>
        </w:rPr>
        <w:t>431</w:t>
      </w:r>
      <w:r>
        <w:rPr>
          <w:sz w:val="30"/>
          <w:vertAlign w:val="baseline"/>
        </w:rPr>
        <w:t> </w:t>
      </w:r>
      <w:r>
        <w:rPr>
          <w:b/>
          <w:sz w:val="30"/>
          <w:vertAlign w:val="baseline"/>
        </w:rPr>
        <w:t>The uncertainties and questions regarding the clinical relevance of CRP levels make it premature to conclude that changes in CRP levels with hormone therapy have </w:t>
      </w:r>
      <w:r>
        <w:rPr>
          <w:b/>
          <w:sz w:val="30"/>
          <w:vertAlign w:val="baseline"/>
        </w:rPr>
        <w:t>any direct clinical consequence. This does not detract, however, from the utility of CRP levels in quantifying the overall risk of CVD in an individual patient.</w:t>
      </w:r>
    </w:p>
    <w:p>
      <w:pPr>
        <w:pStyle w:val="BodyText"/>
        <w:spacing w:before="51"/>
        <w:ind w:left="0"/>
        <w:jc w:val="left"/>
        <w:rPr>
          <w:b/>
        </w:rPr>
      </w:pPr>
    </w:p>
    <w:p>
      <w:pPr>
        <w:spacing w:before="0"/>
        <w:ind w:left="99" w:right="0" w:firstLine="0"/>
        <w:jc w:val="both"/>
        <w:rPr>
          <w:rFonts w:ascii="Arial"/>
          <w:b/>
          <w:sz w:val="30"/>
        </w:rPr>
      </w:pPr>
      <w:r>
        <w:rPr>
          <w:rFonts w:ascii="Arial"/>
          <w:b/>
          <w:color w:val="2674AE"/>
          <w:sz w:val="30"/>
        </w:rPr>
        <w:t>Lipoprotein(a) and Cardiovascular </w:t>
      </w:r>
      <w:r>
        <w:rPr>
          <w:rFonts w:ascii="Arial"/>
          <w:b/>
          <w:color w:val="2674AE"/>
          <w:spacing w:val="-2"/>
          <w:sz w:val="30"/>
        </w:rPr>
        <w:t>Disease</w:t>
      </w:r>
    </w:p>
    <w:p>
      <w:pPr>
        <w:pStyle w:val="BodyText"/>
        <w:spacing w:line="249" w:lineRule="auto" w:before="166"/>
        <w:ind w:right="103"/>
      </w:pPr>
      <w:r>
        <w:rPr/>
        <w:t>Lp(a) is composed of two parts, a lipoprotein particle that is similar to LDL and a glycoprotein component that resembles a clotting protein. Lp(a) is an independent risk factor for CHD. Menopausal hormone therapy has </w:t>
      </w:r>
      <w:r>
        <w:rPr/>
        <w:t>been associated with a reduction in circulating Lp(a) levels.</w:t>
      </w:r>
      <w:r>
        <w:rPr>
          <w:vertAlign w:val="superscript"/>
        </w:rPr>
        <w:t>432</w:t>
      </w:r>
      <w:r>
        <w:rPr>
          <w:vertAlign w:val="baseline"/>
        </w:rPr>
        <w:t> Unlike other markers, the levels of Lp(a) are unaffected by lifestyle, and no clinical use has been established for Lp(a) measurements as a screening tool.</w:t>
      </w:r>
    </w:p>
    <w:p>
      <w:pPr>
        <w:pStyle w:val="BodyText"/>
        <w:spacing w:before="51"/>
        <w:ind w:left="0"/>
        <w:jc w:val="left"/>
      </w:pPr>
    </w:p>
    <w:p>
      <w:pPr>
        <w:spacing w:before="0"/>
        <w:ind w:left="99" w:right="0" w:firstLine="0"/>
        <w:jc w:val="both"/>
        <w:rPr>
          <w:rFonts w:ascii="Arial"/>
          <w:b/>
          <w:sz w:val="30"/>
        </w:rPr>
      </w:pPr>
      <w:r>
        <w:rPr>
          <w:rFonts w:ascii="Arial"/>
          <w:b/>
          <w:color w:val="2674AE"/>
          <w:sz w:val="30"/>
        </w:rPr>
        <w:t>Sex Steroids and Cardiovascular </w:t>
      </w:r>
      <w:r>
        <w:rPr>
          <w:rFonts w:ascii="Arial"/>
          <w:b/>
          <w:color w:val="2674AE"/>
          <w:spacing w:val="-2"/>
          <w:sz w:val="30"/>
        </w:rPr>
        <w:t>Disease</w:t>
      </w:r>
    </w:p>
    <w:p>
      <w:pPr>
        <w:pStyle w:val="BodyText"/>
        <w:tabs>
          <w:tab w:pos="602" w:val="left" w:leader="none"/>
          <w:tab w:pos="697" w:val="left" w:leader="none"/>
          <w:tab w:pos="1475" w:val="left" w:leader="none"/>
          <w:tab w:pos="1688" w:val="left" w:leader="none"/>
          <w:tab w:pos="1894" w:val="left" w:leader="none"/>
          <w:tab w:pos="2095" w:val="left" w:leader="none"/>
          <w:tab w:pos="2539" w:val="left" w:leader="none"/>
          <w:tab w:pos="3093" w:val="left" w:leader="none"/>
          <w:tab w:pos="3324" w:val="left" w:leader="none"/>
          <w:tab w:pos="3566" w:val="left" w:leader="none"/>
          <w:tab w:pos="3600" w:val="left" w:leader="none"/>
          <w:tab w:pos="3691" w:val="left" w:leader="none"/>
          <w:tab w:pos="4161" w:val="left" w:leader="none"/>
          <w:tab w:pos="4543" w:val="left" w:leader="none"/>
          <w:tab w:pos="4823" w:val="left" w:leader="none"/>
          <w:tab w:pos="5129" w:val="left" w:leader="none"/>
          <w:tab w:pos="5305" w:val="left" w:leader="none"/>
          <w:tab w:pos="5459" w:val="left" w:leader="none"/>
          <w:tab w:pos="5798" w:val="left" w:leader="none"/>
          <w:tab w:pos="5951" w:val="left" w:leader="none"/>
          <w:tab w:pos="6079" w:val="left" w:leader="none"/>
          <w:tab w:pos="6268" w:val="left" w:leader="none"/>
          <w:tab w:pos="6785" w:val="left" w:leader="none"/>
          <w:tab w:pos="7121" w:val="left" w:leader="none"/>
          <w:tab w:pos="7190" w:val="left" w:leader="none"/>
          <w:tab w:pos="7400" w:val="left" w:leader="none"/>
          <w:tab w:pos="8060" w:val="left" w:leader="none"/>
          <w:tab w:pos="8260" w:val="left" w:leader="none"/>
          <w:tab w:pos="8536" w:val="left" w:leader="none"/>
          <w:tab w:pos="8998" w:val="left" w:leader="none"/>
        </w:tabs>
        <w:spacing w:line="249" w:lineRule="auto" w:before="167"/>
        <w:ind w:right="98"/>
        <w:jc w:val="right"/>
      </w:pPr>
      <w:r>
        <w:rPr/>
        <w:t>As noted earlier, the leading cause of death among women continues to be CHD. Coronary atherosclerosis is a lifelong process that varies in its </w:t>
      </w:r>
      <w:r>
        <w:rPr/>
        <w:t>slope of</w:t>
      </w:r>
      <w:r>
        <w:rPr>
          <w:spacing w:val="37"/>
        </w:rPr>
        <w:t> </w:t>
      </w:r>
      <w:r>
        <w:rPr/>
        <w:t>development</w:t>
      </w:r>
      <w:r>
        <w:rPr>
          <w:spacing w:val="37"/>
        </w:rPr>
        <w:t> </w:t>
      </w:r>
      <w:r>
        <w:rPr/>
        <w:t>according</w:t>
      </w:r>
      <w:r>
        <w:rPr>
          <w:spacing w:val="37"/>
        </w:rPr>
        <w:t> </w:t>
      </w:r>
      <w:r>
        <w:rPr/>
        <w:t>to</w:t>
      </w:r>
      <w:r>
        <w:rPr>
          <w:spacing w:val="37"/>
        </w:rPr>
        <w:t> </w:t>
      </w:r>
      <w:r>
        <w:rPr/>
        <w:t>the</w:t>
      </w:r>
      <w:r>
        <w:rPr>
          <w:spacing w:val="37"/>
        </w:rPr>
        <w:t> </w:t>
      </w:r>
      <w:r>
        <w:rPr/>
        <w:t>presence</w:t>
      </w:r>
      <w:r>
        <w:rPr>
          <w:spacing w:val="37"/>
        </w:rPr>
        <w:t> </w:t>
      </w:r>
      <w:r>
        <w:rPr/>
        <w:t>or</w:t>
      </w:r>
      <w:r>
        <w:rPr>
          <w:spacing w:val="37"/>
        </w:rPr>
        <w:t> </w:t>
      </w:r>
      <w:r>
        <w:rPr/>
        <w:t>absence</w:t>
      </w:r>
      <w:r>
        <w:rPr>
          <w:spacing w:val="37"/>
        </w:rPr>
        <w:t> </w:t>
      </w:r>
      <w:r>
        <w:rPr/>
        <w:t>of</w:t>
      </w:r>
      <w:r>
        <w:rPr>
          <w:spacing w:val="37"/>
        </w:rPr>
        <w:t> </w:t>
      </w:r>
      <w:r>
        <w:rPr/>
        <w:t>risk</w:t>
      </w:r>
      <w:r>
        <w:rPr>
          <w:spacing w:val="37"/>
        </w:rPr>
        <w:t> </w:t>
      </w:r>
      <w:r>
        <w:rPr/>
        <w:t>factors.</w:t>
      </w:r>
      <w:r>
        <w:rPr>
          <w:spacing w:val="37"/>
        </w:rPr>
        <w:t> </w:t>
      </w:r>
      <w:r>
        <w:rPr/>
        <w:t>The </w:t>
      </w:r>
      <w:r>
        <w:rPr>
          <w:spacing w:val="-2"/>
        </w:rPr>
        <w:t>landmark</w:t>
      </w:r>
      <w:r>
        <w:rPr/>
        <w:tab/>
      </w:r>
      <w:r>
        <w:rPr>
          <w:spacing w:val="-2"/>
        </w:rPr>
        <w:t>Pathobiological</w:t>
      </w:r>
      <w:r>
        <w:rPr/>
        <w:tab/>
        <w:tab/>
      </w:r>
      <w:r>
        <w:rPr>
          <w:spacing w:val="-2"/>
        </w:rPr>
        <w:t>Determinants</w:t>
      </w:r>
      <w:r>
        <w:rPr/>
        <w:tab/>
        <w:tab/>
      </w:r>
      <w:r>
        <w:rPr>
          <w:spacing w:val="-6"/>
        </w:rPr>
        <w:t>of</w:t>
      </w:r>
      <w:r>
        <w:rPr/>
        <w:tab/>
        <w:tab/>
      </w:r>
      <w:r>
        <w:rPr>
          <w:spacing w:val="-2"/>
        </w:rPr>
        <w:t>Atherosclerosis</w:t>
      </w:r>
      <w:r>
        <w:rPr/>
        <w:tab/>
      </w:r>
      <w:r>
        <w:rPr>
          <w:spacing w:val="-6"/>
        </w:rPr>
        <w:t>in</w:t>
      </w:r>
      <w:r>
        <w:rPr/>
        <w:tab/>
      </w:r>
      <w:r>
        <w:rPr>
          <w:spacing w:val="-8"/>
        </w:rPr>
        <w:t>Youth </w:t>
      </w:r>
      <w:r>
        <w:rPr/>
        <w:t>(PDAY) study documented the presence of fatty streaks in adolescents and an</w:t>
      </w:r>
      <w:r>
        <w:rPr>
          <w:spacing w:val="36"/>
        </w:rPr>
        <w:t> </w:t>
      </w:r>
      <w:r>
        <w:rPr/>
        <w:t>increasing</w:t>
      </w:r>
      <w:r>
        <w:rPr>
          <w:spacing w:val="36"/>
        </w:rPr>
        <w:t> </w:t>
      </w:r>
      <w:r>
        <w:rPr/>
        <w:t>prevalence</w:t>
      </w:r>
      <w:r>
        <w:rPr>
          <w:spacing w:val="36"/>
        </w:rPr>
        <w:t> </w:t>
      </w:r>
      <w:r>
        <w:rPr/>
        <w:t>with</w:t>
      </w:r>
      <w:r>
        <w:rPr>
          <w:spacing w:val="36"/>
        </w:rPr>
        <w:t> </w:t>
      </w:r>
      <w:r>
        <w:rPr/>
        <w:t>increasing</w:t>
      </w:r>
      <w:r>
        <w:rPr>
          <w:spacing w:val="36"/>
        </w:rPr>
        <w:t> </w:t>
      </w:r>
      <w:r>
        <w:rPr/>
        <w:t>age.</w:t>
      </w:r>
      <w:r>
        <w:rPr>
          <w:vertAlign w:val="superscript"/>
        </w:rPr>
        <w:t>433</w:t>
      </w:r>
      <w:r>
        <w:rPr>
          <w:spacing w:val="39"/>
          <w:vertAlign w:val="baseline"/>
        </w:rPr>
        <w:t> </w:t>
      </w:r>
      <w:r>
        <w:rPr>
          <w:vertAlign w:val="baseline"/>
        </w:rPr>
        <w:t>The</w:t>
      </w:r>
      <w:r>
        <w:rPr>
          <w:spacing w:val="39"/>
          <w:vertAlign w:val="baseline"/>
        </w:rPr>
        <w:t> </w:t>
      </w:r>
      <w:r>
        <w:rPr>
          <w:vertAlign w:val="baseline"/>
        </w:rPr>
        <w:t>PDAY</w:t>
      </w:r>
      <w:r>
        <w:rPr>
          <w:spacing w:val="39"/>
          <w:vertAlign w:val="baseline"/>
        </w:rPr>
        <w:t> </w:t>
      </w:r>
      <w:r>
        <w:rPr>
          <w:vertAlign w:val="baseline"/>
        </w:rPr>
        <w:t>study</w:t>
      </w:r>
      <w:r>
        <w:rPr>
          <w:spacing w:val="39"/>
          <w:vertAlign w:val="baseline"/>
        </w:rPr>
        <w:t> </w:t>
      </w:r>
      <w:r>
        <w:rPr>
          <w:vertAlign w:val="baseline"/>
        </w:rPr>
        <w:t>further established</w:t>
      </w:r>
      <w:r>
        <w:rPr>
          <w:spacing w:val="39"/>
          <w:vertAlign w:val="baseline"/>
        </w:rPr>
        <w:t> </w:t>
      </w:r>
      <w:r>
        <w:rPr>
          <w:vertAlign w:val="baseline"/>
        </w:rPr>
        <w:t>that</w:t>
      </w:r>
      <w:r>
        <w:rPr>
          <w:spacing w:val="39"/>
          <w:vertAlign w:val="baseline"/>
        </w:rPr>
        <w:t> </w:t>
      </w:r>
      <w:r>
        <w:rPr>
          <w:vertAlign w:val="baseline"/>
        </w:rPr>
        <w:t>abnormal</w:t>
      </w:r>
      <w:r>
        <w:rPr>
          <w:spacing w:val="39"/>
          <w:vertAlign w:val="baseline"/>
        </w:rPr>
        <w:t> </w:t>
      </w:r>
      <w:r>
        <w:rPr>
          <w:vertAlign w:val="baseline"/>
        </w:rPr>
        <w:t>lipid</w:t>
      </w:r>
      <w:r>
        <w:rPr>
          <w:spacing w:val="39"/>
          <w:vertAlign w:val="baseline"/>
        </w:rPr>
        <w:t> </w:t>
      </w:r>
      <w:r>
        <w:rPr>
          <w:vertAlign w:val="baseline"/>
        </w:rPr>
        <w:t>profiles</w:t>
      </w:r>
      <w:r>
        <w:rPr>
          <w:spacing w:val="39"/>
          <w:vertAlign w:val="baseline"/>
        </w:rPr>
        <w:t> </w:t>
      </w:r>
      <w:r>
        <w:rPr>
          <w:vertAlign w:val="baseline"/>
        </w:rPr>
        <w:t>early</w:t>
      </w:r>
      <w:r>
        <w:rPr>
          <w:spacing w:val="39"/>
          <w:vertAlign w:val="baseline"/>
        </w:rPr>
        <w:t> </w:t>
      </w:r>
      <w:r>
        <w:rPr>
          <w:vertAlign w:val="baseline"/>
        </w:rPr>
        <w:t>in</w:t>
      </w:r>
      <w:r>
        <w:rPr>
          <w:spacing w:val="39"/>
          <w:vertAlign w:val="baseline"/>
        </w:rPr>
        <w:t> </w:t>
      </w:r>
      <w:r>
        <w:rPr>
          <w:vertAlign w:val="baseline"/>
        </w:rPr>
        <w:t>life</w:t>
      </w:r>
      <w:r>
        <w:rPr>
          <w:spacing w:val="39"/>
          <w:vertAlign w:val="baseline"/>
        </w:rPr>
        <w:t> </w:t>
      </w:r>
      <w:r>
        <w:rPr>
          <w:vertAlign w:val="baseline"/>
        </w:rPr>
        <w:t>are</w:t>
      </w:r>
      <w:r>
        <w:rPr>
          <w:spacing w:val="39"/>
          <w:vertAlign w:val="baseline"/>
        </w:rPr>
        <w:t> </w:t>
      </w:r>
      <w:r>
        <w:rPr>
          <w:vertAlign w:val="baseline"/>
        </w:rPr>
        <w:t>a</w:t>
      </w:r>
      <w:r>
        <w:rPr>
          <w:spacing w:val="39"/>
          <w:vertAlign w:val="baseline"/>
        </w:rPr>
        <w:t> </w:t>
      </w:r>
      <w:r>
        <w:rPr>
          <w:vertAlign w:val="baseline"/>
        </w:rPr>
        <w:t>major</w:t>
      </w:r>
      <w:r>
        <w:rPr>
          <w:spacing w:val="39"/>
          <w:vertAlign w:val="baseline"/>
        </w:rPr>
        <w:t> </w:t>
      </w:r>
      <w:r>
        <w:rPr>
          <w:vertAlign w:val="baseline"/>
        </w:rPr>
        <w:t>factor</w:t>
      </w:r>
      <w:r>
        <w:rPr>
          <w:spacing w:val="39"/>
          <w:vertAlign w:val="baseline"/>
        </w:rPr>
        <w:t> </w:t>
      </w:r>
      <w:r>
        <w:rPr>
          <w:vertAlign w:val="baseline"/>
        </w:rPr>
        <w:t>in determining the extent and age of onset of atherosclerosis.</w:t>
      </w:r>
      <w:r>
        <w:rPr>
          <w:vertAlign w:val="superscript"/>
        </w:rPr>
        <w:t>434</w:t>
      </w:r>
      <w:r>
        <w:rPr>
          <w:vertAlign w:val="baseline"/>
        </w:rPr>
        <w:t> It is important </w:t>
      </w:r>
      <w:r>
        <w:rPr>
          <w:spacing w:val="-4"/>
          <w:vertAlign w:val="baseline"/>
        </w:rPr>
        <w:t>for</w:t>
      </w:r>
      <w:r>
        <w:rPr>
          <w:vertAlign w:val="baseline"/>
        </w:rPr>
        <w:tab/>
        <w:tab/>
      </w:r>
      <w:r>
        <w:rPr>
          <w:spacing w:val="-2"/>
          <w:vertAlign w:val="baseline"/>
        </w:rPr>
        <w:t>clinicians</w:t>
      </w:r>
      <w:r>
        <w:rPr>
          <w:vertAlign w:val="baseline"/>
        </w:rPr>
        <w:tab/>
        <w:tab/>
      </w:r>
      <w:r>
        <w:rPr>
          <w:spacing w:val="-2"/>
          <w:vertAlign w:val="baseline"/>
        </w:rPr>
        <w:t>caring</w:t>
      </w:r>
      <w:r>
        <w:rPr>
          <w:vertAlign w:val="baseline"/>
        </w:rPr>
        <w:tab/>
      </w:r>
      <w:r>
        <w:rPr>
          <w:spacing w:val="-4"/>
          <w:vertAlign w:val="baseline"/>
        </w:rPr>
        <w:t>for</w:t>
      </w:r>
      <w:r>
        <w:rPr>
          <w:vertAlign w:val="baseline"/>
        </w:rPr>
        <w:tab/>
        <w:tab/>
        <w:tab/>
      </w:r>
      <w:r>
        <w:rPr>
          <w:spacing w:val="-2"/>
          <w:vertAlign w:val="baseline"/>
        </w:rPr>
        <w:t>women</w:t>
      </w:r>
      <w:r>
        <w:rPr>
          <w:vertAlign w:val="baseline"/>
        </w:rPr>
        <w:tab/>
      </w:r>
      <w:r>
        <w:rPr>
          <w:spacing w:val="-6"/>
          <w:vertAlign w:val="baseline"/>
        </w:rPr>
        <w:t>to</w:t>
      </w:r>
      <w:r>
        <w:rPr>
          <w:vertAlign w:val="baseline"/>
        </w:rPr>
        <w:tab/>
        <w:tab/>
      </w:r>
      <w:r>
        <w:rPr>
          <w:spacing w:val="-2"/>
          <w:vertAlign w:val="baseline"/>
        </w:rPr>
        <w:t>appreciate</w:t>
      </w:r>
      <w:r>
        <w:rPr>
          <w:vertAlign w:val="baseline"/>
        </w:rPr>
        <w:tab/>
      </w:r>
      <w:r>
        <w:rPr>
          <w:spacing w:val="-4"/>
          <w:vertAlign w:val="baseline"/>
        </w:rPr>
        <w:t>the</w:t>
      </w:r>
      <w:r>
        <w:rPr>
          <w:vertAlign w:val="baseline"/>
        </w:rPr>
        <w:tab/>
        <w:tab/>
      </w:r>
      <w:r>
        <w:rPr>
          <w:spacing w:val="-2"/>
          <w:vertAlign w:val="baseline"/>
        </w:rPr>
        <w:t>importance</w:t>
      </w:r>
      <w:r>
        <w:rPr>
          <w:vertAlign w:val="baseline"/>
        </w:rPr>
        <w:tab/>
      </w:r>
      <w:r>
        <w:rPr>
          <w:spacing w:val="-6"/>
          <w:vertAlign w:val="baseline"/>
        </w:rPr>
        <w:t>of </w:t>
      </w:r>
      <w:r>
        <w:rPr>
          <w:vertAlign w:val="baseline"/>
        </w:rPr>
        <w:t>premenopausal atherosclerosis and to understand that appropriate medical</w:t>
      </w:r>
      <w:r>
        <w:rPr>
          <w:spacing w:val="80"/>
          <w:vertAlign w:val="baseline"/>
        </w:rPr>
        <w:t> </w:t>
      </w:r>
      <w:r>
        <w:rPr>
          <w:spacing w:val="-2"/>
          <w:vertAlign w:val="baseline"/>
        </w:rPr>
        <w:t>interventions</w:t>
      </w:r>
      <w:r>
        <w:rPr>
          <w:vertAlign w:val="baseline"/>
        </w:rPr>
        <w:tab/>
        <w:tab/>
      </w:r>
      <w:r>
        <w:rPr>
          <w:spacing w:val="-4"/>
          <w:vertAlign w:val="baseline"/>
        </w:rPr>
        <w:t>can</w:t>
      </w:r>
      <w:r>
        <w:rPr>
          <w:vertAlign w:val="baseline"/>
        </w:rPr>
        <w:tab/>
      </w:r>
      <w:r>
        <w:rPr>
          <w:spacing w:val="-2"/>
          <w:vertAlign w:val="baseline"/>
        </w:rPr>
        <w:t>reduce</w:t>
      </w:r>
      <w:r>
        <w:rPr>
          <w:vertAlign w:val="baseline"/>
        </w:rPr>
        <w:tab/>
      </w:r>
      <w:r>
        <w:rPr>
          <w:spacing w:val="-4"/>
          <w:vertAlign w:val="baseline"/>
        </w:rPr>
        <w:t>the</w:t>
      </w:r>
      <w:r>
        <w:rPr>
          <w:vertAlign w:val="baseline"/>
        </w:rPr>
        <w:tab/>
      </w:r>
      <w:r>
        <w:rPr>
          <w:spacing w:val="-4"/>
          <w:vertAlign w:val="baseline"/>
        </w:rPr>
        <w:t>risk</w:t>
      </w:r>
      <w:r>
        <w:rPr>
          <w:vertAlign w:val="baseline"/>
        </w:rPr>
        <w:tab/>
      </w:r>
      <w:r>
        <w:rPr>
          <w:spacing w:val="-60"/>
          <w:vertAlign w:val="baseline"/>
        </w:rPr>
        <w:t> </w:t>
      </w:r>
      <w:r>
        <w:rPr>
          <w:vertAlign w:val="baseline"/>
        </w:rPr>
        <w:t>of</w:t>
        <w:tab/>
        <w:tab/>
      </w:r>
      <w:r>
        <w:rPr>
          <w:spacing w:val="-63"/>
          <w:vertAlign w:val="baseline"/>
        </w:rPr>
        <w:t> </w:t>
      </w:r>
      <w:r>
        <w:rPr>
          <w:vertAlign w:val="baseline"/>
        </w:rPr>
        <w:t>later</w:t>
        <w:tab/>
        <w:tab/>
      </w:r>
      <w:r>
        <w:rPr>
          <w:spacing w:val="-2"/>
          <w:vertAlign w:val="baseline"/>
        </w:rPr>
        <w:t>clinical</w:t>
      </w:r>
      <w:r>
        <w:rPr>
          <w:vertAlign w:val="baseline"/>
        </w:rPr>
        <w:tab/>
        <w:tab/>
      </w:r>
      <w:r>
        <w:rPr>
          <w:spacing w:val="-2"/>
          <w:vertAlign w:val="baseline"/>
        </w:rPr>
        <w:t>events.</w:t>
      </w:r>
      <w:r>
        <w:rPr>
          <w:vertAlign w:val="baseline"/>
        </w:rPr>
        <w:tab/>
        <w:tab/>
      </w:r>
      <w:r>
        <w:rPr>
          <w:spacing w:val="-2"/>
          <w:vertAlign w:val="baseline"/>
        </w:rPr>
        <w:t>Because </w:t>
      </w:r>
      <w:r>
        <w:rPr>
          <w:vertAlign w:val="baseline"/>
        </w:rPr>
        <w:t>atherosclerosis</w:t>
      </w:r>
      <w:r>
        <w:rPr>
          <w:spacing w:val="80"/>
          <w:vertAlign w:val="baseline"/>
        </w:rPr>
        <w:t> </w:t>
      </w:r>
      <w:r>
        <w:rPr>
          <w:vertAlign w:val="baseline"/>
        </w:rPr>
        <w:t>begins</w:t>
      </w:r>
      <w:r>
        <w:rPr>
          <w:spacing w:val="80"/>
          <w:vertAlign w:val="baseline"/>
        </w:rPr>
        <w:t> </w:t>
      </w:r>
      <w:r>
        <w:rPr>
          <w:vertAlign w:val="baseline"/>
        </w:rPr>
        <w:t>early</w:t>
      </w:r>
      <w:r>
        <w:rPr>
          <w:spacing w:val="80"/>
          <w:vertAlign w:val="baseline"/>
        </w:rPr>
        <w:t> </w:t>
      </w:r>
      <w:r>
        <w:rPr>
          <w:vertAlign w:val="baseline"/>
        </w:rPr>
        <w:t>in</w:t>
      </w:r>
      <w:r>
        <w:rPr>
          <w:spacing w:val="80"/>
          <w:vertAlign w:val="baseline"/>
        </w:rPr>
        <w:t> </w:t>
      </w:r>
      <w:r>
        <w:rPr>
          <w:vertAlign w:val="baseline"/>
        </w:rPr>
        <w:t>life,</w:t>
      </w:r>
      <w:r>
        <w:rPr>
          <w:spacing w:val="80"/>
          <w:vertAlign w:val="baseline"/>
        </w:rPr>
        <w:t> </w:t>
      </w:r>
      <w:r>
        <w:rPr>
          <w:vertAlign w:val="baseline"/>
        </w:rPr>
        <w:t>it</w:t>
      </w:r>
      <w:r>
        <w:rPr>
          <w:spacing w:val="80"/>
          <w:vertAlign w:val="baseline"/>
        </w:rPr>
        <w:t> </w:t>
      </w:r>
      <w:r>
        <w:rPr>
          <w:vertAlign w:val="baseline"/>
        </w:rPr>
        <w:t>is</w:t>
      </w:r>
      <w:r>
        <w:rPr>
          <w:spacing w:val="80"/>
          <w:vertAlign w:val="baseline"/>
        </w:rPr>
        <w:t> </w:t>
      </w:r>
      <w:r>
        <w:rPr>
          <w:vertAlign w:val="baseline"/>
        </w:rPr>
        <w:t>logical</w:t>
      </w:r>
      <w:r>
        <w:rPr>
          <w:spacing w:val="80"/>
          <w:vertAlign w:val="baseline"/>
        </w:rPr>
        <w:t> </w:t>
      </w:r>
      <w:r>
        <w:rPr>
          <w:vertAlign w:val="baseline"/>
        </w:rPr>
        <w:t>to</w:t>
      </w:r>
      <w:r>
        <w:rPr>
          <w:spacing w:val="80"/>
          <w:vertAlign w:val="baseline"/>
        </w:rPr>
        <w:t> </w:t>
      </w:r>
      <w:r>
        <w:rPr>
          <w:vertAlign w:val="baseline"/>
        </w:rPr>
        <w:t>conclude</w:t>
      </w:r>
      <w:r>
        <w:rPr>
          <w:spacing w:val="80"/>
          <w:vertAlign w:val="baseline"/>
        </w:rPr>
        <w:t> </w:t>
      </w:r>
      <w:r>
        <w:rPr>
          <w:vertAlign w:val="baseline"/>
        </w:rPr>
        <w:t>that</w:t>
      </w:r>
      <w:r>
        <w:rPr>
          <w:spacing w:val="80"/>
          <w:vertAlign w:val="baseline"/>
        </w:rPr>
        <w:t> </w:t>
      </w:r>
      <w:r>
        <w:rPr>
          <w:vertAlign w:val="baseline"/>
        </w:rPr>
        <w:t>the</w:t>
      </w:r>
      <w:r>
        <w:rPr>
          <w:spacing w:val="40"/>
          <w:vertAlign w:val="baseline"/>
        </w:rPr>
        <w:t> </w:t>
      </w:r>
      <w:r>
        <w:rPr>
          <w:vertAlign w:val="baseline"/>
        </w:rPr>
        <w:t>postmenopausal risk of coronary clinical events is influenced by the degree of coronary artery atherosclerosis already present at the time of menopause. Women with POI (older terminology is “premature or primary ovarian failure, or POF”) are at increased risk for CVD.</w:t>
      </w:r>
      <w:r>
        <w:rPr>
          <w:vertAlign w:val="superscript"/>
        </w:rPr>
        <w:t>435</w:t>
      </w:r>
      <w:r>
        <w:rPr>
          <w:vertAlign w:val="baseline"/>
        </w:rPr>
        <w:t> In other words, there is</w:t>
      </w:r>
      <w:r>
        <w:rPr>
          <w:spacing w:val="80"/>
          <w:vertAlign w:val="baseline"/>
        </w:rPr>
        <w:t> </w:t>
      </w:r>
      <w:r>
        <w:rPr>
          <w:spacing w:val="-6"/>
          <w:vertAlign w:val="baseline"/>
        </w:rPr>
        <w:t>an</w:t>
      </w:r>
      <w:r>
        <w:rPr>
          <w:vertAlign w:val="baseline"/>
        </w:rPr>
        <w:tab/>
      </w:r>
      <w:r>
        <w:rPr>
          <w:spacing w:val="-2"/>
          <w:vertAlign w:val="baseline"/>
        </w:rPr>
        <w:t>inverse</w:t>
      </w:r>
      <w:r>
        <w:rPr>
          <w:vertAlign w:val="baseline"/>
        </w:rPr>
        <w:tab/>
        <w:tab/>
      </w:r>
      <w:r>
        <w:rPr>
          <w:spacing w:val="-2"/>
          <w:vertAlign w:val="baseline"/>
        </w:rPr>
        <w:t>relationship</w:t>
      </w:r>
      <w:r>
        <w:rPr>
          <w:vertAlign w:val="baseline"/>
        </w:rPr>
        <w:tab/>
        <w:tab/>
      </w:r>
      <w:r>
        <w:rPr>
          <w:spacing w:val="-2"/>
          <w:vertAlign w:val="baseline"/>
        </w:rPr>
        <w:t>between</w:t>
      </w:r>
      <w:r>
        <w:rPr>
          <w:vertAlign w:val="baseline"/>
        </w:rPr>
        <w:tab/>
      </w:r>
      <w:r>
        <w:rPr>
          <w:spacing w:val="-4"/>
          <w:vertAlign w:val="baseline"/>
        </w:rPr>
        <w:t>the</w:t>
      </w:r>
      <w:r>
        <w:rPr>
          <w:vertAlign w:val="baseline"/>
        </w:rPr>
        <w:tab/>
      </w:r>
      <w:r>
        <w:rPr>
          <w:spacing w:val="-4"/>
          <w:vertAlign w:val="baseline"/>
        </w:rPr>
        <w:t>risk</w:t>
      </w:r>
      <w:r>
        <w:rPr>
          <w:vertAlign w:val="baseline"/>
        </w:rPr>
        <w:tab/>
      </w:r>
      <w:r>
        <w:rPr>
          <w:spacing w:val="-6"/>
          <w:vertAlign w:val="baseline"/>
        </w:rPr>
        <w:t>of</w:t>
      </w:r>
      <w:r>
        <w:rPr>
          <w:vertAlign w:val="baseline"/>
        </w:rPr>
        <w:tab/>
        <w:tab/>
      </w:r>
      <w:r>
        <w:rPr>
          <w:spacing w:val="-4"/>
          <w:vertAlign w:val="baseline"/>
        </w:rPr>
        <w:t>CVD</w:t>
      </w:r>
      <w:r>
        <w:rPr>
          <w:vertAlign w:val="baseline"/>
        </w:rPr>
        <w:tab/>
        <w:t>and</w:t>
      </w:r>
      <w:r>
        <w:rPr>
          <w:spacing w:val="80"/>
          <w:vertAlign w:val="baseline"/>
        </w:rPr>
        <w:t> </w:t>
      </w:r>
      <w:r>
        <w:rPr>
          <w:vertAlign w:val="baseline"/>
        </w:rPr>
        <w:t>the</w:t>
      </w:r>
      <w:r>
        <w:rPr>
          <w:spacing w:val="80"/>
          <w:vertAlign w:val="baseline"/>
        </w:rPr>
        <w:t> </w:t>
      </w:r>
      <w:r>
        <w:rPr>
          <w:vertAlign w:val="baseline"/>
        </w:rPr>
        <w:t>age</w:t>
      </w:r>
      <w:r>
        <w:rPr>
          <w:spacing w:val="80"/>
          <w:vertAlign w:val="baseline"/>
        </w:rPr>
        <w:t> </w:t>
      </w:r>
      <w:r>
        <w:rPr>
          <w:vertAlign w:val="baseline"/>
        </w:rPr>
        <w:t>of menopause.</w:t>
      </w:r>
      <w:r>
        <w:rPr>
          <w:vertAlign w:val="superscript"/>
        </w:rPr>
        <w:t>436</w:t>
      </w:r>
      <w:r>
        <w:rPr>
          <w:spacing w:val="40"/>
          <w:vertAlign w:val="baseline"/>
        </w:rPr>
        <w:t> </w:t>
      </w:r>
      <w:r>
        <w:rPr>
          <w:vertAlign w:val="baseline"/>
        </w:rPr>
        <w:t>Endothelial</w:t>
      </w:r>
      <w:r>
        <w:rPr>
          <w:spacing w:val="40"/>
          <w:vertAlign w:val="baseline"/>
        </w:rPr>
        <w:t> </w:t>
      </w:r>
      <w:r>
        <w:rPr>
          <w:vertAlign w:val="baseline"/>
        </w:rPr>
        <w:t>function</w:t>
      </w:r>
      <w:r>
        <w:rPr>
          <w:spacing w:val="40"/>
          <w:vertAlign w:val="baseline"/>
        </w:rPr>
        <w:t> </w:t>
      </w:r>
      <w:r>
        <w:rPr>
          <w:vertAlign w:val="baseline"/>
        </w:rPr>
        <w:t>in</w:t>
      </w:r>
      <w:r>
        <w:rPr>
          <w:spacing w:val="40"/>
          <w:vertAlign w:val="baseline"/>
        </w:rPr>
        <w:t> </w:t>
      </w:r>
      <w:r>
        <w:rPr>
          <w:vertAlign w:val="baseline"/>
        </w:rPr>
        <w:t>women</w:t>
      </w:r>
      <w:r>
        <w:rPr>
          <w:spacing w:val="40"/>
          <w:vertAlign w:val="baseline"/>
        </w:rPr>
        <w:t> </w:t>
      </w:r>
      <w:r>
        <w:rPr>
          <w:vertAlign w:val="baseline"/>
        </w:rPr>
        <w:t>with</w:t>
      </w:r>
      <w:r>
        <w:rPr>
          <w:spacing w:val="40"/>
          <w:vertAlign w:val="baseline"/>
        </w:rPr>
        <w:t> </w:t>
      </w:r>
      <w:r>
        <w:rPr>
          <w:vertAlign w:val="baseline"/>
        </w:rPr>
        <w:t>POI</w:t>
      </w:r>
      <w:r>
        <w:rPr>
          <w:spacing w:val="40"/>
          <w:vertAlign w:val="baseline"/>
        </w:rPr>
        <w:t> </w:t>
      </w:r>
      <w:r>
        <w:rPr>
          <w:vertAlign w:val="baseline"/>
        </w:rPr>
        <w:t>is</w:t>
      </w:r>
      <w:r>
        <w:rPr>
          <w:spacing w:val="40"/>
          <w:vertAlign w:val="baseline"/>
        </w:rPr>
        <w:t> </w:t>
      </w:r>
      <w:r>
        <w:rPr>
          <w:vertAlign w:val="baseline"/>
        </w:rPr>
        <w:t>impaired,</w:t>
      </w:r>
      <w:r>
        <w:rPr>
          <w:spacing w:val="40"/>
          <w:vertAlign w:val="baseline"/>
        </w:rPr>
        <w:t> </w:t>
      </w:r>
      <w:r>
        <w:rPr>
          <w:vertAlign w:val="baseline"/>
        </w:rPr>
        <w:t>as</w:t>
      </w:r>
      <w:r>
        <w:rPr>
          <w:spacing w:val="80"/>
          <w:vertAlign w:val="baseline"/>
        </w:rPr>
        <w:t> </w:t>
      </w:r>
      <w:r>
        <w:rPr>
          <w:vertAlign w:val="baseline"/>
        </w:rPr>
        <w:t>measured</w:t>
      </w:r>
      <w:r>
        <w:rPr>
          <w:spacing w:val="53"/>
          <w:vertAlign w:val="baseline"/>
        </w:rPr>
        <w:t> </w:t>
      </w:r>
      <w:r>
        <w:rPr>
          <w:vertAlign w:val="baseline"/>
        </w:rPr>
        <w:t>by</w:t>
      </w:r>
      <w:r>
        <w:rPr>
          <w:spacing w:val="53"/>
          <w:vertAlign w:val="baseline"/>
        </w:rPr>
        <w:t> </w:t>
      </w:r>
      <w:r>
        <w:rPr>
          <w:vertAlign w:val="baseline"/>
        </w:rPr>
        <w:t>dilation</w:t>
      </w:r>
      <w:r>
        <w:rPr>
          <w:spacing w:val="54"/>
          <w:vertAlign w:val="baseline"/>
        </w:rPr>
        <w:t> </w:t>
      </w:r>
      <w:r>
        <w:rPr>
          <w:vertAlign w:val="baseline"/>
        </w:rPr>
        <w:t>of</w:t>
      </w:r>
      <w:r>
        <w:rPr>
          <w:spacing w:val="53"/>
          <w:vertAlign w:val="baseline"/>
        </w:rPr>
        <w:t> </w:t>
      </w:r>
      <w:r>
        <w:rPr>
          <w:vertAlign w:val="baseline"/>
        </w:rPr>
        <w:t>the</w:t>
      </w:r>
      <w:r>
        <w:rPr>
          <w:spacing w:val="53"/>
          <w:vertAlign w:val="baseline"/>
        </w:rPr>
        <w:t> </w:t>
      </w:r>
      <w:r>
        <w:rPr>
          <w:vertAlign w:val="baseline"/>
        </w:rPr>
        <w:t>brachial</w:t>
      </w:r>
      <w:r>
        <w:rPr>
          <w:spacing w:val="54"/>
          <w:vertAlign w:val="baseline"/>
        </w:rPr>
        <w:t> </w:t>
      </w:r>
      <w:r>
        <w:rPr>
          <w:vertAlign w:val="baseline"/>
        </w:rPr>
        <w:t>artery</w:t>
      </w:r>
      <w:r>
        <w:rPr>
          <w:spacing w:val="53"/>
          <w:vertAlign w:val="baseline"/>
        </w:rPr>
        <w:t> </w:t>
      </w:r>
      <w:r>
        <w:rPr>
          <w:vertAlign w:val="baseline"/>
        </w:rPr>
        <w:t>in</w:t>
      </w:r>
      <w:r>
        <w:rPr>
          <w:spacing w:val="53"/>
          <w:vertAlign w:val="baseline"/>
        </w:rPr>
        <w:t> </w:t>
      </w:r>
      <w:r>
        <w:rPr>
          <w:vertAlign w:val="baseline"/>
        </w:rPr>
        <w:t>response</w:t>
      </w:r>
      <w:r>
        <w:rPr>
          <w:spacing w:val="54"/>
          <w:vertAlign w:val="baseline"/>
        </w:rPr>
        <w:t> </w:t>
      </w:r>
      <w:r>
        <w:rPr>
          <w:vertAlign w:val="baseline"/>
        </w:rPr>
        <w:t>to</w:t>
      </w:r>
      <w:r>
        <w:rPr>
          <w:spacing w:val="53"/>
          <w:vertAlign w:val="baseline"/>
        </w:rPr>
        <w:t> </w:t>
      </w:r>
      <w:r>
        <w:rPr>
          <w:vertAlign w:val="baseline"/>
        </w:rPr>
        <w:t>blood</w:t>
      </w:r>
      <w:r>
        <w:rPr>
          <w:spacing w:val="53"/>
          <w:vertAlign w:val="baseline"/>
        </w:rPr>
        <w:t> </w:t>
      </w:r>
      <w:r>
        <w:rPr>
          <w:vertAlign w:val="baseline"/>
        </w:rPr>
        <w:t>flow,</w:t>
      </w:r>
      <w:r>
        <w:rPr>
          <w:spacing w:val="54"/>
          <w:vertAlign w:val="baseline"/>
        </w:rPr>
        <w:t> </w:t>
      </w:r>
      <w:r>
        <w:rPr>
          <w:spacing w:val="-10"/>
          <w:vertAlign w:val="baseline"/>
        </w:rPr>
        <w:t>a</w:t>
      </w:r>
    </w:p>
    <w:p>
      <w:pPr>
        <w:pStyle w:val="BodyText"/>
        <w:spacing w:after="0" w:line="249" w:lineRule="auto"/>
        <w:jc w:val="right"/>
        <w:sectPr>
          <w:pgSz w:w="12240" w:h="15840"/>
          <w:pgMar w:top="1380" w:bottom="280" w:left="1440" w:right="1440"/>
        </w:sectPr>
      </w:pPr>
    </w:p>
    <w:p>
      <w:pPr>
        <w:pStyle w:val="BodyText"/>
        <w:spacing w:line="249" w:lineRule="auto"/>
        <w:ind w:right="100"/>
      </w:pPr>
      <w:r>
        <w:rPr/>
        <w:t>response known to be mediated by estrogen-modulated endothelial nitric oxide.</w:t>
      </w:r>
      <w:r>
        <w:rPr>
          <w:vertAlign w:val="superscript"/>
        </w:rPr>
        <w:t>437,438</w:t>
      </w:r>
      <w:r>
        <w:rPr>
          <w:vertAlign w:val="baseline"/>
        </w:rPr>
        <w:t> This association between endothelial dysfunction </w:t>
      </w:r>
      <w:r>
        <w:rPr>
          <w:vertAlign w:val="baseline"/>
        </w:rPr>
        <w:t>and hypoestrogenemia is reinforced by the observation that endothelial dysfunction in women with POI was improved by hormone therapy.</w:t>
      </w:r>
      <w:r>
        <w:rPr>
          <w:vertAlign w:val="superscript"/>
        </w:rPr>
        <w:t>437</w:t>
      </w:r>
    </w:p>
    <w:p>
      <w:pPr>
        <w:pStyle w:val="BodyText"/>
        <w:spacing w:line="249" w:lineRule="auto" w:before="5"/>
        <w:ind w:right="99" w:firstLine="450"/>
      </w:pPr>
      <w:r>
        <w:rPr/>
        <w:t>An important contribution to the gender difference in CVD prevalence and age of onset is the favorable effect of estrogen on important endothelial events. Vasodilatory and antithrombotic activities can be attributed to endothelial production of nitric oxide and prostacyclin, a process favorably influenced by estrogen. Hypercholesterolemia adversely affects this important endothelial process, and estrogen protects this </w:t>
      </w:r>
      <w:r>
        <w:rPr/>
        <w:t>important endothelial function in the presence of hypercholesterolemia.</w:t>
      </w:r>
      <w:r>
        <w:rPr>
          <w:vertAlign w:val="superscript"/>
        </w:rPr>
        <w:t>439</w:t>
      </w:r>
      <w:r>
        <w:rPr>
          <w:vertAlign w:val="baseline"/>
        </w:rPr>
        <w:t> Estrogen inhibits the oxidation of LDL and also protects against the toxic effects of oxidized LDL on the endothelium. Women in the SWAN study who complained of hot flushing had more evidence of subclinical CVD, such as aortic calcification, compared to those without hot flushes.</w:t>
      </w:r>
      <w:r>
        <w:rPr>
          <w:vertAlign w:val="superscript"/>
        </w:rPr>
        <w:t>440</w:t>
      </w:r>
    </w:p>
    <w:p>
      <w:pPr>
        <w:pStyle w:val="BodyText"/>
        <w:spacing w:line="249" w:lineRule="auto" w:before="13"/>
        <w:ind w:right="99" w:firstLine="450"/>
      </w:pPr>
      <w:r>
        <w:rPr/>
        <w:t>A Chinese comparison study concluded that Chinese men and </w:t>
      </w:r>
      <w:r>
        <w:rPr/>
        <w:t>women with angiographically determined coronary artery disease differ in the circulating</w:t>
      </w:r>
      <w:r>
        <w:rPr>
          <w:spacing w:val="-3"/>
        </w:rPr>
        <w:t> </w:t>
      </w:r>
      <w:r>
        <w:rPr/>
        <w:t>sex</w:t>
      </w:r>
      <w:r>
        <w:rPr>
          <w:spacing w:val="-3"/>
        </w:rPr>
        <w:t> </w:t>
      </w:r>
      <w:r>
        <w:rPr/>
        <w:t>steroid</w:t>
      </w:r>
      <w:r>
        <w:rPr>
          <w:spacing w:val="-3"/>
        </w:rPr>
        <w:t> </w:t>
      </w:r>
      <w:r>
        <w:rPr/>
        <w:t>hormone</w:t>
      </w:r>
      <w:r>
        <w:rPr>
          <w:spacing w:val="-3"/>
        </w:rPr>
        <w:t> </w:t>
      </w:r>
      <w:r>
        <w:rPr/>
        <w:t>milieu,</w:t>
      </w:r>
      <w:r>
        <w:rPr>
          <w:spacing w:val="-3"/>
        </w:rPr>
        <w:t> </w:t>
      </w:r>
      <w:r>
        <w:rPr/>
        <w:t>compared</w:t>
      </w:r>
      <w:r>
        <w:rPr>
          <w:spacing w:val="-3"/>
        </w:rPr>
        <w:t> </w:t>
      </w:r>
      <w:r>
        <w:rPr/>
        <w:t>with</w:t>
      </w:r>
      <w:r>
        <w:rPr>
          <w:spacing w:val="-3"/>
        </w:rPr>
        <w:t> </w:t>
      </w:r>
      <w:r>
        <w:rPr/>
        <w:t>age-matched</w:t>
      </w:r>
      <w:r>
        <w:rPr>
          <w:spacing w:val="-3"/>
        </w:rPr>
        <w:t> </w:t>
      </w:r>
      <w:r>
        <w:rPr/>
        <w:t>healthy individuals.</w:t>
      </w:r>
      <w:r>
        <w:rPr>
          <w:vertAlign w:val="superscript"/>
        </w:rPr>
        <w:t>441</w:t>
      </w:r>
      <w:r>
        <w:rPr>
          <w:vertAlign w:val="baseline"/>
        </w:rPr>
        <w:t> Straightforward reasoning has led investigators to connect</w:t>
      </w:r>
      <w:r>
        <w:rPr>
          <w:spacing w:val="40"/>
          <w:vertAlign w:val="baseline"/>
        </w:rPr>
        <w:t> </w:t>
      </w:r>
      <w:r>
        <w:rPr>
          <w:vertAlign w:val="baseline"/>
        </w:rPr>
        <w:t>the</w:t>
      </w:r>
      <w:r>
        <w:rPr>
          <w:spacing w:val="-3"/>
          <w:vertAlign w:val="baseline"/>
        </w:rPr>
        <w:t> </w:t>
      </w:r>
      <w:r>
        <w:rPr>
          <w:vertAlign w:val="baseline"/>
        </w:rPr>
        <w:t>different</w:t>
      </w:r>
      <w:r>
        <w:rPr>
          <w:spacing w:val="-3"/>
          <w:vertAlign w:val="baseline"/>
        </w:rPr>
        <w:t> </w:t>
      </w:r>
      <w:r>
        <w:rPr>
          <w:vertAlign w:val="baseline"/>
        </w:rPr>
        <w:t>prevalence</w:t>
      </w:r>
      <w:r>
        <w:rPr>
          <w:spacing w:val="-3"/>
          <w:vertAlign w:val="baseline"/>
        </w:rPr>
        <w:t> </w:t>
      </w:r>
      <w:r>
        <w:rPr>
          <w:vertAlign w:val="baseline"/>
        </w:rPr>
        <w:t>of</w:t>
      </w:r>
      <w:r>
        <w:rPr>
          <w:spacing w:val="-3"/>
          <w:vertAlign w:val="baseline"/>
        </w:rPr>
        <w:t> </w:t>
      </w:r>
      <w:r>
        <w:rPr>
          <w:vertAlign w:val="baseline"/>
        </w:rPr>
        <w:t>coronary</w:t>
      </w:r>
      <w:r>
        <w:rPr>
          <w:spacing w:val="-3"/>
          <w:vertAlign w:val="baseline"/>
        </w:rPr>
        <w:t> </w:t>
      </w:r>
      <w:r>
        <w:rPr>
          <w:vertAlign w:val="baseline"/>
        </w:rPr>
        <w:t>artery</w:t>
      </w:r>
      <w:r>
        <w:rPr>
          <w:spacing w:val="-3"/>
          <w:vertAlign w:val="baseline"/>
        </w:rPr>
        <w:t> </w:t>
      </w:r>
      <w:r>
        <w:rPr>
          <w:vertAlign w:val="baseline"/>
        </w:rPr>
        <w:t>disease</w:t>
      </w:r>
      <w:r>
        <w:rPr>
          <w:spacing w:val="-3"/>
          <w:vertAlign w:val="baseline"/>
        </w:rPr>
        <w:t> </w:t>
      </w:r>
      <w:r>
        <w:rPr>
          <w:vertAlign w:val="baseline"/>
        </w:rPr>
        <w:t>in</w:t>
      </w:r>
      <w:r>
        <w:rPr>
          <w:spacing w:val="-3"/>
          <w:vertAlign w:val="baseline"/>
        </w:rPr>
        <w:t> </w:t>
      </w:r>
      <w:r>
        <w:rPr>
          <w:vertAlign w:val="baseline"/>
        </w:rPr>
        <w:t>men</w:t>
      </w:r>
      <w:r>
        <w:rPr>
          <w:spacing w:val="-3"/>
          <w:vertAlign w:val="baseline"/>
        </w:rPr>
        <w:t> </w:t>
      </w:r>
      <w:r>
        <w:rPr>
          <w:vertAlign w:val="baseline"/>
        </w:rPr>
        <w:t>and</w:t>
      </w:r>
      <w:r>
        <w:rPr>
          <w:spacing w:val="-3"/>
          <w:vertAlign w:val="baseline"/>
        </w:rPr>
        <w:t> </w:t>
      </w:r>
      <w:r>
        <w:rPr>
          <w:vertAlign w:val="baseline"/>
        </w:rPr>
        <w:t>women</w:t>
      </w:r>
      <w:r>
        <w:rPr>
          <w:spacing w:val="-3"/>
          <w:vertAlign w:val="baseline"/>
        </w:rPr>
        <w:t> </w:t>
      </w:r>
      <w:r>
        <w:rPr>
          <w:vertAlign w:val="baseline"/>
        </w:rPr>
        <w:t>to</w:t>
      </w:r>
      <w:r>
        <w:rPr>
          <w:spacing w:val="-3"/>
          <w:vertAlign w:val="baseline"/>
        </w:rPr>
        <w:t> </w:t>
      </w:r>
      <w:r>
        <w:rPr>
          <w:vertAlign w:val="baseline"/>
        </w:rPr>
        <w:t>the obvious differences in circulating sex steroids determined by the testicles and ovaries. The newly appreciated importance of estrogen in the premenopausal</w:t>
      </w:r>
      <w:r>
        <w:rPr>
          <w:spacing w:val="-1"/>
          <w:vertAlign w:val="baseline"/>
        </w:rPr>
        <w:t> </w:t>
      </w:r>
      <w:r>
        <w:rPr>
          <w:vertAlign w:val="baseline"/>
        </w:rPr>
        <w:t>years</w:t>
      </w:r>
      <w:r>
        <w:rPr>
          <w:spacing w:val="-1"/>
          <w:vertAlign w:val="baseline"/>
        </w:rPr>
        <w:t> </w:t>
      </w:r>
      <w:r>
        <w:rPr>
          <w:vertAlign w:val="baseline"/>
        </w:rPr>
        <w:t>has</w:t>
      </w:r>
      <w:r>
        <w:rPr>
          <w:spacing w:val="-1"/>
          <w:vertAlign w:val="baseline"/>
        </w:rPr>
        <w:t> </w:t>
      </w:r>
      <w:r>
        <w:rPr>
          <w:vertAlign w:val="baseline"/>
        </w:rPr>
        <w:t>added</w:t>
      </w:r>
      <w:r>
        <w:rPr>
          <w:spacing w:val="-1"/>
          <w:vertAlign w:val="baseline"/>
        </w:rPr>
        <w:t> </w:t>
      </w:r>
      <w:r>
        <w:rPr>
          <w:vertAlign w:val="baseline"/>
        </w:rPr>
        <w:t>strength</w:t>
      </w:r>
      <w:r>
        <w:rPr>
          <w:spacing w:val="-1"/>
          <w:vertAlign w:val="baseline"/>
        </w:rPr>
        <w:t> </w:t>
      </w:r>
      <w:r>
        <w:rPr>
          <w:vertAlign w:val="baseline"/>
        </w:rPr>
        <w:t>to</w:t>
      </w:r>
      <w:r>
        <w:rPr>
          <w:spacing w:val="-1"/>
          <w:vertAlign w:val="baseline"/>
        </w:rPr>
        <w:t> </w:t>
      </w:r>
      <w:r>
        <w:rPr>
          <w:vertAlign w:val="baseline"/>
        </w:rPr>
        <w:t>this</w:t>
      </w:r>
      <w:r>
        <w:rPr>
          <w:spacing w:val="-1"/>
          <w:vertAlign w:val="baseline"/>
        </w:rPr>
        <w:t> </w:t>
      </w:r>
      <w:r>
        <w:rPr>
          <w:vertAlign w:val="baseline"/>
        </w:rPr>
        <w:t>connection.</w:t>
      </w:r>
      <w:r>
        <w:rPr>
          <w:spacing w:val="-1"/>
          <w:vertAlign w:val="baseline"/>
        </w:rPr>
        <w:t> </w:t>
      </w:r>
      <w:r>
        <w:rPr>
          <w:vertAlign w:val="baseline"/>
        </w:rPr>
        <w:t>For</w:t>
      </w:r>
      <w:r>
        <w:rPr>
          <w:spacing w:val="-2"/>
          <w:vertAlign w:val="baseline"/>
        </w:rPr>
        <w:t> </w:t>
      </w:r>
      <w:r>
        <w:rPr>
          <w:vertAlign w:val="baseline"/>
        </w:rPr>
        <w:t>many</w:t>
      </w:r>
      <w:r>
        <w:rPr>
          <w:spacing w:val="-2"/>
          <w:vertAlign w:val="baseline"/>
        </w:rPr>
        <w:t> </w:t>
      </w:r>
      <w:r>
        <w:rPr>
          <w:vertAlign w:val="baseline"/>
        </w:rPr>
        <w:t>years, it has generally been believed that higher estrogen exposure in women protects against coronary artery disease and that the difference in coronary artery disease prevalence between men and women diminishes after menopause because of the loss of estrogen. At the heart of the matter is the gonadal difference between men and women.</w:t>
      </w:r>
    </w:p>
    <w:p>
      <w:pPr>
        <w:pStyle w:val="BodyText"/>
        <w:spacing w:line="249" w:lineRule="auto" w:before="16"/>
        <w:ind w:right="99" w:firstLine="450"/>
      </w:pPr>
      <w:r>
        <w:rPr/>
        <w:t>Acute coronary events in premenopausal women occur more frequently when estrogen levels are the lowest during the menstrual cycle.</w:t>
      </w:r>
      <w:r>
        <w:rPr>
          <w:vertAlign w:val="superscript"/>
        </w:rPr>
        <w:t>442</w:t>
      </w:r>
      <w:r>
        <w:rPr>
          <w:vertAlign w:val="baseline"/>
        </w:rPr>
        <w:t> In the national SWAN study, cardiovascular risk factors were more favorable in women with higher levels of estrogen and less favorable in women with longer menstrual cycles.</w:t>
      </w:r>
      <w:r>
        <w:rPr>
          <w:vertAlign w:val="superscript"/>
        </w:rPr>
        <w:t>443</w:t>
      </w:r>
      <w:r>
        <w:rPr>
          <w:vertAlign w:val="baseline"/>
        </w:rPr>
        <w:t> This was supported in the WISE </w:t>
      </w:r>
      <w:r>
        <w:rPr>
          <w:vertAlign w:val="baseline"/>
        </w:rPr>
        <w:t>(Women’s Ischemia Syndrome Evaluation), a study of premenopausal women undergoing coronary angiography for suspected myocardial infarction, where</w:t>
      </w:r>
      <w:r>
        <w:rPr>
          <w:spacing w:val="5"/>
          <w:vertAlign w:val="baseline"/>
        </w:rPr>
        <w:t> </w:t>
      </w:r>
      <w:r>
        <w:rPr>
          <w:vertAlign w:val="baseline"/>
        </w:rPr>
        <w:t>coronary</w:t>
      </w:r>
      <w:r>
        <w:rPr>
          <w:spacing w:val="5"/>
          <w:vertAlign w:val="baseline"/>
        </w:rPr>
        <w:t> </w:t>
      </w:r>
      <w:r>
        <w:rPr>
          <w:vertAlign w:val="baseline"/>
        </w:rPr>
        <w:t>artery</w:t>
      </w:r>
      <w:r>
        <w:rPr>
          <w:spacing w:val="5"/>
          <w:vertAlign w:val="baseline"/>
        </w:rPr>
        <w:t> </w:t>
      </w:r>
      <w:r>
        <w:rPr>
          <w:vertAlign w:val="baseline"/>
        </w:rPr>
        <w:t>disease</w:t>
      </w:r>
      <w:r>
        <w:rPr>
          <w:spacing w:val="5"/>
          <w:vertAlign w:val="baseline"/>
        </w:rPr>
        <w:t> </w:t>
      </w:r>
      <w:r>
        <w:rPr>
          <w:vertAlign w:val="baseline"/>
        </w:rPr>
        <w:t>was</w:t>
      </w:r>
      <w:r>
        <w:rPr>
          <w:spacing w:val="5"/>
          <w:vertAlign w:val="baseline"/>
        </w:rPr>
        <w:t> </w:t>
      </w:r>
      <w:r>
        <w:rPr>
          <w:vertAlign w:val="baseline"/>
        </w:rPr>
        <w:t>more</w:t>
      </w:r>
      <w:r>
        <w:rPr>
          <w:spacing w:val="5"/>
          <w:vertAlign w:val="baseline"/>
        </w:rPr>
        <w:t> </w:t>
      </w:r>
      <w:r>
        <w:rPr>
          <w:vertAlign w:val="baseline"/>
        </w:rPr>
        <w:t>prevalent</w:t>
      </w:r>
      <w:r>
        <w:rPr>
          <w:spacing w:val="5"/>
          <w:vertAlign w:val="baseline"/>
        </w:rPr>
        <w:t> </w:t>
      </w:r>
      <w:r>
        <w:rPr>
          <w:vertAlign w:val="baseline"/>
        </w:rPr>
        <w:t>in</w:t>
      </w:r>
      <w:r>
        <w:rPr>
          <w:spacing w:val="5"/>
          <w:vertAlign w:val="baseline"/>
        </w:rPr>
        <w:t> </w:t>
      </w:r>
      <w:r>
        <w:rPr>
          <w:vertAlign w:val="baseline"/>
        </w:rPr>
        <w:t>those</w:t>
      </w:r>
      <w:r>
        <w:rPr>
          <w:spacing w:val="5"/>
          <w:vertAlign w:val="baseline"/>
        </w:rPr>
        <w:t> </w:t>
      </w:r>
      <w:r>
        <w:rPr>
          <w:vertAlign w:val="baseline"/>
        </w:rPr>
        <w:t>women</w:t>
      </w:r>
      <w:r>
        <w:rPr>
          <w:spacing w:val="5"/>
          <w:vertAlign w:val="baseline"/>
        </w:rPr>
        <w:t> </w:t>
      </w:r>
      <w:r>
        <w:rPr>
          <w:vertAlign w:val="baseline"/>
        </w:rPr>
        <w:t>who</w:t>
      </w:r>
      <w:r>
        <w:rPr>
          <w:spacing w:val="5"/>
          <w:vertAlign w:val="baseline"/>
        </w:rPr>
        <w:t> </w:t>
      </w:r>
      <w:r>
        <w:rPr>
          <w:spacing w:val="-5"/>
          <w:vertAlign w:val="baseline"/>
        </w:rPr>
        <w:t>had</w:t>
      </w:r>
    </w:p>
    <w:p>
      <w:pPr>
        <w:pStyle w:val="BodyText"/>
        <w:spacing w:after="0" w:line="249" w:lineRule="auto"/>
        <w:sectPr>
          <w:pgSz w:w="12240" w:h="15840"/>
          <w:pgMar w:top="1380" w:bottom="280" w:left="1440" w:right="1440"/>
        </w:sectPr>
      </w:pPr>
    </w:p>
    <w:p>
      <w:pPr>
        <w:pStyle w:val="BodyText"/>
        <w:spacing w:line="249" w:lineRule="auto"/>
        <w:ind w:right="97"/>
      </w:pPr>
      <w:r>
        <w:rPr/>
        <w:t>low estrogen levels because of hypothalamic suppression.</w:t>
      </w:r>
      <w:r>
        <w:rPr>
          <w:vertAlign w:val="superscript"/>
        </w:rPr>
        <w:t>444</w:t>
      </w:r>
      <w:r>
        <w:rPr>
          <w:vertAlign w:val="baseline"/>
        </w:rPr>
        <w:t> These </w:t>
      </w:r>
      <w:r>
        <w:rPr>
          <w:vertAlign w:val="baseline"/>
        </w:rPr>
        <w:t>findings are similar to the pioneering studies in monkeys that demonstrated acceleration of atherosclerosis in animals with low estrogen because of stress-induced hypothalamic suppression, an effect that could be prevented by oral contraceptive treatment.</w:t>
      </w:r>
      <w:r>
        <w:rPr>
          <w:vertAlign w:val="superscript"/>
        </w:rPr>
        <w:t>445-447</w:t>
      </w:r>
      <w:r>
        <w:rPr>
          <w:vertAlign w:val="baseline"/>
        </w:rPr>
        <w:t> Postmenopausal women studied with coronary angiography in the WISE study who had used oral contraceptives in the past had less coronary artery disease.</w:t>
      </w:r>
      <w:r>
        <w:rPr>
          <w:vertAlign w:val="superscript"/>
        </w:rPr>
        <w:t>448</w:t>
      </w:r>
      <w:r>
        <w:rPr>
          <w:vertAlign w:val="baseline"/>
        </w:rPr>
        <w:t> Even amenorrheic athletes in good physical condition have demonstrated endothelial dysfunction, a condition that responded favorably to estrogen-containing oral contraceptives, further highlighting the beneficial impact estrogen has on CVD throughout a woman’s life.</w:t>
      </w:r>
      <w:r>
        <w:rPr>
          <w:vertAlign w:val="superscript"/>
        </w:rPr>
        <w:t>449,450</w:t>
      </w:r>
    </w:p>
    <w:p>
      <w:pPr>
        <w:pStyle w:val="BodyText"/>
        <w:spacing w:line="249" w:lineRule="auto" w:before="13"/>
        <w:ind w:right="98" w:firstLine="450"/>
      </w:pPr>
      <w:r>
        <w:rPr/>
        <w:t>A recent secondary analysis of data from the previously mentioned KEEPS looked at the deposition of fat around the heart and risk </w:t>
      </w:r>
      <w:r>
        <w:rPr/>
        <w:t>for coronary artery disease in relation to both use of and route of hormone therapy compared to placebo. Of 727 recently menopausal women enrolled in the KEEPS RCT, 474 (mean age: 52.7 (SD 2.6)) underwent chest computed tomography-based heart fat quantification at baseline and at 48 months; authors compared association between pericardiac and epicardial adipose tissue (PAT) with coronary artery calcification (CAC) score, a primary</w:t>
      </w:r>
      <w:r>
        <w:rPr>
          <w:spacing w:val="-3"/>
        </w:rPr>
        <w:t> </w:t>
      </w:r>
      <w:r>
        <w:rPr/>
        <w:t>endpoint</w:t>
      </w:r>
      <w:r>
        <w:rPr>
          <w:spacing w:val="-3"/>
        </w:rPr>
        <w:t> </w:t>
      </w:r>
      <w:r>
        <w:rPr/>
        <w:t>in</w:t>
      </w:r>
      <w:r>
        <w:rPr>
          <w:spacing w:val="-3"/>
        </w:rPr>
        <w:t> </w:t>
      </w:r>
      <w:r>
        <w:rPr/>
        <w:t>KEEPS.</w:t>
      </w:r>
      <w:r>
        <w:rPr>
          <w:spacing w:val="-4"/>
        </w:rPr>
        <w:t> </w:t>
      </w:r>
      <w:r>
        <w:rPr/>
        <w:t>In</w:t>
      </w:r>
      <w:r>
        <w:rPr>
          <w:spacing w:val="-3"/>
        </w:rPr>
        <w:t> </w:t>
      </w:r>
      <w:r>
        <w:rPr/>
        <w:t>comparison</w:t>
      </w:r>
      <w:r>
        <w:rPr>
          <w:spacing w:val="-3"/>
        </w:rPr>
        <w:t> </w:t>
      </w:r>
      <w:r>
        <w:rPr/>
        <w:t>to</w:t>
      </w:r>
      <w:r>
        <w:rPr>
          <w:spacing w:val="-3"/>
        </w:rPr>
        <w:t> </w:t>
      </w:r>
      <w:r>
        <w:rPr/>
        <w:t>those</w:t>
      </w:r>
      <w:r>
        <w:rPr>
          <w:spacing w:val="-3"/>
        </w:rPr>
        <w:t> </w:t>
      </w:r>
      <w:r>
        <w:rPr/>
        <w:t>randomized</w:t>
      </w:r>
      <w:r>
        <w:rPr>
          <w:spacing w:val="-3"/>
        </w:rPr>
        <w:t> </w:t>
      </w:r>
      <w:r>
        <w:rPr/>
        <w:t>to</w:t>
      </w:r>
      <w:r>
        <w:rPr>
          <w:spacing w:val="-3"/>
        </w:rPr>
        <w:t> </w:t>
      </w:r>
      <w:r>
        <w:rPr/>
        <w:t>placebo, women who received oral CEE over the 48-month duration of KEEPS were significantly less likely to have any increase in PAT (odds ratio was 0.62 [95% CI, 0.40-0.97]; </w:t>
      </w:r>
      <w:r>
        <w:rPr>
          <w:i/>
        </w:rPr>
        <w:t>P </w:t>
      </w:r>
      <w:r>
        <w:rPr/>
        <w:t>= 0.03). Not only was there no evidence of attenuation</w:t>
      </w:r>
      <w:r>
        <w:rPr>
          <w:spacing w:val="-4"/>
        </w:rPr>
        <w:t> </w:t>
      </w:r>
      <w:r>
        <w:rPr/>
        <w:t>in</w:t>
      </w:r>
      <w:r>
        <w:rPr>
          <w:spacing w:val="-4"/>
        </w:rPr>
        <w:t> </w:t>
      </w:r>
      <w:r>
        <w:rPr/>
        <w:t>PAT</w:t>
      </w:r>
      <w:r>
        <w:rPr>
          <w:spacing w:val="-4"/>
        </w:rPr>
        <w:t> </w:t>
      </w:r>
      <w:r>
        <w:rPr/>
        <w:t>accrual</w:t>
      </w:r>
      <w:r>
        <w:rPr>
          <w:spacing w:val="-4"/>
        </w:rPr>
        <w:t> </w:t>
      </w:r>
      <w:r>
        <w:rPr/>
        <w:t>in</w:t>
      </w:r>
      <w:r>
        <w:rPr>
          <w:spacing w:val="-4"/>
        </w:rPr>
        <w:t> </w:t>
      </w:r>
      <w:r>
        <w:rPr/>
        <w:t>women</w:t>
      </w:r>
      <w:r>
        <w:rPr>
          <w:spacing w:val="-4"/>
        </w:rPr>
        <w:t> </w:t>
      </w:r>
      <w:r>
        <w:rPr/>
        <w:t>receiving</w:t>
      </w:r>
      <w:r>
        <w:rPr>
          <w:spacing w:val="-4"/>
        </w:rPr>
        <w:t> </w:t>
      </w:r>
      <w:r>
        <w:rPr/>
        <w:t>transdermal</w:t>
      </w:r>
      <w:r>
        <w:rPr>
          <w:spacing w:val="-4"/>
        </w:rPr>
        <w:t> </w:t>
      </w:r>
      <w:r>
        <w:rPr/>
        <w:t>estrogen,</w:t>
      </w:r>
      <w:r>
        <w:rPr>
          <w:spacing w:val="-4"/>
        </w:rPr>
        <w:t> </w:t>
      </w:r>
      <w:r>
        <w:rPr/>
        <w:t>but</w:t>
      </w:r>
      <w:r>
        <w:rPr>
          <w:spacing w:val="-4"/>
        </w:rPr>
        <w:t> </w:t>
      </w:r>
      <w:r>
        <w:rPr/>
        <w:t>an interaction was also observed between route of hormone therapy and the relationship between changes in PAT and progression in CAC (</w:t>
      </w:r>
      <w:r>
        <w:rPr>
          <w:i/>
        </w:rPr>
        <w:t>P </w:t>
      </w:r>
      <w:r>
        <w:rPr/>
        <w:t>= 0.02) such that increases in PAT were associated with CAC increases only in the transdermal 17β-estradiol group.</w:t>
      </w:r>
      <w:r>
        <w:rPr>
          <w:vertAlign w:val="superscript"/>
        </w:rPr>
        <w:t>451</w:t>
      </w:r>
      <w:r>
        <w:rPr>
          <w:vertAlign w:val="baseline"/>
        </w:rPr>
        <w:t> This same group, in a separate analysis on the KEEPS cohort, also noted that in contrast to transdermal estradiol, use of oral CEE slowed the progression of atherosclerosis as assessed by carotid intima-media thickness (CIMT).</w:t>
      </w:r>
      <w:r>
        <w:rPr>
          <w:vertAlign w:val="superscript"/>
        </w:rPr>
        <w:t>452</w:t>
      </w:r>
      <w:r>
        <w:rPr>
          <w:vertAlign w:val="baseline"/>
        </w:rPr>
        <w:t> However, the authors conclude that more research is required to better understand the mechanism that would explain the observed differential in CIMT progression between the two hormone therapy interventions as it is unclear if the beneficial effect resulted from the route of hormone administration or the type of estrogen formulation (CEE vs 17β estradiol).</w:t>
      </w:r>
    </w:p>
    <w:p>
      <w:pPr>
        <w:pStyle w:val="BodyText"/>
        <w:spacing w:after="0" w:line="249" w:lineRule="auto"/>
        <w:sectPr>
          <w:pgSz w:w="12240" w:h="15840"/>
          <w:pgMar w:top="1380" w:bottom="280" w:left="1440" w:right="1440"/>
        </w:sectPr>
      </w:pPr>
    </w:p>
    <w:p>
      <w:pPr>
        <w:pStyle w:val="BodyText"/>
        <w:spacing w:line="249" w:lineRule="auto"/>
        <w:ind w:right="98" w:firstLine="450"/>
      </w:pPr>
      <w:r>
        <w:rPr/>
        <w:t>Depression is a recognized risk factor for heart disease, but its contribution to premenopausal atherosclerosis is just beginning to be appreciated. Premenopausal monkeys that exhibit depressive </w:t>
      </w:r>
      <w:r>
        <w:rPr/>
        <w:t>behavior (induced by their lower social rank in a colony of animals) develop a more adverse lipid profile and an increasing degree of atherosclerosis when fed atherogenic diets.</w:t>
      </w:r>
      <w:r>
        <w:rPr>
          <w:vertAlign w:val="superscript"/>
        </w:rPr>
        <w:t>453</w:t>
      </w:r>
      <w:r>
        <w:rPr>
          <w:vertAlign w:val="baseline"/>
        </w:rPr>
        <w:t> Premenopausal women with a history of recurrent depression and without known coronary disease are more likely to have coronary and aortic calcification, a marker for early atherosclerosis.</w:t>
      </w:r>
      <w:r>
        <w:rPr>
          <w:vertAlign w:val="superscript"/>
        </w:rPr>
        <w:t>454</w:t>
      </w:r>
      <w:r>
        <w:rPr>
          <w:vertAlign w:val="baseline"/>
        </w:rPr>
        <w:t> The SWAN study found more aortic calcification in Black women with depressive symptoms, although an association between coronary calcification and depression in Black or White women could not be </w:t>
      </w:r>
      <w:r>
        <w:rPr>
          <w:spacing w:val="-2"/>
          <w:vertAlign w:val="baseline"/>
        </w:rPr>
        <w:t>detected.</w:t>
      </w:r>
      <w:r>
        <w:rPr>
          <w:spacing w:val="-2"/>
          <w:vertAlign w:val="superscript"/>
        </w:rPr>
        <w:t>455</w:t>
      </w:r>
    </w:p>
    <w:p>
      <w:pPr>
        <w:spacing w:line="249" w:lineRule="auto" w:before="14"/>
        <w:ind w:left="99" w:right="99" w:firstLine="450"/>
        <w:jc w:val="both"/>
        <w:rPr>
          <w:sz w:val="30"/>
        </w:rPr>
      </w:pPr>
      <w:r>
        <w:rPr>
          <w:sz w:val="30"/>
        </w:rPr>
        <w:t>Thus, hypoestrogenemia in the premenopausal years, whatever </w:t>
      </w:r>
      <w:r>
        <w:rPr>
          <w:sz w:val="30"/>
        </w:rPr>
        <w:t>the cause, can increase the progression of atherosclerosis. This would include suppressed ovarian function associated with stress, depression, or intense athletic activity. The progressively deleterious effects of hypoestrogenemia include endothelial dysfunction, lower levels of HDL cholesterol, an increase in central obesity, and possibly depression. </w:t>
      </w:r>
      <w:r>
        <w:rPr>
          <w:b/>
          <w:sz w:val="30"/>
        </w:rPr>
        <w:t>In monkeys and in women, lipid effects account for only 25% to 30% of the atheroprotective effects of estrogens.</w:t>
      </w:r>
      <w:r>
        <w:rPr>
          <w:sz w:val="30"/>
          <w:vertAlign w:val="superscript"/>
        </w:rPr>
        <w:t>456,457</w:t>
      </w:r>
    </w:p>
    <w:p>
      <w:pPr>
        <w:pStyle w:val="BodyText"/>
        <w:spacing w:line="249" w:lineRule="auto" w:before="10"/>
        <w:ind w:right="99" w:firstLine="450"/>
      </w:pPr>
      <w:r>
        <w:rPr/>
        <w:t>A Chinese comparison study concluded that Chinese men and </w:t>
      </w:r>
      <w:r>
        <w:rPr/>
        <w:t>women with angiographically determined coronary artery disease differ in the circulating sex steroid hormone milieu compared with age-matched healthy individuals.</w:t>
      </w:r>
      <w:r>
        <w:rPr>
          <w:vertAlign w:val="superscript"/>
        </w:rPr>
        <w:t>441</w:t>
      </w:r>
      <w:r>
        <w:rPr>
          <w:vertAlign w:val="baseline"/>
        </w:rPr>
        <w:t> Straightforward reasoning has led investigators to connect</w:t>
      </w:r>
      <w:r>
        <w:rPr>
          <w:spacing w:val="40"/>
          <w:vertAlign w:val="baseline"/>
        </w:rPr>
        <w:t> </w:t>
      </w:r>
      <w:r>
        <w:rPr>
          <w:vertAlign w:val="baseline"/>
        </w:rPr>
        <w:t>the</w:t>
      </w:r>
      <w:r>
        <w:rPr>
          <w:spacing w:val="-3"/>
          <w:vertAlign w:val="baseline"/>
        </w:rPr>
        <w:t> </w:t>
      </w:r>
      <w:r>
        <w:rPr>
          <w:vertAlign w:val="baseline"/>
        </w:rPr>
        <w:t>different</w:t>
      </w:r>
      <w:r>
        <w:rPr>
          <w:spacing w:val="-3"/>
          <w:vertAlign w:val="baseline"/>
        </w:rPr>
        <w:t> </w:t>
      </w:r>
      <w:r>
        <w:rPr>
          <w:vertAlign w:val="baseline"/>
        </w:rPr>
        <w:t>prevalence</w:t>
      </w:r>
      <w:r>
        <w:rPr>
          <w:spacing w:val="-3"/>
          <w:vertAlign w:val="baseline"/>
        </w:rPr>
        <w:t> </w:t>
      </w:r>
      <w:r>
        <w:rPr>
          <w:vertAlign w:val="baseline"/>
        </w:rPr>
        <w:t>of</w:t>
      </w:r>
      <w:r>
        <w:rPr>
          <w:spacing w:val="-3"/>
          <w:vertAlign w:val="baseline"/>
        </w:rPr>
        <w:t> </w:t>
      </w:r>
      <w:r>
        <w:rPr>
          <w:vertAlign w:val="baseline"/>
        </w:rPr>
        <w:t>coronary</w:t>
      </w:r>
      <w:r>
        <w:rPr>
          <w:spacing w:val="-3"/>
          <w:vertAlign w:val="baseline"/>
        </w:rPr>
        <w:t> </w:t>
      </w:r>
      <w:r>
        <w:rPr>
          <w:vertAlign w:val="baseline"/>
        </w:rPr>
        <w:t>artery</w:t>
      </w:r>
      <w:r>
        <w:rPr>
          <w:spacing w:val="-3"/>
          <w:vertAlign w:val="baseline"/>
        </w:rPr>
        <w:t> </w:t>
      </w:r>
      <w:r>
        <w:rPr>
          <w:vertAlign w:val="baseline"/>
        </w:rPr>
        <w:t>disease</w:t>
      </w:r>
      <w:r>
        <w:rPr>
          <w:spacing w:val="-3"/>
          <w:vertAlign w:val="baseline"/>
        </w:rPr>
        <w:t> </w:t>
      </w:r>
      <w:r>
        <w:rPr>
          <w:vertAlign w:val="baseline"/>
        </w:rPr>
        <w:t>in</w:t>
      </w:r>
      <w:r>
        <w:rPr>
          <w:spacing w:val="-3"/>
          <w:vertAlign w:val="baseline"/>
        </w:rPr>
        <w:t> </w:t>
      </w:r>
      <w:r>
        <w:rPr>
          <w:vertAlign w:val="baseline"/>
        </w:rPr>
        <w:t>men</w:t>
      </w:r>
      <w:r>
        <w:rPr>
          <w:spacing w:val="-3"/>
          <w:vertAlign w:val="baseline"/>
        </w:rPr>
        <w:t> </w:t>
      </w:r>
      <w:r>
        <w:rPr>
          <w:vertAlign w:val="baseline"/>
        </w:rPr>
        <w:t>and</w:t>
      </w:r>
      <w:r>
        <w:rPr>
          <w:spacing w:val="-3"/>
          <w:vertAlign w:val="baseline"/>
        </w:rPr>
        <w:t> </w:t>
      </w:r>
      <w:r>
        <w:rPr>
          <w:vertAlign w:val="baseline"/>
        </w:rPr>
        <w:t>women</w:t>
      </w:r>
      <w:r>
        <w:rPr>
          <w:spacing w:val="-3"/>
          <w:vertAlign w:val="baseline"/>
        </w:rPr>
        <w:t> </w:t>
      </w:r>
      <w:r>
        <w:rPr>
          <w:vertAlign w:val="baseline"/>
        </w:rPr>
        <w:t>to</w:t>
      </w:r>
      <w:r>
        <w:rPr>
          <w:spacing w:val="-3"/>
          <w:vertAlign w:val="baseline"/>
        </w:rPr>
        <w:t> </w:t>
      </w:r>
      <w:r>
        <w:rPr>
          <w:vertAlign w:val="baseline"/>
        </w:rPr>
        <w:t>the obvious differences in circulating sex steroids determined by the testicles and</w:t>
      </w:r>
      <w:r>
        <w:rPr>
          <w:spacing w:val="-4"/>
          <w:vertAlign w:val="baseline"/>
        </w:rPr>
        <w:t> </w:t>
      </w:r>
      <w:r>
        <w:rPr>
          <w:vertAlign w:val="baseline"/>
        </w:rPr>
        <w:t>ovaries.</w:t>
      </w:r>
      <w:r>
        <w:rPr>
          <w:spacing w:val="-4"/>
          <w:vertAlign w:val="baseline"/>
        </w:rPr>
        <w:t> </w:t>
      </w:r>
      <w:r>
        <w:rPr>
          <w:vertAlign w:val="baseline"/>
        </w:rPr>
        <w:t>Thus,</w:t>
      </w:r>
      <w:r>
        <w:rPr>
          <w:spacing w:val="-1"/>
          <w:vertAlign w:val="baseline"/>
        </w:rPr>
        <w:t> </w:t>
      </w:r>
      <w:r>
        <w:rPr>
          <w:vertAlign w:val="baseline"/>
        </w:rPr>
        <w:t>it</w:t>
      </w:r>
      <w:r>
        <w:rPr>
          <w:spacing w:val="-1"/>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gonadal</w:t>
      </w:r>
      <w:r>
        <w:rPr>
          <w:spacing w:val="-1"/>
          <w:vertAlign w:val="baseline"/>
        </w:rPr>
        <w:t> </w:t>
      </w:r>
      <w:r>
        <w:rPr>
          <w:vertAlign w:val="baseline"/>
        </w:rPr>
        <w:t>difference</w:t>
      </w:r>
      <w:r>
        <w:rPr>
          <w:spacing w:val="-1"/>
          <w:vertAlign w:val="baseline"/>
        </w:rPr>
        <w:t> </w:t>
      </w:r>
      <w:r>
        <w:rPr>
          <w:vertAlign w:val="baseline"/>
        </w:rPr>
        <w:t>between</w:t>
      </w:r>
      <w:r>
        <w:rPr>
          <w:spacing w:val="-1"/>
          <w:vertAlign w:val="baseline"/>
        </w:rPr>
        <w:t> </w:t>
      </w:r>
      <w:r>
        <w:rPr>
          <w:vertAlign w:val="baseline"/>
        </w:rPr>
        <w:t>men</w:t>
      </w:r>
      <w:r>
        <w:rPr>
          <w:spacing w:val="-1"/>
          <w:vertAlign w:val="baseline"/>
        </w:rPr>
        <w:t> </w:t>
      </w:r>
      <w:r>
        <w:rPr>
          <w:vertAlign w:val="baseline"/>
        </w:rPr>
        <w:t>and</w:t>
      </w:r>
      <w:r>
        <w:rPr>
          <w:spacing w:val="-1"/>
          <w:vertAlign w:val="baseline"/>
        </w:rPr>
        <w:t> </w:t>
      </w:r>
      <w:r>
        <w:rPr>
          <w:vertAlign w:val="baseline"/>
        </w:rPr>
        <w:t>women</w:t>
      </w:r>
      <w:r>
        <w:rPr>
          <w:spacing w:val="-1"/>
          <w:vertAlign w:val="baseline"/>
        </w:rPr>
        <w:t> </w:t>
      </w:r>
      <w:r>
        <w:rPr>
          <w:vertAlign w:val="baseline"/>
        </w:rPr>
        <w:t>that creates the differences in coronary artery disease. The newly appreciated importance of estrogen in the premenopausal years has added strength to this connection and encourages the thought process that estrogen inhibits atherosclerosis by multiple mechanisms.</w:t>
      </w:r>
      <w:r>
        <w:rPr>
          <w:vertAlign w:val="superscript"/>
        </w:rPr>
        <w:t>458</w:t>
      </w:r>
    </w:p>
    <w:p>
      <w:pPr>
        <w:pStyle w:val="BodyText"/>
        <w:spacing w:line="249" w:lineRule="auto" w:before="14"/>
        <w:ind w:right="102" w:firstLine="450"/>
      </w:pPr>
      <w:r>
        <w:rPr/>
        <w:t>A vast literature has documented multiple mechanisms </w:t>
      </w:r>
      <w:r>
        <w:rPr/>
        <w:t>favorably influenced by estrogen that would inhibit the development of atherosclerosis.</w:t>
      </w:r>
      <w:r>
        <w:rPr>
          <w:vertAlign w:val="superscript"/>
        </w:rPr>
        <w:t>458</w:t>
      </w:r>
      <w:r>
        <w:rPr>
          <w:vertAlign w:val="baseline"/>
        </w:rPr>
        <w:t> Clinicians tend to view testosterone as an estrogen opponent, and this is supported, for example, by studies such as lipid responses</w:t>
      </w:r>
      <w:r>
        <w:rPr>
          <w:spacing w:val="52"/>
          <w:w w:val="150"/>
          <w:vertAlign w:val="baseline"/>
        </w:rPr>
        <w:t> </w:t>
      </w:r>
      <w:r>
        <w:rPr>
          <w:vertAlign w:val="baseline"/>
        </w:rPr>
        <w:t>to</w:t>
      </w:r>
      <w:r>
        <w:rPr>
          <w:spacing w:val="53"/>
          <w:w w:val="150"/>
          <w:vertAlign w:val="baseline"/>
        </w:rPr>
        <w:t> </w:t>
      </w:r>
      <w:r>
        <w:rPr>
          <w:vertAlign w:val="baseline"/>
        </w:rPr>
        <w:t>testosterone</w:t>
      </w:r>
      <w:r>
        <w:rPr>
          <w:spacing w:val="52"/>
          <w:w w:val="150"/>
          <w:vertAlign w:val="baseline"/>
        </w:rPr>
        <w:t> </w:t>
      </w:r>
      <w:r>
        <w:rPr>
          <w:vertAlign w:val="baseline"/>
        </w:rPr>
        <w:t>that</w:t>
      </w:r>
      <w:r>
        <w:rPr>
          <w:spacing w:val="53"/>
          <w:w w:val="150"/>
          <w:vertAlign w:val="baseline"/>
        </w:rPr>
        <w:t> </w:t>
      </w:r>
      <w:r>
        <w:rPr>
          <w:vertAlign w:val="baseline"/>
        </w:rPr>
        <w:t>move</w:t>
      </w:r>
      <w:r>
        <w:rPr>
          <w:spacing w:val="52"/>
          <w:w w:val="150"/>
          <w:vertAlign w:val="baseline"/>
        </w:rPr>
        <w:t> </w:t>
      </w:r>
      <w:r>
        <w:rPr>
          <w:vertAlign w:val="baseline"/>
        </w:rPr>
        <w:t>in</w:t>
      </w:r>
      <w:r>
        <w:rPr>
          <w:spacing w:val="53"/>
          <w:w w:val="150"/>
          <w:vertAlign w:val="baseline"/>
        </w:rPr>
        <w:t> </w:t>
      </w:r>
      <w:r>
        <w:rPr>
          <w:vertAlign w:val="baseline"/>
        </w:rPr>
        <w:t>opposite</w:t>
      </w:r>
      <w:r>
        <w:rPr>
          <w:spacing w:val="52"/>
          <w:w w:val="150"/>
          <w:vertAlign w:val="baseline"/>
        </w:rPr>
        <w:t> </w:t>
      </w:r>
      <w:r>
        <w:rPr>
          <w:vertAlign w:val="baseline"/>
        </w:rPr>
        <w:t>directions</w:t>
      </w:r>
      <w:r>
        <w:rPr>
          <w:spacing w:val="53"/>
          <w:w w:val="150"/>
          <w:vertAlign w:val="baseline"/>
        </w:rPr>
        <w:t> </w:t>
      </w:r>
      <w:r>
        <w:rPr>
          <w:vertAlign w:val="baseline"/>
        </w:rPr>
        <w:t>to</w:t>
      </w:r>
      <w:r>
        <w:rPr>
          <w:spacing w:val="52"/>
          <w:w w:val="150"/>
          <w:vertAlign w:val="baseline"/>
        </w:rPr>
        <w:t> </w:t>
      </w:r>
      <w:r>
        <w:rPr>
          <w:vertAlign w:val="baseline"/>
        </w:rPr>
        <w:t>those</w:t>
      </w:r>
      <w:r>
        <w:rPr>
          <w:spacing w:val="53"/>
          <w:w w:val="150"/>
          <w:vertAlign w:val="baseline"/>
        </w:rPr>
        <w:t> </w:t>
      </w:r>
      <w:r>
        <w:rPr>
          <w:spacing w:val="-5"/>
          <w:vertAlign w:val="baseline"/>
        </w:rPr>
        <w:t>of</w:t>
      </w:r>
    </w:p>
    <w:p>
      <w:pPr>
        <w:pStyle w:val="BodyText"/>
        <w:spacing w:after="0" w:line="249" w:lineRule="auto"/>
        <w:sectPr>
          <w:pgSz w:w="12240" w:h="15840"/>
          <w:pgMar w:top="1380" w:bottom="280" w:left="1440" w:right="1440"/>
        </w:sectPr>
      </w:pPr>
    </w:p>
    <w:p>
      <w:pPr>
        <w:pStyle w:val="BodyText"/>
        <w:spacing w:line="249" w:lineRule="auto"/>
        <w:ind w:right="102"/>
      </w:pPr>
      <w:r>
        <w:rPr/>
        <w:t>estrogen.</w:t>
      </w:r>
      <w:r>
        <w:rPr>
          <w:vertAlign w:val="superscript"/>
        </w:rPr>
        <w:t>459</w:t>
      </w:r>
      <w:r>
        <w:rPr>
          <w:vertAlign w:val="baseline"/>
        </w:rPr>
        <w:t> Both beneficial and detrimental vascular actions of </w:t>
      </w:r>
      <w:r>
        <w:rPr>
          <w:vertAlign w:val="baseline"/>
        </w:rPr>
        <w:t>testosterone have been described in in vitro and animal studies.</w:t>
      </w:r>
    </w:p>
    <w:p>
      <w:pPr>
        <w:pStyle w:val="BodyText"/>
        <w:spacing w:line="249" w:lineRule="auto" w:before="2"/>
        <w:ind w:right="98" w:firstLine="450"/>
        <w:rPr>
          <w:b/>
        </w:rPr>
      </w:pPr>
      <w:r>
        <w:rPr/>
        <w:t>Clinical studies in women have, in general, supported an association between hyperandrogenism and an increased risk for CVD. The lipid and lipoprotein</w:t>
      </w:r>
      <w:r>
        <w:rPr>
          <w:spacing w:val="-2"/>
        </w:rPr>
        <w:t> </w:t>
      </w:r>
      <w:r>
        <w:rPr/>
        <w:t>profile</w:t>
      </w:r>
      <w:r>
        <w:rPr>
          <w:spacing w:val="-2"/>
        </w:rPr>
        <w:t> </w:t>
      </w:r>
      <w:r>
        <w:rPr/>
        <w:t>in</w:t>
      </w:r>
      <w:r>
        <w:rPr>
          <w:spacing w:val="-2"/>
        </w:rPr>
        <w:t> </w:t>
      </w:r>
      <w:r>
        <w:rPr/>
        <w:t>androgenized</w:t>
      </w:r>
      <w:r>
        <w:rPr>
          <w:spacing w:val="-2"/>
        </w:rPr>
        <w:t> </w:t>
      </w:r>
      <w:r>
        <w:rPr/>
        <w:t>women</w:t>
      </w:r>
      <w:r>
        <w:rPr>
          <w:spacing w:val="-2"/>
        </w:rPr>
        <w:t> </w:t>
      </w:r>
      <w:r>
        <w:rPr/>
        <w:t>with</w:t>
      </w:r>
      <w:r>
        <w:rPr>
          <w:spacing w:val="-2"/>
        </w:rPr>
        <w:t> </w:t>
      </w:r>
      <w:r>
        <w:rPr/>
        <w:t>polycystic</w:t>
      </w:r>
      <w:r>
        <w:rPr>
          <w:spacing w:val="-2"/>
        </w:rPr>
        <w:t> </w:t>
      </w:r>
      <w:r>
        <w:rPr/>
        <w:t>ovaries</w:t>
      </w:r>
      <w:r>
        <w:rPr>
          <w:spacing w:val="-2"/>
        </w:rPr>
        <w:t> </w:t>
      </w:r>
      <w:r>
        <w:rPr/>
        <w:t>(who</w:t>
      </w:r>
      <w:r>
        <w:rPr>
          <w:spacing w:val="-2"/>
        </w:rPr>
        <w:t> </w:t>
      </w:r>
      <w:r>
        <w:rPr/>
        <w:t>are also exposed to relatively lower estrogen levels over time) is similar to the male pattern with higher levels of cholesterol, triglycerides, and LDL cholesterol, and lower levels of HDL cholesterol, and this abnormal pattern is</w:t>
      </w:r>
      <w:r>
        <w:rPr>
          <w:spacing w:val="-5"/>
        </w:rPr>
        <w:t> </w:t>
      </w:r>
      <w:r>
        <w:rPr/>
        <w:t>independent</w:t>
      </w:r>
      <w:r>
        <w:rPr>
          <w:spacing w:val="-5"/>
        </w:rPr>
        <w:t> </w:t>
      </w:r>
      <w:r>
        <w:rPr/>
        <w:t>of</w:t>
      </w:r>
      <w:r>
        <w:rPr>
          <w:spacing w:val="-5"/>
        </w:rPr>
        <w:t> </w:t>
      </w:r>
      <w:r>
        <w:rPr/>
        <w:t>body</w:t>
      </w:r>
      <w:r>
        <w:rPr>
          <w:spacing w:val="-5"/>
        </w:rPr>
        <w:t> </w:t>
      </w:r>
      <w:r>
        <w:rPr/>
        <w:t>weight.</w:t>
      </w:r>
      <w:r>
        <w:rPr>
          <w:vertAlign w:val="superscript"/>
        </w:rPr>
        <w:t>460-465</w:t>
      </w:r>
      <w:r>
        <w:rPr>
          <w:spacing w:val="-6"/>
          <w:vertAlign w:val="baseline"/>
        </w:rPr>
        <w:t> </w:t>
      </w:r>
      <w:r>
        <w:rPr>
          <w:vertAlign w:val="baseline"/>
        </w:rPr>
        <w:t>An</w:t>
      </w:r>
      <w:r>
        <w:rPr>
          <w:spacing w:val="-5"/>
          <w:vertAlign w:val="baseline"/>
        </w:rPr>
        <w:t> </w:t>
      </w:r>
      <w:r>
        <w:rPr>
          <w:vertAlign w:val="baseline"/>
        </w:rPr>
        <w:t>adverse</w:t>
      </w:r>
      <w:r>
        <w:rPr>
          <w:spacing w:val="-5"/>
          <w:vertAlign w:val="baseline"/>
        </w:rPr>
        <w:t> </w:t>
      </w:r>
      <w:r>
        <w:rPr>
          <w:vertAlign w:val="baseline"/>
        </w:rPr>
        <w:t>lipid</w:t>
      </w:r>
      <w:r>
        <w:rPr>
          <w:spacing w:val="-5"/>
          <w:vertAlign w:val="baseline"/>
        </w:rPr>
        <w:t> </w:t>
      </w:r>
      <w:r>
        <w:rPr>
          <w:vertAlign w:val="baseline"/>
        </w:rPr>
        <w:t>and</w:t>
      </w:r>
      <w:r>
        <w:rPr>
          <w:spacing w:val="-5"/>
          <w:vertAlign w:val="baseline"/>
        </w:rPr>
        <w:t> </w:t>
      </w:r>
      <w:r>
        <w:rPr>
          <w:vertAlign w:val="baseline"/>
        </w:rPr>
        <w:t>lipoprotein</w:t>
      </w:r>
      <w:r>
        <w:rPr>
          <w:spacing w:val="-5"/>
          <w:vertAlign w:val="baseline"/>
        </w:rPr>
        <w:t> </w:t>
      </w:r>
      <w:r>
        <w:rPr>
          <w:vertAlign w:val="baseline"/>
        </w:rPr>
        <w:t>profile is a distinguishing feature of these patients even when body mass index (BMI), insulin, and age are controlled in case-control studies.</w:t>
      </w:r>
      <w:r>
        <w:rPr>
          <w:vertAlign w:val="superscript"/>
        </w:rPr>
        <w:t>465</w:t>
      </w:r>
      <w:r>
        <w:rPr>
          <w:vertAlign w:val="baseline"/>
        </w:rPr>
        <w:t> Subclinical atherosclerosis can be demonstrated by carotid ultrasonography to be prevalent in premenopausal women with a history of anovulation and polycystic ovaries.</w:t>
      </w:r>
      <w:r>
        <w:rPr>
          <w:vertAlign w:val="superscript"/>
        </w:rPr>
        <w:t>466</w:t>
      </w:r>
      <w:r>
        <w:rPr>
          <w:vertAlign w:val="baseline"/>
        </w:rPr>
        <w:t> In women undergoing coronary angiography, the prevalence of polycystic ovaries is increased, and women with polycystic ovaries have more extensive coronary atherosclerosis.</w:t>
      </w:r>
      <w:r>
        <w:rPr>
          <w:vertAlign w:val="superscript"/>
        </w:rPr>
        <w:t>467</w:t>
      </w:r>
      <w:r>
        <w:rPr>
          <w:vertAlign w:val="baseline"/>
        </w:rPr>
        <w:t> In the Nurses’ Health Study, women with very irregular cycles compared to women with regular</w:t>
      </w:r>
      <w:r>
        <w:rPr>
          <w:spacing w:val="-6"/>
          <w:vertAlign w:val="baseline"/>
        </w:rPr>
        <w:t> </w:t>
      </w:r>
      <w:r>
        <w:rPr>
          <w:vertAlign w:val="baseline"/>
        </w:rPr>
        <w:t>cycles</w:t>
      </w:r>
      <w:r>
        <w:rPr>
          <w:spacing w:val="-6"/>
          <w:vertAlign w:val="baseline"/>
        </w:rPr>
        <w:t> </w:t>
      </w:r>
      <w:r>
        <w:rPr>
          <w:vertAlign w:val="baseline"/>
        </w:rPr>
        <w:t>had</w:t>
      </w:r>
      <w:r>
        <w:rPr>
          <w:spacing w:val="-6"/>
          <w:vertAlign w:val="baseline"/>
        </w:rPr>
        <w:t> </w:t>
      </w:r>
      <w:r>
        <w:rPr>
          <w:vertAlign w:val="baseline"/>
        </w:rPr>
        <w:t>an</w:t>
      </w:r>
      <w:r>
        <w:rPr>
          <w:spacing w:val="-6"/>
          <w:vertAlign w:val="baseline"/>
        </w:rPr>
        <w:t> </w:t>
      </w:r>
      <w:r>
        <w:rPr>
          <w:vertAlign w:val="baseline"/>
        </w:rPr>
        <w:t>adjusted</w:t>
      </w:r>
      <w:r>
        <w:rPr>
          <w:spacing w:val="-6"/>
          <w:vertAlign w:val="baseline"/>
        </w:rPr>
        <w:t> </w:t>
      </w:r>
      <w:r>
        <w:rPr>
          <w:vertAlign w:val="baseline"/>
        </w:rPr>
        <w:t>increased</w:t>
      </w:r>
      <w:r>
        <w:rPr>
          <w:spacing w:val="-6"/>
          <w:vertAlign w:val="baseline"/>
        </w:rPr>
        <w:t> </w:t>
      </w:r>
      <w:r>
        <w:rPr>
          <w:vertAlign w:val="baseline"/>
        </w:rPr>
        <w:t>risk</w:t>
      </w:r>
      <w:r>
        <w:rPr>
          <w:spacing w:val="-6"/>
          <w:vertAlign w:val="baseline"/>
        </w:rPr>
        <w:t> </w:t>
      </w:r>
      <w:r>
        <w:rPr>
          <w:vertAlign w:val="baseline"/>
        </w:rPr>
        <w:t>of</w:t>
      </w:r>
      <w:r>
        <w:rPr>
          <w:spacing w:val="-6"/>
          <w:vertAlign w:val="baseline"/>
        </w:rPr>
        <w:t> </w:t>
      </w:r>
      <w:r>
        <w:rPr>
          <w:vertAlign w:val="baseline"/>
        </w:rPr>
        <w:t>CHD.</w:t>
      </w:r>
      <w:r>
        <w:rPr>
          <w:vertAlign w:val="superscript"/>
        </w:rPr>
        <w:t>468</w:t>
      </w:r>
      <w:r>
        <w:rPr>
          <w:spacing w:val="-7"/>
          <w:vertAlign w:val="baseline"/>
        </w:rPr>
        <w:t> </w:t>
      </w:r>
      <w:r>
        <w:rPr>
          <w:b/>
          <w:vertAlign w:val="baseline"/>
        </w:rPr>
        <w:t>Thus, anovulatory women with polycystic ovaries develop risk factors for atherosclerosis and ultimately clinical disease comparable with that found in older postmenopausal women.</w:t>
      </w:r>
    </w:p>
    <w:p>
      <w:pPr>
        <w:pStyle w:val="BodyText"/>
        <w:spacing w:line="249" w:lineRule="auto" w:before="24"/>
        <w:ind w:right="100" w:firstLine="450"/>
      </w:pPr>
      <w:r>
        <w:rPr/>
        <w:t>Given the variability in circulating sex steroid levels between individuals, between sexes, and within individuals, we should not be surprised that random blood sampling does not always document meaningful differences in blood levels of gonadal steroids in men </w:t>
      </w:r>
      <w:r>
        <w:rPr/>
        <w:t>and women with coronary artery disease. Nevertheless, some cross-sectional</w:t>
      </w:r>
      <w:r>
        <w:rPr>
          <w:spacing w:val="40"/>
        </w:rPr>
        <w:t> </w:t>
      </w:r>
      <w:r>
        <w:rPr/>
        <w:t>and prospective cohort studies have documented lower circulating testosterone levels in men with coronary artery disease and higher levels in men with a reduced risk of metabolic syndrome.</w:t>
      </w:r>
      <w:r>
        <w:rPr>
          <w:vertAlign w:val="superscript"/>
        </w:rPr>
        <w:t>469,470</w:t>
      </w:r>
      <w:r>
        <w:rPr>
          <w:vertAlign w:val="baseline"/>
        </w:rPr>
        <w:t> A prospective cohort study determined that lower testosterone levels were associated with an increased risk of developing metabolic syndrome in men.</w:t>
      </w:r>
      <w:r>
        <w:rPr>
          <w:vertAlign w:val="superscript"/>
        </w:rPr>
        <w:t>471</w:t>
      </w:r>
      <w:r>
        <w:rPr>
          <w:vertAlign w:val="baseline"/>
        </w:rPr>
        <w:t> Men with heart failure demonstrate improvements in symptoms and functional capacity when treated with testosterone.</w:t>
      </w:r>
      <w:r>
        <w:rPr>
          <w:vertAlign w:val="superscript"/>
        </w:rPr>
        <w:t>472</w:t>
      </w:r>
    </w:p>
    <w:p>
      <w:pPr>
        <w:pStyle w:val="BodyText"/>
        <w:spacing w:line="249" w:lineRule="auto" w:before="14"/>
        <w:ind w:right="98" w:firstLine="450"/>
      </w:pPr>
      <w:r>
        <w:rPr/>
        <w:t>In healthy postmenopausal women, higher androgen levels are associated with increased metabolic markers for the risk of coronary </w:t>
      </w:r>
      <w:r>
        <w:rPr/>
        <w:t>artery disease,</w:t>
      </w:r>
      <w:r>
        <w:rPr>
          <w:spacing w:val="22"/>
        </w:rPr>
        <w:t>  </w:t>
      </w:r>
      <w:r>
        <w:rPr/>
        <w:t>and</w:t>
      </w:r>
      <w:r>
        <w:rPr>
          <w:spacing w:val="23"/>
        </w:rPr>
        <w:t>  </w:t>
      </w:r>
      <w:r>
        <w:rPr/>
        <w:t>increasing</w:t>
      </w:r>
      <w:r>
        <w:rPr>
          <w:spacing w:val="22"/>
        </w:rPr>
        <w:t>  </w:t>
      </w:r>
      <w:r>
        <w:rPr/>
        <w:t>testosterone</w:t>
      </w:r>
      <w:r>
        <w:rPr>
          <w:spacing w:val="23"/>
        </w:rPr>
        <w:t>  </w:t>
      </w:r>
      <w:r>
        <w:rPr/>
        <w:t>levels</w:t>
      </w:r>
      <w:r>
        <w:rPr>
          <w:spacing w:val="22"/>
        </w:rPr>
        <w:t>  </w:t>
      </w:r>
      <w:r>
        <w:rPr/>
        <w:t>during</w:t>
      </w:r>
      <w:r>
        <w:rPr>
          <w:spacing w:val="23"/>
        </w:rPr>
        <w:t>  </w:t>
      </w:r>
      <w:r>
        <w:rPr/>
        <w:t>the</w:t>
      </w:r>
      <w:r>
        <w:rPr>
          <w:spacing w:val="22"/>
        </w:rPr>
        <w:t>  </w:t>
      </w:r>
      <w:r>
        <w:rPr>
          <w:spacing w:val="-2"/>
        </w:rPr>
        <w:t>perimenopausal</w:t>
      </w:r>
    </w:p>
    <w:p>
      <w:pPr>
        <w:pStyle w:val="BodyText"/>
        <w:spacing w:after="0" w:line="249" w:lineRule="auto"/>
        <w:sectPr>
          <w:pgSz w:w="12240" w:h="15840"/>
          <w:pgMar w:top="1380" w:bottom="280" w:left="1440" w:right="1440"/>
        </w:sectPr>
      </w:pPr>
    </w:p>
    <w:p>
      <w:pPr>
        <w:spacing w:line="249" w:lineRule="auto" w:before="65"/>
        <w:ind w:left="99" w:right="97" w:firstLine="0"/>
        <w:jc w:val="both"/>
        <w:rPr>
          <w:b/>
          <w:sz w:val="30"/>
        </w:rPr>
      </w:pPr>
      <w:r>
        <w:rPr>
          <w:sz w:val="30"/>
        </w:rPr>
        <w:t>transition correlated with an increasing prevalence of metabolic syndrome in the SWAN study.</w:t>
      </w:r>
      <w:r>
        <w:rPr>
          <w:sz w:val="30"/>
          <w:vertAlign w:val="superscript"/>
        </w:rPr>
        <w:t>401,473,474</w:t>
      </w:r>
      <w:r>
        <w:rPr>
          <w:sz w:val="30"/>
          <w:vertAlign w:val="baseline"/>
        </w:rPr>
        <w:t> Higher testosterone levels, </w:t>
      </w:r>
      <w:r>
        <w:rPr>
          <w:i/>
          <w:sz w:val="30"/>
          <w:vertAlign w:val="baseline"/>
        </w:rPr>
        <w:t>although still in </w:t>
      </w:r>
      <w:r>
        <w:rPr>
          <w:i/>
          <w:sz w:val="30"/>
          <w:vertAlign w:val="baseline"/>
        </w:rPr>
        <w:t>the</w:t>
      </w:r>
      <w:r>
        <w:rPr>
          <w:i/>
          <w:sz w:val="30"/>
          <w:vertAlign w:val="baseline"/>
        </w:rPr>
        <w:t> normal range, </w:t>
      </w:r>
      <w:r>
        <w:rPr>
          <w:sz w:val="30"/>
          <w:vertAlign w:val="baseline"/>
        </w:rPr>
        <w:t>have also been found to correlate with a reduction in atherosclerosis progression in naturally postmenopausal women.</w:t>
      </w:r>
      <w:r>
        <w:rPr>
          <w:sz w:val="30"/>
          <w:vertAlign w:val="superscript"/>
        </w:rPr>
        <w:t>475,476</w:t>
      </w:r>
      <w:r>
        <w:rPr>
          <w:sz w:val="30"/>
          <w:vertAlign w:val="baseline"/>
        </w:rPr>
        <w:t> </w:t>
      </w:r>
      <w:r>
        <w:rPr>
          <w:b/>
          <w:sz w:val="30"/>
          <w:vertAlign w:val="baseline"/>
        </w:rPr>
        <w:t>In summary, existing data suggest that higher testosterone levels within the normal physiologic range may be protective against atherosclerosis (perhaps by target tissue aromatization to estrogens), whereas elevated androgen</w:t>
      </w:r>
      <w:r>
        <w:rPr>
          <w:b/>
          <w:spacing w:val="-1"/>
          <w:sz w:val="30"/>
          <w:vertAlign w:val="baseline"/>
        </w:rPr>
        <w:t> </w:t>
      </w:r>
      <w:r>
        <w:rPr>
          <w:b/>
          <w:sz w:val="30"/>
          <w:vertAlign w:val="baseline"/>
        </w:rPr>
        <w:t>levels</w:t>
      </w:r>
      <w:r>
        <w:rPr>
          <w:b/>
          <w:spacing w:val="-1"/>
          <w:sz w:val="30"/>
          <w:vertAlign w:val="baseline"/>
        </w:rPr>
        <w:t> </w:t>
      </w:r>
      <w:r>
        <w:rPr>
          <w:b/>
          <w:sz w:val="30"/>
          <w:vertAlign w:val="baseline"/>
        </w:rPr>
        <w:t>above</w:t>
      </w:r>
      <w:r>
        <w:rPr>
          <w:b/>
          <w:spacing w:val="-1"/>
          <w:sz w:val="30"/>
          <w:vertAlign w:val="baseline"/>
        </w:rPr>
        <w:t> </w:t>
      </w:r>
      <w:r>
        <w:rPr>
          <w:b/>
          <w:sz w:val="30"/>
          <w:vertAlign w:val="baseline"/>
        </w:rPr>
        <w:t>the</w:t>
      </w:r>
      <w:r>
        <w:rPr>
          <w:b/>
          <w:spacing w:val="-1"/>
          <w:sz w:val="30"/>
          <w:vertAlign w:val="baseline"/>
        </w:rPr>
        <w:t> </w:t>
      </w:r>
      <w:r>
        <w:rPr>
          <w:b/>
          <w:sz w:val="30"/>
          <w:vertAlign w:val="baseline"/>
        </w:rPr>
        <w:t>normal</w:t>
      </w:r>
      <w:r>
        <w:rPr>
          <w:b/>
          <w:spacing w:val="-1"/>
          <w:sz w:val="30"/>
          <w:vertAlign w:val="baseline"/>
        </w:rPr>
        <w:t> </w:t>
      </w:r>
      <w:r>
        <w:rPr>
          <w:b/>
          <w:sz w:val="30"/>
          <w:vertAlign w:val="baseline"/>
        </w:rPr>
        <w:t>range,</w:t>
      </w:r>
      <w:r>
        <w:rPr>
          <w:b/>
          <w:spacing w:val="-1"/>
          <w:sz w:val="30"/>
          <w:vertAlign w:val="baseline"/>
        </w:rPr>
        <w:t> </w:t>
      </w:r>
      <w:r>
        <w:rPr>
          <w:b/>
          <w:sz w:val="30"/>
          <w:vertAlign w:val="baseline"/>
        </w:rPr>
        <w:t>such</w:t>
      </w:r>
      <w:r>
        <w:rPr>
          <w:b/>
          <w:spacing w:val="-1"/>
          <w:sz w:val="30"/>
          <w:vertAlign w:val="baseline"/>
        </w:rPr>
        <w:t> </w:t>
      </w:r>
      <w:r>
        <w:rPr>
          <w:b/>
          <w:sz w:val="30"/>
          <w:vertAlign w:val="baseline"/>
        </w:rPr>
        <w:t>as</w:t>
      </w:r>
      <w:r>
        <w:rPr>
          <w:b/>
          <w:spacing w:val="-1"/>
          <w:sz w:val="30"/>
          <w:vertAlign w:val="baseline"/>
        </w:rPr>
        <w:t> </w:t>
      </w:r>
      <w:r>
        <w:rPr>
          <w:b/>
          <w:sz w:val="30"/>
          <w:vertAlign w:val="baseline"/>
        </w:rPr>
        <w:t>in</w:t>
      </w:r>
      <w:r>
        <w:rPr>
          <w:b/>
          <w:spacing w:val="-1"/>
          <w:sz w:val="30"/>
          <w:vertAlign w:val="baseline"/>
        </w:rPr>
        <w:t> </w:t>
      </w:r>
      <w:r>
        <w:rPr>
          <w:b/>
          <w:sz w:val="30"/>
          <w:vertAlign w:val="baseline"/>
        </w:rPr>
        <w:t>anovulatory</w:t>
      </w:r>
      <w:r>
        <w:rPr>
          <w:b/>
          <w:spacing w:val="-1"/>
          <w:sz w:val="30"/>
          <w:vertAlign w:val="baseline"/>
        </w:rPr>
        <w:t> </w:t>
      </w:r>
      <w:r>
        <w:rPr>
          <w:b/>
          <w:sz w:val="30"/>
          <w:vertAlign w:val="baseline"/>
        </w:rPr>
        <w:t>women with polycystic ovaries, are atherogenic.</w:t>
      </w:r>
    </w:p>
    <w:p>
      <w:pPr>
        <w:pStyle w:val="BodyText"/>
        <w:spacing w:line="249" w:lineRule="auto" w:before="11"/>
        <w:ind w:right="98" w:firstLine="450"/>
      </w:pPr>
      <w:r>
        <w:rPr/>
        <w:t>The important studies in women and monkeys reviewed </w:t>
      </w:r>
      <w:r>
        <w:rPr/>
        <w:t>previously indicate that there exists an innate trajectory of atherosis for each individual that can be modulated by various risk factors and that the slope of this process determines the age of onset for clinical events, providing an opportunity for primary prevention.</w:t>
      </w:r>
      <w:r>
        <w:rPr>
          <w:vertAlign w:val="superscript"/>
        </w:rPr>
        <w:t>477</w:t>
      </w:r>
      <w:r>
        <w:rPr>
          <w:vertAlign w:val="baseline"/>
        </w:rPr>
        <w:t> The contribution of premenopausal atherosclerosis to the development of clinical events highlights the important role for clinicians in aggressively promoting preventive interventions that can favorably change the slope of progression of atherosclerosis. An important risk factor is exposure to protective levels of estrogen at all stages of life. Conditions associated with hypoestrogenemia during the premenopausal years, therefore, require evaluation and</w:t>
      </w:r>
      <w:r>
        <w:rPr>
          <w:spacing w:val="40"/>
          <w:vertAlign w:val="baseline"/>
        </w:rPr>
        <w:t> </w:t>
      </w:r>
      <w:r>
        <w:rPr>
          <w:vertAlign w:val="baseline"/>
        </w:rPr>
        <w:t>treatment. There are many causes of hypoestrogenemia, and the treatments will vary according to the etiology. When indicated, appropriate hormone treatment can reduce the risk of CVD later in life. In addition, appropriate interventions in insulin-resistant women with the metabolic abnormalities associated with polycystic ovaries can reduce the risks of both CVD and diabetes mellitus.</w:t>
      </w:r>
    </w:p>
    <w:p>
      <w:pPr>
        <w:spacing w:line="249" w:lineRule="auto" w:before="21"/>
        <w:ind w:left="99" w:right="98" w:firstLine="450"/>
        <w:jc w:val="both"/>
        <w:rPr>
          <w:sz w:val="30"/>
        </w:rPr>
      </w:pPr>
      <w:r>
        <w:rPr>
          <w:sz w:val="30"/>
        </w:rPr>
        <w:t>A logical continuum of this reasoning is that hormone therapy in the perimenopausal and early postmenopausal years may and can offer </w:t>
      </w:r>
      <w:r>
        <w:rPr>
          <w:sz w:val="30"/>
        </w:rPr>
        <w:t>some level of primary prevention of clinical coronary disease; conversely, initiating hormone therapy for the first time in older women who are well into the postmenopausal period when atherosclerotic processes may have already</w:t>
      </w:r>
      <w:r>
        <w:rPr>
          <w:spacing w:val="-2"/>
          <w:sz w:val="30"/>
        </w:rPr>
        <w:t> </w:t>
      </w:r>
      <w:r>
        <w:rPr>
          <w:sz w:val="30"/>
        </w:rPr>
        <w:t>been</w:t>
      </w:r>
      <w:r>
        <w:rPr>
          <w:spacing w:val="-2"/>
          <w:sz w:val="30"/>
        </w:rPr>
        <w:t> </w:t>
      </w:r>
      <w:r>
        <w:rPr>
          <w:sz w:val="30"/>
        </w:rPr>
        <w:t>initiated</w:t>
      </w:r>
      <w:r>
        <w:rPr>
          <w:spacing w:val="-2"/>
          <w:sz w:val="30"/>
        </w:rPr>
        <w:t> </w:t>
      </w:r>
      <w:r>
        <w:rPr>
          <w:sz w:val="30"/>
        </w:rPr>
        <w:t>may</w:t>
      </w:r>
      <w:r>
        <w:rPr>
          <w:spacing w:val="-2"/>
          <w:sz w:val="30"/>
        </w:rPr>
        <w:t> </w:t>
      </w:r>
      <w:r>
        <w:rPr>
          <w:sz w:val="30"/>
        </w:rPr>
        <w:t>increase</w:t>
      </w:r>
      <w:r>
        <w:rPr>
          <w:spacing w:val="-2"/>
          <w:sz w:val="30"/>
        </w:rPr>
        <w:t> </w:t>
      </w:r>
      <w:r>
        <w:rPr>
          <w:sz w:val="30"/>
        </w:rPr>
        <w:t>their</w:t>
      </w:r>
      <w:r>
        <w:rPr>
          <w:spacing w:val="-2"/>
          <w:sz w:val="30"/>
        </w:rPr>
        <w:t> </w:t>
      </w:r>
      <w:r>
        <w:rPr>
          <w:sz w:val="30"/>
        </w:rPr>
        <w:t>risk</w:t>
      </w:r>
      <w:r>
        <w:rPr>
          <w:spacing w:val="-2"/>
          <w:sz w:val="30"/>
        </w:rPr>
        <w:t> </w:t>
      </w:r>
      <w:r>
        <w:rPr>
          <w:sz w:val="30"/>
        </w:rPr>
        <w:t>for</w:t>
      </w:r>
      <w:r>
        <w:rPr>
          <w:spacing w:val="-2"/>
          <w:sz w:val="30"/>
        </w:rPr>
        <w:t> </w:t>
      </w:r>
      <w:r>
        <w:rPr>
          <w:sz w:val="30"/>
        </w:rPr>
        <w:t>CHD,</w:t>
      </w:r>
      <w:r>
        <w:rPr>
          <w:spacing w:val="-2"/>
          <w:sz w:val="30"/>
        </w:rPr>
        <w:t> </w:t>
      </w:r>
      <w:r>
        <w:rPr>
          <w:sz w:val="30"/>
        </w:rPr>
        <w:t>particularly</w:t>
      </w:r>
      <w:r>
        <w:rPr>
          <w:spacing w:val="-2"/>
          <w:sz w:val="30"/>
        </w:rPr>
        <w:t> </w:t>
      </w:r>
      <w:r>
        <w:rPr>
          <w:sz w:val="30"/>
        </w:rPr>
        <w:t>so</w:t>
      </w:r>
      <w:r>
        <w:rPr>
          <w:spacing w:val="-2"/>
          <w:sz w:val="30"/>
        </w:rPr>
        <w:t> </w:t>
      </w:r>
      <w:r>
        <w:rPr>
          <w:sz w:val="30"/>
        </w:rPr>
        <w:t>in</w:t>
      </w:r>
      <w:r>
        <w:rPr>
          <w:spacing w:val="-2"/>
          <w:sz w:val="30"/>
        </w:rPr>
        <w:t> </w:t>
      </w:r>
      <w:r>
        <w:rPr>
          <w:sz w:val="30"/>
        </w:rPr>
        <w:t>the first year of hormone use.</w:t>
      </w:r>
      <w:r>
        <w:rPr>
          <w:sz w:val="30"/>
          <w:vertAlign w:val="superscript"/>
        </w:rPr>
        <w:t>478</w:t>
      </w:r>
      <w:r>
        <w:rPr>
          <w:sz w:val="30"/>
          <w:vertAlign w:val="baseline"/>
        </w:rPr>
        <w:t> </w:t>
      </w:r>
      <w:r>
        <w:rPr>
          <w:b/>
          <w:sz w:val="30"/>
          <w:vertAlign w:val="baseline"/>
        </w:rPr>
        <w:t>The “timing hypothesis” proposes that adequate estrogen exposure prior to the onset of clinical events</w:t>
      </w:r>
      <w:r>
        <w:rPr>
          <w:b/>
          <w:spacing w:val="40"/>
          <w:sz w:val="30"/>
          <w:vertAlign w:val="baseline"/>
        </w:rPr>
        <w:t> </w:t>
      </w:r>
      <w:r>
        <w:rPr>
          <w:b/>
          <w:sz w:val="30"/>
          <w:vertAlign w:val="baseline"/>
        </w:rPr>
        <w:t>provides protection against CVD (discussed in further detail in</w:t>
      </w:r>
      <w:r>
        <w:rPr>
          <w:b/>
          <w:spacing w:val="40"/>
          <w:sz w:val="30"/>
          <w:vertAlign w:val="baseline"/>
        </w:rPr>
        <w:t> </w:t>
      </w:r>
      <w:r>
        <w:rPr>
          <w:b/>
          <w:sz w:val="30"/>
          <w:vertAlign w:val="baseline"/>
        </w:rPr>
        <w:t>Chapter</w:t>
      </w:r>
      <w:r>
        <w:rPr>
          <w:b/>
          <w:spacing w:val="59"/>
          <w:sz w:val="30"/>
          <w:vertAlign w:val="baseline"/>
        </w:rPr>
        <w:t> </w:t>
      </w:r>
      <w:r>
        <w:rPr>
          <w:b/>
          <w:sz w:val="30"/>
          <w:vertAlign w:val="baseline"/>
        </w:rPr>
        <w:t>22).</w:t>
      </w:r>
      <w:r>
        <w:rPr>
          <w:b/>
          <w:spacing w:val="73"/>
          <w:sz w:val="30"/>
          <w:vertAlign w:val="baseline"/>
        </w:rPr>
        <w:t> </w:t>
      </w:r>
      <w:r>
        <w:rPr>
          <w:sz w:val="30"/>
          <w:vertAlign w:val="baseline"/>
        </w:rPr>
        <w:t>A</w:t>
      </w:r>
      <w:r>
        <w:rPr>
          <w:spacing w:val="73"/>
          <w:sz w:val="30"/>
          <w:vertAlign w:val="baseline"/>
        </w:rPr>
        <w:t> </w:t>
      </w:r>
      <w:r>
        <w:rPr>
          <w:sz w:val="30"/>
          <w:vertAlign w:val="baseline"/>
        </w:rPr>
        <w:t>metaanalysis</w:t>
      </w:r>
      <w:r>
        <w:rPr>
          <w:spacing w:val="73"/>
          <w:sz w:val="30"/>
          <w:vertAlign w:val="baseline"/>
        </w:rPr>
        <w:t> </w:t>
      </w:r>
      <w:r>
        <w:rPr>
          <w:sz w:val="30"/>
          <w:vertAlign w:val="baseline"/>
        </w:rPr>
        <w:t>of</w:t>
      </w:r>
      <w:r>
        <w:rPr>
          <w:spacing w:val="73"/>
          <w:sz w:val="30"/>
          <w:vertAlign w:val="baseline"/>
        </w:rPr>
        <w:t> </w:t>
      </w:r>
      <w:r>
        <w:rPr>
          <w:sz w:val="30"/>
          <w:vertAlign w:val="baseline"/>
        </w:rPr>
        <w:t>23</w:t>
      </w:r>
      <w:r>
        <w:rPr>
          <w:spacing w:val="73"/>
          <w:sz w:val="30"/>
          <w:vertAlign w:val="baseline"/>
        </w:rPr>
        <w:t> </w:t>
      </w:r>
      <w:r>
        <w:rPr>
          <w:sz w:val="30"/>
          <w:vertAlign w:val="baseline"/>
        </w:rPr>
        <w:t>randomized</w:t>
      </w:r>
      <w:r>
        <w:rPr>
          <w:spacing w:val="73"/>
          <w:sz w:val="30"/>
          <w:vertAlign w:val="baseline"/>
        </w:rPr>
        <w:t> </w:t>
      </w:r>
      <w:r>
        <w:rPr>
          <w:sz w:val="30"/>
          <w:vertAlign w:val="baseline"/>
        </w:rPr>
        <w:t>hormone</w:t>
      </w:r>
      <w:r>
        <w:rPr>
          <w:spacing w:val="73"/>
          <w:sz w:val="30"/>
          <w:vertAlign w:val="baseline"/>
        </w:rPr>
        <w:t> </w:t>
      </w:r>
      <w:r>
        <w:rPr>
          <w:sz w:val="30"/>
          <w:vertAlign w:val="baseline"/>
        </w:rPr>
        <w:t>therapy</w:t>
      </w:r>
      <w:r>
        <w:rPr>
          <w:spacing w:val="73"/>
          <w:sz w:val="30"/>
          <w:vertAlign w:val="baseline"/>
        </w:rPr>
        <w:t> </w:t>
      </w:r>
      <w:r>
        <w:rPr>
          <w:spacing w:val="-2"/>
          <w:sz w:val="30"/>
          <w:vertAlign w:val="baseline"/>
        </w:rPr>
        <w:t>trials</w:t>
      </w:r>
    </w:p>
    <w:p>
      <w:pPr>
        <w:spacing w:after="0" w:line="249" w:lineRule="auto"/>
        <w:jc w:val="both"/>
        <w:rPr>
          <w:sz w:val="30"/>
        </w:rPr>
        <w:sectPr>
          <w:pgSz w:w="12240" w:h="15840"/>
          <w:pgMar w:top="1380" w:bottom="280" w:left="1440" w:right="1440"/>
        </w:sectPr>
      </w:pPr>
    </w:p>
    <w:p>
      <w:pPr>
        <w:pStyle w:val="BodyText"/>
        <w:spacing w:line="249" w:lineRule="auto"/>
        <w:ind w:right="98"/>
      </w:pPr>
      <w:r>
        <w:rPr/>
        <w:t>concluded that hormone treatment reduced the risk of CHD events in younger women compared with older women (10 or more years </w:t>
      </w:r>
      <w:r>
        <w:rPr/>
        <w:t>since menopause</w:t>
      </w:r>
      <w:r>
        <w:rPr>
          <w:spacing w:val="-4"/>
        </w:rPr>
        <w:t> </w:t>
      </w:r>
      <w:r>
        <w:rPr/>
        <w:t>or</w:t>
      </w:r>
      <w:r>
        <w:rPr>
          <w:spacing w:val="-4"/>
        </w:rPr>
        <w:t> </w:t>
      </w:r>
      <w:r>
        <w:rPr/>
        <w:t>&gt;60</w:t>
      </w:r>
      <w:r>
        <w:rPr>
          <w:spacing w:val="-4"/>
        </w:rPr>
        <w:t> </w:t>
      </w:r>
      <w:r>
        <w:rPr/>
        <w:t>years</w:t>
      </w:r>
      <w:r>
        <w:rPr>
          <w:spacing w:val="-4"/>
        </w:rPr>
        <w:t> </w:t>
      </w:r>
      <w:r>
        <w:rPr/>
        <w:t>of</w:t>
      </w:r>
      <w:r>
        <w:rPr>
          <w:spacing w:val="-4"/>
        </w:rPr>
        <w:t> </w:t>
      </w:r>
      <w:r>
        <w:rPr/>
        <w:t>age).</w:t>
      </w:r>
      <w:r>
        <w:rPr>
          <w:vertAlign w:val="superscript"/>
        </w:rPr>
        <w:t>479</w:t>
      </w:r>
      <w:r>
        <w:rPr>
          <w:spacing w:val="-5"/>
          <w:vertAlign w:val="baseline"/>
        </w:rPr>
        <w:t> </w:t>
      </w:r>
      <w:r>
        <w:rPr>
          <w:vertAlign w:val="baseline"/>
        </w:rPr>
        <w:t>This</w:t>
      </w:r>
      <w:r>
        <w:rPr>
          <w:spacing w:val="-4"/>
          <w:vertAlign w:val="baseline"/>
        </w:rPr>
        <w:t> </w:t>
      </w:r>
      <w:r>
        <w:rPr>
          <w:vertAlign w:val="baseline"/>
        </w:rPr>
        <w:t>is</w:t>
      </w:r>
      <w:r>
        <w:rPr>
          <w:spacing w:val="-4"/>
          <w:vertAlign w:val="baseline"/>
        </w:rPr>
        <w:t> </w:t>
      </w:r>
      <w:r>
        <w:rPr>
          <w:vertAlign w:val="baseline"/>
        </w:rPr>
        <w:t>a</w:t>
      </w:r>
      <w:r>
        <w:rPr>
          <w:spacing w:val="-4"/>
          <w:vertAlign w:val="baseline"/>
        </w:rPr>
        <w:t> </w:t>
      </w:r>
      <w:r>
        <w:rPr>
          <w:vertAlign w:val="baseline"/>
        </w:rPr>
        <w:t>conclusion</w:t>
      </w:r>
      <w:r>
        <w:rPr>
          <w:spacing w:val="-4"/>
          <w:vertAlign w:val="baseline"/>
        </w:rPr>
        <w:t> </w:t>
      </w:r>
      <w:r>
        <w:rPr>
          <w:vertAlign w:val="baseline"/>
        </w:rPr>
        <w:t>that</w:t>
      </w:r>
      <w:r>
        <w:rPr>
          <w:spacing w:val="-4"/>
          <w:vertAlign w:val="baseline"/>
        </w:rPr>
        <w:t> </w:t>
      </w:r>
      <w:r>
        <w:rPr>
          <w:vertAlign w:val="baseline"/>
        </w:rPr>
        <w:t>is</w:t>
      </w:r>
      <w:r>
        <w:rPr>
          <w:spacing w:val="-4"/>
          <w:vertAlign w:val="baseline"/>
        </w:rPr>
        <w:t> </w:t>
      </w:r>
      <w:r>
        <w:rPr>
          <w:vertAlign w:val="baseline"/>
        </w:rPr>
        <w:t>less</w:t>
      </w:r>
      <w:r>
        <w:rPr>
          <w:spacing w:val="-4"/>
          <w:vertAlign w:val="baseline"/>
        </w:rPr>
        <w:t> </w:t>
      </w:r>
      <w:r>
        <w:rPr>
          <w:vertAlign w:val="baseline"/>
        </w:rPr>
        <w:t>firm</w:t>
      </w:r>
      <w:r>
        <w:rPr>
          <w:spacing w:val="-4"/>
          <w:vertAlign w:val="baseline"/>
        </w:rPr>
        <w:t> </w:t>
      </w:r>
      <w:r>
        <w:rPr>
          <w:vertAlign w:val="baseline"/>
        </w:rPr>
        <w:t>now than when first proposed because most of these trials were not designed to measure an endpoint of CVD. However, another metaanalysis by the same authors concluded that hormone therapy reduced overall mortality in women with an average age of less than 60.</w:t>
      </w:r>
      <w:r>
        <w:rPr>
          <w:vertAlign w:val="superscript"/>
        </w:rPr>
        <w:t>480</w:t>
      </w:r>
    </w:p>
    <w:p>
      <w:pPr>
        <w:pStyle w:val="BodyText"/>
        <w:spacing w:before="52"/>
        <w:ind w:left="0"/>
        <w:jc w:val="left"/>
      </w:pPr>
    </w:p>
    <w:p>
      <w:pPr>
        <w:spacing w:before="0"/>
        <w:ind w:left="99" w:right="0" w:firstLine="0"/>
        <w:jc w:val="both"/>
        <w:rPr>
          <w:rFonts w:ascii="Arial"/>
          <w:b/>
          <w:sz w:val="30"/>
        </w:rPr>
      </w:pPr>
      <w:r>
        <w:rPr>
          <w:rFonts w:ascii="Arial"/>
          <w:b/>
          <w:color w:val="2674AE"/>
          <w:sz w:val="30"/>
        </w:rPr>
        <w:t>Cardiovascular</w:t>
      </w:r>
      <w:r>
        <w:rPr>
          <w:rFonts w:ascii="Arial"/>
          <w:b/>
          <w:color w:val="2674AE"/>
          <w:spacing w:val="-14"/>
          <w:sz w:val="30"/>
        </w:rPr>
        <w:t> </w:t>
      </w:r>
      <w:r>
        <w:rPr>
          <w:rFonts w:ascii="Arial"/>
          <w:b/>
          <w:color w:val="2674AE"/>
          <w:sz w:val="30"/>
        </w:rPr>
        <w:t>Disease</w:t>
      </w:r>
      <w:r>
        <w:rPr>
          <w:rFonts w:ascii="Arial"/>
          <w:b/>
          <w:color w:val="2674AE"/>
          <w:spacing w:val="-14"/>
          <w:sz w:val="30"/>
        </w:rPr>
        <w:t> </w:t>
      </w:r>
      <w:r>
        <w:rPr>
          <w:rFonts w:ascii="Arial"/>
          <w:b/>
          <w:color w:val="2674AE"/>
          <w:sz w:val="30"/>
        </w:rPr>
        <w:t>and</w:t>
      </w:r>
      <w:r>
        <w:rPr>
          <w:rFonts w:ascii="Arial"/>
          <w:b/>
          <w:color w:val="2674AE"/>
          <w:spacing w:val="-14"/>
          <w:sz w:val="30"/>
        </w:rPr>
        <w:t> </w:t>
      </w:r>
      <w:r>
        <w:rPr>
          <w:rFonts w:ascii="Arial"/>
          <w:b/>
          <w:color w:val="2674AE"/>
          <w:sz w:val="30"/>
        </w:rPr>
        <w:t>Vasomotor</w:t>
      </w:r>
      <w:r>
        <w:rPr>
          <w:rFonts w:ascii="Arial"/>
          <w:b/>
          <w:color w:val="2674AE"/>
          <w:spacing w:val="-14"/>
          <w:sz w:val="30"/>
        </w:rPr>
        <w:t> </w:t>
      </w:r>
      <w:r>
        <w:rPr>
          <w:rFonts w:ascii="Arial"/>
          <w:b/>
          <w:color w:val="2674AE"/>
          <w:sz w:val="30"/>
        </w:rPr>
        <w:t>Symptoms</w:t>
      </w:r>
      <w:r>
        <w:rPr>
          <w:rFonts w:ascii="Arial"/>
          <w:b/>
          <w:color w:val="2674AE"/>
          <w:sz w:val="30"/>
          <w:vertAlign w:val="superscript"/>
        </w:rPr>
        <w:t>440,478,481-</w:t>
      </w:r>
      <w:r>
        <w:rPr>
          <w:rFonts w:ascii="Arial"/>
          <w:b/>
          <w:color w:val="2674AE"/>
          <w:spacing w:val="-5"/>
          <w:sz w:val="30"/>
          <w:vertAlign w:val="superscript"/>
        </w:rPr>
        <w:t>483</w:t>
      </w:r>
    </w:p>
    <w:p>
      <w:pPr>
        <w:pStyle w:val="BodyText"/>
        <w:spacing w:line="249" w:lineRule="auto" w:before="166"/>
        <w:ind w:right="99"/>
      </w:pPr>
      <w:r>
        <w:rPr/>
        <w:t>A relationship between severity and frequency of VMS and risk of CVD was</w:t>
      </w:r>
      <w:r>
        <w:rPr>
          <w:spacing w:val="-8"/>
        </w:rPr>
        <w:t> </w:t>
      </w:r>
      <w:r>
        <w:rPr/>
        <w:t>observed</w:t>
      </w:r>
      <w:r>
        <w:rPr>
          <w:spacing w:val="-8"/>
        </w:rPr>
        <w:t> </w:t>
      </w:r>
      <w:r>
        <w:rPr/>
        <w:t>in</w:t>
      </w:r>
      <w:r>
        <w:rPr>
          <w:spacing w:val="-8"/>
        </w:rPr>
        <w:t> </w:t>
      </w:r>
      <w:r>
        <w:rPr/>
        <w:t>the</w:t>
      </w:r>
      <w:r>
        <w:rPr>
          <w:spacing w:val="-8"/>
        </w:rPr>
        <w:t> </w:t>
      </w:r>
      <w:r>
        <w:rPr/>
        <w:t>ongoing</w:t>
      </w:r>
      <w:r>
        <w:rPr>
          <w:spacing w:val="-8"/>
        </w:rPr>
        <w:t> </w:t>
      </w:r>
      <w:r>
        <w:rPr/>
        <w:t>longitudinal</w:t>
      </w:r>
      <w:r>
        <w:rPr>
          <w:spacing w:val="-8"/>
        </w:rPr>
        <w:t> </w:t>
      </w:r>
      <w:r>
        <w:rPr/>
        <w:t>SWAN</w:t>
      </w:r>
      <w:r>
        <w:rPr>
          <w:spacing w:val="-8"/>
        </w:rPr>
        <w:t> </w:t>
      </w:r>
      <w:r>
        <w:rPr/>
        <w:t>cohort</w:t>
      </w:r>
      <w:r>
        <w:rPr>
          <w:spacing w:val="-8"/>
        </w:rPr>
        <w:t> </w:t>
      </w:r>
      <w:r>
        <w:rPr/>
        <w:t>(Study</w:t>
      </w:r>
      <w:r>
        <w:rPr>
          <w:spacing w:val="-8"/>
        </w:rPr>
        <w:t> </w:t>
      </w:r>
      <w:r>
        <w:rPr/>
        <w:t>of</w:t>
      </w:r>
      <w:r>
        <w:rPr>
          <w:spacing w:val="-8"/>
        </w:rPr>
        <w:t> </w:t>
      </w:r>
      <w:r>
        <w:rPr/>
        <w:t>Women’s Health Across the Nation). Similar findings were observed in MsHeart/MsBrain studies that objectively affirmed VMS burden and imaging-based evidence of vascular detriment in association with severity of vasomotor burden. These observational studies have identified frequent and severe VMS as a risk for CVD and vascular health. Worsening lipid profile,</w:t>
      </w:r>
      <w:r>
        <w:rPr>
          <w:spacing w:val="-3"/>
        </w:rPr>
        <w:t> </w:t>
      </w:r>
      <w:r>
        <w:rPr/>
        <w:t>inflammatory</w:t>
      </w:r>
      <w:r>
        <w:rPr>
          <w:spacing w:val="-3"/>
        </w:rPr>
        <w:t> </w:t>
      </w:r>
      <w:r>
        <w:rPr/>
        <w:t>milieu,</w:t>
      </w:r>
      <w:r>
        <w:rPr>
          <w:spacing w:val="-3"/>
        </w:rPr>
        <w:t> </w:t>
      </w:r>
      <w:r>
        <w:rPr/>
        <w:t>higher</w:t>
      </w:r>
      <w:r>
        <w:rPr>
          <w:spacing w:val="-3"/>
        </w:rPr>
        <w:t> </w:t>
      </w:r>
      <w:r>
        <w:rPr/>
        <w:t>blood</w:t>
      </w:r>
      <w:r>
        <w:rPr>
          <w:spacing w:val="-3"/>
        </w:rPr>
        <w:t> </w:t>
      </w:r>
      <w:r>
        <w:rPr/>
        <w:t>pressure</w:t>
      </w:r>
      <w:r>
        <w:rPr>
          <w:spacing w:val="-3"/>
        </w:rPr>
        <w:t> </w:t>
      </w:r>
      <w:r>
        <w:rPr/>
        <w:t>indices,</w:t>
      </w:r>
      <w:r>
        <w:rPr>
          <w:spacing w:val="-3"/>
        </w:rPr>
        <w:t> </w:t>
      </w:r>
      <w:r>
        <w:rPr/>
        <w:t>and</w:t>
      </w:r>
      <w:r>
        <w:rPr>
          <w:spacing w:val="-3"/>
        </w:rPr>
        <w:t> </w:t>
      </w:r>
      <w:r>
        <w:rPr/>
        <w:t>evidence</w:t>
      </w:r>
      <w:r>
        <w:rPr>
          <w:spacing w:val="-3"/>
        </w:rPr>
        <w:t> </w:t>
      </w:r>
      <w:r>
        <w:rPr/>
        <w:t>of subclinical CVD have been observed in association with greater vasomotor </w:t>
      </w:r>
      <w:r>
        <w:rPr>
          <w:spacing w:val="-2"/>
        </w:rPr>
        <w:t>symptomatology.</w:t>
      </w:r>
    </w:p>
    <w:p>
      <w:pPr>
        <w:pStyle w:val="BodyText"/>
        <w:spacing w:before="56"/>
        <w:ind w:left="0"/>
        <w:jc w:val="left"/>
      </w:pPr>
    </w:p>
    <w:p>
      <w:pPr>
        <w:spacing w:line="249" w:lineRule="auto" w:before="0"/>
        <w:ind w:left="99" w:right="255" w:firstLine="0"/>
        <w:jc w:val="left"/>
        <w:rPr>
          <w:rFonts w:ascii="Arial"/>
          <w:b/>
          <w:sz w:val="30"/>
        </w:rPr>
      </w:pPr>
      <w:r>
        <w:rPr>
          <w:rFonts w:ascii="Arial"/>
          <w:b/>
          <w:color w:val="2674AE"/>
          <w:sz w:val="30"/>
        </w:rPr>
        <w:t>Cardiovascular</w:t>
      </w:r>
      <w:r>
        <w:rPr>
          <w:rFonts w:ascii="Arial"/>
          <w:b/>
          <w:color w:val="2674AE"/>
          <w:spacing w:val="-8"/>
          <w:sz w:val="30"/>
        </w:rPr>
        <w:t> </w:t>
      </w:r>
      <w:r>
        <w:rPr>
          <w:rFonts w:ascii="Arial"/>
          <w:b/>
          <w:color w:val="2674AE"/>
          <w:sz w:val="30"/>
        </w:rPr>
        <w:t>Disease,</w:t>
      </w:r>
      <w:r>
        <w:rPr>
          <w:rFonts w:ascii="Arial"/>
          <w:b/>
          <w:color w:val="2674AE"/>
          <w:spacing w:val="-8"/>
          <w:sz w:val="30"/>
        </w:rPr>
        <w:t> </w:t>
      </w:r>
      <w:r>
        <w:rPr>
          <w:rFonts w:ascii="Arial"/>
          <w:b/>
          <w:color w:val="2674AE"/>
          <w:sz w:val="30"/>
        </w:rPr>
        <w:t>Aging,</w:t>
      </w:r>
      <w:r>
        <w:rPr>
          <w:rFonts w:ascii="Arial"/>
          <w:b/>
          <w:color w:val="2674AE"/>
          <w:spacing w:val="-8"/>
          <w:sz w:val="30"/>
        </w:rPr>
        <w:t> </w:t>
      </w:r>
      <w:r>
        <w:rPr>
          <w:rFonts w:ascii="Arial"/>
          <w:b/>
          <w:color w:val="2674AE"/>
          <w:sz w:val="30"/>
        </w:rPr>
        <w:t>and</w:t>
      </w:r>
      <w:r>
        <w:rPr>
          <w:rFonts w:ascii="Arial"/>
          <w:b/>
          <w:color w:val="2674AE"/>
          <w:spacing w:val="-8"/>
          <w:sz w:val="30"/>
        </w:rPr>
        <w:t> </w:t>
      </w:r>
      <w:r>
        <w:rPr>
          <w:rFonts w:ascii="Arial"/>
          <w:b/>
          <w:color w:val="2674AE"/>
          <w:sz w:val="30"/>
        </w:rPr>
        <w:t>Menopause:</w:t>
      </w:r>
      <w:r>
        <w:rPr>
          <w:rFonts w:ascii="Arial"/>
          <w:b/>
          <w:color w:val="2674AE"/>
          <w:spacing w:val="-8"/>
          <w:sz w:val="30"/>
        </w:rPr>
        <w:t> </w:t>
      </w:r>
      <w:r>
        <w:rPr>
          <w:rFonts w:ascii="Arial"/>
          <w:b/>
          <w:color w:val="2674AE"/>
          <w:sz w:val="30"/>
        </w:rPr>
        <w:t>Concluding </w:t>
      </w:r>
      <w:r>
        <w:rPr>
          <w:rFonts w:ascii="Arial"/>
          <w:b/>
          <w:color w:val="2674AE"/>
          <w:spacing w:val="-2"/>
          <w:sz w:val="30"/>
        </w:rPr>
        <w:t>Thoughts</w:t>
      </w:r>
    </w:p>
    <w:p>
      <w:pPr>
        <w:pStyle w:val="BodyText"/>
        <w:spacing w:line="249" w:lineRule="auto" w:before="154"/>
        <w:ind w:right="97"/>
      </w:pPr>
      <w:r>
        <w:rPr/>
        <w:t>In the last 30 years, mortality from CHD has declined substantially in the United States. Improvements in medical and surgical care can account for some of this decline, but 60% to 70% of the improvement is due to timely implementation of preventive measures. Excellent data from epidemiologic studies and clinical trials demonstrate substantial contributions from strategies such as smoking cessation, blood pressure reduction, and lowering of cholesterol toward a documented decline in stroke and </w:t>
      </w:r>
      <w:r>
        <w:rPr/>
        <w:t>heart disease-related morbidity and mortality.</w:t>
      </w:r>
      <w:r>
        <w:rPr>
          <w:vertAlign w:val="superscript"/>
        </w:rPr>
        <w:t>484-486</w:t>
      </w:r>
      <w:r>
        <w:rPr>
          <w:vertAlign w:val="baseline"/>
        </w:rPr>
        <w:t> The most effective means to lower CHD in a population is through primary prevention, especially smoking cessation and body weight reduction. While physiologic levels of estrogen are clearly relevant for maintenance of cardiovascular health, however, the impact of exogenous estrogen on cardiovascular risk in aging postmenopausal</w:t>
      </w:r>
      <w:r>
        <w:rPr>
          <w:spacing w:val="53"/>
          <w:w w:val="150"/>
          <w:vertAlign w:val="baseline"/>
        </w:rPr>
        <w:t> </w:t>
      </w:r>
      <w:r>
        <w:rPr>
          <w:vertAlign w:val="baseline"/>
        </w:rPr>
        <w:t>women</w:t>
      </w:r>
      <w:r>
        <w:rPr>
          <w:spacing w:val="54"/>
          <w:w w:val="150"/>
          <w:vertAlign w:val="baseline"/>
        </w:rPr>
        <w:t> </w:t>
      </w:r>
      <w:r>
        <w:rPr>
          <w:vertAlign w:val="baseline"/>
        </w:rPr>
        <w:t>who</w:t>
      </w:r>
      <w:r>
        <w:rPr>
          <w:spacing w:val="53"/>
          <w:w w:val="150"/>
          <w:vertAlign w:val="baseline"/>
        </w:rPr>
        <w:t> </w:t>
      </w:r>
      <w:r>
        <w:rPr>
          <w:vertAlign w:val="baseline"/>
        </w:rPr>
        <w:t>are</w:t>
      </w:r>
      <w:r>
        <w:rPr>
          <w:spacing w:val="54"/>
          <w:w w:val="150"/>
          <w:vertAlign w:val="baseline"/>
        </w:rPr>
        <w:t> </w:t>
      </w:r>
      <w:r>
        <w:rPr>
          <w:vertAlign w:val="baseline"/>
        </w:rPr>
        <w:t>remote</w:t>
      </w:r>
      <w:r>
        <w:rPr>
          <w:spacing w:val="53"/>
          <w:w w:val="150"/>
          <w:vertAlign w:val="baseline"/>
        </w:rPr>
        <w:t> </w:t>
      </w:r>
      <w:r>
        <w:rPr>
          <w:vertAlign w:val="baseline"/>
        </w:rPr>
        <w:t>from</w:t>
      </w:r>
      <w:r>
        <w:rPr>
          <w:spacing w:val="54"/>
          <w:w w:val="150"/>
          <w:vertAlign w:val="baseline"/>
        </w:rPr>
        <w:t> </w:t>
      </w:r>
      <w:r>
        <w:rPr>
          <w:vertAlign w:val="baseline"/>
        </w:rPr>
        <w:t>the</w:t>
      </w:r>
      <w:r>
        <w:rPr>
          <w:spacing w:val="53"/>
          <w:w w:val="150"/>
          <w:vertAlign w:val="baseline"/>
        </w:rPr>
        <w:t> </w:t>
      </w:r>
      <w:r>
        <w:rPr>
          <w:vertAlign w:val="baseline"/>
        </w:rPr>
        <w:t>FMP</w:t>
      </w:r>
      <w:r>
        <w:rPr>
          <w:spacing w:val="54"/>
          <w:w w:val="150"/>
          <w:vertAlign w:val="baseline"/>
        </w:rPr>
        <w:t> </w:t>
      </w:r>
      <w:r>
        <w:rPr>
          <w:vertAlign w:val="baseline"/>
        </w:rPr>
        <w:t>is</w:t>
      </w:r>
      <w:r>
        <w:rPr>
          <w:spacing w:val="53"/>
          <w:w w:val="150"/>
          <w:vertAlign w:val="baseline"/>
        </w:rPr>
        <w:t> </w:t>
      </w:r>
      <w:r>
        <w:rPr>
          <w:vertAlign w:val="baseline"/>
        </w:rPr>
        <w:t>not</w:t>
      </w:r>
      <w:r>
        <w:rPr>
          <w:spacing w:val="54"/>
          <w:w w:val="150"/>
          <w:vertAlign w:val="baseline"/>
        </w:rPr>
        <w:t> </w:t>
      </w:r>
      <w:r>
        <w:rPr>
          <w:spacing w:val="-2"/>
          <w:vertAlign w:val="baseline"/>
        </w:rPr>
        <w:t>clearly</w:t>
      </w:r>
    </w:p>
    <w:p>
      <w:pPr>
        <w:pStyle w:val="BodyText"/>
        <w:spacing w:after="0" w:line="249" w:lineRule="auto"/>
        <w:sectPr>
          <w:pgSz w:w="12240" w:h="15840"/>
          <w:pgMar w:top="1380" w:bottom="280" w:left="1440" w:right="1440"/>
        </w:sectPr>
      </w:pPr>
    </w:p>
    <w:p>
      <w:pPr>
        <w:pStyle w:val="BodyText"/>
        <w:spacing w:line="249" w:lineRule="auto"/>
        <w:ind w:right="99"/>
      </w:pPr>
      <w:r>
        <w:rPr/>
        <w:t>delineated and may even be detrimental.</w:t>
      </w:r>
      <w:r>
        <w:rPr>
          <w:vertAlign w:val="superscript"/>
        </w:rPr>
        <w:t>487</w:t>
      </w:r>
      <w:r>
        <w:rPr>
          <w:vertAlign w:val="baseline"/>
        </w:rPr>
        <w:t> When attempting to </w:t>
      </w:r>
      <w:r>
        <w:rPr>
          <w:vertAlign w:val="baseline"/>
        </w:rPr>
        <w:t>understand the role of estrogens on cardiovascular risk, it is important to distinguish between endogenous and exogenous estrogens. In addition, more recent work has begun assessing the role of additional reproductive hormones (ie, FSH) as well as the relevance of vasomotor instability in itself as predictors of</w:t>
      </w:r>
      <w:r>
        <w:rPr>
          <w:spacing w:val="-4"/>
          <w:vertAlign w:val="baseline"/>
        </w:rPr>
        <w:t> </w:t>
      </w:r>
      <w:r>
        <w:rPr>
          <w:vertAlign w:val="baseline"/>
        </w:rPr>
        <w:t>cardiovascular</w:t>
      </w:r>
      <w:r>
        <w:rPr>
          <w:spacing w:val="-5"/>
          <w:vertAlign w:val="baseline"/>
        </w:rPr>
        <w:t> </w:t>
      </w:r>
      <w:r>
        <w:rPr>
          <w:vertAlign w:val="baseline"/>
        </w:rPr>
        <w:t>risk.</w:t>
      </w:r>
      <w:r>
        <w:rPr>
          <w:vertAlign w:val="superscript"/>
        </w:rPr>
        <w:t>487</w:t>
      </w:r>
      <w:r>
        <w:rPr>
          <w:vertAlign w:val="baseline"/>
        </w:rPr>
        <w:t> While the loss of premenopausal estradiol levels is believed to contribute to the escalation in CVD in postmenopausal years,</w:t>
      </w:r>
      <w:r>
        <w:rPr>
          <w:spacing w:val="40"/>
          <w:vertAlign w:val="baseline"/>
        </w:rPr>
        <w:t> </w:t>
      </w:r>
      <w:r>
        <w:rPr>
          <w:vertAlign w:val="baseline"/>
        </w:rPr>
        <w:t>the bulk of existing clinical data are “associative.” Appropriately designed studies are needed to better understand the spectrum of players (hormonal and nonhormonal) that may be relevant as causative to the processes that result in risk escalation for CVD as women progress along the stages of reproductive aging.</w:t>
      </w:r>
      <w:r>
        <w:rPr>
          <w:vertAlign w:val="superscript"/>
        </w:rPr>
        <w:t>487</w:t>
      </w:r>
    </w:p>
    <w:p>
      <w:pPr>
        <w:pStyle w:val="BodyText"/>
        <w:spacing w:before="58"/>
        <w:ind w:left="0"/>
        <w:jc w:val="left"/>
      </w:pPr>
    </w:p>
    <w:p>
      <w:pPr>
        <w:spacing w:before="0"/>
        <w:ind w:left="99" w:right="0" w:firstLine="0"/>
        <w:jc w:val="both"/>
        <w:rPr>
          <w:rFonts w:ascii="Arial"/>
          <w:b/>
          <w:sz w:val="30"/>
        </w:rPr>
      </w:pPr>
      <w:r>
        <w:rPr>
          <w:rFonts w:ascii="Arial"/>
          <w:b/>
          <w:color w:val="2674AE"/>
          <w:sz w:val="30"/>
        </w:rPr>
        <w:t>Special Patient </w:t>
      </w:r>
      <w:r>
        <w:rPr>
          <w:rFonts w:ascii="Arial"/>
          <w:b/>
          <w:color w:val="2674AE"/>
          <w:spacing w:val="-2"/>
          <w:sz w:val="30"/>
        </w:rPr>
        <w:t>Populations</w:t>
      </w:r>
    </w:p>
    <w:p>
      <w:pPr>
        <w:spacing w:before="167"/>
        <w:ind w:left="99" w:right="0" w:firstLine="0"/>
        <w:jc w:val="both"/>
        <w:rPr>
          <w:rFonts w:ascii="Arial"/>
          <w:b/>
          <w:i/>
          <w:position w:val="9"/>
          <w:sz w:val="17"/>
        </w:rPr>
      </w:pPr>
      <w:r>
        <w:rPr>
          <w:rFonts w:ascii="Arial"/>
          <w:b/>
          <w:i/>
          <w:color w:val="A0234E"/>
          <w:sz w:val="22"/>
        </w:rPr>
        <w:t>Human</w:t>
      </w:r>
      <w:r>
        <w:rPr>
          <w:rFonts w:ascii="Arial"/>
          <w:b/>
          <w:i/>
          <w:color w:val="A0234E"/>
          <w:spacing w:val="33"/>
          <w:sz w:val="22"/>
        </w:rPr>
        <w:t> </w:t>
      </w:r>
      <w:r>
        <w:rPr>
          <w:rFonts w:ascii="Arial"/>
          <w:b/>
          <w:i/>
          <w:color w:val="A0234E"/>
          <w:sz w:val="22"/>
        </w:rPr>
        <w:t>Immunodeficiency</w:t>
      </w:r>
      <w:r>
        <w:rPr>
          <w:rFonts w:ascii="Arial"/>
          <w:b/>
          <w:i/>
          <w:color w:val="A0234E"/>
          <w:spacing w:val="33"/>
          <w:sz w:val="22"/>
        </w:rPr>
        <w:t> </w:t>
      </w:r>
      <w:r>
        <w:rPr>
          <w:rFonts w:ascii="Arial"/>
          <w:b/>
          <w:i/>
          <w:color w:val="A0234E"/>
          <w:sz w:val="22"/>
        </w:rPr>
        <w:t>Virus</w:t>
      </w:r>
      <w:r>
        <w:rPr>
          <w:rFonts w:ascii="Arial"/>
          <w:b/>
          <w:i/>
          <w:color w:val="A0234E"/>
          <w:spacing w:val="34"/>
          <w:sz w:val="22"/>
        </w:rPr>
        <w:t> </w:t>
      </w:r>
      <w:r>
        <w:rPr>
          <w:rFonts w:ascii="Arial"/>
          <w:b/>
          <w:i/>
          <w:color w:val="A0234E"/>
          <w:sz w:val="22"/>
        </w:rPr>
        <w:t>and</w:t>
      </w:r>
      <w:r>
        <w:rPr>
          <w:rFonts w:ascii="Arial"/>
          <w:b/>
          <w:i/>
          <w:color w:val="A0234E"/>
          <w:spacing w:val="33"/>
          <w:sz w:val="22"/>
        </w:rPr>
        <w:t> </w:t>
      </w:r>
      <w:r>
        <w:rPr>
          <w:rFonts w:ascii="Arial"/>
          <w:b/>
          <w:i/>
          <w:color w:val="A0234E"/>
          <w:sz w:val="22"/>
        </w:rPr>
        <w:t>Menopause</w:t>
      </w:r>
      <w:r>
        <w:rPr>
          <w:rFonts w:ascii="Arial"/>
          <w:b/>
          <w:i/>
          <w:color w:val="A0234E"/>
          <w:position w:val="9"/>
          <w:sz w:val="17"/>
        </w:rPr>
        <w:t>488-</w:t>
      </w:r>
      <w:r>
        <w:rPr>
          <w:rFonts w:ascii="Arial"/>
          <w:b/>
          <w:i/>
          <w:color w:val="A0234E"/>
          <w:spacing w:val="-5"/>
          <w:position w:val="9"/>
          <w:sz w:val="17"/>
        </w:rPr>
        <w:t>491</w:t>
      </w:r>
    </w:p>
    <w:p>
      <w:pPr>
        <w:pStyle w:val="BodyText"/>
        <w:spacing w:line="249" w:lineRule="auto" w:before="138"/>
        <w:ind w:right="99"/>
      </w:pPr>
      <w:r>
        <w:rPr/>
        <w:t>There are accruing data analyzing an interplay between chronic </w:t>
      </w:r>
      <w:r>
        <w:rPr/>
        <w:t>infection with human immunodeficiency virus (HIV) with age at natural menopause and</w:t>
      </w:r>
      <w:r>
        <w:rPr>
          <w:spacing w:val="-9"/>
        </w:rPr>
        <w:t> </w:t>
      </w:r>
      <w:r>
        <w:rPr/>
        <w:t>menopausal</w:t>
      </w:r>
      <w:r>
        <w:rPr>
          <w:spacing w:val="-9"/>
        </w:rPr>
        <w:t> </w:t>
      </w:r>
      <w:r>
        <w:rPr/>
        <w:t>symptomatology.</w:t>
      </w:r>
      <w:r>
        <w:rPr>
          <w:spacing w:val="-10"/>
        </w:rPr>
        <w:t> </w:t>
      </w:r>
      <w:r>
        <w:rPr/>
        <w:t>With</w:t>
      </w:r>
      <w:r>
        <w:rPr>
          <w:spacing w:val="-9"/>
        </w:rPr>
        <w:t> </w:t>
      </w:r>
      <w:r>
        <w:rPr/>
        <w:t>improved</w:t>
      </w:r>
      <w:r>
        <w:rPr>
          <w:spacing w:val="-9"/>
        </w:rPr>
        <w:t> </w:t>
      </w:r>
      <w:r>
        <w:rPr/>
        <w:t>survivorship</w:t>
      </w:r>
      <w:r>
        <w:rPr>
          <w:spacing w:val="-9"/>
        </w:rPr>
        <w:t> </w:t>
      </w:r>
      <w:r>
        <w:rPr/>
        <w:t>secondary</w:t>
      </w:r>
      <w:r>
        <w:rPr>
          <w:spacing w:val="-9"/>
        </w:rPr>
        <w:t> </w:t>
      </w:r>
      <w:r>
        <w:rPr/>
        <w:t>to effective antiretroviral therapy, HIV-infected women are increasingly surviving into postmenopausal stage of life. An increasing number of observational studies are showing earlier age at menopause and greater menopausal symptom burden in the HIV-infected populations.</w:t>
      </w:r>
      <w:r>
        <w:rPr>
          <w:vertAlign w:val="superscript"/>
        </w:rPr>
        <w:t>488,489</w:t>
      </w:r>
      <w:r>
        <w:rPr>
          <w:vertAlign w:val="baseline"/>
        </w:rPr>
        <w:t> In a 2021 systematic review of eight studies, five showed an earlier age of menopause, between the ages of 46 to 50 versus 47 to 51, in HIV positive versus negative women.</w:t>
      </w:r>
      <w:r>
        <w:rPr>
          <w:vertAlign w:val="superscript"/>
        </w:rPr>
        <w:t>490</w:t>
      </w:r>
      <w:r>
        <w:rPr>
          <w:vertAlign w:val="baseline"/>
        </w:rPr>
        <w:t> Additionally, increased rates of POI and early menopause (2.3-35% and 14.6-27.9%, respectively) were noted in HIV-infected populations. However, study flaws were noted such as the lack of an HIV-negative control.</w:t>
      </w:r>
      <w:r>
        <w:rPr>
          <w:vertAlign w:val="superscript"/>
        </w:rPr>
        <w:t>490</w:t>
      </w:r>
      <w:r>
        <w:rPr>
          <w:vertAlign w:val="baseline"/>
        </w:rPr>
        <w:t> A correlation between low CD4 counts (&lt;200 cells/mm</w:t>
      </w:r>
      <w:r>
        <w:rPr>
          <w:vertAlign w:val="superscript"/>
        </w:rPr>
        <w:t>3</w:t>
      </w:r>
      <w:r>
        <w:rPr>
          <w:vertAlign w:val="baseline"/>
        </w:rPr>
        <w:t>, 200-500 cells/mm</w:t>
      </w:r>
      <w:r>
        <w:rPr>
          <w:vertAlign w:val="superscript"/>
        </w:rPr>
        <w:t>3</w:t>
      </w:r>
      <w:r>
        <w:rPr>
          <w:vertAlign w:val="baseline"/>
        </w:rPr>
        <w:t>, and &gt;500 cells/mm</w:t>
      </w:r>
      <w:r>
        <w:rPr>
          <w:vertAlign w:val="superscript"/>
        </w:rPr>
        <w:t>3</w:t>
      </w:r>
      <w:r>
        <w:rPr>
          <w:vertAlign w:val="baseline"/>
        </w:rPr>
        <w:t>) and decreasing age of FMP</w:t>
      </w:r>
      <w:r>
        <w:rPr>
          <w:spacing w:val="-3"/>
          <w:vertAlign w:val="baseline"/>
        </w:rPr>
        <w:t> </w:t>
      </w:r>
      <w:r>
        <w:rPr>
          <w:vertAlign w:val="baseline"/>
        </w:rPr>
        <w:t>has</w:t>
      </w:r>
      <w:r>
        <w:rPr>
          <w:spacing w:val="-3"/>
          <w:vertAlign w:val="baseline"/>
        </w:rPr>
        <w:t> </w:t>
      </w:r>
      <w:r>
        <w:rPr>
          <w:vertAlign w:val="baseline"/>
        </w:rPr>
        <w:t>been</w:t>
      </w:r>
      <w:r>
        <w:rPr>
          <w:spacing w:val="-3"/>
          <w:vertAlign w:val="baseline"/>
        </w:rPr>
        <w:t> </w:t>
      </w:r>
      <w:r>
        <w:rPr>
          <w:vertAlign w:val="baseline"/>
        </w:rPr>
        <w:t>inconsistently</w:t>
      </w:r>
      <w:r>
        <w:rPr>
          <w:spacing w:val="-3"/>
          <w:vertAlign w:val="baseline"/>
        </w:rPr>
        <w:t> </w:t>
      </w:r>
      <w:r>
        <w:rPr>
          <w:vertAlign w:val="baseline"/>
        </w:rPr>
        <w:t>recognized</w:t>
      </w:r>
      <w:r>
        <w:rPr>
          <w:spacing w:val="-3"/>
          <w:vertAlign w:val="baseline"/>
        </w:rPr>
        <w:t> </w:t>
      </w:r>
      <w:r>
        <w:rPr>
          <w:vertAlign w:val="baseline"/>
        </w:rPr>
        <w:t>(Imai).</w:t>
      </w:r>
      <w:r>
        <w:rPr>
          <w:spacing w:val="-3"/>
          <w:vertAlign w:val="baseline"/>
        </w:rPr>
        <w:t> </w:t>
      </w:r>
      <w:r>
        <w:rPr>
          <w:vertAlign w:val="baseline"/>
        </w:rPr>
        <w:t>Lastly,</w:t>
      </w:r>
      <w:r>
        <w:rPr>
          <w:spacing w:val="-1"/>
          <w:vertAlign w:val="baseline"/>
        </w:rPr>
        <w:t> </w:t>
      </w:r>
      <w:r>
        <w:rPr>
          <w:vertAlign w:val="baseline"/>
        </w:rPr>
        <w:t>there</w:t>
      </w:r>
      <w:r>
        <w:rPr>
          <w:spacing w:val="-1"/>
          <w:vertAlign w:val="baseline"/>
        </w:rPr>
        <w:t> </w:t>
      </w:r>
      <w:r>
        <w:rPr>
          <w:vertAlign w:val="baseline"/>
        </w:rPr>
        <w:t>are</w:t>
      </w:r>
      <w:r>
        <w:rPr>
          <w:spacing w:val="-1"/>
          <w:vertAlign w:val="baseline"/>
        </w:rPr>
        <w:t> </w:t>
      </w:r>
      <w:r>
        <w:rPr>
          <w:vertAlign w:val="baseline"/>
        </w:rPr>
        <w:t>conflicting results concerning a potentially decreased response to antiretroviral treatment with increasing age. The authors noted that these studies did not consider important variables that impact menopause, such as drug use, social/economical/educational factors, and race.</w:t>
      </w:r>
      <w:r>
        <w:rPr>
          <w:vertAlign w:val="superscript"/>
        </w:rPr>
        <w:t>488</w:t>
      </w:r>
      <w:r>
        <w:rPr>
          <w:vertAlign w:val="baseline"/>
        </w:rPr>
        <w:t> Additionally, a metaanalysis</w:t>
      </w:r>
      <w:r>
        <w:rPr>
          <w:spacing w:val="55"/>
          <w:vertAlign w:val="baseline"/>
        </w:rPr>
        <w:t> </w:t>
      </w:r>
      <w:r>
        <w:rPr>
          <w:vertAlign w:val="baseline"/>
        </w:rPr>
        <w:t>in</w:t>
      </w:r>
      <w:r>
        <w:rPr>
          <w:spacing w:val="55"/>
          <w:vertAlign w:val="baseline"/>
        </w:rPr>
        <w:t> </w:t>
      </w:r>
      <w:r>
        <w:rPr>
          <w:vertAlign w:val="baseline"/>
        </w:rPr>
        <w:t>2019</w:t>
      </w:r>
      <w:r>
        <w:rPr>
          <w:spacing w:val="55"/>
          <w:vertAlign w:val="baseline"/>
        </w:rPr>
        <w:t> </w:t>
      </w:r>
      <w:r>
        <w:rPr>
          <w:vertAlign w:val="baseline"/>
        </w:rPr>
        <w:t>noted</w:t>
      </w:r>
      <w:r>
        <w:rPr>
          <w:spacing w:val="55"/>
          <w:vertAlign w:val="baseline"/>
        </w:rPr>
        <w:t> </w:t>
      </w:r>
      <w:r>
        <w:rPr>
          <w:vertAlign w:val="baseline"/>
        </w:rPr>
        <w:t>a</w:t>
      </w:r>
      <w:r>
        <w:rPr>
          <w:spacing w:val="55"/>
          <w:vertAlign w:val="baseline"/>
        </w:rPr>
        <w:t> </w:t>
      </w:r>
      <w:r>
        <w:rPr>
          <w:vertAlign w:val="baseline"/>
        </w:rPr>
        <w:t>1.7</w:t>
      </w:r>
      <w:r>
        <w:rPr>
          <w:spacing w:val="55"/>
          <w:vertAlign w:val="baseline"/>
        </w:rPr>
        <w:t> </w:t>
      </w:r>
      <w:r>
        <w:rPr>
          <w:vertAlign w:val="baseline"/>
        </w:rPr>
        <w:t>increased</w:t>
      </w:r>
      <w:r>
        <w:rPr>
          <w:spacing w:val="55"/>
          <w:vertAlign w:val="baseline"/>
        </w:rPr>
        <w:t> </w:t>
      </w:r>
      <w:r>
        <w:rPr>
          <w:vertAlign w:val="baseline"/>
        </w:rPr>
        <w:t>odds</w:t>
      </w:r>
      <w:r>
        <w:rPr>
          <w:spacing w:val="55"/>
          <w:vertAlign w:val="baseline"/>
        </w:rPr>
        <w:t> </w:t>
      </w:r>
      <w:r>
        <w:rPr>
          <w:vertAlign w:val="baseline"/>
        </w:rPr>
        <w:t>ratio</w:t>
      </w:r>
      <w:r>
        <w:rPr>
          <w:spacing w:val="55"/>
          <w:vertAlign w:val="baseline"/>
        </w:rPr>
        <w:t> </w:t>
      </w:r>
      <w:r>
        <w:rPr>
          <w:vertAlign w:val="baseline"/>
        </w:rPr>
        <w:t>of</w:t>
      </w:r>
      <w:r>
        <w:rPr>
          <w:spacing w:val="55"/>
          <w:vertAlign w:val="baseline"/>
        </w:rPr>
        <w:t> </w:t>
      </w:r>
      <w:r>
        <w:rPr>
          <w:vertAlign w:val="baseline"/>
        </w:rPr>
        <w:t>amenorrhea</w:t>
      </w:r>
      <w:r>
        <w:rPr>
          <w:spacing w:val="55"/>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99"/>
      </w:pPr>
      <w:r>
        <w:rPr/>
        <w:t>women</w:t>
      </w:r>
      <w:r>
        <w:rPr>
          <w:spacing w:val="-7"/>
        </w:rPr>
        <w:t> </w:t>
      </w:r>
      <w:r>
        <w:rPr/>
        <w:t>living</w:t>
      </w:r>
      <w:r>
        <w:rPr>
          <w:spacing w:val="-7"/>
        </w:rPr>
        <w:t> </w:t>
      </w:r>
      <w:r>
        <w:rPr/>
        <w:t>with</w:t>
      </w:r>
      <w:r>
        <w:rPr>
          <w:spacing w:val="-7"/>
        </w:rPr>
        <w:t> </w:t>
      </w:r>
      <w:r>
        <w:rPr/>
        <w:t>HIV.</w:t>
      </w:r>
      <w:r>
        <w:rPr>
          <w:spacing w:val="-8"/>
        </w:rPr>
        <w:t> </w:t>
      </w:r>
      <w:r>
        <w:rPr/>
        <w:t>Given</w:t>
      </w:r>
      <w:r>
        <w:rPr>
          <w:spacing w:val="-5"/>
        </w:rPr>
        <w:t> </w:t>
      </w:r>
      <w:r>
        <w:rPr/>
        <w:t>the</w:t>
      </w:r>
      <w:r>
        <w:rPr>
          <w:spacing w:val="-5"/>
        </w:rPr>
        <w:t> </w:t>
      </w:r>
      <w:r>
        <w:rPr/>
        <w:t>adverse</w:t>
      </w:r>
      <w:r>
        <w:rPr>
          <w:spacing w:val="-5"/>
        </w:rPr>
        <w:t> </w:t>
      </w:r>
      <w:r>
        <w:rPr/>
        <w:t>impacts</w:t>
      </w:r>
      <w:r>
        <w:rPr>
          <w:spacing w:val="-5"/>
        </w:rPr>
        <w:t> </w:t>
      </w:r>
      <w:r>
        <w:rPr/>
        <w:t>of</w:t>
      </w:r>
      <w:r>
        <w:rPr>
          <w:spacing w:val="-5"/>
        </w:rPr>
        <w:t> </w:t>
      </w:r>
      <w:r>
        <w:rPr/>
        <w:t>hypoestrogenemia</w:t>
      </w:r>
      <w:r>
        <w:rPr>
          <w:spacing w:val="-5"/>
        </w:rPr>
        <w:t> </w:t>
      </w:r>
      <w:r>
        <w:rPr/>
        <w:t>on long-term bone, heart, and brain health, this remains a vulnerable</w:t>
      </w:r>
      <w:r>
        <w:rPr>
          <w:spacing w:val="40"/>
        </w:rPr>
        <w:t> </w:t>
      </w:r>
      <w:r>
        <w:rPr/>
        <w:t>population that requires additional care to identify those at risk early in </w:t>
      </w:r>
      <w:r>
        <w:rPr/>
        <w:t>the menopausal journey so as to allow opportunities for timely initiation of preventive strategies toward safeguarding overall health.</w:t>
      </w:r>
      <w:r>
        <w:rPr>
          <w:vertAlign w:val="superscript"/>
        </w:rPr>
        <w:t>491</w:t>
      </w:r>
    </w:p>
    <w:p>
      <w:pPr>
        <w:spacing w:before="305"/>
        <w:ind w:left="99" w:right="0" w:firstLine="0"/>
        <w:jc w:val="both"/>
        <w:rPr>
          <w:rFonts w:ascii="Arial"/>
          <w:b/>
          <w:i/>
          <w:sz w:val="22"/>
        </w:rPr>
      </w:pPr>
      <w:r>
        <w:rPr>
          <w:rFonts w:ascii="Arial"/>
          <w:b/>
          <w:i/>
          <w:color w:val="A0234E"/>
          <w:sz w:val="22"/>
        </w:rPr>
        <w:t>Primary</w:t>
      </w:r>
      <w:r>
        <w:rPr>
          <w:rFonts w:ascii="Arial"/>
          <w:b/>
          <w:i/>
          <w:color w:val="A0234E"/>
          <w:spacing w:val="17"/>
          <w:sz w:val="22"/>
        </w:rPr>
        <w:t> </w:t>
      </w:r>
      <w:r>
        <w:rPr>
          <w:rFonts w:ascii="Arial"/>
          <w:b/>
          <w:i/>
          <w:color w:val="A0234E"/>
          <w:sz w:val="22"/>
        </w:rPr>
        <w:t>(or</w:t>
      </w:r>
      <w:r>
        <w:rPr>
          <w:rFonts w:ascii="Arial"/>
          <w:b/>
          <w:i/>
          <w:color w:val="A0234E"/>
          <w:spacing w:val="18"/>
          <w:sz w:val="22"/>
        </w:rPr>
        <w:t> </w:t>
      </w:r>
      <w:r>
        <w:rPr>
          <w:rFonts w:ascii="Arial"/>
          <w:b/>
          <w:i/>
          <w:color w:val="A0234E"/>
          <w:sz w:val="22"/>
        </w:rPr>
        <w:t>Premature)</w:t>
      </w:r>
      <w:r>
        <w:rPr>
          <w:rFonts w:ascii="Arial"/>
          <w:b/>
          <w:i/>
          <w:color w:val="A0234E"/>
          <w:spacing w:val="18"/>
          <w:sz w:val="22"/>
        </w:rPr>
        <w:t> </w:t>
      </w:r>
      <w:r>
        <w:rPr>
          <w:rFonts w:ascii="Arial"/>
          <w:b/>
          <w:i/>
          <w:color w:val="A0234E"/>
          <w:sz w:val="22"/>
        </w:rPr>
        <w:t>Ovarian</w:t>
      </w:r>
      <w:r>
        <w:rPr>
          <w:rFonts w:ascii="Arial"/>
          <w:b/>
          <w:i/>
          <w:color w:val="A0234E"/>
          <w:spacing w:val="18"/>
          <w:sz w:val="22"/>
        </w:rPr>
        <w:t> </w:t>
      </w:r>
      <w:r>
        <w:rPr>
          <w:rFonts w:ascii="Arial"/>
          <w:b/>
          <w:i/>
          <w:color w:val="A0234E"/>
          <w:sz w:val="22"/>
        </w:rPr>
        <w:t>Insufficiency</w:t>
      </w:r>
      <w:r>
        <w:rPr>
          <w:rFonts w:ascii="Arial"/>
          <w:b/>
          <w:i/>
          <w:color w:val="A0234E"/>
          <w:spacing w:val="17"/>
          <w:sz w:val="22"/>
        </w:rPr>
        <w:t> </w:t>
      </w:r>
      <w:r>
        <w:rPr>
          <w:rFonts w:ascii="Arial"/>
          <w:b/>
          <w:i/>
          <w:color w:val="A0234E"/>
          <w:spacing w:val="-2"/>
          <w:sz w:val="22"/>
        </w:rPr>
        <w:t>(POI)</w:t>
      </w:r>
    </w:p>
    <w:p>
      <w:pPr>
        <w:pStyle w:val="BodyText"/>
        <w:spacing w:line="249" w:lineRule="auto" w:before="123"/>
        <w:ind w:right="101"/>
      </w:pPr>
      <w:r>
        <w:rPr/>
        <w:t>POI is distinct from age-appropriate natural menopause, in that onset of ovarian insufficiency occurs before age 40, and is discussed in detail in Chapter 10. While the endocrinology and the symptomatology of POI are similar to that of natural menopause, the course and pathophysiology of</w:t>
      </w:r>
      <w:r>
        <w:rPr>
          <w:spacing w:val="40"/>
        </w:rPr>
        <w:t> </w:t>
      </w:r>
      <w:r>
        <w:rPr/>
        <w:t>POI differ from natural menopause in many respects. Ovaries of women with POI demonstrate residual dormant ovarian follicles in a higher density than seen in naturally menopausal women. Unlike natural menopause, episodic resumption of ovarian follicular growth can be seen in up to 10% of women with POI, and spontaneous conceptions have also </w:t>
      </w:r>
      <w:r>
        <w:rPr/>
        <w:t>been</w:t>
      </w:r>
      <w:r>
        <w:rPr>
          <w:spacing w:val="80"/>
        </w:rPr>
        <w:t> </w:t>
      </w:r>
      <w:r>
        <w:rPr>
          <w:spacing w:val="-2"/>
        </w:rPr>
        <w:t>described.</w:t>
      </w:r>
    </w:p>
    <w:p>
      <w:pPr>
        <w:spacing w:line="256" w:lineRule="auto" w:before="313"/>
        <w:ind w:left="99" w:right="255" w:firstLine="0"/>
        <w:jc w:val="left"/>
        <w:rPr>
          <w:rFonts w:ascii="Arial" w:hAnsi="Arial"/>
          <w:b/>
          <w:i/>
          <w:sz w:val="22"/>
        </w:rPr>
      </w:pPr>
      <w:r>
        <w:rPr>
          <w:rFonts w:ascii="Arial" w:hAnsi="Arial"/>
          <w:b/>
          <w:i/>
          <w:color w:val="A0234E"/>
          <w:sz w:val="22"/>
        </w:rPr>
        <w:t>Diminished or Poor Ovarian Reserve</w:t>
      </w:r>
      <w:r>
        <w:rPr>
          <w:rFonts w:ascii="Arial" w:hAnsi="Arial"/>
          <w:b/>
          <w:i/>
          <w:color w:val="A0234E"/>
          <w:position w:val="9"/>
          <w:sz w:val="17"/>
        </w:rPr>
        <w:t>492-494</w:t>
      </w:r>
      <w:r>
        <w:rPr>
          <w:rFonts w:ascii="Arial" w:hAnsi="Arial"/>
          <w:b/>
          <w:i/>
          <w:color w:val="A0234E"/>
          <w:sz w:val="22"/>
        </w:rPr>
        <w:t>—A Distinct Phase in Paradigm of</w:t>
      </w:r>
      <w:r>
        <w:rPr>
          <w:rFonts w:ascii="Arial" w:hAnsi="Arial"/>
          <w:b/>
          <w:i/>
          <w:color w:val="A0234E"/>
          <w:sz w:val="22"/>
        </w:rPr>
        <w:t> Reproductive Aging?</w:t>
      </w:r>
    </w:p>
    <w:p>
      <w:pPr>
        <w:pStyle w:val="BodyText"/>
        <w:spacing w:line="249" w:lineRule="auto" w:before="105"/>
        <w:ind w:right="97"/>
      </w:pPr>
      <w:r>
        <w:rPr/>
        <w:t>Diminished ovarian reserve (DOR) or poor ovarian reserve (POR) is a distinct clinical entity that relates to infertility. Unlike POI, women with DOR or POR are deemed premenopausal in experiencing regular menstrual cycles despite biochemical evidence of impending ovarian insufficiency (elevated FSH and low to undetectable AMH levels). Therefore, based on menstrual cyclicity alone, one would assume that appropriate levels of reproductive hormones are present and thus protective for general </w:t>
      </w:r>
      <w:r>
        <w:rPr/>
        <w:t>well-being, and for skeletal and cardiovascular health, in particular. However, does the reduced oocyte supply impact age at menopause or long-term health risks? One cross-sectional study of 89 premenopausal women with</w:t>
      </w:r>
      <w:r>
        <w:rPr>
          <w:spacing w:val="40"/>
        </w:rPr>
        <w:t> </w:t>
      </w:r>
      <w:r>
        <w:rPr/>
        <w:t>28 patients with DOR attempted to answer this question by analyzing data on quality of life and bone health. Upregulation of bone turnover markers, lesser bone mass, and an increase in sleep disturbances and sexual dissatisfaction were observed in reproductive age women with DOR compared to those with normal ovarian reserve.</w:t>
      </w:r>
      <w:r>
        <w:rPr>
          <w:vertAlign w:val="superscript"/>
        </w:rPr>
        <w:t>492</w:t>
      </w:r>
      <w:r>
        <w:rPr>
          <w:vertAlign w:val="baseline"/>
        </w:rPr>
        <w:t> Others compared cardiovascular</w:t>
      </w:r>
      <w:r>
        <w:rPr>
          <w:spacing w:val="15"/>
          <w:vertAlign w:val="baseline"/>
        </w:rPr>
        <w:t> </w:t>
      </w:r>
      <w:r>
        <w:rPr>
          <w:vertAlign w:val="baseline"/>
        </w:rPr>
        <w:t>risk</w:t>
      </w:r>
      <w:r>
        <w:rPr>
          <w:spacing w:val="15"/>
          <w:vertAlign w:val="baseline"/>
        </w:rPr>
        <w:t> </w:t>
      </w:r>
      <w:r>
        <w:rPr>
          <w:vertAlign w:val="baseline"/>
        </w:rPr>
        <w:t>markers</w:t>
      </w:r>
      <w:r>
        <w:rPr>
          <w:spacing w:val="15"/>
          <w:vertAlign w:val="baseline"/>
        </w:rPr>
        <w:t> </w:t>
      </w:r>
      <w:r>
        <w:rPr>
          <w:vertAlign w:val="baseline"/>
        </w:rPr>
        <w:t>in</w:t>
      </w:r>
      <w:r>
        <w:rPr>
          <w:spacing w:val="15"/>
          <w:vertAlign w:val="baseline"/>
        </w:rPr>
        <w:t> </w:t>
      </w:r>
      <w:r>
        <w:rPr>
          <w:vertAlign w:val="baseline"/>
        </w:rPr>
        <w:t>DOR</w:t>
      </w:r>
      <w:r>
        <w:rPr>
          <w:spacing w:val="15"/>
          <w:vertAlign w:val="baseline"/>
        </w:rPr>
        <w:t> </w:t>
      </w:r>
      <w:r>
        <w:rPr>
          <w:vertAlign w:val="baseline"/>
        </w:rPr>
        <w:t>versus</w:t>
      </w:r>
      <w:r>
        <w:rPr>
          <w:spacing w:val="15"/>
          <w:vertAlign w:val="baseline"/>
        </w:rPr>
        <w:t> </w:t>
      </w:r>
      <w:r>
        <w:rPr>
          <w:vertAlign w:val="baseline"/>
        </w:rPr>
        <w:t>normal</w:t>
      </w:r>
      <w:r>
        <w:rPr>
          <w:spacing w:val="15"/>
          <w:vertAlign w:val="baseline"/>
        </w:rPr>
        <w:t> </w:t>
      </w:r>
      <w:r>
        <w:rPr>
          <w:vertAlign w:val="baseline"/>
        </w:rPr>
        <w:t>ovarian</w:t>
      </w:r>
      <w:r>
        <w:rPr>
          <w:spacing w:val="15"/>
          <w:vertAlign w:val="baseline"/>
        </w:rPr>
        <w:t> </w:t>
      </w:r>
      <w:r>
        <w:rPr>
          <w:vertAlign w:val="baseline"/>
        </w:rPr>
        <w:t>reserve</w:t>
      </w:r>
      <w:r>
        <w:rPr>
          <w:spacing w:val="15"/>
          <w:vertAlign w:val="baseline"/>
        </w:rPr>
        <w:t> </w:t>
      </w:r>
      <w:r>
        <w:rPr>
          <w:spacing w:val="-2"/>
          <w:vertAlign w:val="baseline"/>
        </w:rPr>
        <w:t>patients</w:t>
      </w:r>
    </w:p>
    <w:p>
      <w:pPr>
        <w:pStyle w:val="BodyText"/>
        <w:spacing w:after="0" w:line="249" w:lineRule="auto"/>
        <w:sectPr>
          <w:pgSz w:w="12240" w:h="15840"/>
          <w:pgMar w:top="1380" w:bottom="280" w:left="1440" w:right="1440"/>
        </w:sectPr>
      </w:pPr>
    </w:p>
    <w:p>
      <w:pPr>
        <w:pStyle w:val="BodyText"/>
        <w:tabs>
          <w:tab w:pos="779" w:val="left" w:leader="none"/>
          <w:tab w:pos="1609" w:val="left" w:leader="none"/>
          <w:tab w:pos="2175" w:val="left" w:leader="none"/>
          <w:tab w:pos="2736" w:val="left" w:leader="none"/>
          <w:tab w:pos="3138" w:val="left" w:leader="none"/>
          <w:tab w:pos="4062" w:val="left" w:leader="none"/>
          <w:tab w:pos="5133" w:val="left" w:leader="none"/>
          <w:tab w:pos="5722" w:val="left" w:leader="none"/>
          <w:tab w:pos="5813" w:val="left" w:leader="none"/>
          <w:tab w:pos="6199" w:val="left" w:leader="none"/>
          <w:tab w:pos="7242" w:val="left" w:leader="none"/>
          <w:tab w:pos="7309" w:val="left" w:leader="none"/>
          <w:tab w:pos="8338" w:val="left" w:leader="none"/>
          <w:tab w:pos="8670" w:val="left" w:leader="none"/>
        </w:tabs>
        <w:spacing w:line="249" w:lineRule="auto"/>
        <w:ind w:right="97"/>
        <w:jc w:val="right"/>
      </w:pPr>
      <w:r>
        <w:rPr>
          <w:spacing w:val="-4"/>
        </w:rPr>
        <w:t>and</w:t>
      </w:r>
      <w:r>
        <w:rPr/>
        <w:tab/>
      </w:r>
      <w:r>
        <w:rPr>
          <w:spacing w:val="-2"/>
        </w:rPr>
        <w:t>identified</w:t>
      </w:r>
      <w:r>
        <w:rPr/>
        <w:tab/>
      </w:r>
      <w:r>
        <w:rPr>
          <w:spacing w:val="-2"/>
        </w:rPr>
        <w:t>worse</w:t>
      </w:r>
      <w:r>
        <w:rPr/>
        <w:tab/>
      </w:r>
      <w:r>
        <w:rPr>
          <w:spacing w:val="-2"/>
        </w:rPr>
        <w:t>cardiovascular</w:t>
      </w:r>
      <w:r>
        <w:rPr/>
        <w:tab/>
      </w:r>
      <w:r>
        <w:rPr>
          <w:spacing w:val="-4"/>
        </w:rPr>
        <w:t>and</w:t>
      </w:r>
      <w:r>
        <w:rPr/>
        <w:tab/>
        <w:tab/>
      </w:r>
      <w:r>
        <w:rPr>
          <w:spacing w:val="-2"/>
        </w:rPr>
        <w:t>metabolic</w:t>
      </w:r>
      <w:r>
        <w:rPr/>
        <w:tab/>
      </w:r>
      <w:r>
        <w:rPr>
          <w:spacing w:val="-2"/>
        </w:rPr>
        <w:t>indices</w:t>
      </w:r>
      <w:r>
        <w:rPr/>
        <w:tab/>
      </w:r>
      <w:r>
        <w:rPr>
          <w:spacing w:val="-2"/>
        </w:rPr>
        <w:t>(insulin </w:t>
      </w:r>
      <w:r>
        <w:rPr/>
        <w:t>resistance;</w:t>
      </w:r>
      <w:r>
        <w:rPr>
          <w:spacing w:val="80"/>
        </w:rPr>
        <w:t> </w:t>
      </w:r>
      <w:r>
        <w:rPr/>
        <w:t>higher</w:t>
      </w:r>
      <w:r>
        <w:rPr>
          <w:spacing w:val="80"/>
        </w:rPr>
        <w:t> </w:t>
      </w:r>
      <w:r>
        <w:rPr/>
        <w:t>CRP,</w:t>
      </w:r>
      <w:r>
        <w:rPr>
          <w:spacing w:val="80"/>
        </w:rPr>
        <w:t> </w:t>
      </w:r>
      <w:r>
        <w:rPr/>
        <w:t>triglyceride,</w:t>
      </w:r>
      <w:r>
        <w:rPr>
          <w:spacing w:val="80"/>
        </w:rPr>
        <w:t> </w:t>
      </w:r>
      <w:r>
        <w:rPr/>
        <w:t>and</w:t>
      </w:r>
      <w:r>
        <w:rPr>
          <w:spacing w:val="80"/>
        </w:rPr>
        <w:t> </w:t>
      </w:r>
      <w:r>
        <w:rPr/>
        <w:t>LDL</w:t>
      </w:r>
      <w:r>
        <w:rPr>
          <w:spacing w:val="80"/>
        </w:rPr>
        <w:t> </w:t>
      </w:r>
      <w:r>
        <w:rPr/>
        <w:t>levels;</w:t>
      </w:r>
      <w:r>
        <w:rPr>
          <w:spacing w:val="80"/>
        </w:rPr>
        <w:t> </w:t>
      </w:r>
      <w:r>
        <w:rPr/>
        <w:t>and</w:t>
      </w:r>
      <w:r>
        <w:rPr>
          <w:spacing w:val="80"/>
        </w:rPr>
        <w:t> </w:t>
      </w:r>
      <w:r>
        <w:rPr/>
        <w:t>lower</w:t>
      </w:r>
      <w:r>
        <w:rPr>
          <w:spacing w:val="80"/>
        </w:rPr>
        <w:t> </w:t>
      </w:r>
      <w:r>
        <w:rPr/>
        <w:t>HDL levels)</w:t>
      </w:r>
      <w:r>
        <w:rPr>
          <w:spacing w:val="40"/>
        </w:rPr>
        <w:t> </w:t>
      </w:r>
      <w:r>
        <w:rPr/>
        <w:t>in</w:t>
      </w:r>
      <w:r>
        <w:rPr>
          <w:spacing w:val="40"/>
        </w:rPr>
        <w:t> </w:t>
      </w:r>
      <w:r>
        <w:rPr/>
        <w:t>women</w:t>
      </w:r>
      <w:r>
        <w:rPr>
          <w:spacing w:val="40"/>
        </w:rPr>
        <w:t> </w:t>
      </w:r>
      <w:r>
        <w:rPr/>
        <w:t>with</w:t>
      </w:r>
      <w:r>
        <w:rPr>
          <w:spacing w:val="40"/>
        </w:rPr>
        <w:t> </w:t>
      </w:r>
      <w:r>
        <w:rPr/>
        <w:t>DOR.</w:t>
      </w:r>
      <w:r>
        <w:rPr>
          <w:vertAlign w:val="superscript"/>
        </w:rPr>
        <w:t>493,494</w:t>
      </w:r>
      <w:r>
        <w:rPr>
          <w:spacing w:val="40"/>
          <w:vertAlign w:val="baseline"/>
        </w:rPr>
        <w:t> </w:t>
      </w:r>
      <w:r>
        <w:rPr>
          <w:vertAlign w:val="baseline"/>
        </w:rPr>
        <w:t>The</w:t>
      </w:r>
      <w:r>
        <w:rPr>
          <w:spacing w:val="40"/>
          <w:vertAlign w:val="baseline"/>
        </w:rPr>
        <w:t> </w:t>
      </w:r>
      <w:r>
        <w:rPr>
          <w:vertAlign w:val="baseline"/>
        </w:rPr>
        <w:t>literature</w:t>
      </w:r>
      <w:r>
        <w:rPr>
          <w:spacing w:val="40"/>
          <w:vertAlign w:val="baseline"/>
        </w:rPr>
        <w:t> </w:t>
      </w:r>
      <w:r>
        <w:rPr>
          <w:vertAlign w:val="baseline"/>
        </w:rPr>
        <w:t>around</w:t>
      </w:r>
      <w:r>
        <w:rPr>
          <w:spacing w:val="40"/>
          <w:vertAlign w:val="baseline"/>
        </w:rPr>
        <w:t> </w:t>
      </w:r>
      <w:r>
        <w:rPr>
          <w:vertAlign w:val="baseline"/>
        </w:rPr>
        <w:t>POR</w:t>
      </w:r>
      <w:r>
        <w:rPr>
          <w:spacing w:val="40"/>
          <w:vertAlign w:val="baseline"/>
        </w:rPr>
        <w:t> </w:t>
      </w:r>
      <w:r>
        <w:rPr>
          <w:vertAlign w:val="baseline"/>
        </w:rPr>
        <w:t>and</w:t>
      </w:r>
      <w:r>
        <w:rPr>
          <w:spacing w:val="40"/>
          <w:vertAlign w:val="baseline"/>
        </w:rPr>
        <w:t> </w:t>
      </w:r>
      <w:r>
        <w:rPr>
          <w:vertAlign w:val="baseline"/>
        </w:rPr>
        <w:t>age</w:t>
      </w:r>
      <w:r>
        <w:rPr>
          <w:spacing w:val="40"/>
          <w:vertAlign w:val="baseline"/>
        </w:rPr>
        <w:t> </w:t>
      </w:r>
      <w:r>
        <w:rPr>
          <w:vertAlign w:val="baseline"/>
        </w:rPr>
        <w:t>at menopause is even more sparse. One small, single site retrospective cohort study saw an increased risk of premature and early menopause (3% vs 0%; 11%</w:t>
      </w:r>
      <w:r>
        <w:rPr>
          <w:spacing w:val="80"/>
          <w:vertAlign w:val="baseline"/>
        </w:rPr>
        <w:t> </w:t>
      </w:r>
      <w:r>
        <w:rPr>
          <w:vertAlign w:val="baseline"/>
        </w:rPr>
        <w:t>vs</w:t>
      </w:r>
      <w:r>
        <w:rPr>
          <w:spacing w:val="80"/>
          <w:vertAlign w:val="baseline"/>
        </w:rPr>
        <w:t> </w:t>
      </w:r>
      <w:r>
        <w:rPr>
          <w:vertAlign w:val="baseline"/>
        </w:rPr>
        <w:t>3%,</w:t>
      </w:r>
      <w:r>
        <w:rPr>
          <w:spacing w:val="80"/>
          <w:vertAlign w:val="baseline"/>
        </w:rPr>
        <w:t> </w:t>
      </w:r>
      <w:r>
        <w:rPr>
          <w:vertAlign w:val="baseline"/>
        </w:rPr>
        <w:t>respectively)</w:t>
      </w:r>
      <w:r>
        <w:rPr>
          <w:spacing w:val="80"/>
          <w:vertAlign w:val="baseline"/>
        </w:rPr>
        <w:t> </w:t>
      </w:r>
      <w:r>
        <w:rPr>
          <w:vertAlign w:val="baseline"/>
        </w:rPr>
        <w:t>in</w:t>
      </w:r>
      <w:r>
        <w:rPr>
          <w:spacing w:val="80"/>
          <w:vertAlign w:val="baseline"/>
        </w:rPr>
        <w:t> </w:t>
      </w:r>
      <w:r>
        <w:rPr>
          <w:vertAlign w:val="baseline"/>
        </w:rPr>
        <w:t>infertile</w:t>
      </w:r>
      <w:r>
        <w:rPr>
          <w:spacing w:val="80"/>
          <w:vertAlign w:val="baseline"/>
        </w:rPr>
        <w:t> </w:t>
      </w:r>
      <w:r>
        <w:rPr>
          <w:vertAlign w:val="baseline"/>
        </w:rPr>
        <w:t>women</w:t>
      </w:r>
      <w:r>
        <w:rPr>
          <w:spacing w:val="80"/>
          <w:vertAlign w:val="baseline"/>
        </w:rPr>
        <w:t> </w:t>
      </w:r>
      <w:r>
        <w:rPr>
          <w:vertAlign w:val="baseline"/>
        </w:rPr>
        <w:t>who</w:t>
      </w:r>
      <w:r>
        <w:rPr>
          <w:spacing w:val="80"/>
          <w:vertAlign w:val="baseline"/>
        </w:rPr>
        <w:t> </w:t>
      </w:r>
      <w:r>
        <w:rPr>
          <w:vertAlign w:val="baseline"/>
        </w:rPr>
        <w:t>underwent</w:t>
      </w:r>
      <w:r>
        <w:rPr>
          <w:spacing w:val="80"/>
          <w:vertAlign w:val="baseline"/>
        </w:rPr>
        <w:t> </w:t>
      </w:r>
      <w:r>
        <w:rPr>
          <w:vertAlign w:val="baseline"/>
        </w:rPr>
        <w:t>artificial reproductive techniques and who were classified as POR versus those with normal</w:t>
      </w:r>
      <w:r>
        <w:rPr>
          <w:spacing w:val="40"/>
          <w:vertAlign w:val="baseline"/>
        </w:rPr>
        <w:t> </w:t>
      </w:r>
      <w:r>
        <w:rPr>
          <w:vertAlign w:val="baseline"/>
        </w:rPr>
        <w:t>ovarian</w:t>
      </w:r>
      <w:r>
        <w:rPr>
          <w:spacing w:val="40"/>
          <w:vertAlign w:val="baseline"/>
        </w:rPr>
        <w:t> </w:t>
      </w:r>
      <w:r>
        <w:rPr>
          <w:vertAlign w:val="baseline"/>
        </w:rPr>
        <w:t>reserve.</w:t>
      </w:r>
      <w:r>
        <w:rPr>
          <w:vertAlign w:val="superscript"/>
        </w:rPr>
        <w:t>495</w:t>
      </w:r>
      <w:r>
        <w:rPr>
          <w:spacing w:val="40"/>
          <w:vertAlign w:val="baseline"/>
        </w:rPr>
        <w:t> </w:t>
      </w:r>
      <w:r>
        <w:rPr>
          <w:vertAlign w:val="baseline"/>
        </w:rPr>
        <w:t>Although</w:t>
      </w:r>
      <w:r>
        <w:rPr>
          <w:spacing w:val="40"/>
          <w:vertAlign w:val="baseline"/>
        </w:rPr>
        <w:t> </w:t>
      </w:r>
      <w:r>
        <w:rPr>
          <w:vertAlign w:val="baseline"/>
        </w:rPr>
        <w:t>more</w:t>
      </w:r>
      <w:r>
        <w:rPr>
          <w:spacing w:val="40"/>
          <w:vertAlign w:val="baseline"/>
        </w:rPr>
        <w:t> </w:t>
      </w:r>
      <w:r>
        <w:rPr>
          <w:vertAlign w:val="baseline"/>
        </w:rPr>
        <w:t>studies</w:t>
      </w:r>
      <w:r>
        <w:rPr>
          <w:spacing w:val="40"/>
          <w:vertAlign w:val="baseline"/>
        </w:rPr>
        <w:t> </w:t>
      </w:r>
      <w:r>
        <w:rPr>
          <w:vertAlign w:val="baseline"/>
        </w:rPr>
        <w:t>are</w:t>
      </w:r>
      <w:r>
        <w:rPr>
          <w:spacing w:val="40"/>
          <w:vertAlign w:val="baseline"/>
        </w:rPr>
        <w:t> </w:t>
      </w:r>
      <w:r>
        <w:rPr>
          <w:vertAlign w:val="baseline"/>
        </w:rPr>
        <w:t>needed</w:t>
      </w:r>
      <w:r>
        <w:rPr>
          <w:spacing w:val="40"/>
          <w:vertAlign w:val="baseline"/>
        </w:rPr>
        <w:t> </w:t>
      </w:r>
      <w:r>
        <w:rPr>
          <w:vertAlign w:val="baseline"/>
        </w:rPr>
        <w:t>to</w:t>
      </w:r>
      <w:r>
        <w:rPr>
          <w:spacing w:val="40"/>
          <w:vertAlign w:val="baseline"/>
        </w:rPr>
        <w:t> </w:t>
      </w:r>
      <w:r>
        <w:rPr>
          <w:vertAlign w:val="baseline"/>
        </w:rPr>
        <w:t>validate these</w:t>
      </w:r>
      <w:r>
        <w:rPr>
          <w:spacing w:val="80"/>
          <w:vertAlign w:val="baseline"/>
        </w:rPr>
        <w:t> </w:t>
      </w:r>
      <w:r>
        <w:rPr>
          <w:vertAlign w:val="baseline"/>
        </w:rPr>
        <w:t>observations,</w:t>
      </w:r>
      <w:r>
        <w:rPr>
          <w:spacing w:val="80"/>
          <w:vertAlign w:val="baseline"/>
        </w:rPr>
        <w:t> </w:t>
      </w:r>
      <w:r>
        <w:rPr>
          <w:vertAlign w:val="baseline"/>
        </w:rPr>
        <w:t>preliminary</w:t>
      </w:r>
      <w:r>
        <w:rPr>
          <w:spacing w:val="80"/>
          <w:vertAlign w:val="baseline"/>
        </w:rPr>
        <w:t> </w:t>
      </w:r>
      <w:r>
        <w:rPr>
          <w:vertAlign w:val="baseline"/>
        </w:rPr>
        <w:t>data</w:t>
      </w:r>
      <w:r>
        <w:rPr>
          <w:spacing w:val="80"/>
          <w:vertAlign w:val="baseline"/>
        </w:rPr>
        <w:t> </w:t>
      </w:r>
      <w:r>
        <w:rPr>
          <w:vertAlign w:val="baseline"/>
        </w:rPr>
        <w:t>are</w:t>
      </w:r>
      <w:r>
        <w:rPr>
          <w:spacing w:val="80"/>
          <w:vertAlign w:val="baseline"/>
        </w:rPr>
        <w:t> </w:t>
      </w:r>
      <w:r>
        <w:rPr>
          <w:vertAlign w:val="baseline"/>
        </w:rPr>
        <w:t>concerning</w:t>
      </w:r>
      <w:r>
        <w:rPr>
          <w:spacing w:val="80"/>
          <w:vertAlign w:val="baseline"/>
        </w:rPr>
        <w:t> </w:t>
      </w:r>
      <w:r>
        <w:rPr>
          <w:vertAlign w:val="baseline"/>
        </w:rPr>
        <w:t>that</w:t>
      </w:r>
      <w:r>
        <w:rPr>
          <w:spacing w:val="80"/>
          <w:vertAlign w:val="baseline"/>
        </w:rPr>
        <w:t> </w:t>
      </w:r>
      <w:r>
        <w:rPr>
          <w:vertAlign w:val="baseline"/>
        </w:rPr>
        <w:t>women</w:t>
      </w:r>
      <w:r>
        <w:rPr>
          <w:spacing w:val="80"/>
          <w:vertAlign w:val="baseline"/>
        </w:rPr>
        <w:t> </w:t>
      </w:r>
      <w:r>
        <w:rPr>
          <w:vertAlign w:val="baseline"/>
        </w:rPr>
        <w:t>with</w:t>
      </w:r>
      <w:r>
        <w:rPr>
          <w:spacing w:val="40"/>
          <w:vertAlign w:val="baseline"/>
        </w:rPr>
        <w:t> </w:t>
      </w:r>
      <w:r>
        <w:rPr>
          <w:vertAlign w:val="baseline"/>
        </w:rPr>
        <w:t>DOR/POR</w:t>
      </w:r>
      <w:r>
        <w:rPr>
          <w:spacing w:val="40"/>
          <w:vertAlign w:val="baseline"/>
        </w:rPr>
        <w:t> </w:t>
      </w:r>
      <w:r>
        <w:rPr>
          <w:vertAlign w:val="baseline"/>
        </w:rPr>
        <w:t>may</w:t>
      </w:r>
      <w:r>
        <w:rPr>
          <w:spacing w:val="40"/>
          <w:vertAlign w:val="baseline"/>
        </w:rPr>
        <w:t> </w:t>
      </w:r>
      <w:r>
        <w:rPr>
          <w:vertAlign w:val="baseline"/>
        </w:rPr>
        <w:t>represent</w:t>
      </w:r>
      <w:r>
        <w:rPr>
          <w:spacing w:val="40"/>
          <w:vertAlign w:val="baseline"/>
        </w:rPr>
        <w:t> </w:t>
      </w:r>
      <w:r>
        <w:rPr>
          <w:vertAlign w:val="baseline"/>
        </w:rPr>
        <w:t>a</w:t>
      </w:r>
      <w:r>
        <w:rPr>
          <w:spacing w:val="40"/>
          <w:vertAlign w:val="baseline"/>
        </w:rPr>
        <w:t> </w:t>
      </w:r>
      <w:r>
        <w:rPr>
          <w:vertAlign w:val="baseline"/>
        </w:rPr>
        <w:t>subgroup</w:t>
      </w:r>
      <w:r>
        <w:rPr>
          <w:spacing w:val="40"/>
          <w:vertAlign w:val="baseline"/>
        </w:rPr>
        <w:t> </w:t>
      </w:r>
      <w:r>
        <w:rPr>
          <w:vertAlign w:val="baseline"/>
        </w:rPr>
        <w:t>who</w:t>
      </w:r>
      <w:r>
        <w:rPr>
          <w:spacing w:val="40"/>
          <w:vertAlign w:val="baseline"/>
        </w:rPr>
        <w:t> </w:t>
      </w:r>
      <w:r>
        <w:rPr>
          <w:vertAlign w:val="baseline"/>
        </w:rPr>
        <w:t>may</w:t>
      </w:r>
      <w:r>
        <w:rPr>
          <w:spacing w:val="40"/>
          <w:vertAlign w:val="baseline"/>
        </w:rPr>
        <w:t> </w:t>
      </w:r>
      <w:r>
        <w:rPr>
          <w:vertAlign w:val="baseline"/>
        </w:rPr>
        <w:t>be</w:t>
      </w:r>
      <w:r>
        <w:rPr>
          <w:spacing w:val="40"/>
          <w:vertAlign w:val="baseline"/>
        </w:rPr>
        <w:t> </w:t>
      </w:r>
      <w:r>
        <w:rPr>
          <w:vertAlign w:val="baseline"/>
        </w:rPr>
        <w:t>susceptible</w:t>
      </w:r>
      <w:r>
        <w:rPr>
          <w:spacing w:val="40"/>
          <w:vertAlign w:val="baseline"/>
        </w:rPr>
        <w:t> </w:t>
      </w:r>
      <w:r>
        <w:rPr>
          <w:vertAlign w:val="baseline"/>
        </w:rPr>
        <w:t>to</w:t>
      </w:r>
      <w:r>
        <w:rPr>
          <w:spacing w:val="40"/>
          <w:vertAlign w:val="baseline"/>
        </w:rPr>
        <w:t> </w:t>
      </w:r>
      <w:r>
        <w:rPr>
          <w:vertAlign w:val="baseline"/>
        </w:rPr>
        <w:t>early</w:t>
      </w:r>
      <w:r>
        <w:rPr>
          <w:spacing w:val="80"/>
          <w:w w:val="150"/>
          <w:vertAlign w:val="baseline"/>
        </w:rPr>
        <w:t> </w:t>
      </w:r>
      <w:r>
        <w:rPr>
          <w:vertAlign w:val="baseline"/>
        </w:rPr>
        <w:t>deterioration</w:t>
      </w:r>
      <w:r>
        <w:rPr>
          <w:spacing w:val="40"/>
          <w:vertAlign w:val="baseline"/>
        </w:rPr>
        <w:t> </w:t>
      </w:r>
      <w:r>
        <w:rPr>
          <w:vertAlign w:val="baseline"/>
        </w:rPr>
        <w:t>in</w:t>
      </w:r>
      <w:r>
        <w:rPr>
          <w:spacing w:val="40"/>
          <w:vertAlign w:val="baseline"/>
        </w:rPr>
        <w:t> </w:t>
      </w:r>
      <w:r>
        <w:rPr>
          <w:vertAlign w:val="baseline"/>
        </w:rPr>
        <w:t>aging</w:t>
      </w:r>
      <w:r>
        <w:rPr>
          <w:spacing w:val="40"/>
          <w:vertAlign w:val="baseline"/>
        </w:rPr>
        <w:t> </w:t>
      </w:r>
      <w:r>
        <w:rPr>
          <w:vertAlign w:val="baseline"/>
        </w:rPr>
        <w:t>associated</w:t>
      </w:r>
      <w:r>
        <w:rPr>
          <w:spacing w:val="40"/>
          <w:vertAlign w:val="baseline"/>
        </w:rPr>
        <w:t> </w:t>
      </w:r>
      <w:r>
        <w:rPr>
          <w:vertAlign w:val="baseline"/>
        </w:rPr>
        <w:t>cardiovascular</w:t>
      </w:r>
      <w:r>
        <w:rPr>
          <w:spacing w:val="40"/>
          <w:vertAlign w:val="baseline"/>
        </w:rPr>
        <w:t> </w:t>
      </w:r>
      <w:r>
        <w:rPr>
          <w:vertAlign w:val="baseline"/>
        </w:rPr>
        <w:t>and</w:t>
      </w:r>
      <w:r>
        <w:rPr>
          <w:spacing w:val="40"/>
          <w:vertAlign w:val="baseline"/>
        </w:rPr>
        <w:t> </w:t>
      </w:r>
      <w:r>
        <w:rPr>
          <w:vertAlign w:val="baseline"/>
        </w:rPr>
        <w:t>skeletal</w:t>
      </w:r>
      <w:r>
        <w:rPr>
          <w:spacing w:val="40"/>
          <w:vertAlign w:val="baseline"/>
        </w:rPr>
        <w:t> </w:t>
      </w:r>
      <w:r>
        <w:rPr>
          <w:vertAlign w:val="baseline"/>
        </w:rPr>
        <w:t>indices</w:t>
      </w:r>
      <w:r>
        <w:rPr>
          <w:spacing w:val="40"/>
          <w:vertAlign w:val="baseline"/>
        </w:rPr>
        <w:t> </w:t>
      </w:r>
      <w:r>
        <w:rPr>
          <w:vertAlign w:val="baseline"/>
        </w:rPr>
        <w:t>and may hence be at an exaggerated lifetime risk for skeletal fragility and CVD. In summary, in women, well-defined stages delineate the trajectory of</w:t>
      </w:r>
      <w:r>
        <w:rPr>
          <w:spacing w:val="80"/>
          <w:vertAlign w:val="baseline"/>
        </w:rPr>
        <w:t> </w:t>
      </w:r>
      <w:r>
        <w:rPr>
          <w:vertAlign w:val="baseline"/>
        </w:rPr>
        <w:t>reproductive aging, each with defined norms. Menopause marks an end to</w:t>
      </w:r>
      <w:r>
        <w:rPr>
          <w:spacing w:val="40"/>
          <w:vertAlign w:val="baseline"/>
        </w:rPr>
        <w:t> </w:t>
      </w:r>
      <w:r>
        <w:rPr>
          <w:vertAlign w:val="baseline"/>
        </w:rPr>
        <w:t>the reproductive stage of life.</w:t>
      </w:r>
      <w:r>
        <w:rPr>
          <w:spacing w:val="-1"/>
          <w:vertAlign w:val="baseline"/>
        </w:rPr>
        <w:t> </w:t>
      </w:r>
      <w:r>
        <w:rPr>
          <w:vertAlign w:val="baseline"/>
        </w:rPr>
        <w:t>While age-appropriate menopause is a normal phenomenon, this phase of life can be burdensome for some symptomatic</w:t>
      </w:r>
      <w:r>
        <w:rPr>
          <w:spacing w:val="80"/>
          <w:vertAlign w:val="baseline"/>
        </w:rPr>
        <w:t> </w:t>
      </w:r>
      <w:r>
        <w:rPr>
          <w:vertAlign w:val="baseline"/>
        </w:rPr>
        <w:t>women.</w:t>
      </w:r>
      <w:r>
        <w:rPr>
          <w:spacing w:val="-4"/>
          <w:vertAlign w:val="baseline"/>
        </w:rPr>
        <w:t> </w:t>
      </w:r>
      <w:r>
        <w:rPr>
          <w:vertAlign w:val="baseline"/>
        </w:rPr>
        <w:t>When menopause is early (before age 45) or premature (before age 40),</w:t>
      </w:r>
      <w:r>
        <w:rPr>
          <w:spacing w:val="40"/>
          <w:vertAlign w:val="baseline"/>
        </w:rPr>
        <w:t> </w:t>
      </w:r>
      <w:r>
        <w:rPr>
          <w:vertAlign w:val="baseline"/>
        </w:rPr>
        <w:t>or</w:t>
      </w:r>
      <w:r>
        <w:rPr>
          <w:spacing w:val="40"/>
          <w:vertAlign w:val="baseline"/>
        </w:rPr>
        <w:t> </w:t>
      </w:r>
      <w:r>
        <w:rPr>
          <w:vertAlign w:val="baseline"/>
        </w:rPr>
        <w:t>sudden</w:t>
      </w:r>
      <w:r>
        <w:rPr>
          <w:spacing w:val="40"/>
          <w:vertAlign w:val="baseline"/>
        </w:rPr>
        <w:t> </w:t>
      </w:r>
      <w:r>
        <w:rPr>
          <w:vertAlign w:val="baseline"/>
        </w:rPr>
        <w:t>(such</w:t>
      </w:r>
      <w:r>
        <w:rPr>
          <w:spacing w:val="40"/>
          <w:vertAlign w:val="baseline"/>
        </w:rPr>
        <w:t> </w:t>
      </w:r>
      <w:r>
        <w:rPr>
          <w:vertAlign w:val="baseline"/>
        </w:rPr>
        <w:t>as</w:t>
      </w:r>
      <w:r>
        <w:rPr>
          <w:spacing w:val="40"/>
          <w:vertAlign w:val="baseline"/>
        </w:rPr>
        <w:t> </w:t>
      </w:r>
      <w:r>
        <w:rPr>
          <w:vertAlign w:val="baseline"/>
        </w:rPr>
        <w:t>following</w:t>
      </w:r>
      <w:r>
        <w:rPr>
          <w:spacing w:val="40"/>
          <w:vertAlign w:val="baseline"/>
        </w:rPr>
        <w:t> </w:t>
      </w:r>
      <w:r>
        <w:rPr>
          <w:vertAlign w:val="baseline"/>
        </w:rPr>
        <w:t>surgical</w:t>
      </w:r>
      <w:r>
        <w:rPr>
          <w:spacing w:val="40"/>
          <w:vertAlign w:val="baseline"/>
        </w:rPr>
        <w:t> </w:t>
      </w:r>
      <w:r>
        <w:rPr>
          <w:vertAlign w:val="baseline"/>
        </w:rPr>
        <w:t>removal</w:t>
      </w:r>
      <w:r>
        <w:rPr>
          <w:spacing w:val="40"/>
          <w:vertAlign w:val="baseline"/>
        </w:rPr>
        <w:t> </w:t>
      </w:r>
      <w:r>
        <w:rPr>
          <w:vertAlign w:val="baseline"/>
        </w:rPr>
        <w:t>of</w:t>
      </w:r>
      <w:r>
        <w:rPr>
          <w:spacing w:val="40"/>
          <w:vertAlign w:val="baseline"/>
        </w:rPr>
        <w:t> </w:t>
      </w:r>
      <w:r>
        <w:rPr>
          <w:vertAlign w:val="baseline"/>
        </w:rPr>
        <w:t>both</w:t>
      </w:r>
      <w:r>
        <w:rPr>
          <w:spacing w:val="40"/>
          <w:vertAlign w:val="baseline"/>
        </w:rPr>
        <w:t> </w:t>
      </w:r>
      <w:r>
        <w:rPr>
          <w:vertAlign w:val="baseline"/>
        </w:rPr>
        <w:t>ovaries),</w:t>
      </w:r>
      <w:r>
        <w:rPr>
          <w:spacing w:val="40"/>
          <w:vertAlign w:val="baseline"/>
        </w:rPr>
        <w:t> </w:t>
      </w:r>
      <w:r>
        <w:rPr>
          <w:vertAlign w:val="baseline"/>
        </w:rPr>
        <w:t>not only can the symptom burden be more troublesome, but, additionally, these women may be at an exaggerated lifetime risk for chronic disorders such as CVD</w:t>
      </w:r>
      <w:r>
        <w:rPr>
          <w:spacing w:val="80"/>
          <w:vertAlign w:val="baseline"/>
        </w:rPr>
        <w:t> </w:t>
      </w:r>
      <w:r>
        <w:rPr>
          <w:vertAlign w:val="baseline"/>
        </w:rPr>
        <w:t>and</w:t>
      </w:r>
      <w:r>
        <w:rPr>
          <w:spacing w:val="80"/>
          <w:vertAlign w:val="baseline"/>
        </w:rPr>
        <w:t> </w:t>
      </w:r>
      <w:r>
        <w:rPr>
          <w:vertAlign w:val="baseline"/>
        </w:rPr>
        <w:t>osteoporosis.</w:t>
      </w:r>
      <w:r>
        <w:rPr>
          <w:spacing w:val="80"/>
          <w:vertAlign w:val="baseline"/>
        </w:rPr>
        <w:t> </w:t>
      </w:r>
      <w:r>
        <w:rPr>
          <w:vertAlign w:val="baseline"/>
        </w:rPr>
        <w:t>The</w:t>
      </w:r>
      <w:r>
        <w:rPr>
          <w:spacing w:val="80"/>
          <w:vertAlign w:val="baseline"/>
        </w:rPr>
        <w:t> </w:t>
      </w:r>
      <w:r>
        <w:rPr>
          <w:vertAlign w:val="baseline"/>
        </w:rPr>
        <w:t>symptoms</w:t>
      </w:r>
      <w:r>
        <w:rPr>
          <w:spacing w:val="80"/>
          <w:vertAlign w:val="baseline"/>
        </w:rPr>
        <w:t> </w:t>
      </w:r>
      <w:r>
        <w:rPr>
          <w:vertAlign w:val="baseline"/>
        </w:rPr>
        <w:t>frequently</w:t>
      </w:r>
      <w:r>
        <w:rPr>
          <w:spacing w:val="80"/>
          <w:vertAlign w:val="baseline"/>
        </w:rPr>
        <w:t> </w:t>
      </w:r>
      <w:r>
        <w:rPr>
          <w:vertAlign w:val="baseline"/>
        </w:rPr>
        <w:t>seen</w:t>
      </w:r>
      <w:r>
        <w:rPr>
          <w:spacing w:val="80"/>
          <w:vertAlign w:val="baseline"/>
        </w:rPr>
        <w:t> </w:t>
      </w:r>
      <w:r>
        <w:rPr>
          <w:vertAlign w:val="baseline"/>
        </w:rPr>
        <w:t>and</w:t>
      </w:r>
      <w:r>
        <w:rPr>
          <w:spacing w:val="80"/>
          <w:vertAlign w:val="baseline"/>
        </w:rPr>
        <w:t> </w:t>
      </w:r>
      <w:r>
        <w:rPr>
          <w:vertAlign w:val="baseline"/>
        </w:rPr>
        <w:t>related</w:t>
      </w:r>
      <w:r>
        <w:rPr>
          <w:spacing w:val="80"/>
          <w:vertAlign w:val="baseline"/>
        </w:rPr>
        <w:t> </w:t>
      </w:r>
      <w:r>
        <w:rPr>
          <w:vertAlign w:val="baseline"/>
        </w:rPr>
        <w:t>to </w:t>
      </w:r>
      <w:r>
        <w:rPr>
          <w:spacing w:val="-2"/>
          <w:vertAlign w:val="baseline"/>
        </w:rPr>
        <w:t>decreasing</w:t>
      </w:r>
      <w:r>
        <w:rPr>
          <w:vertAlign w:val="baseline"/>
        </w:rPr>
        <w:tab/>
      </w:r>
      <w:r>
        <w:rPr>
          <w:spacing w:val="-2"/>
          <w:vertAlign w:val="baseline"/>
        </w:rPr>
        <w:t>ovarian</w:t>
      </w:r>
      <w:r>
        <w:rPr>
          <w:vertAlign w:val="baseline"/>
        </w:rPr>
        <w:tab/>
      </w:r>
      <w:r>
        <w:rPr>
          <w:spacing w:val="-2"/>
          <w:vertAlign w:val="baseline"/>
        </w:rPr>
        <w:t>follicular</w:t>
      </w:r>
      <w:r>
        <w:rPr>
          <w:vertAlign w:val="baseline"/>
        </w:rPr>
        <w:tab/>
      </w:r>
      <w:r>
        <w:rPr>
          <w:spacing w:val="-2"/>
          <w:vertAlign w:val="baseline"/>
        </w:rPr>
        <w:t>competence</w:t>
      </w:r>
      <w:r>
        <w:rPr>
          <w:vertAlign w:val="baseline"/>
        </w:rPr>
        <w:tab/>
      </w:r>
      <w:r>
        <w:rPr>
          <w:spacing w:val="-6"/>
          <w:vertAlign w:val="baseline"/>
        </w:rPr>
        <w:t>as</w:t>
      </w:r>
      <w:r>
        <w:rPr>
          <w:vertAlign w:val="baseline"/>
        </w:rPr>
        <w:tab/>
      </w:r>
      <w:r>
        <w:rPr>
          <w:spacing w:val="-2"/>
          <w:vertAlign w:val="baseline"/>
        </w:rPr>
        <w:t>women</w:t>
      </w:r>
      <w:r>
        <w:rPr>
          <w:vertAlign w:val="baseline"/>
        </w:rPr>
        <w:tab/>
        <w:tab/>
      </w:r>
      <w:r>
        <w:rPr>
          <w:spacing w:val="-2"/>
          <w:vertAlign w:val="baseline"/>
        </w:rPr>
        <w:t>transition</w:t>
      </w:r>
      <w:r>
        <w:rPr>
          <w:vertAlign w:val="baseline"/>
        </w:rPr>
        <w:tab/>
      </w:r>
      <w:r>
        <w:rPr>
          <w:spacing w:val="-4"/>
          <w:vertAlign w:val="baseline"/>
        </w:rPr>
        <w:t>from </w:t>
      </w:r>
      <w:r>
        <w:rPr>
          <w:vertAlign w:val="baseline"/>
        </w:rPr>
        <w:t>premenopause</w:t>
      </w:r>
      <w:r>
        <w:rPr>
          <w:spacing w:val="33"/>
          <w:vertAlign w:val="baseline"/>
        </w:rPr>
        <w:t> </w:t>
      </w:r>
      <w:r>
        <w:rPr>
          <w:vertAlign w:val="baseline"/>
        </w:rPr>
        <w:t>into</w:t>
      </w:r>
      <w:r>
        <w:rPr>
          <w:spacing w:val="33"/>
          <w:vertAlign w:val="baseline"/>
        </w:rPr>
        <w:t> </w:t>
      </w:r>
      <w:r>
        <w:rPr>
          <w:vertAlign w:val="baseline"/>
        </w:rPr>
        <w:t>perimenopause</w:t>
      </w:r>
      <w:r>
        <w:rPr>
          <w:spacing w:val="33"/>
          <w:vertAlign w:val="baseline"/>
        </w:rPr>
        <w:t> </w:t>
      </w:r>
      <w:r>
        <w:rPr>
          <w:vertAlign w:val="baseline"/>
        </w:rPr>
        <w:t>and</w:t>
      </w:r>
      <w:r>
        <w:rPr>
          <w:spacing w:val="33"/>
          <w:vertAlign w:val="baseline"/>
        </w:rPr>
        <w:t> </w:t>
      </w:r>
      <w:r>
        <w:rPr>
          <w:vertAlign w:val="baseline"/>
        </w:rPr>
        <w:t>then</w:t>
      </w:r>
      <w:r>
        <w:rPr>
          <w:spacing w:val="33"/>
          <w:vertAlign w:val="baseline"/>
        </w:rPr>
        <w:t> </w:t>
      </w:r>
      <w:r>
        <w:rPr>
          <w:vertAlign w:val="baseline"/>
        </w:rPr>
        <w:t>postmenopausal</w:t>
      </w:r>
      <w:r>
        <w:rPr>
          <w:spacing w:val="33"/>
          <w:vertAlign w:val="baseline"/>
        </w:rPr>
        <w:t> </w:t>
      </w:r>
      <w:r>
        <w:rPr>
          <w:vertAlign w:val="baseline"/>
        </w:rPr>
        <w:t>stages</w:t>
      </w:r>
      <w:r>
        <w:rPr>
          <w:spacing w:val="33"/>
          <w:vertAlign w:val="baseline"/>
        </w:rPr>
        <w:t> </w:t>
      </w:r>
      <w:r>
        <w:rPr>
          <w:vertAlign w:val="baseline"/>
        </w:rPr>
        <w:t>of</w:t>
      </w:r>
      <w:r>
        <w:rPr>
          <w:spacing w:val="33"/>
          <w:vertAlign w:val="baseline"/>
        </w:rPr>
        <w:t> </w:t>
      </w:r>
      <w:r>
        <w:rPr>
          <w:spacing w:val="-4"/>
          <w:vertAlign w:val="baseline"/>
        </w:rPr>
        <w:t>life</w:t>
      </w:r>
    </w:p>
    <w:p>
      <w:pPr>
        <w:pStyle w:val="BodyText"/>
        <w:spacing w:before="28"/>
        <w:jc w:val="left"/>
      </w:pPr>
      <w:r>
        <w:rPr/>
        <w:t>that is characterized by estrogen loss </w:t>
      </w:r>
      <w:r>
        <w:rPr>
          <w:spacing w:val="-2"/>
        </w:rPr>
        <w:t>include:</w:t>
      </w:r>
    </w:p>
    <w:p>
      <w:pPr>
        <w:pStyle w:val="ListParagraph"/>
        <w:numPr>
          <w:ilvl w:val="0"/>
          <w:numId w:val="8"/>
        </w:numPr>
        <w:tabs>
          <w:tab w:pos="399" w:val="left" w:leader="none"/>
        </w:tabs>
        <w:spacing w:line="280" w:lineRule="auto" w:before="270" w:after="0"/>
        <w:ind w:left="399" w:right="100" w:hanging="280"/>
        <w:jc w:val="both"/>
        <w:rPr>
          <w:sz w:val="30"/>
        </w:rPr>
      </w:pPr>
      <w:r>
        <w:rPr>
          <w:sz w:val="30"/>
        </w:rPr>
        <w:t>Disturbances in menstrual pattern, including anovulation and reduced fertility, AUB, and, ultimately, amenorrhea</w:t>
      </w:r>
    </w:p>
    <w:p>
      <w:pPr>
        <w:pStyle w:val="ListParagraph"/>
        <w:numPr>
          <w:ilvl w:val="0"/>
          <w:numId w:val="8"/>
        </w:numPr>
        <w:tabs>
          <w:tab w:pos="398" w:val="left" w:leader="none"/>
        </w:tabs>
        <w:spacing w:line="240" w:lineRule="auto" w:before="3" w:after="0"/>
        <w:ind w:left="398" w:right="0" w:hanging="279"/>
        <w:jc w:val="both"/>
        <w:rPr>
          <w:sz w:val="30"/>
        </w:rPr>
      </w:pPr>
      <w:r>
        <w:rPr>
          <w:sz w:val="30"/>
        </w:rPr>
        <w:t>Vasomotor</w:t>
      </w:r>
      <w:r>
        <w:rPr>
          <w:spacing w:val="-7"/>
          <w:sz w:val="30"/>
        </w:rPr>
        <w:t> </w:t>
      </w:r>
      <w:r>
        <w:rPr>
          <w:sz w:val="30"/>
        </w:rPr>
        <w:t>instability</w:t>
      </w:r>
      <w:r>
        <w:rPr>
          <w:spacing w:val="-7"/>
          <w:sz w:val="30"/>
        </w:rPr>
        <w:t> </w:t>
      </w:r>
      <w:r>
        <w:rPr>
          <w:sz w:val="30"/>
        </w:rPr>
        <w:t>(hot</w:t>
      </w:r>
      <w:r>
        <w:rPr>
          <w:spacing w:val="-7"/>
          <w:sz w:val="30"/>
        </w:rPr>
        <w:t> </w:t>
      </w:r>
      <w:r>
        <w:rPr>
          <w:sz w:val="30"/>
        </w:rPr>
        <w:t>flushes</w:t>
      </w:r>
      <w:r>
        <w:rPr>
          <w:spacing w:val="-7"/>
          <w:sz w:val="30"/>
        </w:rPr>
        <w:t> </w:t>
      </w:r>
      <w:r>
        <w:rPr>
          <w:sz w:val="30"/>
        </w:rPr>
        <w:t>and</w:t>
      </w:r>
      <w:r>
        <w:rPr>
          <w:spacing w:val="-6"/>
          <w:sz w:val="30"/>
        </w:rPr>
        <w:t> </w:t>
      </w:r>
      <w:r>
        <w:rPr>
          <w:spacing w:val="-2"/>
          <w:sz w:val="30"/>
        </w:rPr>
        <w:t>sweats)</w:t>
      </w:r>
    </w:p>
    <w:p>
      <w:pPr>
        <w:pStyle w:val="ListParagraph"/>
        <w:numPr>
          <w:ilvl w:val="0"/>
          <w:numId w:val="8"/>
        </w:numPr>
        <w:tabs>
          <w:tab w:pos="399" w:val="left" w:leader="none"/>
        </w:tabs>
        <w:spacing w:line="261" w:lineRule="auto" w:before="105" w:after="0"/>
        <w:ind w:left="399" w:right="98" w:hanging="280"/>
        <w:jc w:val="both"/>
        <w:rPr>
          <w:sz w:val="30"/>
        </w:rPr>
      </w:pPr>
      <w:r>
        <w:rPr>
          <w:sz w:val="30"/>
        </w:rPr>
        <w:t>Atrophic conditions: atrophy of the vaginal epithelium; formation </w:t>
      </w:r>
      <w:r>
        <w:rPr>
          <w:sz w:val="30"/>
        </w:rPr>
        <w:t>of urethral caruncles; dyspareunia and pruritus due to vulvar, introital, and vaginal atrophy; general skin atrophy; and urinary difficulties such as urgency and abacterial urethritis and cystitis</w:t>
      </w:r>
    </w:p>
    <w:p>
      <w:pPr>
        <w:pStyle w:val="ListParagraph"/>
        <w:numPr>
          <w:ilvl w:val="0"/>
          <w:numId w:val="8"/>
        </w:numPr>
        <w:tabs>
          <w:tab w:pos="399" w:val="left" w:leader="none"/>
        </w:tabs>
        <w:spacing w:line="280" w:lineRule="auto" w:before="26" w:after="0"/>
        <w:ind w:left="399" w:right="112" w:hanging="280"/>
        <w:jc w:val="both"/>
        <w:rPr>
          <w:sz w:val="30"/>
        </w:rPr>
      </w:pPr>
      <w:r>
        <w:rPr>
          <w:sz w:val="30"/>
        </w:rPr>
        <w:t>Health problems secondary to long-term deprivation of </w:t>
      </w:r>
      <w:r>
        <w:rPr>
          <w:sz w:val="30"/>
        </w:rPr>
        <w:t>estrogen, including osteoporosis and CVD</w:t>
      </w:r>
    </w:p>
    <w:p>
      <w:pPr>
        <w:pStyle w:val="ListParagraph"/>
        <w:spacing w:after="0" w:line="280" w:lineRule="auto"/>
        <w:jc w:val="both"/>
        <w:rPr>
          <w:sz w:val="30"/>
        </w:rPr>
        <w:sectPr>
          <w:pgSz w:w="12240" w:h="15840"/>
          <w:pgMar w:top="1380" w:bottom="280" w:left="1440" w:right="1440"/>
        </w:sectPr>
      </w:pPr>
    </w:p>
    <w:p>
      <w:pPr>
        <w:pStyle w:val="ListParagraph"/>
        <w:numPr>
          <w:ilvl w:val="0"/>
          <w:numId w:val="8"/>
        </w:numPr>
        <w:tabs>
          <w:tab w:pos="399" w:val="left" w:leader="none"/>
        </w:tabs>
        <w:spacing w:line="280" w:lineRule="auto" w:before="70" w:after="0"/>
        <w:ind w:left="399" w:right="106" w:hanging="280"/>
        <w:jc w:val="left"/>
        <w:rPr>
          <w:sz w:val="30"/>
        </w:rPr>
      </w:pPr>
      <w:r>
        <w:rPr>
          <w:sz w:val="30"/>
        </w:rPr>
        <w:t>There is a lack of knowledge concerning long-term health </w:t>
      </w:r>
      <w:r>
        <w:rPr>
          <w:sz w:val="30"/>
        </w:rPr>
        <w:t>consequences in special patient populations, such as those with HIV, DOR, and POR.</w:t>
      </w:r>
    </w:p>
    <w:p>
      <w:pPr>
        <w:pStyle w:val="BodyText"/>
        <w:spacing w:before="1"/>
        <w:ind w:left="0"/>
        <w:jc w:val="left"/>
      </w:pPr>
    </w:p>
    <w:p>
      <w:pPr>
        <w:spacing w:before="0"/>
        <w:ind w:left="99" w:right="0" w:firstLine="0"/>
        <w:jc w:val="left"/>
        <w:rPr>
          <w:rFonts w:ascii="Arial"/>
          <w:b/>
          <w:sz w:val="30"/>
        </w:rPr>
      </w:pPr>
      <w:r>
        <w:rPr>
          <w:rFonts w:ascii="Arial"/>
          <w:b/>
          <w:color w:val="2674AE"/>
          <w:sz w:val="30"/>
        </w:rPr>
        <w:t>Preventive Health Screening of Healthy Perimenopausal </w:t>
      </w:r>
      <w:r>
        <w:rPr>
          <w:rFonts w:ascii="Arial"/>
          <w:b/>
          <w:color w:val="2674AE"/>
          <w:spacing w:val="-2"/>
          <w:sz w:val="30"/>
        </w:rPr>
        <w:t>Women</w:t>
      </w:r>
    </w:p>
    <w:p>
      <w:pPr>
        <w:pStyle w:val="BodyText"/>
        <w:spacing w:line="249" w:lineRule="auto" w:before="167"/>
        <w:ind w:right="98"/>
      </w:pPr>
      <w:r>
        <w:rPr/>
        <w:t>The most important contribution a clinician can provide to the perimenopausal woman is the awareness and the knowledge that is </w:t>
      </w:r>
      <w:r>
        <w:rPr/>
        <w:t>required to allow aging women to make timely lifestyle and indicated therapeutic choices. This early educational process will help to build a solid</w:t>
      </w:r>
      <w:r>
        <w:rPr>
          <w:spacing w:val="40"/>
        </w:rPr>
        <w:t> </w:t>
      </w:r>
      <w:r>
        <w:rPr/>
        <w:t>relationship with patients, a relationship they will want to continue as they </w:t>
      </w:r>
      <w:r>
        <w:rPr>
          <w:spacing w:val="-4"/>
        </w:rPr>
        <w:t>age.</w:t>
      </w:r>
    </w:p>
    <w:p>
      <w:pPr>
        <w:pStyle w:val="BodyText"/>
        <w:spacing w:before="0"/>
        <w:ind w:left="0"/>
        <w:jc w:val="left"/>
        <w:rPr>
          <w:sz w:val="20"/>
        </w:rPr>
      </w:pPr>
    </w:p>
    <w:p>
      <w:pPr>
        <w:pStyle w:val="BodyText"/>
        <w:spacing w:before="118"/>
        <w:ind w:left="0"/>
        <w:jc w:val="left"/>
        <w:rPr>
          <w:sz w:val="20"/>
        </w:rPr>
      </w:pPr>
      <w:r>
        <w:rPr>
          <w:sz w:val="20"/>
        </w:rPr>
        <mc:AlternateContent>
          <mc:Choice Requires="wps">
            <w:drawing>
              <wp:anchor distT="0" distB="0" distL="0" distR="0" allowOverlap="1" layoutInCell="1" locked="0" behindDoc="1" simplePos="0" relativeHeight="487616000">
                <wp:simplePos x="0" y="0"/>
                <wp:positionH relativeFrom="page">
                  <wp:posOffset>981075</wp:posOffset>
                </wp:positionH>
                <wp:positionV relativeFrom="paragraph">
                  <wp:posOffset>236427</wp:posOffset>
                </wp:positionV>
                <wp:extent cx="285750" cy="5715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285750" cy="57150"/>
                        </a:xfrm>
                        <a:custGeom>
                          <a:avLst/>
                          <a:gdLst/>
                          <a:ahLst/>
                          <a:cxnLst/>
                          <a:rect l="l" t="t" r="r" b="b"/>
                          <a:pathLst>
                            <a:path w="285750" h="57150">
                              <a:moveTo>
                                <a:pt x="32364" y="57073"/>
                              </a:moveTo>
                              <a:lnTo>
                                <a:pt x="24785" y="57073"/>
                              </a:lnTo>
                              <a:lnTo>
                                <a:pt x="21140" y="56254"/>
                              </a:lnTo>
                              <a:lnTo>
                                <a:pt x="0" y="32299"/>
                              </a:lnTo>
                              <a:lnTo>
                                <a:pt x="0" y="24784"/>
                              </a:lnTo>
                              <a:lnTo>
                                <a:pt x="725" y="21059"/>
                              </a:lnTo>
                              <a:lnTo>
                                <a:pt x="3625" y="14068"/>
                              </a:lnTo>
                              <a:lnTo>
                                <a:pt x="5689" y="10934"/>
                              </a:lnTo>
                              <a:lnTo>
                                <a:pt x="8369" y="8334"/>
                              </a:lnTo>
                              <a:lnTo>
                                <a:pt x="11048" y="5581"/>
                              </a:lnTo>
                              <a:lnTo>
                                <a:pt x="14138" y="3495"/>
                              </a:lnTo>
                              <a:lnTo>
                                <a:pt x="21140" y="666"/>
                              </a:lnTo>
                              <a:lnTo>
                                <a:pt x="24785" y="0"/>
                              </a:lnTo>
                              <a:lnTo>
                                <a:pt x="32364" y="0"/>
                              </a:lnTo>
                              <a:lnTo>
                                <a:pt x="36009" y="666"/>
                              </a:lnTo>
                              <a:lnTo>
                                <a:pt x="43010" y="3495"/>
                              </a:lnTo>
                              <a:lnTo>
                                <a:pt x="46101" y="5581"/>
                              </a:lnTo>
                              <a:lnTo>
                                <a:pt x="48780" y="8334"/>
                              </a:lnTo>
                              <a:lnTo>
                                <a:pt x="51459" y="10934"/>
                              </a:lnTo>
                              <a:lnTo>
                                <a:pt x="53524" y="14068"/>
                              </a:lnTo>
                              <a:lnTo>
                                <a:pt x="56424" y="21059"/>
                              </a:lnTo>
                              <a:lnTo>
                                <a:pt x="57149" y="24784"/>
                              </a:lnTo>
                              <a:lnTo>
                                <a:pt x="57149" y="32299"/>
                              </a:lnTo>
                              <a:lnTo>
                                <a:pt x="36009" y="56254"/>
                              </a:lnTo>
                              <a:lnTo>
                                <a:pt x="32364" y="57073"/>
                              </a:lnTo>
                              <a:close/>
                            </a:path>
                            <a:path w="285750" h="57150">
                              <a:moveTo>
                                <a:pt x="146569" y="57073"/>
                              </a:moveTo>
                              <a:lnTo>
                                <a:pt x="138990" y="57073"/>
                              </a:lnTo>
                              <a:lnTo>
                                <a:pt x="135345" y="56254"/>
                              </a:lnTo>
                              <a:lnTo>
                                <a:pt x="114204" y="32299"/>
                              </a:lnTo>
                              <a:lnTo>
                                <a:pt x="114204" y="24784"/>
                              </a:lnTo>
                              <a:lnTo>
                                <a:pt x="114929" y="21059"/>
                              </a:lnTo>
                              <a:lnTo>
                                <a:pt x="117829" y="14068"/>
                              </a:lnTo>
                              <a:lnTo>
                                <a:pt x="119894" y="10934"/>
                              </a:lnTo>
                              <a:lnTo>
                                <a:pt x="122574" y="8334"/>
                              </a:lnTo>
                              <a:lnTo>
                                <a:pt x="125253" y="5581"/>
                              </a:lnTo>
                              <a:lnTo>
                                <a:pt x="128343" y="3495"/>
                              </a:lnTo>
                              <a:lnTo>
                                <a:pt x="135345" y="666"/>
                              </a:lnTo>
                              <a:lnTo>
                                <a:pt x="138990" y="0"/>
                              </a:lnTo>
                              <a:lnTo>
                                <a:pt x="146569" y="0"/>
                              </a:lnTo>
                              <a:lnTo>
                                <a:pt x="150214" y="666"/>
                              </a:lnTo>
                              <a:lnTo>
                                <a:pt x="157215" y="3495"/>
                              </a:lnTo>
                              <a:lnTo>
                                <a:pt x="160305" y="5581"/>
                              </a:lnTo>
                              <a:lnTo>
                                <a:pt x="162985" y="8334"/>
                              </a:lnTo>
                              <a:lnTo>
                                <a:pt x="165664" y="10934"/>
                              </a:lnTo>
                              <a:lnTo>
                                <a:pt x="167729" y="14068"/>
                              </a:lnTo>
                              <a:lnTo>
                                <a:pt x="170629" y="21059"/>
                              </a:lnTo>
                              <a:lnTo>
                                <a:pt x="171354" y="24784"/>
                              </a:lnTo>
                              <a:lnTo>
                                <a:pt x="171354" y="32299"/>
                              </a:lnTo>
                              <a:lnTo>
                                <a:pt x="150214" y="56254"/>
                              </a:lnTo>
                              <a:lnTo>
                                <a:pt x="146569" y="57073"/>
                              </a:lnTo>
                              <a:close/>
                            </a:path>
                            <a:path w="285750" h="57150">
                              <a:moveTo>
                                <a:pt x="260773" y="57073"/>
                              </a:moveTo>
                              <a:lnTo>
                                <a:pt x="253195" y="57073"/>
                              </a:lnTo>
                              <a:lnTo>
                                <a:pt x="249550" y="56254"/>
                              </a:lnTo>
                              <a:lnTo>
                                <a:pt x="228409" y="32299"/>
                              </a:lnTo>
                              <a:lnTo>
                                <a:pt x="228409" y="24784"/>
                              </a:lnTo>
                              <a:lnTo>
                                <a:pt x="229134" y="21059"/>
                              </a:lnTo>
                              <a:lnTo>
                                <a:pt x="232034" y="14068"/>
                              </a:lnTo>
                              <a:lnTo>
                                <a:pt x="234099" y="10934"/>
                              </a:lnTo>
                              <a:lnTo>
                                <a:pt x="236778" y="8334"/>
                              </a:lnTo>
                              <a:lnTo>
                                <a:pt x="239458" y="5581"/>
                              </a:lnTo>
                              <a:lnTo>
                                <a:pt x="242548" y="3495"/>
                              </a:lnTo>
                              <a:lnTo>
                                <a:pt x="249550" y="666"/>
                              </a:lnTo>
                              <a:lnTo>
                                <a:pt x="253195" y="0"/>
                              </a:lnTo>
                              <a:lnTo>
                                <a:pt x="260773" y="0"/>
                              </a:lnTo>
                              <a:lnTo>
                                <a:pt x="264418" y="666"/>
                              </a:lnTo>
                              <a:lnTo>
                                <a:pt x="271420" y="3495"/>
                              </a:lnTo>
                              <a:lnTo>
                                <a:pt x="274510" y="5581"/>
                              </a:lnTo>
                              <a:lnTo>
                                <a:pt x="277190" y="8334"/>
                              </a:lnTo>
                              <a:lnTo>
                                <a:pt x="279869" y="10934"/>
                              </a:lnTo>
                              <a:lnTo>
                                <a:pt x="281934" y="14068"/>
                              </a:lnTo>
                              <a:lnTo>
                                <a:pt x="284834" y="21059"/>
                              </a:lnTo>
                              <a:lnTo>
                                <a:pt x="285559" y="24784"/>
                              </a:lnTo>
                              <a:lnTo>
                                <a:pt x="285559" y="32299"/>
                              </a:lnTo>
                              <a:lnTo>
                                <a:pt x="264418" y="56254"/>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616367pt;width:22.5pt;height:4.5pt;mso-position-horizontal-relative:page;mso-position-vertical-relative:paragraph;z-index:-15700480;mso-wrap-distance-left:0;mso-wrap-distance-right:0" id="docshape53" coordorigin="1545,372" coordsize="450,90" path="m1596,462l1584,462,1578,461,1567,456,1562,453,1558,449,1554,445,1551,440,1546,429,1545,423,1545,411,1546,405,1551,394,1554,390,1558,385,1562,381,1567,378,1578,373,1584,372,1596,372,1602,373,1613,378,1618,381,1622,385,1626,390,1629,394,1634,405,1635,411,1635,423,1634,429,1629,440,1626,445,1622,449,1618,453,1613,456,1602,461,1596,462xm1776,462l1764,462,1758,461,1747,456,1742,453,1738,449,1734,445,1731,440,1726,429,1725,423,1725,411,1726,405,1731,394,1734,390,1738,385,1742,381,1747,378,1758,373,1764,372,1776,372,1782,373,1793,378,1797,381,1802,385,1806,390,1809,394,1814,405,1815,411,1815,423,1814,429,1809,440,1806,445,1802,449,1797,453,1793,456,1782,461,1776,462xm1956,462l1944,462,1938,461,1927,456,1922,453,1918,449,1914,445,1910,440,1906,429,1905,423,1905,411,1906,405,1910,394,1914,390,1918,385,1922,381,1927,378,1938,373,1944,372,1956,372,1961,373,1972,378,1977,381,1982,385,1986,390,1989,394,1994,405,1995,411,1995,423,1994,429,1989,440,1986,445,1982,449,1977,453,1972,456,1961,461,1956,462xe" filled="true" fillcolor="#bdb4d4" stroked="false">
                <v:path arrowok="t"/>
                <v:fill type="solid"/>
                <w10:wrap type="topAndBottom"/>
              </v:shape>
            </w:pict>
          </mc:Fallback>
        </mc:AlternateContent>
      </w:r>
    </w:p>
    <w:p>
      <w:pPr>
        <w:pStyle w:val="Heading3"/>
        <w:spacing w:line="249" w:lineRule="auto" w:after="60"/>
        <w:ind w:right="255"/>
      </w:pPr>
      <w:r>
        <w:rPr>
          <w:color w:val="534089"/>
        </w:rPr>
        <w:t>PERIMENOPAUSE</w:t>
      </w:r>
      <w:r>
        <w:rPr>
          <w:color w:val="534089"/>
          <w:spacing w:val="-17"/>
        </w:rPr>
        <w:t> </w:t>
      </w:r>
      <w:r>
        <w:rPr>
          <w:color w:val="534089"/>
        </w:rPr>
        <w:t>AND</w:t>
      </w:r>
      <w:r>
        <w:rPr>
          <w:color w:val="534089"/>
          <w:spacing w:val="-17"/>
        </w:rPr>
        <w:t> </w:t>
      </w:r>
      <w:r>
        <w:rPr>
          <w:color w:val="534089"/>
        </w:rPr>
        <w:t>MENOPAUSE</w:t>
      </w:r>
      <w:r>
        <w:rPr>
          <w:color w:val="534089"/>
          <w:spacing w:val="-17"/>
        </w:rPr>
        <w:t> </w:t>
      </w:r>
      <w:r>
        <w:rPr>
          <w:color w:val="534089"/>
        </w:rPr>
        <w:t>TIMING</w:t>
      </w:r>
      <w:r>
        <w:rPr>
          <w:color w:val="534089"/>
          <w:spacing w:val="-17"/>
        </w:rPr>
        <w:t> </w:t>
      </w:r>
      <w:r>
        <w:rPr>
          <w:color w:val="534089"/>
        </w:rPr>
        <w:t>AS</w:t>
      </w:r>
      <w:r>
        <w:rPr>
          <w:color w:val="534089"/>
          <w:spacing w:val="-17"/>
        </w:rPr>
        <w:t> </w:t>
      </w:r>
      <w:r>
        <w:rPr>
          <w:color w:val="534089"/>
        </w:rPr>
        <w:t>AN </w:t>
      </w:r>
      <w:r>
        <w:rPr>
          <w:color w:val="534089"/>
          <w:spacing w:val="-2"/>
        </w:rPr>
        <w:t>OPPORTUNITY</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68" name="Group 68"/>
                <wp:cNvGraphicFramePr>
                  <a:graphicFrameLocks/>
                </wp:cNvGraphicFramePr>
                <a:graphic>
                  <a:graphicData uri="http://schemas.microsoft.com/office/word/2010/wordprocessingGroup">
                    <wpg:wgp>
                      <wpg:cNvPr id="68" name="Group 68"/>
                      <wpg:cNvGrpSpPr/>
                      <wpg:grpSpPr>
                        <a:xfrm>
                          <a:off x="0" y="0"/>
                          <a:ext cx="5810250" cy="19050"/>
                          <a:chExt cx="5810250" cy="19050"/>
                        </a:xfrm>
                      </wpg:grpSpPr>
                      <wps:wsp>
                        <wps:cNvPr id="69" name="Graphic 69"/>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54" coordorigin="0,0" coordsize="9150,30">
                <v:rect style="position:absolute;left:0;top:0;width:9150;height:30" id="docshape55" filled="true" fillcolor="#534089" stroked="false">
                  <v:fill type="solid"/>
                </v:rect>
              </v:group>
            </w:pict>
          </mc:Fallback>
        </mc:AlternateContent>
      </w:r>
      <w:r>
        <w:rPr>
          <w:rFonts w:ascii="Arial"/>
          <w:position w:val="0"/>
          <w:sz w:val="2"/>
        </w:rPr>
      </w:r>
    </w:p>
    <w:p>
      <w:pPr>
        <w:pStyle w:val="BodyText"/>
        <w:spacing w:line="249" w:lineRule="auto" w:before="215"/>
        <w:ind w:right="97"/>
      </w:pPr>
      <w:r>
        <w:rPr/>
        <w:t>Preventive intervention during the perimenopausal and early menopausal years has three major goals. The overall objective is to </w:t>
      </w:r>
      <w:r>
        <w:rPr/>
        <w:t>demystify reproductive aging and ensure that phases of menopause transition and postmenopause are approached as physiology and not pathology. The overarching goal is to optimize mental, physical, and social well-being. A specific goal is to detect as early as possible any of the major chronic diseases, including hypertension, heart disease, diabetes mellitus, and cancer, as well as impairments of vision, hearing, and teeth. Finally, the clinician should help symptomatic women to smoothly traverse the menopausal period of life. Preventive health care and management of the later reproductive years give clinicians an excellent opportunity to function as a woman’s primary care provider.</w:t>
      </w:r>
    </w:p>
    <w:p>
      <w:pPr>
        <w:pStyle w:val="BodyText"/>
        <w:spacing w:line="249" w:lineRule="auto" w:before="14"/>
        <w:ind w:right="101" w:firstLine="450"/>
      </w:pPr>
      <w:r>
        <w:rPr/>
        <w:t>Given that the leading causes of death in the United States are due to chronic diseases that are influenced by age and lifestyle factors, the period of menopausal transition offers unique opportunities to the aging women as well as their health providers to proactively initiate preventive strategies toward improving quality of life as well as long-term health </w:t>
      </w:r>
      <w:r>
        <w:rPr/>
        <w:t>through medical intervention and counseling.</w:t>
      </w:r>
    </w:p>
    <w:p>
      <w:pPr>
        <w:spacing w:line="249" w:lineRule="auto" w:before="8"/>
        <w:ind w:left="99" w:right="106" w:firstLine="450"/>
        <w:jc w:val="both"/>
        <w:rPr>
          <w:b/>
          <w:sz w:val="30"/>
        </w:rPr>
      </w:pPr>
      <w:r>
        <w:rPr>
          <w:b/>
          <w:sz w:val="30"/>
        </w:rPr>
        <w:t>While not underrating the importance of good health habits among the</w:t>
      </w:r>
      <w:r>
        <w:rPr>
          <w:b/>
          <w:spacing w:val="15"/>
          <w:sz w:val="30"/>
        </w:rPr>
        <w:t> </w:t>
      </w:r>
      <w:r>
        <w:rPr>
          <w:b/>
          <w:sz w:val="30"/>
        </w:rPr>
        <w:t>young,</w:t>
      </w:r>
      <w:r>
        <w:rPr>
          <w:b/>
          <w:spacing w:val="15"/>
          <w:sz w:val="30"/>
        </w:rPr>
        <w:t> </w:t>
      </w:r>
      <w:r>
        <w:rPr>
          <w:b/>
          <w:sz w:val="30"/>
        </w:rPr>
        <w:t>we</w:t>
      </w:r>
      <w:r>
        <w:rPr>
          <w:b/>
          <w:spacing w:val="16"/>
          <w:sz w:val="30"/>
        </w:rPr>
        <w:t> </w:t>
      </w:r>
      <w:r>
        <w:rPr>
          <w:b/>
          <w:sz w:val="30"/>
        </w:rPr>
        <w:t>would</w:t>
      </w:r>
      <w:r>
        <w:rPr>
          <w:b/>
          <w:spacing w:val="15"/>
          <w:sz w:val="30"/>
        </w:rPr>
        <w:t> </w:t>
      </w:r>
      <w:r>
        <w:rPr>
          <w:b/>
          <w:sz w:val="30"/>
        </w:rPr>
        <w:t>argue</w:t>
      </w:r>
      <w:r>
        <w:rPr>
          <w:b/>
          <w:spacing w:val="16"/>
          <w:sz w:val="30"/>
        </w:rPr>
        <w:t> </w:t>
      </w:r>
      <w:r>
        <w:rPr>
          <w:b/>
          <w:sz w:val="30"/>
        </w:rPr>
        <w:t>that</w:t>
      </w:r>
      <w:r>
        <w:rPr>
          <w:b/>
          <w:spacing w:val="15"/>
          <w:sz w:val="30"/>
        </w:rPr>
        <w:t> </w:t>
      </w:r>
      <w:r>
        <w:rPr>
          <w:b/>
          <w:sz w:val="30"/>
        </w:rPr>
        <w:t>the</w:t>
      </w:r>
      <w:r>
        <w:rPr>
          <w:b/>
          <w:spacing w:val="16"/>
          <w:sz w:val="30"/>
        </w:rPr>
        <w:t> </w:t>
      </w:r>
      <w:r>
        <w:rPr>
          <w:b/>
          <w:sz w:val="30"/>
        </w:rPr>
        <w:t>impact</w:t>
      </w:r>
      <w:r>
        <w:rPr>
          <w:b/>
          <w:spacing w:val="15"/>
          <w:sz w:val="30"/>
        </w:rPr>
        <w:t> </w:t>
      </w:r>
      <w:r>
        <w:rPr>
          <w:b/>
          <w:sz w:val="30"/>
        </w:rPr>
        <w:t>of</w:t>
      </w:r>
      <w:r>
        <w:rPr>
          <w:b/>
          <w:spacing w:val="16"/>
          <w:sz w:val="30"/>
        </w:rPr>
        <w:t> </w:t>
      </w:r>
      <w:r>
        <w:rPr>
          <w:b/>
          <w:sz w:val="30"/>
        </w:rPr>
        <w:t>teaching</w:t>
      </w:r>
      <w:r>
        <w:rPr>
          <w:b/>
          <w:spacing w:val="15"/>
          <w:sz w:val="30"/>
        </w:rPr>
        <w:t> </w:t>
      </w:r>
      <w:r>
        <w:rPr>
          <w:b/>
          <w:sz w:val="30"/>
        </w:rPr>
        <w:t>preventive</w:t>
      </w:r>
      <w:r>
        <w:rPr>
          <w:b/>
          <w:spacing w:val="16"/>
          <w:sz w:val="30"/>
        </w:rPr>
        <w:t> </w:t>
      </w:r>
      <w:r>
        <w:rPr>
          <w:b/>
          <w:spacing w:val="-4"/>
          <w:sz w:val="30"/>
        </w:rPr>
        <w:t>care</w:t>
      </w:r>
    </w:p>
    <w:p>
      <w:pPr>
        <w:spacing w:after="0" w:line="249" w:lineRule="auto"/>
        <w:jc w:val="both"/>
        <w:rPr>
          <w:b/>
          <w:sz w:val="30"/>
        </w:rPr>
        <w:sectPr>
          <w:pgSz w:w="12240" w:h="15840"/>
          <w:pgMar w:top="1420" w:bottom="280" w:left="1440" w:right="1440"/>
        </w:sectPr>
      </w:pPr>
    </w:p>
    <w:p>
      <w:pPr>
        <w:spacing w:line="249" w:lineRule="auto" w:before="65"/>
        <w:ind w:left="99" w:right="98" w:firstLine="0"/>
        <w:jc w:val="both"/>
        <w:rPr>
          <w:b/>
          <w:sz w:val="30"/>
        </w:rPr>
      </w:pPr>
      <w:r>
        <w:rPr>
          <w:b/>
          <w:sz w:val="30"/>
        </w:rPr>
        <w:t>is more observable and more tangible at middle age. The prospects of mortality and the morbidity of chronic diseases are viewed with </w:t>
      </w:r>
      <w:r>
        <w:rPr>
          <w:b/>
          <w:sz w:val="30"/>
        </w:rPr>
        <w:t>belief, understanding, and appreciation during these older years. The chance of illness is higher, but the impact of changes in lifestyle is greater.</w:t>
      </w:r>
    </w:p>
    <w:p>
      <w:pPr>
        <w:pStyle w:val="BodyText"/>
        <w:spacing w:line="249" w:lineRule="auto" w:before="5"/>
        <w:ind w:right="104" w:firstLine="450"/>
      </w:pPr>
      <w:r>
        <w:rPr/>
        <w:t>The following recommendations are derived from our own </w:t>
      </w:r>
      <w:r>
        <w:rPr/>
        <w:t>clinical </w:t>
      </w:r>
      <w:r>
        <w:rPr>
          <w:spacing w:val="-2"/>
        </w:rPr>
        <w:t>experience:</w:t>
      </w:r>
    </w:p>
    <w:p>
      <w:pPr>
        <w:pStyle w:val="ListParagraph"/>
        <w:numPr>
          <w:ilvl w:val="0"/>
          <w:numId w:val="8"/>
        </w:numPr>
        <w:tabs>
          <w:tab w:pos="399" w:val="left" w:leader="none"/>
        </w:tabs>
        <w:spacing w:line="280" w:lineRule="auto" w:before="257" w:after="0"/>
        <w:ind w:left="399" w:right="107" w:hanging="280"/>
        <w:jc w:val="left"/>
        <w:rPr>
          <w:sz w:val="30"/>
        </w:rPr>
      </w:pPr>
      <w:r>
        <w:rPr>
          <w:sz w:val="30"/>
        </w:rPr>
        <w:t>Provide reassurance that reproductive aging is a normal phenomenon </w:t>
      </w:r>
      <w:r>
        <w:rPr>
          <w:sz w:val="30"/>
        </w:rPr>
        <w:t>and not a disorder.</w:t>
      </w:r>
    </w:p>
    <w:p>
      <w:pPr>
        <w:pStyle w:val="ListParagraph"/>
        <w:numPr>
          <w:ilvl w:val="0"/>
          <w:numId w:val="8"/>
        </w:numPr>
        <w:tabs>
          <w:tab w:pos="398" w:val="left" w:leader="none"/>
        </w:tabs>
        <w:spacing w:line="240" w:lineRule="auto" w:before="3" w:after="0"/>
        <w:ind w:left="398" w:right="0" w:hanging="279"/>
        <w:jc w:val="left"/>
        <w:rPr>
          <w:sz w:val="30"/>
        </w:rPr>
      </w:pPr>
      <w:r>
        <w:rPr>
          <w:sz w:val="30"/>
        </w:rPr>
        <w:t>Provide</w:t>
      </w:r>
      <w:r>
        <w:rPr>
          <w:spacing w:val="-3"/>
          <w:sz w:val="30"/>
        </w:rPr>
        <w:t> </w:t>
      </w:r>
      <w:r>
        <w:rPr>
          <w:sz w:val="30"/>
        </w:rPr>
        <w:t>guidance</w:t>
      </w:r>
      <w:r>
        <w:rPr>
          <w:spacing w:val="-2"/>
          <w:sz w:val="30"/>
        </w:rPr>
        <w:t> </w:t>
      </w:r>
      <w:r>
        <w:rPr>
          <w:sz w:val="30"/>
        </w:rPr>
        <w:t>and</w:t>
      </w:r>
      <w:r>
        <w:rPr>
          <w:spacing w:val="-2"/>
          <w:sz w:val="30"/>
        </w:rPr>
        <w:t> </w:t>
      </w:r>
      <w:r>
        <w:rPr>
          <w:sz w:val="30"/>
        </w:rPr>
        <w:t>education</w:t>
      </w:r>
      <w:r>
        <w:rPr>
          <w:spacing w:val="-2"/>
          <w:sz w:val="30"/>
        </w:rPr>
        <w:t> </w:t>
      </w:r>
      <w:r>
        <w:rPr>
          <w:sz w:val="30"/>
        </w:rPr>
        <w:t>to</w:t>
      </w:r>
      <w:r>
        <w:rPr>
          <w:spacing w:val="-2"/>
          <w:sz w:val="30"/>
        </w:rPr>
        <w:t> </w:t>
      </w:r>
      <w:r>
        <w:rPr>
          <w:sz w:val="30"/>
        </w:rPr>
        <w:t>facilitate</w:t>
      </w:r>
      <w:r>
        <w:rPr>
          <w:spacing w:val="-2"/>
          <w:sz w:val="30"/>
        </w:rPr>
        <w:t> </w:t>
      </w:r>
      <w:r>
        <w:rPr>
          <w:sz w:val="30"/>
        </w:rPr>
        <w:t>a</w:t>
      </w:r>
      <w:r>
        <w:rPr>
          <w:spacing w:val="-2"/>
          <w:sz w:val="30"/>
        </w:rPr>
        <w:t> </w:t>
      </w:r>
      <w:r>
        <w:rPr>
          <w:sz w:val="30"/>
        </w:rPr>
        <w:t>patient’s</w:t>
      </w:r>
      <w:r>
        <w:rPr>
          <w:spacing w:val="-2"/>
          <w:sz w:val="30"/>
        </w:rPr>
        <w:t> </w:t>
      </w:r>
      <w:r>
        <w:rPr>
          <w:sz w:val="30"/>
        </w:rPr>
        <w:t>decision-</w:t>
      </w:r>
      <w:r>
        <w:rPr>
          <w:spacing w:val="-2"/>
          <w:sz w:val="30"/>
        </w:rPr>
        <w:t>making.</w:t>
      </w:r>
    </w:p>
    <w:p>
      <w:pPr>
        <w:pStyle w:val="ListParagraph"/>
        <w:numPr>
          <w:ilvl w:val="0"/>
          <w:numId w:val="8"/>
        </w:numPr>
        <w:tabs>
          <w:tab w:pos="399" w:val="left" w:leader="none"/>
        </w:tabs>
        <w:spacing w:line="280" w:lineRule="auto" w:before="105" w:after="0"/>
        <w:ind w:left="399" w:right="109" w:hanging="280"/>
        <w:jc w:val="left"/>
        <w:rPr>
          <w:sz w:val="30"/>
        </w:rPr>
      </w:pPr>
      <w:r>
        <w:rPr>
          <w:sz w:val="30"/>
        </w:rPr>
        <w:t>Provide time and an appropriate location for sensitive and </w:t>
      </w:r>
      <w:r>
        <w:rPr>
          <w:sz w:val="30"/>
        </w:rPr>
        <w:t>uninterrupted </w:t>
      </w:r>
      <w:r>
        <w:rPr>
          <w:spacing w:val="-2"/>
          <w:sz w:val="30"/>
        </w:rPr>
        <w:t>discussions.</w:t>
      </w:r>
    </w:p>
    <w:p>
      <w:pPr>
        <w:pStyle w:val="ListParagraph"/>
        <w:numPr>
          <w:ilvl w:val="0"/>
          <w:numId w:val="8"/>
        </w:numPr>
        <w:tabs>
          <w:tab w:pos="398" w:val="left" w:leader="none"/>
        </w:tabs>
        <w:spacing w:line="240" w:lineRule="auto" w:before="3" w:after="0"/>
        <w:ind w:left="398" w:right="0" w:hanging="279"/>
        <w:jc w:val="left"/>
        <w:rPr>
          <w:sz w:val="30"/>
        </w:rPr>
      </w:pPr>
      <w:r>
        <w:rPr>
          <w:sz w:val="30"/>
        </w:rPr>
        <w:t>Use educational materials but also explain them using your own </w:t>
      </w:r>
      <w:r>
        <w:rPr>
          <w:spacing w:val="-2"/>
          <w:sz w:val="30"/>
        </w:rPr>
        <w:t>words.</w:t>
      </w:r>
    </w:p>
    <w:p>
      <w:pPr>
        <w:pStyle w:val="ListParagraph"/>
        <w:numPr>
          <w:ilvl w:val="0"/>
          <w:numId w:val="8"/>
        </w:numPr>
        <w:tabs>
          <w:tab w:pos="398" w:val="left" w:leader="none"/>
        </w:tabs>
        <w:spacing w:line="240" w:lineRule="auto" w:before="105" w:after="0"/>
        <w:ind w:left="398" w:right="0" w:hanging="279"/>
        <w:jc w:val="left"/>
        <w:rPr>
          <w:sz w:val="30"/>
        </w:rPr>
      </w:pPr>
      <w:r>
        <w:rPr>
          <w:sz w:val="30"/>
        </w:rPr>
        <w:t>Involve family </w:t>
      </w:r>
      <w:r>
        <w:rPr>
          <w:spacing w:val="-2"/>
          <w:sz w:val="30"/>
        </w:rPr>
        <w:t>members.</w:t>
      </w:r>
    </w:p>
    <w:p>
      <w:pPr>
        <w:pStyle w:val="ListParagraph"/>
        <w:numPr>
          <w:ilvl w:val="0"/>
          <w:numId w:val="8"/>
        </w:numPr>
        <w:tabs>
          <w:tab w:pos="399" w:val="left" w:leader="none"/>
        </w:tabs>
        <w:spacing w:line="280" w:lineRule="auto" w:before="105" w:after="0"/>
        <w:ind w:left="399" w:right="107" w:hanging="280"/>
        <w:jc w:val="left"/>
        <w:rPr>
          <w:sz w:val="30"/>
        </w:rPr>
      </w:pPr>
      <w:r>
        <w:rPr>
          <w:sz w:val="30"/>
        </w:rPr>
        <w:t>Be</w:t>
      </w:r>
      <w:r>
        <w:rPr>
          <w:spacing w:val="40"/>
          <w:sz w:val="30"/>
        </w:rPr>
        <w:t> </w:t>
      </w:r>
      <w:r>
        <w:rPr>
          <w:sz w:val="30"/>
        </w:rPr>
        <w:t>accessible</w:t>
      </w:r>
      <w:r>
        <w:rPr>
          <w:spacing w:val="40"/>
          <w:sz w:val="30"/>
        </w:rPr>
        <w:t> </w:t>
      </w:r>
      <w:r>
        <w:rPr>
          <w:sz w:val="30"/>
        </w:rPr>
        <w:t>and</w:t>
      </w:r>
      <w:r>
        <w:rPr>
          <w:spacing w:val="40"/>
          <w:sz w:val="30"/>
        </w:rPr>
        <w:t> </w:t>
      </w:r>
      <w:r>
        <w:rPr>
          <w:sz w:val="30"/>
        </w:rPr>
        <w:t>encourage</w:t>
      </w:r>
      <w:r>
        <w:rPr>
          <w:spacing w:val="40"/>
          <w:sz w:val="30"/>
        </w:rPr>
        <w:t> </w:t>
      </w:r>
      <w:r>
        <w:rPr>
          <w:sz w:val="30"/>
        </w:rPr>
        <w:t>communication.</w:t>
      </w:r>
      <w:r>
        <w:rPr>
          <w:spacing w:val="40"/>
          <w:sz w:val="30"/>
        </w:rPr>
        <w:t> </w:t>
      </w:r>
      <w:r>
        <w:rPr>
          <w:sz w:val="30"/>
        </w:rPr>
        <w:t>Consider</w:t>
      </w:r>
      <w:r>
        <w:rPr>
          <w:spacing w:val="40"/>
          <w:sz w:val="30"/>
        </w:rPr>
        <w:t> </w:t>
      </w:r>
      <w:r>
        <w:rPr>
          <w:sz w:val="30"/>
        </w:rPr>
        <w:t>designating</w:t>
      </w:r>
      <w:r>
        <w:rPr>
          <w:spacing w:val="40"/>
          <w:sz w:val="30"/>
        </w:rPr>
        <w:t> </w:t>
      </w:r>
      <w:r>
        <w:rPr>
          <w:sz w:val="30"/>
        </w:rPr>
        <w:t>a</w:t>
      </w:r>
      <w:r>
        <w:rPr>
          <w:spacing w:val="40"/>
          <w:sz w:val="30"/>
        </w:rPr>
        <w:t> </w:t>
      </w:r>
      <w:r>
        <w:rPr>
          <w:sz w:val="30"/>
        </w:rPr>
        <w:t>member of your staff as the menopause resource person.</w:t>
      </w:r>
    </w:p>
    <w:p>
      <w:pPr>
        <w:pStyle w:val="ListParagraph"/>
        <w:numPr>
          <w:ilvl w:val="0"/>
          <w:numId w:val="8"/>
        </w:numPr>
        <w:tabs>
          <w:tab w:pos="399" w:val="left" w:leader="none"/>
        </w:tabs>
        <w:spacing w:line="280" w:lineRule="auto" w:before="2" w:after="0"/>
        <w:ind w:left="399" w:right="100" w:hanging="280"/>
        <w:jc w:val="left"/>
        <w:rPr>
          <w:sz w:val="30"/>
        </w:rPr>
      </w:pPr>
      <w:r>
        <w:rPr>
          <w:sz w:val="30"/>
        </w:rPr>
        <w:t>Be</w:t>
      </w:r>
      <w:r>
        <w:rPr>
          <w:spacing w:val="40"/>
          <w:sz w:val="30"/>
        </w:rPr>
        <w:t> </w:t>
      </w:r>
      <w:r>
        <w:rPr>
          <w:sz w:val="30"/>
        </w:rPr>
        <w:t>involved</w:t>
      </w:r>
      <w:r>
        <w:rPr>
          <w:spacing w:val="40"/>
          <w:sz w:val="30"/>
        </w:rPr>
        <w:t> </w:t>
      </w:r>
      <w:r>
        <w:rPr>
          <w:sz w:val="30"/>
        </w:rPr>
        <w:t>in</w:t>
      </w:r>
      <w:r>
        <w:rPr>
          <w:spacing w:val="40"/>
          <w:sz w:val="30"/>
        </w:rPr>
        <w:t> </w:t>
      </w:r>
      <w:r>
        <w:rPr>
          <w:sz w:val="30"/>
        </w:rPr>
        <w:t>community</w:t>
      </w:r>
      <w:r>
        <w:rPr>
          <w:spacing w:val="40"/>
          <w:sz w:val="30"/>
        </w:rPr>
        <w:t> </w:t>
      </w:r>
      <w:r>
        <w:rPr>
          <w:sz w:val="30"/>
        </w:rPr>
        <w:t>and</w:t>
      </w:r>
      <w:r>
        <w:rPr>
          <w:spacing w:val="40"/>
          <w:sz w:val="30"/>
        </w:rPr>
        <w:t> </w:t>
      </w:r>
      <w:r>
        <w:rPr>
          <w:sz w:val="30"/>
        </w:rPr>
        <w:t>hospital</w:t>
      </w:r>
      <w:r>
        <w:rPr>
          <w:spacing w:val="40"/>
          <w:sz w:val="30"/>
        </w:rPr>
        <w:t> </w:t>
      </w:r>
      <w:r>
        <w:rPr>
          <w:sz w:val="30"/>
        </w:rPr>
        <w:t>educational</w:t>
      </w:r>
      <w:r>
        <w:rPr>
          <w:spacing w:val="40"/>
          <w:sz w:val="30"/>
        </w:rPr>
        <w:t> </w:t>
      </w:r>
      <w:r>
        <w:rPr>
          <w:sz w:val="30"/>
        </w:rPr>
        <w:t>programs</w:t>
      </w:r>
      <w:r>
        <w:rPr>
          <w:spacing w:val="40"/>
          <w:sz w:val="30"/>
        </w:rPr>
        <w:t> </w:t>
      </w:r>
      <w:r>
        <w:rPr>
          <w:sz w:val="30"/>
        </w:rPr>
        <w:t>for</w:t>
      </w:r>
      <w:r>
        <w:rPr>
          <w:spacing w:val="40"/>
          <w:sz w:val="30"/>
        </w:rPr>
        <w:t> </w:t>
      </w:r>
      <w:r>
        <w:rPr>
          <w:sz w:val="30"/>
        </w:rPr>
        <w:t>the </w:t>
      </w:r>
      <w:r>
        <w:rPr>
          <w:spacing w:val="-2"/>
          <w:sz w:val="30"/>
        </w:rPr>
        <w:t>public.</w:t>
      </w:r>
    </w:p>
    <w:p>
      <w:pPr>
        <w:pStyle w:val="ListParagraph"/>
        <w:numPr>
          <w:ilvl w:val="0"/>
          <w:numId w:val="8"/>
        </w:numPr>
        <w:tabs>
          <w:tab w:pos="399" w:val="left" w:leader="none"/>
        </w:tabs>
        <w:spacing w:line="280" w:lineRule="auto" w:before="3" w:after="0"/>
        <w:ind w:left="399" w:right="103" w:hanging="280"/>
        <w:jc w:val="left"/>
        <w:rPr>
          <w:sz w:val="30"/>
        </w:rPr>
      </w:pPr>
      <w:r>
        <w:rPr>
          <w:sz w:val="30"/>
        </w:rPr>
        <w:t>Use an effective, well-trained counselor for patients who need in-depth</w:t>
      </w:r>
      <w:r>
        <w:rPr>
          <w:spacing w:val="80"/>
          <w:w w:val="150"/>
          <w:sz w:val="30"/>
        </w:rPr>
        <w:t> </w:t>
      </w:r>
      <w:r>
        <w:rPr>
          <w:sz w:val="30"/>
        </w:rPr>
        <w:t>help in coping with life’s trials and tribulations.</w:t>
      </w:r>
    </w:p>
    <w:p>
      <w:pPr>
        <w:pStyle w:val="BodyText"/>
        <w:spacing w:before="0"/>
        <w:ind w:left="0"/>
        <w:jc w:val="left"/>
        <w:rPr>
          <w:sz w:val="20"/>
        </w:rPr>
      </w:pPr>
    </w:p>
    <w:p>
      <w:pPr>
        <w:pStyle w:val="BodyText"/>
        <w:spacing w:before="69"/>
        <w:ind w:left="0"/>
        <w:jc w:val="left"/>
        <w:rPr>
          <w:sz w:val="20"/>
        </w:rPr>
      </w:pPr>
      <w:r>
        <w:rPr>
          <w:sz w:val="20"/>
        </w:rPr>
        <mc:AlternateContent>
          <mc:Choice Requires="wps">
            <w:drawing>
              <wp:anchor distT="0" distB="0" distL="0" distR="0" allowOverlap="1" layoutInCell="1" locked="0" behindDoc="1" simplePos="0" relativeHeight="487617024">
                <wp:simplePos x="0" y="0"/>
                <wp:positionH relativeFrom="page">
                  <wp:posOffset>981074</wp:posOffset>
                </wp:positionH>
                <wp:positionV relativeFrom="paragraph">
                  <wp:posOffset>205092</wp:posOffset>
                </wp:positionV>
                <wp:extent cx="5810250" cy="291465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810250" cy="2914650"/>
                          <a:chExt cx="5810250" cy="2914650"/>
                        </a:xfrm>
                      </wpg:grpSpPr>
                      <wps:wsp>
                        <wps:cNvPr id="71" name="Graphic 71"/>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72" name="Graphic 72"/>
                        <wps:cNvSpPr/>
                        <wps:spPr>
                          <a:xfrm>
                            <a:off x="0" y="742949"/>
                            <a:ext cx="5810250" cy="2171700"/>
                          </a:xfrm>
                          <a:custGeom>
                            <a:avLst/>
                            <a:gdLst/>
                            <a:ahLst/>
                            <a:cxnLst/>
                            <a:rect l="l" t="t" r="r" b="b"/>
                            <a:pathLst>
                              <a:path w="5810250" h="2171700">
                                <a:moveTo>
                                  <a:pt x="0" y="2171641"/>
                                </a:moveTo>
                                <a:lnTo>
                                  <a:pt x="5810249" y="2171641"/>
                                </a:lnTo>
                                <a:lnTo>
                                  <a:pt x="5810249" y="0"/>
                                </a:lnTo>
                                <a:lnTo>
                                  <a:pt x="0" y="0"/>
                                </a:lnTo>
                                <a:lnTo>
                                  <a:pt x="0" y="2171641"/>
                                </a:lnTo>
                                <a:close/>
                              </a:path>
                            </a:pathLst>
                          </a:custGeom>
                          <a:solidFill>
                            <a:srgbClr val="E9F1CD"/>
                          </a:solidFill>
                        </wps:spPr>
                        <wps:bodyPr wrap="square" lIns="0" tIns="0" rIns="0" bIns="0" rtlCol="0">
                          <a:prstTxWarp prst="textNoShape">
                            <a:avLst/>
                          </a:prstTxWarp>
                          <a:noAutofit/>
                        </wps:bodyPr>
                      </wps:wsp>
                      <wps:wsp>
                        <wps:cNvPr id="73" name="Graphic 73"/>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74" name="Graphic 74"/>
                        <wps:cNvSpPr/>
                        <wps:spPr>
                          <a:xfrm>
                            <a:off x="209550" y="228627"/>
                            <a:ext cx="371475" cy="57150"/>
                          </a:xfrm>
                          <a:custGeom>
                            <a:avLst/>
                            <a:gdLst/>
                            <a:ahLst/>
                            <a:cxnLst/>
                            <a:rect l="l" t="t" r="r" b="b"/>
                            <a:pathLst>
                              <a:path w="371475" h="57150">
                                <a:moveTo>
                                  <a:pt x="32364" y="57073"/>
                                </a:moveTo>
                                <a:lnTo>
                                  <a:pt x="24785" y="57073"/>
                                </a:lnTo>
                                <a:lnTo>
                                  <a:pt x="21140" y="56330"/>
                                </a:lnTo>
                                <a:lnTo>
                                  <a:pt x="0" y="32299"/>
                                </a:lnTo>
                                <a:lnTo>
                                  <a:pt x="0" y="24707"/>
                                </a:lnTo>
                                <a:lnTo>
                                  <a:pt x="725" y="21059"/>
                                </a:lnTo>
                                <a:lnTo>
                                  <a:pt x="3625" y="14068"/>
                                </a:lnTo>
                                <a:lnTo>
                                  <a:pt x="5689" y="10934"/>
                                </a:lnTo>
                                <a:lnTo>
                                  <a:pt x="8369" y="8334"/>
                                </a:lnTo>
                                <a:lnTo>
                                  <a:pt x="11048" y="5657"/>
                                </a:lnTo>
                                <a:lnTo>
                                  <a:pt x="14138" y="3571"/>
                                </a:lnTo>
                                <a:lnTo>
                                  <a:pt x="21140" y="742"/>
                                </a:lnTo>
                                <a:lnTo>
                                  <a:pt x="24785" y="0"/>
                                </a:lnTo>
                                <a:lnTo>
                                  <a:pt x="32364" y="0"/>
                                </a:lnTo>
                                <a:lnTo>
                                  <a:pt x="36009" y="742"/>
                                </a:lnTo>
                                <a:lnTo>
                                  <a:pt x="43011" y="3571"/>
                                </a:lnTo>
                                <a:lnTo>
                                  <a:pt x="46101" y="5657"/>
                                </a:lnTo>
                                <a:lnTo>
                                  <a:pt x="48780" y="8334"/>
                                </a:lnTo>
                                <a:lnTo>
                                  <a:pt x="51459" y="10934"/>
                                </a:lnTo>
                                <a:lnTo>
                                  <a:pt x="53524" y="14068"/>
                                </a:lnTo>
                                <a:lnTo>
                                  <a:pt x="56424" y="21059"/>
                                </a:lnTo>
                                <a:lnTo>
                                  <a:pt x="57149" y="24707"/>
                                </a:lnTo>
                                <a:lnTo>
                                  <a:pt x="57149" y="32299"/>
                                </a:lnTo>
                                <a:lnTo>
                                  <a:pt x="36009" y="56330"/>
                                </a:lnTo>
                                <a:lnTo>
                                  <a:pt x="32364" y="57073"/>
                                </a:lnTo>
                                <a:close/>
                              </a:path>
                              <a:path w="371475" h="57150">
                                <a:moveTo>
                                  <a:pt x="137044" y="57073"/>
                                </a:moveTo>
                                <a:lnTo>
                                  <a:pt x="129465" y="57073"/>
                                </a:lnTo>
                                <a:lnTo>
                                  <a:pt x="125820" y="56330"/>
                                </a:lnTo>
                                <a:lnTo>
                                  <a:pt x="104679" y="32299"/>
                                </a:lnTo>
                                <a:lnTo>
                                  <a:pt x="104679" y="24707"/>
                                </a:lnTo>
                                <a:lnTo>
                                  <a:pt x="105404" y="21059"/>
                                </a:lnTo>
                                <a:lnTo>
                                  <a:pt x="108304" y="14068"/>
                                </a:lnTo>
                                <a:lnTo>
                                  <a:pt x="110369" y="10934"/>
                                </a:lnTo>
                                <a:lnTo>
                                  <a:pt x="113049" y="8334"/>
                                </a:lnTo>
                                <a:lnTo>
                                  <a:pt x="115728" y="5657"/>
                                </a:lnTo>
                                <a:lnTo>
                                  <a:pt x="118818" y="3571"/>
                                </a:lnTo>
                                <a:lnTo>
                                  <a:pt x="125820" y="742"/>
                                </a:lnTo>
                                <a:lnTo>
                                  <a:pt x="129465" y="0"/>
                                </a:lnTo>
                                <a:lnTo>
                                  <a:pt x="137044" y="0"/>
                                </a:lnTo>
                                <a:lnTo>
                                  <a:pt x="140689" y="742"/>
                                </a:lnTo>
                                <a:lnTo>
                                  <a:pt x="147690" y="3571"/>
                                </a:lnTo>
                                <a:lnTo>
                                  <a:pt x="150780" y="5657"/>
                                </a:lnTo>
                                <a:lnTo>
                                  <a:pt x="153460" y="8334"/>
                                </a:lnTo>
                                <a:lnTo>
                                  <a:pt x="156139" y="10934"/>
                                </a:lnTo>
                                <a:lnTo>
                                  <a:pt x="158204" y="14068"/>
                                </a:lnTo>
                                <a:lnTo>
                                  <a:pt x="161104" y="21059"/>
                                </a:lnTo>
                                <a:lnTo>
                                  <a:pt x="161829" y="24707"/>
                                </a:lnTo>
                                <a:lnTo>
                                  <a:pt x="161829" y="32299"/>
                                </a:lnTo>
                                <a:lnTo>
                                  <a:pt x="140689" y="56330"/>
                                </a:lnTo>
                                <a:lnTo>
                                  <a:pt x="137044" y="57073"/>
                                </a:lnTo>
                                <a:close/>
                              </a:path>
                              <a:path w="371475" h="57150">
                                <a:moveTo>
                                  <a:pt x="241723" y="57073"/>
                                </a:moveTo>
                                <a:lnTo>
                                  <a:pt x="234145" y="57073"/>
                                </a:lnTo>
                                <a:lnTo>
                                  <a:pt x="230500" y="56330"/>
                                </a:lnTo>
                                <a:lnTo>
                                  <a:pt x="209359" y="32299"/>
                                </a:lnTo>
                                <a:lnTo>
                                  <a:pt x="209359" y="24707"/>
                                </a:lnTo>
                                <a:lnTo>
                                  <a:pt x="210084" y="21059"/>
                                </a:lnTo>
                                <a:lnTo>
                                  <a:pt x="212984" y="14068"/>
                                </a:lnTo>
                                <a:lnTo>
                                  <a:pt x="215049" y="10934"/>
                                </a:lnTo>
                                <a:lnTo>
                                  <a:pt x="217728" y="8334"/>
                                </a:lnTo>
                                <a:lnTo>
                                  <a:pt x="220408" y="5657"/>
                                </a:lnTo>
                                <a:lnTo>
                                  <a:pt x="223498" y="3571"/>
                                </a:lnTo>
                                <a:lnTo>
                                  <a:pt x="230500" y="742"/>
                                </a:lnTo>
                                <a:lnTo>
                                  <a:pt x="234145" y="0"/>
                                </a:lnTo>
                                <a:lnTo>
                                  <a:pt x="241723" y="0"/>
                                </a:lnTo>
                                <a:lnTo>
                                  <a:pt x="245368" y="742"/>
                                </a:lnTo>
                                <a:lnTo>
                                  <a:pt x="252370" y="3571"/>
                                </a:lnTo>
                                <a:lnTo>
                                  <a:pt x="255460" y="5657"/>
                                </a:lnTo>
                                <a:lnTo>
                                  <a:pt x="258140" y="8334"/>
                                </a:lnTo>
                                <a:lnTo>
                                  <a:pt x="260819" y="10934"/>
                                </a:lnTo>
                                <a:lnTo>
                                  <a:pt x="262884" y="14068"/>
                                </a:lnTo>
                                <a:lnTo>
                                  <a:pt x="265784" y="21059"/>
                                </a:lnTo>
                                <a:lnTo>
                                  <a:pt x="266509" y="24707"/>
                                </a:lnTo>
                                <a:lnTo>
                                  <a:pt x="266509" y="32299"/>
                                </a:lnTo>
                                <a:lnTo>
                                  <a:pt x="245368" y="56330"/>
                                </a:lnTo>
                                <a:lnTo>
                                  <a:pt x="241723" y="57073"/>
                                </a:lnTo>
                                <a:close/>
                              </a:path>
                              <a:path w="371475" h="57150">
                                <a:moveTo>
                                  <a:pt x="346403" y="57073"/>
                                </a:moveTo>
                                <a:lnTo>
                                  <a:pt x="338824" y="57073"/>
                                </a:lnTo>
                                <a:lnTo>
                                  <a:pt x="335179" y="56330"/>
                                </a:lnTo>
                                <a:lnTo>
                                  <a:pt x="314039" y="32299"/>
                                </a:lnTo>
                                <a:lnTo>
                                  <a:pt x="314039" y="24707"/>
                                </a:lnTo>
                                <a:lnTo>
                                  <a:pt x="314764" y="21059"/>
                                </a:lnTo>
                                <a:lnTo>
                                  <a:pt x="317664" y="14068"/>
                                </a:lnTo>
                                <a:lnTo>
                                  <a:pt x="319729" y="10934"/>
                                </a:lnTo>
                                <a:lnTo>
                                  <a:pt x="322408" y="8334"/>
                                </a:lnTo>
                                <a:lnTo>
                                  <a:pt x="325088" y="5657"/>
                                </a:lnTo>
                                <a:lnTo>
                                  <a:pt x="328178" y="3571"/>
                                </a:lnTo>
                                <a:lnTo>
                                  <a:pt x="335179" y="742"/>
                                </a:lnTo>
                                <a:lnTo>
                                  <a:pt x="338824" y="0"/>
                                </a:lnTo>
                                <a:lnTo>
                                  <a:pt x="346403" y="0"/>
                                </a:lnTo>
                                <a:lnTo>
                                  <a:pt x="350048" y="742"/>
                                </a:lnTo>
                                <a:lnTo>
                                  <a:pt x="357050" y="3571"/>
                                </a:lnTo>
                                <a:lnTo>
                                  <a:pt x="360140" y="5657"/>
                                </a:lnTo>
                                <a:lnTo>
                                  <a:pt x="362819" y="8334"/>
                                </a:lnTo>
                                <a:lnTo>
                                  <a:pt x="365499" y="10934"/>
                                </a:lnTo>
                                <a:lnTo>
                                  <a:pt x="367563" y="14068"/>
                                </a:lnTo>
                                <a:lnTo>
                                  <a:pt x="370464" y="21059"/>
                                </a:lnTo>
                                <a:lnTo>
                                  <a:pt x="371189" y="24707"/>
                                </a:lnTo>
                                <a:lnTo>
                                  <a:pt x="371189" y="32299"/>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75" name="Graphic 75"/>
                        <wps:cNvSpPr/>
                        <wps:spPr>
                          <a:xfrm>
                            <a:off x="133337" y="1000128"/>
                            <a:ext cx="47625" cy="1419225"/>
                          </a:xfrm>
                          <a:custGeom>
                            <a:avLst/>
                            <a:gdLst/>
                            <a:ahLst/>
                            <a:cxnLst/>
                            <a:rect l="l" t="t" r="r" b="b"/>
                            <a:pathLst>
                              <a:path w="47625" h="1419225">
                                <a:moveTo>
                                  <a:pt x="47625" y="1392212"/>
                                </a:moveTo>
                                <a:lnTo>
                                  <a:pt x="26974" y="1371600"/>
                                </a:lnTo>
                                <a:lnTo>
                                  <a:pt x="20662" y="1371600"/>
                                </a:lnTo>
                                <a:lnTo>
                                  <a:pt x="0" y="1392212"/>
                                </a:lnTo>
                                <a:lnTo>
                                  <a:pt x="0" y="1398460"/>
                                </a:lnTo>
                                <a:lnTo>
                                  <a:pt x="23812" y="1419225"/>
                                </a:lnTo>
                                <a:lnTo>
                                  <a:pt x="26974" y="1419148"/>
                                </a:lnTo>
                                <a:lnTo>
                                  <a:pt x="47625" y="1398460"/>
                                </a:lnTo>
                                <a:lnTo>
                                  <a:pt x="47625" y="1395412"/>
                                </a:lnTo>
                                <a:lnTo>
                                  <a:pt x="47625" y="1392212"/>
                                </a:lnTo>
                                <a:close/>
                              </a:path>
                              <a:path w="47625" h="1419225">
                                <a:moveTo>
                                  <a:pt x="47625" y="1220762"/>
                                </a:moveTo>
                                <a:lnTo>
                                  <a:pt x="26974" y="1200150"/>
                                </a:lnTo>
                                <a:lnTo>
                                  <a:pt x="20662" y="1200150"/>
                                </a:lnTo>
                                <a:lnTo>
                                  <a:pt x="0" y="1220762"/>
                                </a:lnTo>
                                <a:lnTo>
                                  <a:pt x="0" y="1227086"/>
                                </a:lnTo>
                                <a:lnTo>
                                  <a:pt x="23812" y="1247775"/>
                                </a:lnTo>
                                <a:lnTo>
                                  <a:pt x="26974" y="1247698"/>
                                </a:lnTo>
                                <a:lnTo>
                                  <a:pt x="47625" y="1227086"/>
                                </a:lnTo>
                                <a:lnTo>
                                  <a:pt x="47625" y="1223962"/>
                                </a:lnTo>
                                <a:lnTo>
                                  <a:pt x="47625" y="1220762"/>
                                </a:lnTo>
                                <a:close/>
                              </a:path>
                              <a:path w="47625" h="1419225">
                                <a:moveTo>
                                  <a:pt x="47625" y="534962"/>
                                </a:moveTo>
                                <a:lnTo>
                                  <a:pt x="26974" y="514350"/>
                                </a:lnTo>
                                <a:lnTo>
                                  <a:pt x="20662" y="514350"/>
                                </a:lnTo>
                                <a:lnTo>
                                  <a:pt x="0" y="534962"/>
                                </a:lnTo>
                                <a:lnTo>
                                  <a:pt x="0" y="541210"/>
                                </a:lnTo>
                                <a:lnTo>
                                  <a:pt x="20662" y="561975"/>
                                </a:lnTo>
                                <a:lnTo>
                                  <a:pt x="26974" y="561975"/>
                                </a:lnTo>
                                <a:lnTo>
                                  <a:pt x="47625" y="541210"/>
                                </a:lnTo>
                                <a:lnTo>
                                  <a:pt x="47625" y="538162"/>
                                </a:lnTo>
                                <a:lnTo>
                                  <a:pt x="47625" y="534962"/>
                                </a:lnTo>
                                <a:close/>
                              </a:path>
                              <a:path w="47625" h="1419225">
                                <a:moveTo>
                                  <a:pt x="47625" y="20612"/>
                                </a:moveTo>
                                <a:lnTo>
                                  <a:pt x="26974" y="0"/>
                                </a:lnTo>
                                <a:lnTo>
                                  <a:pt x="20662" y="0"/>
                                </a:lnTo>
                                <a:lnTo>
                                  <a:pt x="0" y="20612"/>
                                </a:lnTo>
                                <a:lnTo>
                                  <a:pt x="0" y="26936"/>
                                </a:lnTo>
                                <a:lnTo>
                                  <a:pt x="23812" y="47625"/>
                                </a:lnTo>
                                <a:lnTo>
                                  <a:pt x="26974" y="47548"/>
                                </a:lnTo>
                                <a:lnTo>
                                  <a:pt x="47625" y="26936"/>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76" name="Textbox 76"/>
                        <wps:cNvSpPr txBox="1"/>
                        <wps:spPr>
                          <a:xfrm>
                            <a:off x="0" y="742949"/>
                            <a:ext cx="5810250" cy="2171700"/>
                          </a:xfrm>
                          <a:prstGeom prst="rect">
                            <a:avLst/>
                          </a:prstGeom>
                        </wps:spPr>
                        <wps:txbx>
                          <w:txbxContent>
                            <w:p>
                              <w:pPr>
                                <w:spacing w:line="240" w:lineRule="auto" w:before="51"/>
                                <w:rPr>
                                  <w:sz w:val="22"/>
                                </w:rPr>
                              </w:pPr>
                            </w:p>
                            <w:p>
                              <w:pPr>
                                <w:spacing w:line="256" w:lineRule="auto" w:before="0"/>
                                <w:ind w:left="444" w:right="748" w:firstLine="0"/>
                                <w:jc w:val="both"/>
                                <w:rPr>
                                  <w:sz w:val="22"/>
                                </w:rPr>
                              </w:pPr>
                              <w:r>
                                <w:rPr>
                                  <w:sz w:val="22"/>
                                </w:rPr>
                                <w:t>Regardless of chronologic age, women should undergo annual medical evaluations that should include a thorough medical history and a thoughtful risk quantification based on personal and family histories as well as physical examination.</w:t>
                              </w:r>
                            </w:p>
                            <w:p>
                              <w:pPr>
                                <w:spacing w:line="256" w:lineRule="auto" w:before="0"/>
                                <w:ind w:left="444" w:right="751" w:firstLine="0"/>
                                <w:jc w:val="both"/>
                                <w:rPr>
                                  <w:sz w:val="22"/>
                                </w:rPr>
                              </w:pPr>
                              <w:r>
                                <w:rPr>
                                  <w:sz w:val="22"/>
                                </w:rPr>
                                <w:t>Annual visits should include assessment of vitals (blood pressure and pulse), </w:t>
                              </w:r>
                              <w:r>
                                <w:rPr>
                                  <w:sz w:val="22"/>
                                </w:rPr>
                                <w:t>body</w:t>
                              </w:r>
                              <w:r>
                                <w:rPr>
                                  <w:spacing w:val="80"/>
                                  <w:w w:val="150"/>
                                  <w:sz w:val="22"/>
                                </w:rPr>
                                <w:t> </w:t>
                              </w:r>
                              <w:r>
                                <w:rPr>
                                  <w:sz w:val="22"/>
                                </w:rPr>
                                <w:t>weight and BMI, breast and pelvic examinations, and screening for sexually transmitted infections when appropriate. Thyroid function (TSH) should be assessed in the 40s and annually beginning at age 60.</w:t>
                              </w:r>
                            </w:p>
                            <w:p>
                              <w:pPr>
                                <w:spacing w:line="250" w:lineRule="exact" w:before="0"/>
                                <w:ind w:left="444" w:right="0" w:firstLine="0"/>
                                <w:jc w:val="both"/>
                                <w:rPr>
                                  <w:sz w:val="22"/>
                                </w:rPr>
                              </w:pPr>
                              <w:r>
                                <w:rPr>
                                  <w:sz w:val="22"/>
                                </w:rPr>
                                <w:t>Annual</w:t>
                              </w:r>
                              <w:r>
                                <w:rPr>
                                  <w:spacing w:val="12"/>
                                  <w:sz w:val="22"/>
                                </w:rPr>
                                <w:t> </w:t>
                              </w:r>
                              <w:r>
                                <w:rPr>
                                  <w:sz w:val="22"/>
                                </w:rPr>
                                <w:t>screening</w:t>
                              </w:r>
                              <w:r>
                                <w:rPr>
                                  <w:spacing w:val="13"/>
                                  <w:sz w:val="22"/>
                                </w:rPr>
                                <w:t> </w:t>
                              </w:r>
                              <w:r>
                                <w:rPr>
                                  <w:sz w:val="22"/>
                                </w:rPr>
                                <w:t>mammography</w:t>
                              </w:r>
                              <w:r>
                                <w:rPr>
                                  <w:spacing w:val="12"/>
                                  <w:sz w:val="22"/>
                                </w:rPr>
                                <w:t> </w:t>
                              </w:r>
                              <w:r>
                                <w:rPr>
                                  <w:sz w:val="22"/>
                                </w:rPr>
                                <w:t>should</w:t>
                              </w:r>
                              <w:r>
                                <w:rPr>
                                  <w:spacing w:val="13"/>
                                  <w:sz w:val="22"/>
                                </w:rPr>
                                <w:t> </w:t>
                              </w:r>
                              <w:r>
                                <w:rPr>
                                  <w:sz w:val="22"/>
                                </w:rPr>
                                <w:t>begin</w:t>
                              </w:r>
                              <w:r>
                                <w:rPr>
                                  <w:spacing w:val="12"/>
                                  <w:sz w:val="22"/>
                                </w:rPr>
                                <w:t> </w:t>
                              </w:r>
                              <w:r>
                                <w:rPr>
                                  <w:sz w:val="22"/>
                                </w:rPr>
                                <w:t>at</w:t>
                              </w:r>
                              <w:r>
                                <w:rPr>
                                  <w:spacing w:val="13"/>
                                  <w:sz w:val="22"/>
                                </w:rPr>
                                <w:t> </w:t>
                              </w:r>
                              <w:r>
                                <w:rPr>
                                  <w:sz w:val="22"/>
                                </w:rPr>
                                <w:t>age</w:t>
                              </w:r>
                              <w:r>
                                <w:rPr>
                                  <w:spacing w:val="13"/>
                                  <w:sz w:val="22"/>
                                </w:rPr>
                                <w:t> </w:t>
                              </w:r>
                              <w:r>
                                <w:rPr>
                                  <w:sz w:val="22"/>
                                </w:rPr>
                                <w:t>40</w:t>
                              </w:r>
                              <w:r>
                                <w:rPr>
                                  <w:spacing w:val="12"/>
                                  <w:sz w:val="22"/>
                                </w:rPr>
                                <w:t> </w:t>
                              </w:r>
                              <w:r>
                                <w:rPr>
                                  <w:sz w:val="22"/>
                                </w:rPr>
                                <w:t>(discussed</w:t>
                              </w:r>
                              <w:r>
                                <w:rPr>
                                  <w:spacing w:val="13"/>
                                  <w:sz w:val="22"/>
                                </w:rPr>
                                <w:t> </w:t>
                              </w:r>
                              <w:r>
                                <w:rPr>
                                  <w:sz w:val="22"/>
                                </w:rPr>
                                <w:t>in</w:t>
                              </w:r>
                              <w:r>
                                <w:rPr>
                                  <w:spacing w:val="12"/>
                                  <w:sz w:val="22"/>
                                </w:rPr>
                                <w:t> </w:t>
                              </w:r>
                              <w:r>
                                <w:rPr>
                                  <w:sz w:val="22"/>
                                </w:rPr>
                                <w:t>Chapter</w:t>
                              </w:r>
                              <w:r>
                                <w:rPr>
                                  <w:spacing w:val="13"/>
                                  <w:sz w:val="22"/>
                                </w:rPr>
                                <w:t> </w:t>
                              </w:r>
                              <w:r>
                                <w:rPr>
                                  <w:spacing w:val="-4"/>
                                  <w:sz w:val="22"/>
                                </w:rPr>
                                <w:t>16).</w:t>
                              </w:r>
                            </w:p>
                            <w:p>
                              <w:pPr>
                                <w:spacing w:line="256" w:lineRule="auto" w:before="15"/>
                                <w:ind w:left="444" w:right="750" w:firstLine="0"/>
                                <w:jc w:val="both"/>
                                <w:rPr>
                                  <w:sz w:val="22"/>
                                </w:rPr>
                              </w:pPr>
                              <w:r>
                                <w:rPr>
                                  <w:sz w:val="22"/>
                                </w:rPr>
                                <w:t>At each visit, appropriate testing is scheduled for specific chronic conditions, </w:t>
                              </w:r>
                              <w:r>
                                <w:rPr>
                                  <w:sz w:val="22"/>
                                </w:rPr>
                                <w:t>indicated immunizations</w:t>
                              </w:r>
                              <w:r>
                                <w:rPr>
                                  <w:spacing w:val="50"/>
                                  <w:sz w:val="22"/>
                                </w:rPr>
                                <w:t> </w:t>
                              </w:r>
                              <w:r>
                                <w:rPr>
                                  <w:sz w:val="22"/>
                                </w:rPr>
                                <w:t>are</w:t>
                              </w:r>
                              <w:r>
                                <w:rPr>
                                  <w:spacing w:val="51"/>
                                  <w:sz w:val="22"/>
                                </w:rPr>
                                <w:t> </w:t>
                              </w:r>
                              <w:r>
                                <w:rPr>
                                  <w:sz w:val="22"/>
                                </w:rPr>
                                <w:t>provided,</w:t>
                              </w:r>
                              <w:r>
                                <w:rPr>
                                  <w:spacing w:val="51"/>
                                  <w:sz w:val="22"/>
                                </w:rPr>
                                <w:t> </w:t>
                              </w:r>
                              <w:r>
                                <w:rPr>
                                  <w:sz w:val="22"/>
                                </w:rPr>
                                <w:t>and</w:t>
                              </w:r>
                              <w:r>
                                <w:rPr>
                                  <w:spacing w:val="51"/>
                                  <w:sz w:val="22"/>
                                </w:rPr>
                                <w:t> </w:t>
                              </w:r>
                              <w:r>
                                <w:rPr>
                                  <w:sz w:val="22"/>
                                </w:rPr>
                                <w:t>counseling</w:t>
                              </w:r>
                              <w:r>
                                <w:rPr>
                                  <w:spacing w:val="51"/>
                                  <w:sz w:val="22"/>
                                </w:rPr>
                                <w:t> </w:t>
                              </w:r>
                              <w:r>
                                <w:rPr>
                                  <w:sz w:val="22"/>
                                </w:rPr>
                                <w:t>for</w:t>
                              </w:r>
                              <w:r>
                                <w:rPr>
                                  <w:spacing w:val="51"/>
                                  <w:sz w:val="22"/>
                                </w:rPr>
                                <w:t> </w:t>
                              </w:r>
                              <w:r>
                                <w:rPr>
                                  <w:sz w:val="22"/>
                                </w:rPr>
                                <w:t>changing</w:t>
                              </w:r>
                              <w:r>
                                <w:rPr>
                                  <w:spacing w:val="50"/>
                                  <w:sz w:val="22"/>
                                </w:rPr>
                                <w:t> </w:t>
                              </w:r>
                              <w:r>
                                <w:rPr>
                                  <w:sz w:val="22"/>
                                </w:rPr>
                                <w:t>nutritional</w:t>
                              </w:r>
                              <w:r>
                                <w:rPr>
                                  <w:spacing w:val="51"/>
                                  <w:sz w:val="22"/>
                                </w:rPr>
                                <w:t> </w:t>
                              </w:r>
                              <w:r>
                                <w:rPr>
                                  <w:sz w:val="22"/>
                                </w:rPr>
                                <w:t>needs;</w:t>
                              </w:r>
                              <w:r>
                                <w:rPr>
                                  <w:spacing w:val="51"/>
                                  <w:sz w:val="22"/>
                                </w:rPr>
                                <w:t> </w:t>
                              </w:r>
                              <w:r>
                                <w:rPr>
                                  <w:spacing w:val="-2"/>
                                  <w:sz w:val="22"/>
                                </w:rPr>
                                <w:t>physical</w:t>
                              </w:r>
                            </w:p>
                          </w:txbxContent>
                        </wps:txbx>
                        <wps:bodyPr wrap="square" lIns="0" tIns="0" rIns="0" bIns="0" rtlCol="0">
                          <a:noAutofit/>
                        </wps:bodyPr>
                      </wps:wsp>
                      <wps:wsp>
                        <wps:cNvPr id="77" name="Textbox 77"/>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wps:txbx>
                        <wps:bodyPr wrap="square" lIns="0" tIns="0" rIns="0" bIns="0" rtlCol="0">
                          <a:noAutofit/>
                        </wps:bodyPr>
                      </wps:wsp>
                    </wpg:wgp>
                  </a:graphicData>
                </a:graphic>
              </wp:anchor>
            </w:drawing>
          </mc:Choice>
          <mc:Fallback>
            <w:pict>
              <v:group style="position:absolute;margin-left:77.249992pt;margin-top:16.149023pt;width:457.5pt;height:229.5pt;mso-position-horizontal-relative:page;mso-position-vertical-relative:paragraph;z-index:-15699456;mso-wrap-distance-left:0;mso-wrap-distance-right:0" id="docshapegroup56" coordorigin="1545,323" coordsize="9150,4590">
                <v:rect style="position:absolute;left:1545;top:322;width:9150;height:30" id="docshape57" filled="true" fillcolor="#d5e699" stroked="false">
                  <v:fill type="solid"/>
                </v:rect>
                <v:rect style="position:absolute;left:1545;top:1492;width:9150;height:3420" id="docshape58" filled="true" fillcolor="#e9f1cd" stroked="false">
                  <v:fill type="solid"/>
                </v:rect>
                <v:rect style="position:absolute;left:1545;top:412;width:9150;height:1080" id="docshape59" filled="true" fillcolor="#2b816f" stroked="false">
                  <v:fill type="solid"/>
                </v:rect>
                <v:shape style="position:absolute;left:1875;top:683;width:585;height:90" id="docshape60" coordorigin="1875,683" coordsize="585,90" path="m1926,773l1914,773,1908,772,1897,767,1892,764,1884,756,1881,751,1876,740,1875,734,1875,722,1876,716,1881,705,1884,700,1888,696,1892,692,1897,689,1908,684,1914,683,1926,683,1932,684,1943,689,1948,692,1952,696,1956,700,1959,705,1964,716,1965,722,1965,734,1964,740,1959,751,1956,756,1948,764,1943,767,1932,772,1926,773xm2091,773l2079,773,2073,772,2062,767,2057,764,2049,756,2046,751,2041,740,2040,734,2040,722,2041,716,2046,705,2049,700,2053,696,2057,692,2062,689,2073,684,2079,683,2091,683,2097,684,2108,689,2112,692,2117,696,2121,700,2124,705,2129,716,2130,722,2130,734,2129,740,2124,751,2121,756,2112,764,2108,767,2097,772,2091,773xm2256,773l2244,773,2238,772,2227,767,2222,764,2214,756,2210,751,2206,740,2205,734,2205,722,2206,716,2210,705,2214,700,2218,696,2222,692,2227,689,2238,684,2244,683,2256,683,2261,684,2272,689,2277,692,2282,696,2286,700,2289,705,2294,716,2295,722,2295,734,2294,740,2289,751,2286,756,2277,764,2272,767,2261,772,2256,773xm2421,773l2409,773,2403,772,2392,767,2387,764,2379,756,2375,751,2371,740,2370,734,2370,722,2371,716,2375,705,2379,700,2383,696,2387,692,2392,689,2403,684,2409,683,2421,683,2426,684,2437,689,2442,692,2446,696,2451,700,2454,705,2458,716,2460,722,2460,734,2458,740,2454,751,2451,756,2442,764,2437,767,2426,772,2421,773xe" filled="true" fillcolor="#d0e399" stroked="false">
                  <v:path arrowok="t"/>
                  <v:fill type="solid"/>
                </v:shape>
                <v:shape style="position:absolute;left:1754;top:1897;width:75;height:2235" id="docshape61" coordorigin="1755,1898" coordsize="75,2235" path="m1830,4090l1829,4086,1825,4076,1823,4072,1816,4065,1811,4063,1802,4059,1797,4058,1788,4058,1783,4059,1774,4063,1769,4065,1762,4072,1760,4076,1756,4086,1755,4090,1755,4100,1756,4105,1760,4114,1762,4118,1769,4125,1774,4128,1783,4132,1788,4133,1792,4133,1797,4133,1802,4132,1811,4128,1816,4125,1823,4118,1825,4114,1829,4105,1830,4100,1830,4095,1830,4090xm1830,3820l1829,3816,1825,3806,1823,3802,1816,3795,1811,3793,1807,3791,1802,3789,1797,3788,1788,3788,1783,3789,1778,3791,1774,3793,1769,3795,1762,3802,1760,3806,1756,3816,1755,3820,1755,3830,1756,3835,1760,3844,1762,3848,1769,3855,1774,3858,1783,3862,1788,3863,1792,3863,1797,3863,1802,3862,1811,3858,1816,3855,1823,3848,1825,3844,1829,3835,1830,3830,1830,3825,1830,3820xm1830,2740l1829,2736,1825,2727,1823,2722,1816,2715,1811,2713,1802,2709,1797,2708,1788,2708,1783,2709,1774,2713,1769,2715,1762,2722,1760,2727,1756,2736,1755,2740,1755,2750,1756,2755,1760,2764,1762,2768,1769,2775,1774,2778,1783,2782,1788,2783,1797,2783,1802,2782,1811,2778,1816,2775,1823,2768,1825,2764,1829,2755,1830,2750,1830,2745,1830,2740xm1830,1930l1829,1926,1825,1917,1823,1912,1816,1905,1811,1903,1807,1901,1802,1899,1797,1898,1788,1898,1783,1899,1778,1901,1774,1903,1769,1905,1762,1912,1760,1917,1756,1926,1755,1930,1755,1940,1756,1945,1760,1954,1762,1958,1766,1962,1769,1965,1774,1968,1783,1972,1788,1973,1792,1973,1797,1973,1802,1972,1811,1968,1816,1965,1819,1962,1823,1958,1825,1954,1829,1945,1830,1940,1830,1935,1830,1930xe" filled="true" fillcolor="#2b816f" stroked="false">
                  <v:path arrowok="t"/>
                  <v:fill type="solid"/>
                </v:shape>
                <v:shape style="position:absolute;left:1545;top:1492;width:9150;height:3420" type="#_x0000_t202" id="docshape62" filled="false" stroked="false">
                  <v:textbox inset="0,0,0,0">
                    <w:txbxContent>
                      <w:p>
                        <w:pPr>
                          <w:spacing w:line="240" w:lineRule="auto" w:before="51"/>
                          <w:rPr>
                            <w:sz w:val="22"/>
                          </w:rPr>
                        </w:pPr>
                      </w:p>
                      <w:p>
                        <w:pPr>
                          <w:spacing w:line="256" w:lineRule="auto" w:before="0"/>
                          <w:ind w:left="444" w:right="748" w:firstLine="0"/>
                          <w:jc w:val="both"/>
                          <w:rPr>
                            <w:sz w:val="22"/>
                          </w:rPr>
                        </w:pPr>
                        <w:r>
                          <w:rPr>
                            <w:sz w:val="22"/>
                          </w:rPr>
                          <w:t>Regardless of chronologic age, women should undergo annual medical evaluations that should include a thorough medical history and a thoughtful risk quantification based on personal and family histories as well as physical examination.</w:t>
                        </w:r>
                      </w:p>
                      <w:p>
                        <w:pPr>
                          <w:spacing w:line="256" w:lineRule="auto" w:before="0"/>
                          <w:ind w:left="444" w:right="751" w:firstLine="0"/>
                          <w:jc w:val="both"/>
                          <w:rPr>
                            <w:sz w:val="22"/>
                          </w:rPr>
                        </w:pPr>
                        <w:r>
                          <w:rPr>
                            <w:sz w:val="22"/>
                          </w:rPr>
                          <w:t>Annual visits should include assessment of vitals (blood pressure and pulse), </w:t>
                        </w:r>
                        <w:r>
                          <w:rPr>
                            <w:sz w:val="22"/>
                          </w:rPr>
                          <w:t>body</w:t>
                        </w:r>
                        <w:r>
                          <w:rPr>
                            <w:spacing w:val="80"/>
                            <w:w w:val="150"/>
                            <w:sz w:val="22"/>
                          </w:rPr>
                          <w:t> </w:t>
                        </w:r>
                        <w:r>
                          <w:rPr>
                            <w:sz w:val="22"/>
                          </w:rPr>
                          <w:t>weight and BMI, breast and pelvic examinations, and screening for sexually transmitted infections when appropriate. Thyroid function (TSH) should be assessed in the 40s and annually beginning at age 60.</w:t>
                        </w:r>
                      </w:p>
                      <w:p>
                        <w:pPr>
                          <w:spacing w:line="250" w:lineRule="exact" w:before="0"/>
                          <w:ind w:left="444" w:right="0" w:firstLine="0"/>
                          <w:jc w:val="both"/>
                          <w:rPr>
                            <w:sz w:val="22"/>
                          </w:rPr>
                        </w:pPr>
                        <w:r>
                          <w:rPr>
                            <w:sz w:val="22"/>
                          </w:rPr>
                          <w:t>Annual</w:t>
                        </w:r>
                        <w:r>
                          <w:rPr>
                            <w:spacing w:val="12"/>
                            <w:sz w:val="22"/>
                          </w:rPr>
                          <w:t> </w:t>
                        </w:r>
                        <w:r>
                          <w:rPr>
                            <w:sz w:val="22"/>
                          </w:rPr>
                          <w:t>screening</w:t>
                        </w:r>
                        <w:r>
                          <w:rPr>
                            <w:spacing w:val="13"/>
                            <w:sz w:val="22"/>
                          </w:rPr>
                          <w:t> </w:t>
                        </w:r>
                        <w:r>
                          <w:rPr>
                            <w:sz w:val="22"/>
                          </w:rPr>
                          <w:t>mammography</w:t>
                        </w:r>
                        <w:r>
                          <w:rPr>
                            <w:spacing w:val="12"/>
                            <w:sz w:val="22"/>
                          </w:rPr>
                          <w:t> </w:t>
                        </w:r>
                        <w:r>
                          <w:rPr>
                            <w:sz w:val="22"/>
                          </w:rPr>
                          <w:t>should</w:t>
                        </w:r>
                        <w:r>
                          <w:rPr>
                            <w:spacing w:val="13"/>
                            <w:sz w:val="22"/>
                          </w:rPr>
                          <w:t> </w:t>
                        </w:r>
                        <w:r>
                          <w:rPr>
                            <w:sz w:val="22"/>
                          </w:rPr>
                          <w:t>begin</w:t>
                        </w:r>
                        <w:r>
                          <w:rPr>
                            <w:spacing w:val="12"/>
                            <w:sz w:val="22"/>
                          </w:rPr>
                          <w:t> </w:t>
                        </w:r>
                        <w:r>
                          <w:rPr>
                            <w:sz w:val="22"/>
                          </w:rPr>
                          <w:t>at</w:t>
                        </w:r>
                        <w:r>
                          <w:rPr>
                            <w:spacing w:val="13"/>
                            <w:sz w:val="22"/>
                          </w:rPr>
                          <w:t> </w:t>
                        </w:r>
                        <w:r>
                          <w:rPr>
                            <w:sz w:val="22"/>
                          </w:rPr>
                          <w:t>age</w:t>
                        </w:r>
                        <w:r>
                          <w:rPr>
                            <w:spacing w:val="13"/>
                            <w:sz w:val="22"/>
                          </w:rPr>
                          <w:t> </w:t>
                        </w:r>
                        <w:r>
                          <w:rPr>
                            <w:sz w:val="22"/>
                          </w:rPr>
                          <w:t>40</w:t>
                        </w:r>
                        <w:r>
                          <w:rPr>
                            <w:spacing w:val="12"/>
                            <w:sz w:val="22"/>
                          </w:rPr>
                          <w:t> </w:t>
                        </w:r>
                        <w:r>
                          <w:rPr>
                            <w:sz w:val="22"/>
                          </w:rPr>
                          <w:t>(discussed</w:t>
                        </w:r>
                        <w:r>
                          <w:rPr>
                            <w:spacing w:val="13"/>
                            <w:sz w:val="22"/>
                          </w:rPr>
                          <w:t> </w:t>
                        </w:r>
                        <w:r>
                          <w:rPr>
                            <w:sz w:val="22"/>
                          </w:rPr>
                          <w:t>in</w:t>
                        </w:r>
                        <w:r>
                          <w:rPr>
                            <w:spacing w:val="12"/>
                            <w:sz w:val="22"/>
                          </w:rPr>
                          <w:t> </w:t>
                        </w:r>
                        <w:r>
                          <w:rPr>
                            <w:sz w:val="22"/>
                          </w:rPr>
                          <w:t>Chapter</w:t>
                        </w:r>
                        <w:r>
                          <w:rPr>
                            <w:spacing w:val="13"/>
                            <w:sz w:val="22"/>
                          </w:rPr>
                          <w:t> </w:t>
                        </w:r>
                        <w:r>
                          <w:rPr>
                            <w:spacing w:val="-4"/>
                            <w:sz w:val="22"/>
                          </w:rPr>
                          <w:t>16).</w:t>
                        </w:r>
                      </w:p>
                      <w:p>
                        <w:pPr>
                          <w:spacing w:line="256" w:lineRule="auto" w:before="15"/>
                          <w:ind w:left="444" w:right="750" w:firstLine="0"/>
                          <w:jc w:val="both"/>
                          <w:rPr>
                            <w:sz w:val="22"/>
                          </w:rPr>
                        </w:pPr>
                        <w:r>
                          <w:rPr>
                            <w:sz w:val="22"/>
                          </w:rPr>
                          <w:t>At each visit, appropriate testing is scheduled for specific chronic conditions, </w:t>
                        </w:r>
                        <w:r>
                          <w:rPr>
                            <w:sz w:val="22"/>
                          </w:rPr>
                          <w:t>indicated immunizations</w:t>
                        </w:r>
                        <w:r>
                          <w:rPr>
                            <w:spacing w:val="50"/>
                            <w:sz w:val="22"/>
                          </w:rPr>
                          <w:t> </w:t>
                        </w:r>
                        <w:r>
                          <w:rPr>
                            <w:sz w:val="22"/>
                          </w:rPr>
                          <w:t>are</w:t>
                        </w:r>
                        <w:r>
                          <w:rPr>
                            <w:spacing w:val="51"/>
                            <w:sz w:val="22"/>
                          </w:rPr>
                          <w:t> </w:t>
                        </w:r>
                        <w:r>
                          <w:rPr>
                            <w:sz w:val="22"/>
                          </w:rPr>
                          <w:t>provided,</w:t>
                        </w:r>
                        <w:r>
                          <w:rPr>
                            <w:spacing w:val="51"/>
                            <w:sz w:val="22"/>
                          </w:rPr>
                          <w:t> </w:t>
                        </w:r>
                        <w:r>
                          <w:rPr>
                            <w:sz w:val="22"/>
                          </w:rPr>
                          <w:t>and</w:t>
                        </w:r>
                        <w:r>
                          <w:rPr>
                            <w:spacing w:val="51"/>
                            <w:sz w:val="22"/>
                          </w:rPr>
                          <w:t> </w:t>
                        </w:r>
                        <w:r>
                          <w:rPr>
                            <w:sz w:val="22"/>
                          </w:rPr>
                          <w:t>counseling</w:t>
                        </w:r>
                        <w:r>
                          <w:rPr>
                            <w:spacing w:val="51"/>
                            <w:sz w:val="22"/>
                          </w:rPr>
                          <w:t> </w:t>
                        </w:r>
                        <w:r>
                          <w:rPr>
                            <w:sz w:val="22"/>
                          </w:rPr>
                          <w:t>for</w:t>
                        </w:r>
                        <w:r>
                          <w:rPr>
                            <w:spacing w:val="51"/>
                            <w:sz w:val="22"/>
                          </w:rPr>
                          <w:t> </w:t>
                        </w:r>
                        <w:r>
                          <w:rPr>
                            <w:sz w:val="22"/>
                          </w:rPr>
                          <w:t>changing</w:t>
                        </w:r>
                        <w:r>
                          <w:rPr>
                            <w:spacing w:val="50"/>
                            <w:sz w:val="22"/>
                          </w:rPr>
                          <w:t> </w:t>
                        </w:r>
                        <w:r>
                          <w:rPr>
                            <w:sz w:val="22"/>
                          </w:rPr>
                          <w:t>nutritional</w:t>
                        </w:r>
                        <w:r>
                          <w:rPr>
                            <w:spacing w:val="51"/>
                            <w:sz w:val="22"/>
                          </w:rPr>
                          <w:t> </w:t>
                        </w:r>
                        <w:r>
                          <w:rPr>
                            <w:sz w:val="22"/>
                          </w:rPr>
                          <w:t>needs;</w:t>
                        </w:r>
                        <w:r>
                          <w:rPr>
                            <w:spacing w:val="51"/>
                            <w:sz w:val="22"/>
                          </w:rPr>
                          <w:t> </w:t>
                        </w:r>
                        <w:r>
                          <w:rPr>
                            <w:spacing w:val="-2"/>
                            <w:sz w:val="22"/>
                          </w:rPr>
                          <w:t>physical</w:t>
                        </w:r>
                      </w:p>
                    </w:txbxContent>
                  </v:textbox>
                  <w10:wrap type="none"/>
                </v:shape>
                <v:shape style="position:absolute;left:1545;top:412;width:9150;height:1080" type="#_x0000_t202" id="docshape63"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v:textbox>
                  <w10:wrap type="none"/>
                </v:shape>
                <w10:wrap type="topAndBottom"/>
              </v:group>
            </w:pict>
          </mc:Fallback>
        </mc:AlternateContent>
      </w:r>
    </w:p>
    <w:p>
      <w:pPr>
        <w:pStyle w:val="BodyText"/>
        <w:spacing w:after="0"/>
        <w:jc w:val="left"/>
        <w:rPr>
          <w:sz w:val="20"/>
        </w:rPr>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1257300"/>
                <wp:effectExtent l="0" t="0" r="0" b="0"/>
                <wp:docPr id="78" name="Group 78"/>
                <wp:cNvGraphicFramePr>
                  <a:graphicFrameLocks/>
                </wp:cNvGraphicFramePr>
                <a:graphic>
                  <a:graphicData uri="http://schemas.microsoft.com/office/word/2010/wordprocessingGroup">
                    <wpg:wgp>
                      <wpg:cNvPr id="78" name="Group 78"/>
                      <wpg:cNvGrpSpPr/>
                      <wpg:grpSpPr>
                        <a:xfrm>
                          <a:off x="0" y="0"/>
                          <a:ext cx="5810250" cy="1257300"/>
                          <a:chExt cx="5810250" cy="1257300"/>
                        </a:xfrm>
                      </wpg:grpSpPr>
                      <wps:wsp>
                        <wps:cNvPr id="79" name="Graphic 79"/>
                        <wps:cNvSpPr/>
                        <wps:spPr>
                          <a:xfrm>
                            <a:off x="0" y="0"/>
                            <a:ext cx="5810250" cy="1257300"/>
                          </a:xfrm>
                          <a:custGeom>
                            <a:avLst/>
                            <a:gdLst/>
                            <a:ahLst/>
                            <a:cxnLst/>
                            <a:rect l="l" t="t" r="r" b="b"/>
                            <a:pathLst>
                              <a:path w="5810250" h="1257300">
                                <a:moveTo>
                                  <a:pt x="5810249" y="1257286"/>
                                </a:moveTo>
                                <a:lnTo>
                                  <a:pt x="0" y="1257286"/>
                                </a:lnTo>
                                <a:lnTo>
                                  <a:pt x="0" y="0"/>
                                </a:lnTo>
                                <a:lnTo>
                                  <a:pt x="5810249" y="0"/>
                                </a:lnTo>
                                <a:lnTo>
                                  <a:pt x="5810249" y="1257286"/>
                                </a:lnTo>
                                <a:close/>
                              </a:path>
                            </a:pathLst>
                          </a:custGeom>
                          <a:solidFill>
                            <a:srgbClr val="E9F1CD"/>
                          </a:solidFill>
                        </wps:spPr>
                        <wps:bodyPr wrap="square" lIns="0" tIns="0" rIns="0" bIns="0" rtlCol="0">
                          <a:prstTxWarp prst="textNoShape">
                            <a:avLst/>
                          </a:prstTxWarp>
                          <a:noAutofit/>
                        </wps:bodyPr>
                      </wps:wsp>
                      <wps:wsp>
                        <wps:cNvPr id="80" name="Graphic 80"/>
                        <wps:cNvSpPr/>
                        <wps:spPr>
                          <a:xfrm>
                            <a:off x="133350" y="409584"/>
                            <a:ext cx="47625" cy="47625"/>
                          </a:xfrm>
                          <a:custGeom>
                            <a:avLst/>
                            <a:gdLst/>
                            <a:ahLst/>
                            <a:cxnLst/>
                            <a:rect l="l" t="t" r="r" b="b"/>
                            <a:pathLst>
                              <a:path w="47625" h="47625">
                                <a:moveTo>
                                  <a:pt x="23812" y="47624"/>
                                </a:moveTo>
                                <a:lnTo>
                                  <a:pt x="0" y="26936"/>
                                </a:lnTo>
                                <a:lnTo>
                                  <a:pt x="0" y="20612"/>
                                </a:lnTo>
                                <a:lnTo>
                                  <a:pt x="20654" y="0"/>
                                </a:lnTo>
                                <a:lnTo>
                                  <a:pt x="26970" y="0"/>
                                </a:lnTo>
                                <a:lnTo>
                                  <a:pt x="47625" y="23812"/>
                                </a:lnTo>
                                <a:lnTo>
                                  <a:pt x="47624" y="26936"/>
                                </a:lnTo>
                                <a:lnTo>
                                  <a:pt x="23812" y="47624"/>
                                </a:lnTo>
                                <a:close/>
                              </a:path>
                            </a:pathLst>
                          </a:custGeom>
                          <a:solidFill>
                            <a:srgbClr val="2B816F"/>
                          </a:solidFill>
                        </wps:spPr>
                        <wps:bodyPr wrap="square" lIns="0" tIns="0" rIns="0" bIns="0" rtlCol="0">
                          <a:prstTxWarp prst="textNoShape">
                            <a:avLst/>
                          </a:prstTxWarp>
                          <a:noAutofit/>
                        </wps:bodyPr>
                      </wps:wsp>
                      <wps:wsp>
                        <wps:cNvPr id="81" name="Textbox 81"/>
                        <wps:cNvSpPr txBox="1"/>
                        <wps:spPr>
                          <a:xfrm>
                            <a:off x="0" y="0"/>
                            <a:ext cx="5810250" cy="1257300"/>
                          </a:xfrm>
                          <a:prstGeom prst="rect">
                            <a:avLst/>
                          </a:prstGeom>
                        </wps:spPr>
                        <wps:txbx>
                          <w:txbxContent>
                            <w:p>
                              <w:pPr>
                                <w:spacing w:line="256" w:lineRule="auto" w:before="4"/>
                                <w:ind w:left="444" w:right="751" w:firstLine="0"/>
                                <w:jc w:val="both"/>
                                <w:rPr>
                                  <w:sz w:val="22"/>
                                </w:rPr>
                              </w:pPr>
                              <w:r>
                                <w:rPr>
                                  <w:sz w:val="22"/>
                                </w:rPr>
                                <w:t>activities;</w:t>
                              </w:r>
                              <w:r>
                                <w:rPr>
                                  <w:spacing w:val="40"/>
                                  <w:sz w:val="22"/>
                                </w:rPr>
                                <w:t> </w:t>
                              </w:r>
                              <w:r>
                                <w:rPr>
                                  <w:sz w:val="22"/>
                                </w:rPr>
                                <w:t>injury</w:t>
                              </w:r>
                              <w:r>
                                <w:rPr>
                                  <w:spacing w:val="40"/>
                                  <w:sz w:val="22"/>
                                </w:rPr>
                                <w:t> </w:t>
                              </w:r>
                              <w:r>
                                <w:rPr>
                                  <w:sz w:val="22"/>
                                </w:rPr>
                                <w:t>prevention;</w:t>
                              </w:r>
                              <w:r>
                                <w:rPr>
                                  <w:spacing w:val="40"/>
                                  <w:sz w:val="22"/>
                                </w:rPr>
                                <w:t> </w:t>
                              </w:r>
                              <w:r>
                                <w:rPr>
                                  <w:sz w:val="22"/>
                                </w:rPr>
                                <w:t>occupational,</w:t>
                              </w:r>
                              <w:r>
                                <w:rPr>
                                  <w:spacing w:val="40"/>
                                  <w:sz w:val="22"/>
                                </w:rPr>
                                <w:t> </w:t>
                              </w:r>
                              <w:r>
                                <w:rPr>
                                  <w:sz w:val="22"/>
                                </w:rPr>
                                <w:t>sexual,</w:t>
                              </w:r>
                              <w:r>
                                <w:rPr>
                                  <w:spacing w:val="40"/>
                                  <w:sz w:val="22"/>
                                </w:rPr>
                                <w:t> </w:t>
                              </w:r>
                              <w:r>
                                <w:rPr>
                                  <w:sz w:val="22"/>
                                </w:rPr>
                                <w:t>marital,</w:t>
                              </w:r>
                              <w:r>
                                <w:rPr>
                                  <w:spacing w:val="40"/>
                                  <w:sz w:val="22"/>
                                </w:rPr>
                                <w:t> </w:t>
                              </w:r>
                              <w:r>
                                <w:rPr>
                                  <w:sz w:val="22"/>
                                </w:rPr>
                                <w:t>and</w:t>
                              </w:r>
                              <w:r>
                                <w:rPr>
                                  <w:spacing w:val="40"/>
                                  <w:sz w:val="22"/>
                                </w:rPr>
                                <w:t> </w:t>
                              </w:r>
                              <w:r>
                                <w:rPr>
                                  <w:sz w:val="22"/>
                                </w:rPr>
                                <w:t>parental</w:t>
                              </w:r>
                              <w:r>
                                <w:rPr>
                                  <w:spacing w:val="40"/>
                                  <w:sz w:val="22"/>
                                </w:rPr>
                                <w:t> </w:t>
                              </w:r>
                              <w:r>
                                <w:rPr>
                                  <w:sz w:val="22"/>
                                </w:rPr>
                                <w:t>problems; urinary function; and use of tobacco, alcohol, and drugs.</w:t>
                              </w:r>
                            </w:p>
                            <w:p>
                              <w:pPr>
                                <w:spacing w:line="249" w:lineRule="auto" w:before="0"/>
                                <w:ind w:left="444" w:right="751" w:firstLine="0"/>
                                <w:jc w:val="both"/>
                                <w:rPr>
                                  <w:sz w:val="17"/>
                                </w:rPr>
                              </w:pPr>
                              <w:r>
                                <w:rPr>
                                  <w:sz w:val="22"/>
                                </w:rPr>
                                <w:t>For</w:t>
                              </w:r>
                              <w:r>
                                <w:rPr>
                                  <w:spacing w:val="40"/>
                                  <w:sz w:val="22"/>
                                </w:rPr>
                                <w:t> </w:t>
                              </w:r>
                              <w:r>
                                <w:rPr>
                                  <w:sz w:val="22"/>
                                </w:rPr>
                                <w:t>low-risk</w:t>
                              </w:r>
                              <w:r>
                                <w:rPr>
                                  <w:spacing w:val="40"/>
                                  <w:sz w:val="22"/>
                                </w:rPr>
                                <w:t> </w:t>
                              </w:r>
                              <w:r>
                                <w:rPr>
                                  <w:sz w:val="22"/>
                                </w:rPr>
                                <w:t>individuals</w:t>
                              </w:r>
                              <w:r>
                                <w:rPr>
                                  <w:spacing w:val="40"/>
                                  <w:sz w:val="22"/>
                                </w:rPr>
                                <w:t> </w:t>
                              </w:r>
                              <w:r>
                                <w:rPr>
                                  <w:sz w:val="22"/>
                                </w:rPr>
                                <w:t>without</w:t>
                              </w:r>
                              <w:r>
                                <w:rPr>
                                  <w:spacing w:val="40"/>
                                  <w:sz w:val="22"/>
                                </w:rPr>
                                <w:t> </w:t>
                              </w:r>
                              <w:r>
                                <w:rPr>
                                  <w:sz w:val="22"/>
                                </w:rPr>
                                <w:t>a</w:t>
                              </w:r>
                              <w:r>
                                <w:rPr>
                                  <w:spacing w:val="40"/>
                                  <w:sz w:val="22"/>
                                </w:rPr>
                                <w:t> </w:t>
                              </w:r>
                              <w:r>
                                <w:rPr>
                                  <w:sz w:val="22"/>
                                </w:rPr>
                                <w:t>family</w:t>
                              </w:r>
                              <w:r>
                                <w:rPr>
                                  <w:spacing w:val="40"/>
                                  <w:sz w:val="22"/>
                                </w:rPr>
                                <w:t> </w:t>
                              </w:r>
                              <w:r>
                                <w:rPr>
                                  <w:sz w:val="22"/>
                                </w:rPr>
                                <w:t>history</w:t>
                              </w:r>
                              <w:r>
                                <w:rPr>
                                  <w:spacing w:val="40"/>
                                  <w:sz w:val="22"/>
                                </w:rPr>
                                <w:t> </w:t>
                              </w:r>
                              <w:r>
                                <w:rPr>
                                  <w:sz w:val="22"/>
                                </w:rPr>
                                <w:t>of</w:t>
                              </w:r>
                              <w:r>
                                <w:rPr>
                                  <w:spacing w:val="40"/>
                                  <w:sz w:val="22"/>
                                </w:rPr>
                                <w:t> </w:t>
                              </w:r>
                              <w:r>
                                <w:rPr>
                                  <w:sz w:val="22"/>
                                </w:rPr>
                                <w:t>colon</w:t>
                              </w:r>
                              <w:r>
                                <w:rPr>
                                  <w:spacing w:val="40"/>
                                  <w:sz w:val="22"/>
                                </w:rPr>
                                <w:t> </w:t>
                              </w:r>
                              <w:r>
                                <w:rPr>
                                  <w:sz w:val="22"/>
                                </w:rPr>
                                <w:t>cancer,</w:t>
                              </w:r>
                              <w:r>
                                <w:rPr>
                                  <w:spacing w:val="40"/>
                                  <w:sz w:val="22"/>
                                </w:rPr>
                                <w:t> </w:t>
                              </w:r>
                              <w:r>
                                <w:rPr>
                                  <w:sz w:val="22"/>
                                </w:rPr>
                                <w:t>screening colonoscopy is recommended starting at age 50 and then every 10 years through age </w:t>
                              </w:r>
                              <w:r>
                                <w:rPr>
                                  <w:spacing w:val="-2"/>
                                  <w:position w:val="-8"/>
                                  <w:sz w:val="22"/>
                                </w:rPr>
                                <w:t>75.</w:t>
                              </w:r>
                              <w:r>
                                <w:rPr>
                                  <w:spacing w:val="-2"/>
                                  <w:sz w:val="17"/>
                                </w:rPr>
                                <w:t>496</w:t>
                              </w:r>
                            </w:p>
                          </w:txbxContent>
                        </wps:txbx>
                        <wps:bodyPr wrap="square" lIns="0" tIns="0" rIns="0" bIns="0" rtlCol="0">
                          <a:noAutofit/>
                        </wps:bodyPr>
                      </wps:wsp>
                    </wpg:wgp>
                  </a:graphicData>
                </a:graphic>
              </wp:inline>
            </w:drawing>
          </mc:Choice>
          <mc:Fallback>
            <w:pict>
              <v:group style="width:457.5pt;height:99pt;mso-position-horizontal-relative:char;mso-position-vertical-relative:line" id="docshapegroup64" coordorigin="0,0" coordsize="9150,1980">
                <v:rect style="position:absolute;left:0;top:0;width:9150;height:1980" id="docshape65" filled="true" fillcolor="#e9f1cd" stroked="false">
                  <v:fill type="solid"/>
                </v:rect>
                <v:shape style="position:absolute;left:210;top:645;width:75;height:75" id="docshape66" coordorigin="210,645" coordsize="75,75" path="m248,720l210,687,210,677,243,645,252,645,285,683,285,687,248,720xe" filled="true" fillcolor="#2b816f" stroked="false">
                  <v:path arrowok="t"/>
                  <v:fill type="solid"/>
                </v:shape>
                <v:shape style="position:absolute;left:0;top:0;width:9150;height:1980" type="#_x0000_t202" id="docshape67" filled="false" stroked="false">
                  <v:textbox inset="0,0,0,0">
                    <w:txbxContent>
                      <w:p>
                        <w:pPr>
                          <w:spacing w:line="256" w:lineRule="auto" w:before="4"/>
                          <w:ind w:left="444" w:right="751" w:firstLine="0"/>
                          <w:jc w:val="both"/>
                          <w:rPr>
                            <w:sz w:val="22"/>
                          </w:rPr>
                        </w:pPr>
                        <w:r>
                          <w:rPr>
                            <w:sz w:val="22"/>
                          </w:rPr>
                          <w:t>activities;</w:t>
                        </w:r>
                        <w:r>
                          <w:rPr>
                            <w:spacing w:val="40"/>
                            <w:sz w:val="22"/>
                          </w:rPr>
                          <w:t> </w:t>
                        </w:r>
                        <w:r>
                          <w:rPr>
                            <w:sz w:val="22"/>
                          </w:rPr>
                          <w:t>injury</w:t>
                        </w:r>
                        <w:r>
                          <w:rPr>
                            <w:spacing w:val="40"/>
                            <w:sz w:val="22"/>
                          </w:rPr>
                          <w:t> </w:t>
                        </w:r>
                        <w:r>
                          <w:rPr>
                            <w:sz w:val="22"/>
                          </w:rPr>
                          <w:t>prevention;</w:t>
                        </w:r>
                        <w:r>
                          <w:rPr>
                            <w:spacing w:val="40"/>
                            <w:sz w:val="22"/>
                          </w:rPr>
                          <w:t> </w:t>
                        </w:r>
                        <w:r>
                          <w:rPr>
                            <w:sz w:val="22"/>
                          </w:rPr>
                          <w:t>occupational,</w:t>
                        </w:r>
                        <w:r>
                          <w:rPr>
                            <w:spacing w:val="40"/>
                            <w:sz w:val="22"/>
                          </w:rPr>
                          <w:t> </w:t>
                        </w:r>
                        <w:r>
                          <w:rPr>
                            <w:sz w:val="22"/>
                          </w:rPr>
                          <w:t>sexual,</w:t>
                        </w:r>
                        <w:r>
                          <w:rPr>
                            <w:spacing w:val="40"/>
                            <w:sz w:val="22"/>
                          </w:rPr>
                          <w:t> </w:t>
                        </w:r>
                        <w:r>
                          <w:rPr>
                            <w:sz w:val="22"/>
                          </w:rPr>
                          <w:t>marital,</w:t>
                        </w:r>
                        <w:r>
                          <w:rPr>
                            <w:spacing w:val="40"/>
                            <w:sz w:val="22"/>
                          </w:rPr>
                          <w:t> </w:t>
                        </w:r>
                        <w:r>
                          <w:rPr>
                            <w:sz w:val="22"/>
                          </w:rPr>
                          <w:t>and</w:t>
                        </w:r>
                        <w:r>
                          <w:rPr>
                            <w:spacing w:val="40"/>
                            <w:sz w:val="22"/>
                          </w:rPr>
                          <w:t> </w:t>
                        </w:r>
                        <w:r>
                          <w:rPr>
                            <w:sz w:val="22"/>
                          </w:rPr>
                          <w:t>parental</w:t>
                        </w:r>
                        <w:r>
                          <w:rPr>
                            <w:spacing w:val="40"/>
                            <w:sz w:val="22"/>
                          </w:rPr>
                          <w:t> </w:t>
                        </w:r>
                        <w:r>
                          <w:rPr>
                            <w:sz w:val="22"/>
                          </w:rPr>
                          <w:t>problems; urinary function; and use of tobacco, alcohol, and drugs.</w:t>
                        </w:r>
                      </w:p>
                      <w:p>
                        <w:pPr>
                          <w:spacing w:line="249" w:lineRule="auto" w:before="0"/>
                          <w:ind w:left="444" w:right="751" w:firstLine="0"/>
                          <w:jc w:val="both"/>
                          <w:rPr>
                            <w:sz w:val="17"/>
                          </w:rPr>
                        </w:pPr>
                        <w:r>
                          <w:rPr>
                            <w:sz w:val="22"/>
                          </w:rPr>
                          <w:t>For</w:t>
                        </w:r>
                        <w:r>
                          <w:rPr>
                            <w:spacing w:val="40"/>
                            <w:sz w:val="22"/>
                          </w:rPr>
                          <w:t> </w:t>
                        </w:r>
                        <w:r>
                          <w:rPr>
                            <w:sz w:val="22"/>
                          </w:rPr>
                          <w:t>low-risk</w:t>
                        </w:r>
                        <w:r>
                          <w:rPr>
                            <w:spacing w:val="40"/>
                            <w:sz w:val="22"/>
                          </w:rPr>
                          <w:t> </w:t>
                        </w:r>
                        <w:r>
                          <w:rPr>
                            <w:sz w:val="22"/>
                          </w:rPr>
                          <w:t>individuals</w:t>
                        </w:r>
                        <w:r>
                          <w:rPr>
                            <w:spacing w:val="40"/>
                            <w:sz w:val="22"/>
                          </w:rPr>
                          <w:t> </w:t>
                        </w:r>
                        <w:r>
                          <w:rPr>
                            <w:sz w:val="22"/>
                          </w:rPr>
                          <w:t>without</w:t>
                        </w:r>
                        <w:r>
                          <w:rPr>
                            <w:spacing w:val="40"/>
                            <w:sz w:val="22"/>
                          </w:rPr>
                          <w:t> </w:t>
                        </w:r>
                        <w:r>
                          <w:rPr>
                            <w:sz w:val="22"/>
                          </w:rPr>
                          <w:t>a</w:t>
                        </w:r>
                        <w:r>
                          <w:rPr>
                            <w:spacing w:val="40"/>
                            <w:sz w:val="22"/>
                          </w:rPr>
                          <w:t> </w:t>
                        </w:r>
                        <w:r>
                          <w:rPr>
                            <w:sz w:val="22"/>
                          </w:rPr>
                          <w:t>family</w:t>
                        </w:r>
                        <w:r>
                          <w:rPr>
                            <w:spacing w:val="40"/>
                            <w:sz w:val="22"/>
                          </w:rPr>
                          <w:t> </w:t>
                        </w:r>
                        <w:r>
                          <w:rPr>
                            <w:sz w:val="22"/>
                          </w:rPr>
                          <w:t>history</w:t>
                        </w:r>
                        <w:r>
                          <w:rPr>
                            <w:spacing w:val="40"/>
                            <w:sz w:val="22"/>
                          </w:rPr>
                          <w:t> </w:t>
                        </w:r>
                        <w:r>
                          <w:rPr>
                            <w:sz w:val="22"/>
                          </w:rPr>
                          <w:t>of</w:t>
                        </w:r>
                        <w:r>
                          <w:rPr>
                            <w:spacing w:val="40"/>
                            <w:sz w:val="22"/>
                          </w:rPr>
                          <w:t> </w:t>
                        </w:r>
                        <w:r>
                          <w:rPr>
                            <w:sz w:val="22"/>
                          </w:rPr>
                          <w:t>colon</w:t>
                        </w:r>
                        <w:r>
                          <w:rPr>
                            <w:spacing w:val="40"/>
                            <w:sz w:val="22"/>
                          </w:rPr>
                          <w:t> </w:t>
                        </w:r>
                        <w:r>
                          <w:rPr>
                            <w:sz w:val="22"/>
                          </w:rPr>
                          <w:t>cancer,</w:t>
                        </w:r>
                        <w:r>
                          <w:rPr>
                            <w:spacing w:val="40"/>
                            <w:sz w:val="22"/>
                          </w:rPr>
                          <w:t> </w:t>
                        </w:r>
                        <w:r>
                          <w:rPr>
                            <w:sz w:val="22"/>
                          </w:rPr>
                          <w:t>screening colonoscopy is recommended starting at age 50 and then every 10 years through age </w:t>
                        </w:r>
                        <w:r>
                          <w:rPr>
                            <w:spacing w:val="-2"/>
                            <w:position w:val="-8"/>
                            <w:sz w:val="22"/>
                          </w:rPr>
                          <w:t>75.</w:t>
                        </w:r>
                        <w:r>
                          <w:rPr>
                            <w:spacing w:val="-2"/>
                            <w:sz w:val="17"/>
                          </w:rPr>
                          <w:t>496</w:t>
                        </w:r>
                      </w:p>
                    </w:txbxContent>
                  </v:textbox>
                  <w10:wrap type="none"/>
                </v:shape>
              </v:group>
            </w:pict>
          </mc:Fallback>
        </mc:AlternateContent>
      </w:r>
      <w:r>
        <w:rPr>
          <w:sz w:val="20"/>
        </w:rPr>
      </w:r>
    </w:p>
    <w:p>
      <w:pPr>
        <w:pStyle w:val="BodyText"/>
        <w:spacing w:before="0"/>
        <w:ind w:left="0"/>
        <w:jc w:val="left"/>
        <w:rPr>
          <w:sz w:val="20"/>
        </w:rPr>
      </w:pPr>
    </w:p>
    <w:p>
      <w:pPr>
        <w:pStyle w:val="BodyText"/>
        <w:spacing w:before="0"/>
        <w:ind w:left="0"/>
        <w:jc w:val="left"/>
        <w:rPr>
          <w:sz w:val="20"/>
        </w:rPr>
      </w:pPr>
    </w:p>
    <w:p>
      <w:pPr>
        <w:pStyle w:val="BodyText"/>
        <w:spacing w:before="161"/>
        <w:ind w:left="0"/>
        <w:jc w:val="left"/>
        <w:rPr>
          <w:sz w:val="20"/>
        </w:rPr>
      </w:pPr>
      <w:r>
        <w:rPr>
          <w:sz w:val="20"/>
        </w:rPr>
        <mc:AlternateContent>
          <mc:Choice Requires="wps">
            <w:drawing>
              <wp:anchor distT="0" distB="0" distL="0" distR="0" allowOverlap="1" layoutInCell="1" locked="0" behindDoc="1" simplePos="0" relativeHeight="487618048">
                <wp:simplePos x="0" y="0"/>
                <wp:positionH relativeFrom="page">
                  <wp:posOffset>981075</wp:posOffset>
                </wp:positionH>
                <wp:positionV relativeFrom="paragraph">
                  <wp:posOffset>263587</wp:posOffset>
                </wp:positionV>
                <wp:extent cx="285750" cy="571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285750" cy="57150"/>
                        </a:xfrm>
                        <a:custGeom>
                          <a:avLst/>
                          <a:gdLst/>
                          <a:ahLst/>
                          <a:cxnLst/>
                          <a:rect l="l" t="t" r="r" b="b"/>
                          <a:pathLst>
                            <a:path w="285750" h="57150">
                              <a:moveTo>
                                <a:pt x="32364" y="57073"/>
                              </a:moveTo>
                              <a:lnTo>
                                <a:pt x="24785" y="57073"/>
                              </a:lnTo>
                              <a:lnTo>
                                <a:pt x="21140" y="56254"/>
                              </a:lnTo>
                              <a:lnTo>
                                <a:pt x="0" y="32299"/>
                              </a:lnTo>
                              <a:lnTo>
                                <a:pt x="0" y="24784"/>
                              </a:lnTo>
                              <a:lnTo>
                                <a:pt x="725" y="21059"/>
                              </a:lnTo>
                              <a:lnTo>
                                <a:pt x="3625" y="14068"/>
                              </a:lnTo>
                              <a:lnTo>
                                <a:pt x="5689" y="10934"/>
                              </a:lnTo>
                              <a:lnTo>
                                <a:pt x="8369" y="8334"/>
                              </a:lnTo>
                              <a:lnTo>
                                <a:pt x="11048" y="5581"/>
                              </a:lnTo>
                              <a:lnTo>
                                <a:pt x="14138" y="3495"/>
                              </a:lnTo>
                              <a:lnTo>
                                <a:pt x="21140" y="666"/>
                              </a:lnTo>
                              <a:lnTo>
                                <a:pt x="24785" y="0"/>
                              </a:lnTo>
                              <a:lnTo>
                                <a:pt x="32364" y="0"/>
                              </a:lnTo>
                              <a:lnTo>
                                <a:pt x="36009" y="666"/>
                              </a:lnTo>
                              <a:lnTo>
                                <a:pt x="43010" y="3495"/>
                              </a:lnTo>
                              <a:lnTo>
                                <a:pt x="46101" y="5581"/>
                              </a:lnTo>
                              <a:lnTo>
                                <a:pt x="48780" y="8334"/>
                              </a:lnTo>
                              <a:lnTo>
                                <a:pt x="51459" y="10934"/>
                              </a:lnTo>
                              <a:lnTo>
                                <a:pt x="53524" y="14068"/>
                              </a:lnTo>
                              <a:lnTo>
                                <a:pt x="56424" y="21059"/>
                              </a:lnTo>
                              <a:lnTo>
                                <a:pt x="57149" y="24784"/>
                              </a:lnTo>
                              <a:lnTo>
                                <a:pt x="57149" y="32299"/>
                              </a:lnTo>
                              <a:lnTo>
                                <a:pt x="36009" y="56254"/>
                              </a:lnTo>
                              <a:lnTo>
                                <a:pt x="32364" y="57073"/>
                              </a:lnTo>
                              <a:close/>
                            </a:path>
                            <a:path w="285750" h="57150">
                              <a:moveTo>
                                <a:pt x="146569" y="57073"/>
                              </a:moveTo>
                              <a:lnTo>
                                <a:pt x="138990" y="57073"/>
                              </a:lnTo>
                              <a:lnTo>
                                <a:pt x="135345" y="56254"/>
                              </a:lnTo>
                              <a:lnTo>
                                <a:pt x="114204" y="32299"/>
                              </a:lnTo>
                              <a:lnTo>
                                <a:pt x="114204" y="24784"/>
                              </a:lnTo>
                              <a:lnTo>
                                <a:pt x="114929" y="21059"/>
                              </a:lnTo>
                              <a:lnTo>
                                <a:pt x="117829" y="14068"/>
                              </a:lnTo>
                              <a:lnTo>
                                <a:pt x="119894" y="10934"/>
                              </a:lnTo>
                              <a:lnTo>
                                <a:pt x="122574" y="8334"/>
                              </a:lnTo>
                              <a:lnTo>
                                <a:pt x="125253" y="5581"/>
                              </a:lnTo>
                              <a:lnTo>
                                <a:pt x="128343" y="3495"/>
                              </a:lnTo>
                              <a:lnTo>
                                <a:pt x="135345" y="666"/>
                              </a:lnTo>
                              <a:lnTo>
                                <a:pt x="138990" y="0"/>
                              </a:lnTo>
                              <a:lnTo>
                                <a:pt x="146569" y="0"/>
                              </a:lnTo>
                              <a:lnTo>
                                <a:pt x="150214" y="666"/>
                              </a:lnTo>
                              <a:lnTo>
                                <a:pt x="157215" y="3495"/>
                              </a:lnTo>
                              <a:lnTo>
                                <a:pt x="160305" y="5581"/>
                              </a:lnTo>
                              <a:lnTo>
                                <a:pt x="162985" y="8334"/>
                              </a:lnTo>
                              <a:lnTo>
                                <a:pt x="165664" y="10934"/>
                              </a:lnTo>
                              <a:lnTo>
                                <a:pt x="167729" y="14068"/>
                              </a:lnTo>
                              <a:lnTo>
                                <a:pt x="170629" y="21059"/>
                              </a:lnTo>
                              <a:lnTo>
                                <a:pt x="171354" y="24784"/>
                              </a:lnTo>
                              <a:lnTo>
                                <a:pt x="171354" y="32299"/>
                              </a:lnTo>
                              <a:lnTo>
                                <a:pt x="150214" y="56254"/>
                              </a:lnTo>
                              <a:lnTo>
                                <a:pt x="146569" y="57073"/>
                              </a:lnTo>
                              <a:close/>
                            </a:path>
                            <a:path w="285750" h="57150">
                              <a:moveTo>
                                <a:pt x="260773" y="57073"/>
                              </a:moveTo>
                              <a:lnTo>
                                <a:pt x="253195" y="57073"/>
                              </a:lnTo>
                              <a:lnTo>
                                <a:pt x="249550" y="56254"/>
                              </a:lnTo>
                              <a:lnTo>
                                <a:pt x="228409" y="32299"/>
                              </a:lnTo>
                              <a:lnTo>
                                <a:pt x="228409" y="24784"/>
                              </a:lnTo>
                              <a:lnTo>
                                <a:pt x="229134" y="21059"/>
                              </a:lnTo>
                              <a:lnTo>
                                <a:pt x="232034" y="14068"/>
                              </a:lnTo>
                              <a:lnTo>
                                <a:pt x="234099" y="10934"/>
                              </a:lnTo>
                              <a:lnTo>
                                <a:pt x="236778" y="8334"/>
                              </a:lnTo>
                              <a:lnTo>
                                <a:pt x="239458" y="5581"/>
                              </a:lnTo>
                              <a:lnTo>
                                <a:pt x="242548" y="3495"/>
                              </a:lnTo>
                              <a:lnTo>
                                <a:pt x="249550" y="666"/>
                              </a:lnTo>
                              <a:lnTo>
                                <a:pt x="253195" y="0"/>
                              </a:lnTo>
                              <a:lnTo>
                                <a:pt x="260773" y="0"/>
                              </a:lnTo>
                              <a:lnTo>
                                <a:pt x="264418" y="666"/>
                              </a:lnTo>
                              <a:lnTo>
                                <a:pt x="271420" y="3495"/>
                              </a:lnTo>
                              <a:lnTo>
                                <a:pt x="274510" y="5581"/>
                              </a:lnTo>
                              <a:lnTo>
                                <a:pt x="277190" y="8334"/>
                              </a:lnTo>
                              <a:lnTo>
                                <a:pt x="279869" y="10934"/>
                              </a:lnTo>
                              <a:lnTo>
                                <a:pt x="281934" y="14068"/>
                              </a:lnTo>
                              <a:lnTo>
                                <a:pt x="284834" y="21059"/>
                              </a:lnTo>
                              <a:lnTo>
                                <a:pt x="285559" y="24784"/>
                              </a:lnTo>
                              <a:lnTo>
                                <a:pt x="285559" y="32299"/>
                              </a:lnTo>
                              <a:lnTo>
                                <a:pt x="264418" y="56254"/>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20.754911pt;width:22.5pt;height:4.5pt;mso-position-horizontal-relative:page;mso-position-vertical-relative:paragraph;z-index:-15698432;mso-wrap-distance-left:0;mso-wrap-distance-right:0" id="docshape68" coordorigin="1545,415" coordsize="450,90" path="m1596,505l1584,505,1578,504,1567,499,1562,496,1558,492,1554,488,1551,483,1546,472,1545,466,1545,454,1546,448,1551,437,1554,432,1558,428,1562,424,1567,421,1578,416,1584,415,1596,415,1602,416,1613,421,1618,424,1622,428,1626,432,1629,437,1634,448,1635,454,1635,466,1634,472,1629,483,1626,488,1622,492,1618,496,1613,499,1602,504,1596,505xm1776,505l1764,505,1758,504,1747,499,1742,496,1738,492,1734,488,1731,483,1726,472,1725,466,1725,454,1726,448,1731,437,1734,432,1738,428,1742,424,1747,421,1758,416,1764,415,1776,415,1782,416,1793,421,1797,424,1802,428,1806,432,1809,437,1814,448,1815,454,1815,466,1814,472,1809,483,1806,488,1802,492,1797,496,1793,499,1782,504,1776,505xm1956,505l1944,505,1938,504,1927,499,1922,496,1918,492,1914,488,1910,483,1906,472,1905,466,1905,454,1906,448,1910,437,1914,432,1918,428,1922,424,1927,421,1938,416,1944,415,1956,415,1961,416,1972,421,1977,424,1982,428,1986,432,1989,437,1994,448,1995,454,1995,466,1994,472,1989,483,1986,488,1982,492,1977,496,1972,499,1961,504,1956,505xe" filled="true" fillcolor="#bdb4d4" stroked="false">
                <v:path arrowok="t"/>
                <v:fill type="solid"/>
                <w10:wrap type="topAndBottom"/>
              </v:shape>
            </w:pict>
          </mc:Fallback>
        </mc:AlternateContent>
      </w:r>
    </w:p>
    <w:p>
      <w:pPr>
        <w:pStyle w:val="Heading1"/>
      </w:pPr>
      <w:r>
        <w:rPr>
          <w:color w:val="534089"/>
          <w:spacing w:val="-2"/>
        </w:rPr>
        <w:t>REFERENCES</w:t>
      </w:r>
    </w:p>
    <w:p>
      <w:pPr>
        <w:pStyle w:val="BodyText"/>
        <w:spacing w:before="5"/>
        <w:ind w:left="0"/>
        <w:jc w:val="left"/>
        <w:rPr>
          <w:rFonts w:ascii="Arial"/>
          <w:b/>
          <w:sz w:val="11"/>
        </w:rPr>
      </w:pPr>
      <w:r>
        <w:rPr>
          <w:rFonts w:ascii="Arial"/>
          <w:b/>
          <w:sz w:val="11"/>
        </w:rPr>
        <mc:AlternateContent>
          <mc:Choice Requires="wps">
            <w:drawing>
              <wp:anchor distT="0" distB="0" distL="0" distR="0" allowOverlap="1" layoutInCell="1" locked="0" behindDoc="1" simplePos="0" relativeHeight="487618560">
                <wp:simplePos x="0" y="0"/>
                <wp:positionH relativeFrom="page">
                  <wp:posOffset>981075</wp:posOffset>
                </wp:positionH>
                <wp:positionV relativeFrom="paragraph">
                  <wp:posOffset>98811</wp:posOffset>
                </wp:positionV>
                <wp:extent cx="5810250" cy="1905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7.780414pt;width:457.499964pt;height:1.5pt;mso-position-horizontal-relative:page;mso-position-vertical-relative:paragraph;z-index:-15697920;mso-wrap-distance-left:0;mso-wrap-distance-right:0" id="docshape69" filled="true" fillcolor="#534089" stroked="false">
                <v:fill type="solid"/>
                <w10:wrap type="topAndBottom"/>
              </v:rect>
            </w:pict>
          </mc:Fallback>
        </mc:AlternateContent>
      </w:r>
    </w:p>
    <w:p>
      <w:pPr>
        <w:pStyle w:val="ListParagraph"/>
        <w:numPr>
          <w:ilvl w:val="0"/>
          <w:numId w:val="9"/>
        </w:numPr>
        <w:tabs>
          <w:tab w:pos="698" w:val="left" w:leader="none"/>
          <w:tab w:pos="718" w:val="left" w:leader="none"/>
        </w:tabs>
        <w:spacing w:line="256" w:lineRule="auto" w:before="184" w:after="0"/>
        <w:ind w:left="718" w:right="108" w:hanging="293"/>
        <w:jc w:val="both"/>
        <w:rPr>
          <w:sz w:val="22"/>
        </w:rPr>
      </w:pPr>
      <w:r>
        <w:rPr>
          <w:sz w:val="22"/>
        </w:rPr>
        <w:t>Farnham AM. Uterine disease as a factor in the production of insanity. </w:t>
      </w:r>
      <w:r>
        <w:rPr>
          <w:i/>
          <w:sz w:val="22"/>
        </w:rPr>
        <w:t>Alienist </w:t>
      </w:r>
      <w:r>
        <w:rPr>
          <w:i/>
          <w:sz w:val="22"/>
        </w:rPr>
        <w:t>Neurologist</w:t>
      </w:r>
      <w:r>
        <w:rPr>
          <w:sz w:val="22"/>
        </w:rPr>
        <w:t>. </w:t>
      </w:r>
      <w:r>
        <w:rPr>
          <w:spacing w:val="-2"/>
          <w:sz w:val="22"/>
        </w:rPr>
        <w:t>1887;8:532.</w:t>
      </w:r>
    </w:p>
    <w:p>
      <w:pPr>
        <w:pStyle w:val="ListParagraph"/>
        <w:numPr>
          <w:ilvl w:val="0"/>
          <w:numId w:val="9"/>
        </w:numPr>
        <w:tabs>
          <w:tab w:pos="698" w:val="left" w:leader="none"/>
          <w:tab w:pos="718" w:val="left" w:leader="none"/>
        </w:tabs>
        <w:spacing w:line="256" w:lineRule="auto" w:before="0" w:after="0"/>
        <w:ind w:left="718" w:right="105" w:hanging="293"/>
        <w:jc w:val="both"/>
        <w:rPr>
          <w:sz w:val="22"/>
        </w:rPr>
      </w:pPr>
      <w:r>
        <w:rPr>
          <w:sz w:val="22"/>
        </w:rPr>
        <w:t>Hallström T, Samuelsson S. Mental health in the climacteric: the longitudinal study of women</w:t>
      </w:r>
      <w:r>
        <w:rPr>
          <w:spacing w:val="80"/>
          <w:sz w:val="22"/>
        </w:rPr>
        <w:t> </w:t>
      </w:r>
      <w:r>
        <w:rPr>
          <w:sz w:val="22"/>
        </w:rPr>
        <w:t>in Gothenburg. </w:t>
      </w:r>
      <w:r>
        <w:rPr>
          <w:i/>
          <w:sz w:val="22"/>
        </w:rPr>
        <w:t>Acta Obstet Gynecol Scand Suppl</w:t>
      </w:r>
      <w:r>
        <w:rPr>
          <w:sz w:val="22"/>
        </w:rPr>
        <w:t>. 1985;130:13.</w:t>
      </w:r>
    </w:p>
    <w:p>
      <w:pPr>
        <w:pStyle w:val="ListParagraph"/>
        <w:numPr>
          <w:ilvl w:val="0"/>
          <w:numId w:val="9"/>
        </w:numPr>
        <w:tabs>
          <w:tab w:pos="698" w:val="left" w:leader="none"/>
          <w:tab w:pos="718" w:val="left" w:leader="none"/>
        </w:tabs>
        <w:spacing w:line="256" w:lineRule="auto" w:before="0" w:after="0"/>
        <w:ind w:left="718" w:right="101" w:hanging="293"/>
        <w:jc w:val="both"/>
        <w:rPr>
          <w:sz w:val="22"/>
        </w:rPr>
      </w:pPr>
      <w:r>
        <w:rPr>
          <w:sz w:val="22"/>
        </w:rPr>
        <w:t>McKinlay SM, McKinlay JB. The impact of menopause and social factors on health. In: Hammond CB, Haseltine FP, Schiff I, eds. Menopause: Evaluation, Treatment, and Health Concerns. Alan R. Liss; 1989:137-161.</w:t>
      </w:r>
    </w:p>
    <w:p>
      <w:pPr>
        <w:pStyle w:val="ListParagraph"/>
        <w:numPr>
          <w:ilvl w:val="0"/>
          <w:numId w:val="9"/>
        </w:numPr>
        <w:tabs>
          <w:tab w:pos="698" w:val="left" w:leader="none"/>
          <w:tab w:pos="718" w:val="left" w:leader="none"/>
        </w:tabs>
        <w:spacing w:line="256" w:lineRule="auto" w:before="0" w:after="0"/>
        <w:ind w:left="718" w:right="98" w:hanging="293"/>
        <w:jc w:val="both"/>
        <w:rPr>
          <w:sz w:val="22"/>
        </w:rPr>
      </w:pPr>
      <w:r>
        <w:rPr>
          <w:sz w:val="22"/>
        </w:rPr>
        <w:t>Matthews KA, Wing RR, Kuller LH, et al. Influences of natural menopause on </w:t>
      </w:r>
      <w:r>
        <w:rPr>
          <w:sz w:val="22"/>
        </w:rPr>
        <w:t>psychological characteristics and symptoms of middle-aged healthy women. </w:t>
      </w:r>
      <w:r>
        <w:rPr>
          <w:i/>
          <w:sz w:val="22"/>
        </w:rPr>
        <w:t>J Consult Clin Psychol</w:t>
      </w:r>
      <w:r>
        <w:rPr>
          <w:sz w:val="22"/>
        </w:rPr>
        <w:t>. </w:t>
      </w:r>
      <w:r>
        <w:rPr>
          <w:spacing w:val="-2"/>
          <w:sz w:val="22"/>
        </w:rPr>
        <w:t>1990;58:345.</w:t>
      </w:r>
    </w:p>
    <w:p>
      <w:pPr>
        <w:pStyle w:val="ListParagraph"/>
        <w:numPr>
          <w:ilvl w:val="0"/>
          <w:numId w:val="9"/>
        </w:numPr>
        <w:tabs>
          <w:tab w:pos="698" w:val="left" w:leader="none"/>
          <w:tab w:pos="718" w:val="left" w:leader="none"/>
        </w:tabs>
        <w:spacing w:line="256" w:lineRule="auto" w:before="0" w:after="0"/>
        <w:ind w:left="718" w:right="103" w:hanging="293"/>
        <w:jc w:val="both"/>
        <w:rPr>
          <w:sz w:val="22"/>
        </w:rPr>
      </w:pPr>
      <w:r>
        <w:rPr>
          <w:sz w:val="22"/>
        </w:rPr>
        <w:t>Koster A. Change-of-life anticipations, attitudes, and experiences among middle-aged </w:t>
      </w:r>
      <w:r>
        <w:rPr>
          <w:sz w:val="22"/>
        </w:rPr>
        <w:t>Danish women. </w:t>
      </w:r>
      <w:r>
        <w:rPr>
          <w:i/>
          <w:sz w:val="22"/>
        </w:rPr>
        <w:t>Health Care Women Int</w:t>
      </w:r>
      <w:r>
        <w:rPr>
          <w:sz w:val="22"/>
        </w:rPr>
        <w:t>. 1991;12:1.</w:t>
      </w:r>
    </w:p>
    <w:p>
      <w:pPr>
        <w:pStyle w:val="ListParagraph"/>
        <w:numPr>
          <w:ilvl w:val="0"/>
          <w:numId w:val="9"/>
        </w:numPr>
        <w:tabs>
          <w:tab w:pos="698" w:val="left" w:leader="none"/>
          <w:tab w:pos="718" w:val="left" w:leader="none"/>
        </w:tabs>
        <w:spacing w:line="256" w:lineRule="auto" w:before="0" w:after="0"/>
        <w:ind w:left="718" w:right="103" w:hanging="293"/>
        <w:jc w:val="both"/>
        <w:rPr>
          <w:sz w:val="22"/>
        </w:rPr>
      </w:pPr>
      <w:r>
        <w:rPr>
          <w:sz w:val="22"/>
        </w:rPr>
        <w:t>Holte A. Influences of natural menopause on health complaints: a prospective study of </w:t>
      </w:r>
      <w:r>
        <w:rPr>
          <w:sz w:val="22"/>
        </w:rPr>
        <w:t>healthy Norwegian women. </w:t>
      </w:r>
      <w:r>
        <w:rPr>
          <w:i/>
          <w:sz w:val="22"/>
        </w:rPr>
        <w:t>Maturitas</w:t>
      </w:r>
      <w:r>
        <w:rPr>
          <w:sz w:val="22"/>
        </w:rPr>
        <w:t>. 1992;14:127.</w:t>
      </w:r>
    </w:p>
    <w:p>
      <w:pPr>
        <w:pStyle w:val="ListParagraph"/>
        <w:numPr>
          <w:ilvl w:val="0"/>
          <w:numId w:val="9"/>
        </w:numPr>
        <w:tabs>
          <w:tab w:pos="698" w:val="left" w:leader="none"/>
          <w:tab w:pos="718" w:val="left" w:leader="none"/>
        </w:tabs>
        <w:spacing w:line="256" w:lineRule="auto" w:before="0" w:after="0"/>
        <w:ind w:left="718" w:right="103" w:hanging="293"/>
        <w:jc w:val="both"/>
        <w:rPr>
          <w:sz w:val="22"/>
        </w:rPr>
      </w:pPr>
      <w:r>
        <w:rPr>
          <w:sz w:val="22"/>
        </w:rPr>
        <w:t>Kaufert PA, Gilbert P, Tate R. The Manitoba project: a re-examination of the link </w:t>
      </w:r>
      <w:r>
        <w:rPr>
          <w:sz w:val="22"/>
        </w:rPr>
        <w:t>between menopause and depression. </w:t>
      </w:r>
      <w:r>
        <w:rPr>
          <w:i/>
          <w:sz w:val="22"/>
        </w:rPr>
        <w:t>Maturitas</w:t>
      </w:r>
      <w:r>
        <w:rPr>
          <w:sz w:val="22"/>
        </w:rPr>
        <w:t>. 1992;14:143.</w:t>
      </w:r>
    </w:p>
    <w:p>
      <w:pPr>
        <w:pStyle w:val="ListParagraph"/>
        <w:numPr>
          <w:ilvl w:val="0"/>
          <w:numId w:val="9"/>
        </w:numPr>
        <w:tabs>
          <w:tab w:pos="698" w:val="left" w:leader="none"/>
          <w:tab w:pos="718" w:val="left" w:leader="none"/>
        </w:tabs>
        <w:spacing w:line="256" w:lineRule="auto" w:before="0" w:after="0"/>
        <w:ind w:left="718" w:right="109" w:hanging="293"/>
        <w:jc w:val="both"/>
        <w:rPr>
          <w:sz w:val="22"/>
        </w:rPr>
      </w:pPr>
      <w:r>
        <w:rPr>
          <w:sz w:val="22"/>
        </w:rPr>
        <w:t>Dennerstein L, Smith AMA, Morse C, et al. Menopausal symptoms in Australian women. </w:t>
      </w:r>
      <w:r>
        <w:rPr>
          <w:i/>
          <w:sz w:val="22"/>
        </w:rPr>
        <w:t>Med</w:t>
      </w:r>
      <w:r>
        <w:rPr>
          <w:i/>
          <w:spacing w:val="80"/>
          <w:w w:val="150"/>
          <w:sz w:val="22"/>
        </w:rPr>
        <w:t> </w:t>
      </w:r>
      <w:r>
        <w:rPr>
          <w:i/>
          <w:sz w:val="22"/>
        </w:rPr>
        <w:t>J Aust</w:t>
      </w:r>
      <w:r>
        <w:rPr>
          <w:sz w:val="22"/>
        </w:rPr>
        <w:t>. 1993;159:232.</w:t>
      </w:r>
    </w:p>
    <w:p>
      <w:pPr>
        <w:pStyle w:val="ListParagraph"/>
        <w:numPr>
          <w:ilvl w:val="0"/>
          <w:numId w:val="9"/>
        </w:numPr>
        <w:tabs>
          <w:tab w:pos="698" w:val="left" w:leader="none"/>
          <w:tab w:pos="718" w:val="left" w:leader="none"/>
        </w:tabs>
        <w:spacing w:line="256" w:lineRule="auto" w:before="0" w:after="0"/>
        <w:ind w:left="718" w:right="110" w:hanging="293"/>
        <w:jc w:val="both"/>
        <w:rPr>
          <w:sz w:val="22"/>
        </w:rPr>
      </w:pPr>
      <w:r>
        <w:rPr>
          <w:sz w:val="22"/>
        </w:rPr>
        <w:t>Dennerstein L, Lehert P, Burger HG, Dudley E. Mood and the menopause transition. </w:t>
      </w:r>
      <w:r>
        <w:rPr>
          <w:i/>
          <w:sz w:val="22"/>
        </w:rPr>
        <w:t>J Nerv</w:t>
      </w:r>
      <w:r>
        <w:rPr>
          <w:i/>
          <w:sz w:val="22"/>
        </w:rPr>
        <w:t> Ment Dis</w:t>
      </w:r>
      <w:r>
        <w:rPr>
          <w:sz w:val="22"/>
        </w:rPr>
        <w:t>. 1999;187:685.</w:t>
      </w:r>
    </w:p>
    <w:p>
      <w:pPr>
        <w:pStyle w:val="ListParagraph"/>
        <w:numPr>
          <w:ilvl w:val="0"/>
          <w:numId w:val="9"/>
        </w:numPr>
        <w:tabs>
          <w:tab w:pos="699" w:val="left" w:leader="none"/>
          <w:tab w:pos="718" w:val="left" w:leader="none"/>
        </w:tabs>
        <w:spacing w:line="256" w:lineRule="auto" w:before="0" w:after="0"/>
        <w:ind w:left="718" w:right="98" w:hanging="405"/>
        <w:jc w:val="both"/>
        <w:rPr>
          <w:sz w:val="22"/>
        </w:rPr>
      </w:pPr>
      <w:r>
        <w:rPr>
          <w:sz w:val="22"/>
        </w:rPr>
        <w:t>Smith-DiJulio K, Woods NF, Mitchell ES. Well-being during the menopausal transition and early postmenopause: a within-stage analysis. </w:t>
      </w:r>
      <w:r>
        <w:rPr>
          <w:i/>
          <w:sz w:val="22"/>
        </w:rPr>
        <w:t>Womens Health Issues</w:t>
      </w:r>
      <w:r>
        <w:rPr>
          <w:sz w:val="22"/>
        </w:rPr>
        <w:t>. 2008;18:310.</w:t>
      </w:r>
    </w:p>
    <w:p>
      <w:pPr>
        <w:pStyle w:val="ListParagraph"/>
        <w:numPr>
          <w:ilvl w:val="0"/>
          <w:numId w:val="9"/>
        </w:numPr>
        <w:tabs>
          <w:tab w:pos="689" w:val="left" w:leader="none"/>
          <w:tab w:pos="718" w:val="left" w:leader="none"/>
        </w:tabs>
        <w:spacing w:line="256" w:lineRule="auto" w:before="0" w:after="0"/>
        <w:ind w:left="718" w:right="108" w:hanging="405"/>
        <w:jc w:val="both"/>
        <w:rPr>
          <w:sz w:val="22"/>
        </w:rPr>
      </w:pPr>
      <w:r>
        <w:rPr>
          <w:sz w:val="22"/>
        </w:rPr>
        <w:t>Woods NF, Mitchell ES, Percival DB, Smith-DiJulio K. Is the menopausal transition </w:t>
      </w:r>
      <w:r>
        <w:rPr>
          <w:sz w:val="22"/>
        </w:rPr>
        <w:t>stressful? Observations of perceived stress from the Seattle Midlife Women’s Health Study. </w:t>
      </w:r>
      <w:r>
        <w:rPr>
          <w:i/>
          <w:sz w:val="22"/>
        </w:rPr>
        <w:t>Menopause</w:t>
      </w:r>
      <w:r>
        <w:rPr>
          <w:sz w:val="22"/>
        </w:rPr>
        <w:t>. </w:t>
      </w:r>
      <w:r>
        <w:rPr>
          <w:spacing w:val="-2"/>
          <w:sz w:val="22"/>
        </w:rPr>
        <w:t>2009;16:90.</w:t>
      </w:r>
    </w:p>
    <w:p>
      <w:pPr>
        <w:pStyle w:val="ListParagraph"/>
        <w:numPr>
          <w:ilvl w:val="0"/>
          <w:numId w:val="9"/>
        </w:numPr>
        <w:tabs>
          <w:tab w:pos="699" w:val="left" w:leader="none"/>
          <w:tab w:pos="718" w:val="left" w:leader="none"/>
        </w:tabs>
        <w:spacing w:line="256" w:lineRule="auto" w:before="0" w:after="0"/>
        <w:ind w:left="718" w:right="108" w:hanging="405"/>
        <w:jc w:val="both"/>
        <w:rPr>
          <w:sz w:val="22"/>
        </w:rPr>
      </w:pPr>
      <w:r>
        <w:rPr>
          <w:sz w:val="22"/>
        </w:rPr>
        <w:t>Avis NE, McKinlay SM. A longitudinal analysis of women’s attitudes toward the menopause: results from the Massachusetts Women’s Health Study. </w:t>
      </w:r>
      <w:r>
        <w:rPr>
          <w:i/>
          <w:sz w:val="22"/>
        </w:rPr>
        <w:t>Maturitas</w:t>
      </w:r>
      <w:r>
        <w:rPr>
          <w:sz w:val="22"/>
        </w:rPr>
        <w:t>. 1991;13:65.</w:t>
      </w:r>
    </w:p>
    <w:p>
      <w:pPr>
        <w:pStyle w:val="ListParagraph"/>
        <w:numPr>
          <w:ilvl w:val="0"/>
          <w:numId w:val="9"/>
        </w:numPr>
        <w:tabs>
          <w:tab w:pos="699" w:val="left" w:leader="none"/>
          <w:tab w:pos="718" w:val="left" w:leader="none"/>
        </w:tabs>
        <w:spacing w:line="256" w:lineRule="auto" w:before="0" w:after="0"/>
        <w:ind w:left="718" w:right="108" w:hanging="405"/>
        <w:jc w:val="both"/>
        <w:rPr>
          <w:sz w:val="22"/>
        </w:rPr>
      </w:pPr>
      <w:r>
        <w:rPr>
          <w:sz w:val="22"/>
        </w:rPr>
        <w:t>Morse CA, Smith A, Dennerstein L, Green A, Hopper J, Burger H. The treatment-</w:t>
      </w:r>
      <w:r>
        <w:rPr>
          <w:sz w:val="22"/>
        </w:rPr>
        <w:t>seeking woman at menopause. </w:t>
      </w:r>
      <w:r>
        <w:rPr>
          <w:i/>
          <w:sz w:val="22"/>
        </w:rPr>
        <w:t>Maturitas</w:t>
      </w:r>
      <w:r>
        <w:rPr>
          <w:sz w:val="22"/>
        </w:rPr>
        <w:t>. 1994;18:161.</w:t>
      </w:r>
    </w:p>
    <w:p>
      <w:pPr>
        <w:pStyle w:val="ListParagraph"/>
        <w:numPr>
          <w:ilvl w:val="0"/>
          <w:numId w:val="9"/>
        </w:numPr>
        <w:tabs>
          <w:tab w:pos="699" w:val="left" w:leader="none"/>
          <w:tab w:pos="718" w:val="left" w:leader="none"/>
        </w:tabs>
        <w:spacing w:line="256" w:lineRule="auto" w:before="0" w:after="0"/>
        <w:ind w:left="718" w:right="105" w:hanging="405"/>
        <w:jc w:val="both"/>
        <w:rPr>
          <w:sz w:val="22"/>
        </w:rPr>
      </w:pPr>
      <w:r>
        <w:rPr>
          <w:sz w:val="22"/>
        </w:rPr>
        <w:t>Defey</w:t>
      </w:r>
      <w:r>
        <w:rPr>
          <w:spacing w:val="29"/>
          <w:sz w:val="22"/>
        </w:rPr>
        <w:t> </w:t>
      </w:r>
      <w:r>
        <w:rPr>
          <w:sz w:val="22"/>
        </w:rPr>
        <w:t>D,</w:t>
      </w:r>
      <w:r>
        <w:rPr>
          <w:spacing w:val="29"/>
          <w:sz w:val="22"/>
        </w:rPr>
        <w:t> </w:t>
      </w:r>
      <w:r>
        <w:rPr>
          <w:sz w:val="22"/>
        </w:rPr>
        <w:t>Storch</w:t>
      </w:r>
      <w:r>
        <w:rPr>
          <w:spacing w:val="29"/>
          <w:sz w:val="22"/>
        </w:rPr>
        <w:t> </w:t>
      </w:r>
      <w:r>
        <w:rPr>
          <w:sz w:val="22"/>
        </w:rPr>
        <w:t>E,</w:t>
      </w:r>
      <w:r>
        <w:rPr>
          <w:spacing w:val="29"/>
          <w:sz w:val="22"/>
        </w:rPr>
        <w:t> </w:t>
      </w:r>
      <w:r>
        <w:rPr>
          <w:sz w:val="22"/>
        </w:rPr>
        <w:t>Cardozo</w:t>
      </w:r>
      <w:r>
        <w:rPr>
          <w:spacing w:val="29"/>
          <w:sz w:val="22"/>
        </w:rPr>
        <w:t> </w:t>
      </w:r>
      <w:r>
        <w:rPr>
          <w:sz w:val="22"/>
        </w:rPr>
        <w:t>S,</w:t>
      </w:r>
      <w:r>
        <w:rPr>
          <w:spacing w:val="29"/>
          <w:sz w:val="22"/>
        </w:rPr>
        <w:t> </w:t>
      </w:r>
      <w:r>
        <w:rPr>
          <w:sz w:val="22"/>
        </w:rPr>
        <w:t>Diaz</w:t>
      </w:r>
      <w:r>
        <w:rPr>
          <w:spacing w:val="29"/>
          <w:sz w:val="22"/>
        </w:rPr>
        <w:t> </w:t>
      </w:r>
      <w:r>
        <w:rPr>
          <w:sz w:val="22"/>
        </w:rPr>
        <w:t>O,</w:t>
      </w:r>
      <w:r>
        <w:rPr>
          <w:spacing w:val="29"/>
          <w:sz w:val="22"/>
        </w:rPr>
        <w:t> </w:t>
      </w:r>
      <w:r>
        <w:rPr>
          <w:sz w:val="22"/>
        </w:rPr>
        <w:t>Fernandez</w:t>
      </w:r>
      <w:r>
        <w:rPr>
          <w:spacing w:val="29"/>
          <w:sz w:val="22"/>
        </w:rPr>
        <w:t> </w:t>
      </w:r>
      <w:r>
        <w:rPr>
          <w:sz w:val="22"/>
        </w:rPr>
        <w:t>G.</w:t>
      </w:r>
      <w:r>
        <w:rPr>
          <w:spacing w:val="29"/>
          <w:sz w:val="22"/>
        </w:rPr>
        <w:t> </w:t>
      </w:r>
      <w:r>
        <w:rPr>
          <w:sz w:val="22"/>
        </w:rPr>
        <w:t>The</w:t>
      </w:r>
      <w:r>
        <w:rPr>
          <w:spacing w:val="30"/>
          <w:sz w:val="22"/>
        </w:rPr>
        <w:t> </w:t>
      </w:r>
      <w:r>
        <w:rPr>
          <w:sz w:val="22"/>
        </w:rPr>
        <w:t>menopause:</w:t>
      </w:r>
      <w:r>
        <w:rPr>
          <w:spacing w:val="30"/>
          <w:sz w:val="22"/>
        </w:rPr>
        <w:t> </w:t>
      </w:r>
      <w:r>
        <w:rPr>
          <w:sz w:val="22"/>
        </w:rPr>
        <w:t>women’s</w:t>
      </w:r>
      <w:r>
        <w:rPr>
          <w:spacing w:val="30"/>
          <w:sz w:val="22"/>
        </w:rPr>
        <w:t> </w:t>
      </w:r>
      <w:r>
        <w:rPr>
          <w:sz w:val="22"/>
        </w:rPr>
        <w:t>psychology and health care. </w:t>
      </w:r>
      <w:r>
        <w:rPr>
          <w:i/>
          <w:sz w:val="22"/>
        </w:rPr>
        <w:t>Soc Sci Med</w:t>
      </w:r>
      <w:r>
        <w:rPr>
          <w:sz w:val="22"/>
        </w:rPr>
        <w:t>. 1996;42:1447.</w:t>
      </w:r>
    </w:p>
    <w:p>
      <w:pPr>
        <w:pStyle w:val="ListParagraph"/>
        <w:numPr>
          <w:ilvl w:val="0"/>
          <w:numId w:val="9"/>
        </w:numPr>
        <w:tabs>
          <w:tab w:pos="699" w:val="left" w:leader="none"/>
          <w:tab w:pos="718" w:val="left" w:leader="none"/>
        </w:tabs>
        <w:spacing w:line="256" w:lineRule="auto" w:before="0" w:after="0"/>
        <w:ind w:left="718" w:right="104" w:hanging="405"/>
        <w:jc w:val="both"/>
        <w:rPr>
          <w:sz w:val="22"/>
        </w:rPr>
      </w:pPr>
      <w:r>
        <w:rPr>
          <w:sz w:val="22"/>
        </w:rPr>
        <w:t>Heron MP, Hoyert DL, Xu J, Scott C, Tejada-Vera B. Deaths: preliminary data for 2006. </w:t>
      </w:r>
      <w:r>
        <w:rPr>
          <w:i/>
          <w:sz w:val="22"/>
        </w:rPr>
        <w:t>Natl</w:t>
      </w:r>
      <w:r>
        <w:rPr>
          <w:i/>
          <w:sz w:val="22"/>
        </w:rPr>
        <w:t> Vital Stat Rep</w:t>
      </w:r>
      <w:r>
        <w:rPr>
          <w:sz w:val="22"/>
        </w:rPr>
        <w:t>. 2008;56(16):1.</w:t>
      </w:r>
    </w:p>
    <w:p>
      <w:pPr>
        <w:pStyle w:val="ListParagraph"/>
        <w:spacing w:after="0" w:line="256" w:lineRule="auto"/>
        <w:jc w:val="both"/>
        <w:rPr>
          <w:sz w:val="22"/>
        </w:rPr>
        <w:sectPr>
          <w:pgSz w:w="12240" w:h="15840"/>
          <w:pgMar w:top="1440" w:bottom="280" w:left="1440" w:right="1440"/>
        </w:sectPr>
      </w:pPr>
    </w:p>
    <w:p>
      <w:pPr>
        <w:pStyle w:val="ListParagraph"/>
        <w:numPr>
          <w:ilvl w:val="0"/>
          <w:numId w:val="9"/>
        </w:numPr>
        <w:tabs>
          <w:tab w:pos="699" w:val="left" w:leader="none"/>
          <w:tab w:pos="718" w:val="left" w:leader="none"/>
          <w:tab w:pos="1306" w:val="left" w:leader="none"/>
          <w:tab w:pos="2299" w:val="left" w:leader="none"/>
          <w:tab w:pos="3117" w:val="left" w:leader="none"/>
          <w:tab w:pos="3597" w:val="left" w:leader="none"/>
          <w:tab w:pos="4415" w:val="left" w:leader="none"/>
          <w:tab w:pos="5502" w:val="left" w:leader="none"/>
          <w:tab w:pos="6376" w:val="left" w:leader="none"/>
          <w:tab w:pos="7205" w:val="left" w:leader="none"/>
          <w:tab w:pos="8017" w:val="left" w:leader="none"/>
          <w:tab w:pos="8740" w:val="left" w:leader="none"/>
        </w:tabs>
        <w:spacing w:line="256" w:lineRule="auto" w:before="84" w:after="0"/>
        <w:ind w:left="718" w:right="110" w:hanging="405"/>
        <w:jc w:val="left"/>
        <w:rPr>
          <w:sz w:val="22"/>
        </w:rPr>
      </w:pPr>
      <w:r>
        <w:rPr>
          <w:spacing w:val="-4"/>
          <w:sz w:val="22"/>
        </w:rPr>
        <w:t>U.S.</w:t>
      </w:r>
      <w:r>
        <w:rPr>
          <w:sz w:val="22"/>
        </w:rPr>
        <w:tab/>
      </w:r>
      <w:r>
        <w:rPr>
          <w:spacing w:val="-2"/>
          <w:sz w:val="22"/>
        </w:rPr>
        <w:t>National</w:t>
      </w:r>
      <w:r>
        <w:rPr>
          <w:sz w:val="22"/>
        </w:rPr>
        <w:tab/>
      </w:r>
      <w:r>
        <w:rPr>
          <w:spacing w:val="-2"/>
          <w:sz w:val="22"/>
        </w:rPr>
        <w:t>Center</w:t>
      </w:r>
      <w:r>
        <w:rPr>
          <w:sz w:val="22"/>
        </w:rPr>
        <w:tab/>
      </w:r>
      <w:r>
        <w:rPr>
          <w:spacing w:val="-4"/>
          <w:sz w:val="22"/>
        </w:rPr>
        <w:t>for</w:t>
      </w:r>
      <w:r>
        <w:rPr>
          <w:sz w:val="22"/>
        </w:rPr>
        <w:tab/>
      </w:r>
      <w:r>
        <w:rPr>
          <w:spacing w:val="-2"/>
          <w:sz w:val="22"/>
        </w:rPr>
        <w:t>Health</w:t>
      </w:r>
      <w:r>
        <w:rPr>
          <w:sz w:val="22"/>
        </w:rPr>
        <w:tab/>
      </w:r>
      <w:r>
        <w:rPr>
          <w:spacing w:val="-2"/>
          <w:sz w:val="22"/>
        </w:rPr>
        <w:t>Statistics.</w:t>
      </w:r>
      <w:r>
        <w:rPr>
          <w:sz w:val="22"/>
        </w:rPr>
        <w:tab/>
      </w:r>
      <w:r>
        <w:rPr>
          <w:spacing w:val="-2"/>
          <w:sz w:val="22"/>
        </w:rPr>
        <w:t>Health,</w:t>
      </w:r>
      <w:r>
        <w:rPr>
          <w:sz w:val="22"/>
        </w:rPr>
        <w:tab/>
      </w:r>
      <w:r>
        <w:rPr>
          <w:spacing w:val="-2"/>
          <w:sz w:val="22"/>
        </w:rPr>
        <w:t>United</w:t>
      </w:r>
      <w:r>
        <w:rPr>
          <w:sz w:val="22"/>
        </w:rPr>
        <w:tab/>
      </w:r>
      <w:r>
        <w:rPr>
          <w:spacing w:val="-2"/>
          <w:sz w:val="22"/>
        </w:rPr>
        <w:t>States,</w:t>
      </w:r>
      <w:r>
        <w:rPr>
          <w:sz w:val="22"/>
        </w:rPr>
        <w:tab/>
      </w:r>
      <w:r>
        <w:rPr>
          <w:spacing w:val="-2"/>
          <w:sz w:val="22"/>
        </w:rPr>
        <w:t>2016.</w:t>
      </w:r>
      <w:r>
        <w:rPr>
          <w:sz w:val="22"/>
        </w:rPr>
        <w:tab/>
      </w:r>
      <w:r>
        <w:rPr>
          <w:spacing w:val="-2"/>
          <w:sz w:val="22"/>
        </w:rPr>
        <w:t>2016. </w:t>
      </w:r>
      <w:hyperlink r:id="rId20">
        <w:r>
          <w:rPr>
            <w:spacing w:val="-2"/>
            <w:sz w:val="22"/>
          </w:rPr>
          <w:t>https://www.cdc.gov/nchs</w:t>
        </w:r>
      </w:hyperlink>
    </w:p>
    <w:p>
      <w:pPr>
        <w:pStyle w:val="ListParagraph"/>
        <w:numPr>
          <w:ilvl w:val="0"/>
          <w:numId w:val="9"/>
        </w:numPr>
        <w:tabs>
          <w:tab w:pos="699" w:val="left" w:leader="none"/>
          <w:tab w:pos="718" w:val="left" w:leader="none"/>
        </w:tabs>
        <w:spacing w:line="256" w:lineRule="auto" w:before="0" w:after="0"/>
        <w:ind w:left="718" w:right="105" w:hanging="405"/>
        <w:jc w:val="left"/>
        <w:rPr>
          <w:sz w:val="22"/>
        </w:rPr>
      </w:pPr>
      <w:r>
        <w:rPr>
          <w:sz w:val="22"/>
        </w:rPr>
        <w:t>Olshansky</w:t>
      </w:r>
      <w:r>
        <w:rPr>
          <w:spacing w:val="30"/>
          <w:sz w:val="22"/>
        </w:rPr>
        <w:t> </w:t>
      </w:r>
      <w:r>
        <w:rPr>
          <w:sz w:val="22"/>
        </w:rPr>
        <w:t>SJ,</w:t>
      </w:r>
      <w:r>
        <w:rPr>
          <w:spacing w:val="30"/>
          <w:sz w:val="22"/>
        </w:rPr>
        <w:t> </w:t>
      </w:r>
      <w:r>
        <w:rPr>
          <w:sz w:val="22"/>
        </w:rPr>
        <w:t>Carnes</w:t>
      </w:r>
      <w:r>
        <w:rPr>
          <w:spacing w:val="30"/>
          <w:sz w:val="22"/>
        </w:rPr>
        <w:t> </w:t>
      </w:r>
      <w:r>
        <w:rPr>
          <w:sz w:val="22"/>
        </w:rPr>
        <w:t>BA,</w:t>
      </w:r>
      <w:r>
        <w:rPr>
          <w:spacing w:val="30"/>
          <w:sz w:val="22"/>
        </w:rPr>
        <w:t> </w:t>
      </w:r>
      <w:r>
        <w:rPr>
          <w:sz w:val="22"/>
        </w:rPr>
        <w:t>Cassel</w:t>
      </w:r>
      <w:r>
        <w:rPr>
          <w:spacing w:val="30"/>
          <w:sz w:val="22"/>
        </w:rPr>
        <w:t> </w:t>
      </w:r>
      <w:r>
        <w:rPr>
          <w:sz w:val="22"/>
        </w:rPr>
        <w:t>C.</w:t>
      </w:r>
      <w:r>
        <w:rPr>
          <w:spacing w:val="30"/>
          <w:sz w:val="22"/>
        </w:rPr>
        <w:t> </w:t>
      </w:r>
      <w:r>
        <w:rPr>
          <w:sz w:val="22"/>
        </w:rPr>
        <w:t>In</w:t>
      </w:r>
      <w:r>
        <w:rPr>
          <w:spacing w:val="30"/>
          <w:sz w:val="22"/>
        </w:rPr>
        <w:t> </w:t>
      </w:r>
      <w:r>
        <w:rPr>
          <w:sz w:val="22"/>
        </w:rPr>
        <w:t>search</w:t>
      </w:r>
      <w:r>
        <w:rPr>
          <w:spacing w:val="30"/>
          <w:sz w:val="22"/>
        </w:rPr>
        <w:t> </w:t>
      </w:r>
      <w:r>
        <w:rPr>
          <w:sz w:val="22"/>
        </w:rPr>
        <w:t>of</w:t>
      </w:r>
      <w:r>
        <w:rPr>
          <w:spacing w:val="30"/>
          <w:sz w:val="22"/>
        </w:rPr>
        <w:t> </w:t>
      </w:r>
      <w:r>
        <w:rPr>
          <w:sz w:val="22"/>
        </w:rPr>
        <w:t>Methuselah:</w:t>
      </w:r>
      <w:r>
        <w:rPr>
          <w:spacing w:val="30"/>
          <w:sz w:val="22"/>
        </w:rPr>
        <w:t> </w:t>
      </w:r>
      <w:r>
        <w:rPr>
          <w:sz w:val="22"/>
        </w:rPr>
        <w:t>estimating</w:t>
      </w:r>
      <w:r>
        <w:rPr>
          <w:spacing w:val="30"/>
          <w:sz w:val="22"/>
        </w:rPr>
        <w:t> </w:t>
      </w:r>
      <w:r>
        <w:rPr>
          <w:sz w:val="22"/>
        </w:rPr>
        <w:t>the</w:t>
      </w:r>
      <w:r>
        <w:rPr>
          <w:spacing w:val="30"/>
          <w:sz w:val="22"/>
        </w:rPr>
        <w:t> </w:t>
      </w:r>
      <w:r>
        <w:rPr>
          <w:sz w:val="22"/>
        </w:rPr>
        <w:t>upper</w:t>
      </w:r>
      <w:r>
        <w:rPr>
          <w:spacing w:val="30"/>
          <w:sz w:val="22"/>
        </w:rPr>
        <w:t> </w:t>
      </w:r>
      <w:r>
        <w:rPr>
          <w:sz w:val="22"/>
        </w:rPr>
        <w:t>limits</w:t>
      </w:r>
      <w:r>
        <w:rPr>
          <w:spacing w:val="30"/>
          <w:sz w:val="22"/>
        </w:rPr>
        <w:t> </w:t>
      </w:r>
      <w:r>
        <w:rPr>
          <w:sz w:val="22"/>
        </w:rPr>
        <w:t>to human longevity. </w:t>
      </w:r>
      <w:r>
        <w:rPr>
          <w:i/>
          <w:sz w:val="22"/>
        </w:rPr>
        <w:t>Science</w:t>
      </w:r>
      <w:r>
        <w:rPr>
          <w:sz w:val="22"/>
        </w:rPr>
        <w:t>. 1990;250:634.</w:t>
      </w:r>
    </w:p>
    <w:p>
      <w:pPr>
        <w:pStyle w:val="ListParagraph"/>
        <w:numPr>
          <w:ilvl w:val="0"/>
          <w:numId w:val="9"/>
        </w:numPr>
        <w:tabs>
          <w:tab w:pos="699" w:val="left" w:leader="none"/>
        </w:tabs>
        <w:spacing w:line="252" w:lineRule="exact" w:before="0" w:after="0"/>
        <w:ind w:left="699" w:right="0" w:hanging="386"/>
        <w:jc w:val="left"/>
        <w:rPr>
          <w:sz w:val="22"/>
        </w:rPr>
      </w:pPr>
      <w:r>
        <w:rPr>
          <w:sz w:val="22"/>
        </w:rPr>
        <w:t>Olshansky</w:t>
      </w:r>
      <w:r>
        <w:rPr>
          <w:spacing w:val="9"/>
          <w:sz w:val="22"/>
        </w:rPr>
        <w:t> </w:t>
      </w:r>
      <w:r>
        <w:rPr>
          <w:sz w:val="22"/>
        </w:rPr>
        <w:t>SJ,</w:t>
      </w:r>
      <w:r>
        <w:rPr>
          <w:spacing w:val="10"/>
          <w:sz w:val="22"/>
        </w:rPr>
        <w:t> </w:t>
      </w:r>
      <w:r>
        <w:rPr>
          <w:sz w:val="22"/>
        </w:rPr>
        <w:t>Carnes</w:t>
      </w:r>
      <w:r>
        <w:rPr>
          <w:spacing w:val="10"/>
          <w:sz w:val="22"/>
        </w:rPr>
        <w:t> </w:t>
      </w:r>
      <w:r>
        <w:rPr>
          <w:sz w:val="22"/>
        </w:rPr>
        <w:t>BA,</w:t>
      </w:r>
      <w:r>
        <w:rPr>
          <w:spacing w:val="9"/>
          <w:sz w:val="22"/>
        </w:rPr>
        <w:t> </w:t>
      </w:r>
      <w:r>
        <w:rPr>
          <w:sz w:val="22"/>
        </w:rPr>
        <w:t>Cassel</w:t>
      </w:r>
      <w:r>
        <w:rPr>
          <w:spacing w:val="10"/>
          <w:sz w:val="22"/>
        </w:rPr>
        <w:t> </w:t>
      </w:r>
      <w:r>
        <w:rPr>
          <w:sz w:val="22"/>
        </w:rPr>
        <w:t>C.</w:t>
      </w:r>
      <w:r>
        <w:rPr>
          <w:spacing w:val="10"/>
          <w:sz w:val="22"/>
        </w:rPr>
        <w:t> </w:t>
      </w:r>
      <w:r>
        <w:rPr>
          <w:sz w:val="22"/>
        </w:rPr>
        <w:t>The</w:t>
      </w:r>
      <w:r>
        <w:rPr>
          <w:spacing w:val="9"/>
          <w:sz w:val="22"/>
        </w:rPr>
        <w:t> </w:t>
      </w:r>
      <w:r>
        <w:rPr>
          <w:sz w:val="22"/>
        </w:rPr>
        <w:t>aging</w:t>
      </w:r>
      <w:r>
        <w:rPr>
          <w:spacing w:val="10"/>
          <w:sz w:val="22"/>
        </w:rPr>
        <w:t> </w:t>
      </w:r>
      <w:r>
        <w:rPr>
          <w:sz w:val="22"/>
        </w:rPr>
        <w:t>of</w:t>
      </w:r>
      <w:r>
        <w:rPr>
          <w:spacing w:val="10"/>
          <w:sz w:val="22"/>
        </w:rPr>
        <w:t> </w:t>
      </w:r>
      <w:r>
        <w:rPr>
          <w:sz w:val="22"/>
        </w:rPr>
        <w:t>the</w:t>
      </w:r>
      <w:r>
        <w:rPr>
          <w:spacing w:val="9"/>
          <w:sz w:val="22"/>
        </w:rPr>
        <w:t> </w:t>
      </w:r>
      <w:r>
        <w:rPr>
          <w:sz w:val="22"/>
        </w:rPr>
        <w:t>human</w:t>
      </w:r>
      <w:r>
        <w:rPr>
          <w:spacing w:val="10"/>
          <w:sz w:val="22"/>
        </w:rPr>
        <w:t> </w:t>
      </w:r>
      <w:r>
        <w:rPr>
          <w:sz w:val="22"/>
        </w:rPr>
        <w:t>species.</w:t>
      </w:r>
      <w:r>
        <w:rPr>
          <w:spacing w:val="10"/>
          <w:sz w:val="22"/>
        </w:rPr>
        <w:t> </w:t>
      </w:r>
      <w:r>
        <w:rPr>
          <w:i/>
          <w:sz w:val="22"/>
        </w:rPr>
        <w:t>Sci</w:t>
      </w:r>
      <w:r>
        <w:rPr>
          <w:i/>
          <w:spacing w:val="9"/>
          <w:sz w:val="22"/>
        </w:rPr>
        <w:t> </w:t>
      </w:r>
      <w:r>
        <w:rPr>
          <w:i/>
          <w:sz w:val="22"/>
        </w:rPr>
        <w:t>Am</w:t>
      </w:r>
      <w:r>
        <w:rPr>
          <w:sz w:val="22"/>
        </w:rPr>
        <w:t>.</w:t>
      </w:r>
      <w:r>
        <w:rPr>
          <w:spacing w:val="10"/>
          <w:sz w:val="22"/>
        </w:rPr>
        <w:t> </w:t>
      </w:r>
      <w:r>
        <w:rPr>
          <w:spacing w:val="-2"/>
          <w:sz w:val="22"/>
        </w:rPr>
        <w:t>1993;268(4):46.</w:t>
      </w:r>
    </w:p>
    <w:p>
      <w:pPr>
        <w:pStyle w:val="ListParagraph"/>
        <w:numPr>
          <w:ilvl w:val="0"/>
          <w:numId w:val="9"/>
        </w:numPr>
        <w:tabs>
          <w:tab w:pos="699" w:val="left" w:leader="none"/>
          <w:tab w:pos="718" w:val="left" w:leader="none"/>
          <w:tab w:pos="7884" w:val="left" w:leader="none"/>
          <w:tab w:pos="8802" w:val="left" w:leader="none"/>
        </w:tabs>
        <w:spacing w:line="256" w:lineRule="auto" w:before="16" w:after="0"/>
        <w:ind w:left="718" w:right="106" w:hanging="405"/>
        <w:jc w:val="left"/>
        <w:rPr>
          <w:sz w:val="22"/>
        </w:rPr>
      </w:pPr>
      <w:r>
        <w:rPr>
          <w:sz w:val="22"/>
        </w:rPr>
        <w:t>Hobbs</w:t>
      </w:r>
      <w:r>
        <w:rPr>
          <w:spacing w:val="80"/>
          <w:sz w:val="22"/>
        </w:rPr>
        <w:t> </w:t>
      </w:r>
      <w:r>
        <w:rPr>
          <w:sz w:val="22"/>
        </w:rPr>
        <w:t>FB.</w:t>
      </w:r>
      <w:r>
        <w:rPr>
          <w:spacing w:val="80"/>
          <w:sz w:val="22"/>
        </w:rPr>
        <w:t> </w:t>
      </w:r>
      <w:r>
        <w:rPr>
          <w:sz w:val="22"/>
        </w:rPr>
        <w:t>Population</w:t>
      </w:r>
      <w:r>
        <w:rPr>
          <w:spacing w:val="80"/>
          <w:sz w:val="22"/>
        </w:rPr>
        <w:t> </w:t>
      </w:r>
      <w:r>
        <w:rPr>
          <w:sz w:val="22"/>
        </w:rPr>
        <w:t>profile</w:t>
      </w:r>
      <w:r>
        <w:rPr>
          <w:spacing w:val="80"/>
          <w:sz w:val="22"/>
        </w:rPr>
        <w:t> </w:t>
      </w:r>
      <w:r>
        <w:rPr>
          <w:sz w:val="22"/>
        </w:rPr>
        <w:t>of</w:t>
      </w:r>
      <w:r>
        <w:rPr>
          <w:spacing w:val="80"/>
          <w:sz w:val="22"/>
        </w:rPr>
        <w:t> </w:t>
      </w:r>
      <w:r>
        <w:rPr>
          <w:sz w:val="22"/>
        </w:rPr>
        <w:t>the</w:t>
      </w:r>
      <w:r>
        <w:rPr>
          <w:spacing w:val="80"/>
          <w:sz w:val="22"/>
        </w:rPr>
        <w:t> </w:t>
      </w:r>
      <w:r>
        <w:rPr>
          <w:sz w:val="22"/>
        </w:rPr>
        <w:t>United</w:t>
      </w:r>
      <w:r>
        <w:rPr>
          <w:spacing w:val="80"/>
          <w:sz w:val="22"/>
        </w:rPr>
        <w:t> </w:t>
      </w:r>
      <w:r>
        <w:rPr>
          <w:sz w:val="22"/>
        </w:rPr>
        <w:t>States.</w:t>
      </w:r>
      <w:r>
        <w:rPr>
          <w:spacing w:val="80"/>
          <w:sz w:val="22"/>
        </w:rPr>
        <w:t> </w:t>
      </w:r>
      <w:r>
        <w:rPr>
          <w:sz w:val="22"/>
        </w:rPr>
        <w:t>U.S.</w:t>
      </w:r>
      <w:r>
        <w:rPr>
          <w:spacing w:val="80"/>
          <w:sz w:val="22"/>
        </w:rPr>
        <w:t> </w:t>
      </w:r>
      <w:r>
        <w:rPr>
          <w:sz w:val="22"/>
        </w:rPr>
        <w:t>Census</w:t>
        <w:tab/>
      </w:r>
      <w:r>
        <w:rPr>
          <w:spacing w:val="-2"/>
          <w:sz w:val="22"/>
        </w:rPr>
        <w:t>Bureau;</w:t>
      </w:r>
      <w:r>
        <w:rPr>
          <w:sz w:val="22"/>
        </w:rPr>
        <w:tab/>
      </w:r>
      <w:r>
        <w:rPr>
          <w:spacing w:val="-4"/>
          <w:sz w:val="22"/>
        </w:rPr>
        <w:t>2009 </w:t>
      </w:r>
      <w:hyperlink r:id="rId21">
        <w:r>
          <w:rPr>
            <w:spacing w:val="-2"/>
            <w:sz w:val="22"/>
          </w:rPr>
          <w:t>https://www.census.gov/topics/population/older-aging.html</w:t>
        </w:r>
      </w:hyperlink>
    </w:p>
    <w:p>
      <w:pPr>
        <w:pStyle w:val="ListParagraph"/>
        <w:numPr>
          <w:ilvl w:val="0"/>
          <w:numId w:val="9"/>
        </w:numPr>
        <w:tabs>
          <w:tab w:pos="699" w:val="left" w:leader="none"/>
          <w:tab w:pos="718" w:val="left" w:leader="none"/>
          <w:tab w:pos="1600" w:val="left" w:leader="none"/>
          <w:tab w:pos="2645" w:val="left" w:leader="none"/>
          <w:tab w:pos="3496" w:val="left" w:leader="none"/>
          <w:tab w:pos="4753" w:val="left" w:leader="none"/>
          <w:tab w:pos="5223" w:val="left" w:leader="none"/>
          <w:tab w:pos="6141" w:val="left" w:leader="none"/>
          <w:tab w:pos="6548" w:val="left" w:leader="none"/>
          <w:tab w:pos="7430" w:val="left" w:leader="none"/>
          <w:tab w:pos="7950" w:val="left" w:leader="none"/>
          <w:tab w:pos="8750" w:val="left" w:leader="none"/>
        </w:tabs>
        <w:spacing w:line="256" w:lineRule="auto" w:before="0" w:after="0"/>
        <w:ind w:left="718" w:right="101" w:hanging="405"/>
        <w:jc w:val="left"/>
        <w:rPr>
          <w:sz w:val="22"/>
        </w:rPr>
      </w:pPr>
      <w:r>
        <w:rPr>
          <w:spacing w:val="-2"/>
          <w:sz w:val="22"/>
        </w:rPr>
        <w:t>United</w:t>
      </w:r>
      <w:r>
        <w:rPr>
          <w:sz w:val="22"/>
        </w:rPr>
        <w:tab/>
      </w:r>
      <w:r>
        <w:rPr>
          <w:spacing w:val="-2"/>
          <w:sz w:val="22"/>
        </w:rPr>
        <w:t>Nations.</w:t>
      </w:r>
      <w:r>
        <w:rPr>
          <w:sz w:val="22"/>
        </w:rPr>
        <w:tab/>
      </w:r>
      <w:r>
        <w:rPr>
          <w:spacing w:val="-2"/>
          <w:sz w:val="22"/>
        </w:rPr>
        <w:t>World</w:t>
      </w:r>
      <w:r>
        <w:rPr>
          <w:sz w:val="22"/>
        </w:rPr>
        <w:tab/>
      </w:r>
      <w:r>
        <w:rPr>
          <w:spacing w:val="-2"/>
          <w:sz w:val="22"/>
        </w:rPr>
        <w:t>population</w:t>
      </w:r>
      <w:r>
        <w:rPr>
          <w:sz w:val="22"/>
        </w:rPr>
        <w:tab/>
      </w:r>
      <w:r>
        <w:rPr>
          <w:spacing w:val="-6"/>
          <w:sz w:val="22"/>
        </w:rPr>
        <w:t>to</w:t>
      </w:r>
      <w:r>
        <w:rPr>
          <w:sz w:val="22"/>
        </w:rPr>
        <w:tab/>
      </w:r>
      <w:r>
        <w:rPr>
          <w:spacing w:val="-2"/>
          <w:sz w:val="22"/>
        </w:rPr>
        <w:t>exceed</w:t>
      </w:r>
      <w:r>
        <w:rPr>
          <w:sz w:val="22"/>
        </w:rPr>
        <w:tab/>
      </w:r>
      <w:r>
        <w:rPr>
          <w:spacing w:val="-10"/>
          <w:sz w:val="22"/>
        </w:rPr>
        <w:t>9</w:t>
      </w:r>
      <w:r>
        <w:rPr>
          <w:sz w:val="22"/>
        </w:rPr>
        <w:tab/>
      </w:r>
      <w:r>
        <w:rPr>
          <w:spacing w:val="-2"/>
          <w:sz w:val="22"/>
        </w:rPr>
        <w:t>billion</w:t>
      </w:r>
      <w:r>
        <w:rPr>
          <w:sz w:val="22"/>
        </w:rPr>
        <w:tab/>
      </w:r>
      <w:r>
        <w:rPr>
          <w:spacing w:val="-6"/>
          <w:sz w:val="22"/>
        </w:rPr>
        <w:t>by</w:t>
      </w:r>
      <w:r>
        <w:rPr>
          <w:sz w:val="22"/>
        </w:rPr>
        <w:tab/>
      </w:r>
      <w:r>
        <w:rPr>
          <w:spacing w:val="-2"/>
          <w:sz w:val="22"/>
        </w:rPr>
        <w:t>2050.</w:t>
      </w:r>
      <w:r>
        <w:rPr>
          <w:sz w:val="22"/>
        </w:rPr>
        <w:tab/>
      </w:r>
      <w:r>
        <w:rPr>
          <w:spacing w:val="-2"/>
          <w:sz w:val="22"/>
        </w:rPr>
        <w:t>2009. </w:t>
      </w:r>
      <w:hyperlink r:id="rId22">
        <w:r>
          <w:rPr>
            <w:spacing w:val="-2"/>
            <w:sz w:val="22"/>
          </w:rPr>
          <w:t>https://www.un.org/en/global-issues/population</w:t>
        </w:r>
      </w:hyperlink>
    </w:p>
    <w:p>
      <w:pPr>
        <w:pStyle w:val="ListParagraph"/>
        <w:numPr>
          <w:ilvl w:val="0"/>
          <w:numId w:val="9"/>
        </w:numPr>
        <w:tabs>
          <w:tab w:pos="699" w:val="left" w:leader="none"/>
          <w:tab w:pos="718" w:val="left" w:leader="none"/>
        </w:tabs>
        <w:spacing w:line="256" w:lineRule="auto" w:before="0" w:after="0"/>
        <w:ind w:left="718" w:right="111" w:hanging="405"/>
        <w:jc w:val="left"/>
        <w:rPr>
          <w:sz w:val="22"/>
        </w:rPr>
      </w:pPr>
      <w:r>
        <w:rPr>
          <w:sz w:val="22"/>
        </w:rPr>
        <w:t>McDevitt</w:t>
      </w:r>
      <w:r>
        <w:rPr>
          <w:spacing w:val="40"/>
          <w:sz w:val="22"/>
        </w:rPr>
        <w:t> </w:t>
      </w:r>
      <w:r>
        <w:rPr>
          <w:sz w:val="22"/>
        </w:rPr>
        <w:t>TM,</w:t>
      </w:r>
      <w:r>
        <w:rPr>
          <w:spacing w:val="40"/>
          <w:sz w:val="22"/>
        </w:rPr>
        <w:t> </w:t>
      </w:r>
      <w:r>
        <w:rPr>
          <w:sz w:val="22"/>
        </w:rPr>
        <w:t>Stanecki</w:t>
      </w:r>
      <w:r>
        <w:rPr>
          <w:spacing w:val="40"/>
          <w:sz w:val="22"/>
        </w:rPr>
        <w:t> </w:t>
      </w:r>
      <w:r>
        <w:rPr>
          <w:sz w:val="22"/>
        </w:rPr>
        <w:t>KA,</w:t>
      </w:r>
      <w:r>
        <w:rPr>
          <w:spacing w:val="40"/>
          <w:sz w:val="22"/>
        </w:rPr>
        <w:t> </w:t>
      </w:r>
      <w:r>
        <w:rPr>
          <w:sz w:val="22"/>
        </w:rPr>
        <w:t>Way</w:t>
      </w:r>
      <w:r>
        <w:rPr>
          <w:spacing w:val="40"/>
          <w:sz w:val="22"/>
        </w:rPr>
        <w:t> </w:t>
      </w:r>
      <w:r>
        <w:rPr>
          <w:sz w:val="22"/>
        </w:rPr>
        <w:t>PO.</w:t>
      </w:r>
      <w:r>
        <w:rPr>
          <w:spacing w:val="40"/>
          <w:sz w:val="22"/>
        </w:rPr>
        <w:t> </w:t>
      </w:r>
      <w:r>
        <w:rPr>
          <w:sz w:val="22"/>
        </w:rPr>
        <w:t>Report</w:t>
      </w:r>
      <w:r>
        <w:rPr>
          <w:spacing w:val="40"/>
          <w:sz w:val="22"/>
        </w:rPr>
        <w:t> </w:t>
      </w:r>
      <w:r>
        <w:rPr>
          <w:sz w:val="22"/>
        </w:rPr>
        <w:t>WP/98,</w:t>
      </w:r>
      <w:r>
        <w:rPr>
          <w:spacing w:val="40"/>
          <w:sz w:val="22"/>
        </w:rPr>
        <w:t> </w:t>
      </w:r>
      <w:r>
        <w:rPr>
          <w:sz w:val="22"/>
        </w:rPr>
        <w:t>world</w:t>
      </w:r>
      <w:r>
        <w:rPr>
          <w:spacing w:val="40"/>
          <w:sz w:val="22"/>
        </w:rPr>
        <w:t> </w:t>
      </w:r>
      <w:r>
        <w:rPr>
          <w:sz w:val="22"/>
        </w:rPr>
        <w:t>population</w:t>
      </w:r>
      <w:r>
        <w:rPr>
          <w:spacing w:val="40"/>
          <w:sz w:val="22"/>
        </w:rPr>
        <w:t> </w:t>
      </w:r>
      <w:r>
        <w:rPr>
          <w:sz w:val="22"/>
        </w:rPr>
        <w:t>profile:</w:t>
      </w:r>
      <w:r>
        <w:rPr>
          <w:spacing w:val="40"/>
          <w:sz w:val="22"/>
        </w:rPr>
        <w:t> </w:t>
      </w:r>
      <w:r>
        <w:rPr>
          <w:sz w:val="22"/>
        </w:rPr>
        <w:t>1998.</w:t>
      </w:r>
      <w:r>
        <w:rPr>
          <w:spacing w:val="40"/>
          <w:sz w:val="22"/>
        </w:rPr>
        <w:t> </w:t>
      </w:r>
      <w:r>
        <w:rPr>
          <w:sz w:val="22"/>
        </w:rPr>
        <w:t>U.S. Census Bureau; 1999.</w:t>
      </w:r>
    </w:p>
    <w:p>
      <w:pPr>
        <w:pStyle w:val="ListParagraph"/>
        <w:numPr>
          <w:ilvl w:val="0"/>
          <w:numId w:val="9"/>
        </w:numPr>
        <w:tabs>
          <w:tab w:pos="699" w:val="left" w:leader="none"/>
        </w:tabs>
        <w:spacing w:line="252" w:lineRule="exact" w:before="0" w:after="0"/>
        <w:ind w:left="699" w:right="0" w:hanging="386"/>
        <w:jc w:val="left"/>
        <w:rPr>
          <w:sz w:val="22"/>
        </w:rPr>
      </w:pPr>
      <w:r>
        <w:rPr>
          <w:sz w:val="22"/>
        </w:rPr>
        <w:t>Hetzel</w:t>
      </w:r>
      <w:r>
        <w:rPr>
          <w:spacing w:val="18"/>
          <w:sz w:val="22"/>
        </w:rPr>
        <w:t> </w:t>
      </w:r>
      <w:r>
        <w:rPr>
          <w:sz w:val="22"/>
        </w:rPr>
        <w:t>L,</w:t>
      </w:r>
      <w:r>
        <w:rPr>
          <w:spacing w:val="18"/>
          <w:sz w:val="22"/>
        </w:rPr>
        <w:t> </w:t>
      </w:r>
      <w:r>
        <w:rPr>
          <w:sz w:val="22"/>
        </w:rPr>
        <w:t>Smith</w:t>
      </w:r>
      <w:r>
        <w:rPr>
          <w:spacing w:val="19"/>
          <w:sz w:val="22"/>
        </w:rPr>
        <w:t> </w:t>
      </w:r>
      <w:r>
        <w:rPr>
          <w:sz w:val="22"/>
        </w:rPr>
        <w:t>A.</w:t>
      </w:r>
      <w:r>
        <w:rPr>
          <w:spacing w:val="18"/>
          <w:sz w:val="22"/>
        </w:rPr>
        <w:t> </w:t>
      </w:r>
      <w:r>
        <w:rPr>
          <w:sz w:val="22"/>
        </w:rPr>
        <w:t>Census</w:t>
      </w:r>
      <w:r>
        <w:rPr>
          <w:spacing w:val="22"/>
          <w:sz w:val="22"/>
        </w:rPr>
        <w:t> </w:t>
      </w:r>
      <w:r>
        <w:rPr>
          <w:sz w:val="22"/>
        </w:rPr>
        <w:t>2000</w:t>
      </w:r>
      <w:r>
        <w:rPr>
          <w:spacing w:val="22"/>
          <w:sz w:val="22"/>
        </w:rPr>
        <w:t> </w:t>
      </w:r>
      <w:r>
        <w:rPr>
          <w:sz w:val="22"/>
        </w:rPr>
        <w:t>BriefC2KBR/01-10:</w:t>
      </w:r>
      <w:r>
        <w:rPr>
          <w:spacing w:val="22"/>
          <w:sz w:val="22"/>
        </w:rPr>
        <w:t> </w:t>
      </w:r>
      <w:r>
        <w:rPr>
          <w:sz w:val="22"/>
        </w:rPr>
        <w:t>the</w:t>
      </w:r>
      <w:r>
        <w:rPr>
          <w:spacing w:val="22"/>
          <w:sz w:val="22"/>
        </w:rPr>
        <w:t> </w:t>
      </w:r>
      <w:r>
        <w:rPr>
          <w:sz w:val="22"/>
        </w:rPr>
        <w:t>65</w:t>
      </w:r>
      <w:r>
        <w:rPr>
          <w:spacing w:val="22"/>
          <w:sz w:val="22"/>
        </w:rPr>
        <w:t> </w:t>
      </w:r>
      <w:r>
        <w:rPr>
          <w:sz w:val="22"/>
        </w:rPr>
        <w:t>years</w:t>
      </w:r>
      <w:r>
        <w:rPr>
          <w:spacing w:val="22"/>
          <w:sz w:val="22"/>
        </w:rPr>
        <w:t> </w:t>
      </w:r>
      <w:r>
        <w:rPr>
          <w:sz w:val="22"/>
        </w:rPr>
        <w:t>and</w:t>
      </w:r>
      <w:r>
        <w:rPr>
          <w:spacing w:val="22"/>
          <w:sz w:val="22"/>
        </w:rPr>
        <w:t> </w:t>
      </w:r>
      <w:r>
        <w:rPr>
          <w:sz w:val="22"/>
        </w:rPr>
        <w:t>over</w:t>
      </w:r>
      <w:r>
        <w:rPr>
          <w:spacing w:val="22"/>
          <w:sz w:val="22"/>
        </w:rPr>
        <w:t> </w:t>
      </w:r>
      <w:r>
        <w:rPr>
          <w:sz w:val="22"/>
        </w:rPr>
        <w:t>population:</w:t>
      </w:r>
      <w:r>
        <w:rPr>
          <w:spacing w:val="22"/>
          <w:sz w:val="22"/>
        </w:rPr>
        <w:t> </w:t>
      </w:r>
      <w:r>
        <w:rPr>
          <w:spacing w:val="-2"/>
          <w:sz w:val="22"/>
        </w:rPr>
        <w:t>2000.</w:t>
      </w:r>
    </w:p>
    <w:p>
      <w:pPr>
        <w:spacing w:before="14"/>
        <w:ind w:left="718" w:right="0" w:firstLine="0"/>
        <w:jc w:val="left"/>
        <w:rPr>
          <w:sz w:val="22"/>
        </w:rPr>
      </w:pPr>
      <w:r>
        <w:rPr>
          <w:sz w:val="22"/>
        </w:rPr>
        <w:t>U.S.</w:t>
      </w:r>
      <w:r>
        <w:rPr>
          <w:spacing w:val="12"/>
          <w:sz w:val="22"/>
        </w:rPr>
        <w:t> </w:t>
      </w:r>
      <w:r>
        <w:rPr>
          <w:sz w:val="22"/>
        </w:rPr>
        <w:t>Census</w:t>
      </w:r>
      <w:r>
        <w:rPr>
          <w:spacing w:val="12"/>
          <w:sz w:val="22"/>
        </w:rPr>
        <w:t> </w:t>
      </w:r>
      <w:r>
        <w:rPr>
          <w:sz w:val="22"/>
        </w:rPr>
        <w:t>Bureau;</w:t>
      </w:r>
      <w:r>
        <w:rPr>
          <w:spacing w:val="13"/>
          <w:sz w:val="22"/>
        </w:rPr>
        <w:t> </w:t>
      </w:r>
      <w:r>
        <w:rPr>
          <w:spacing w:val="-2"/>
          <w:sz w:val="22"/>
        </w:rPr>
        <w:t>2004.</w:t>
      </w:r>
    </w:p>
    <w:p>
      <w:pPr>
        <w:pStyle w:val="ListParagraph"/>
        <w:numPr>
          <w:ilvl w:val="0"/>
          <w:numId w:val="9"/>
        </w:numPr>
        <w:tabs>
          <w:tab w:pos="699" w:val="left" w:leader="none"/>
          <w:tab w:pos="718" w:val="left" w:leader="none"/>
        </w:tabs>
        <w:spacing w:line="256" w:lineRule="auto" w:before="17" w:after="0"/>
        <w:ind w:left="718" w:right="100" w:hanging="405"/>
        <w:jc w:val="both"/>
        <w:rPr>
          <w:sz w:val="22"/>
        </w:rPr>
      </w:pPr>
      <w:r>
        <w:rPr>
          <w:sz w:val="22"/>
        </w:rPr>
        <w:t>Miles TP, Bernard MA. Morbidity, disability, and health status of Black American elderly: a</w:t>
      </w:r>
      <w:r>
        <w:rPr>
          <w:spacing w:val="40"/>
          <w:sz w:val="22"/>
        </w:rPr>
        <w:t> </w:t>
      </w:r>
      <w:r>
        <w:rPr>
          <w:sz w:val="22"/>
        </w:rPr>
        <w:t>new look at the oldest-old. </w:t>
      </w:r>
      <w:r>
        <w:rPr>
          <w:i/>
          <w:sz w:val="22"/>
        </w:rPr>
        <w:t>J Am Geriatr Soc</w:t>
      </w:r>
      <w:r>
        <w:rPr>
          <w:sz w:val="22"/>
        </w:rPr>
        <w:t>. 1992;40:1047.</w:t>
      </w:r>
    </w:p>
    <w:p>
      <w:pPr>
        <w:pStyle w:val="ListParagraph"/>
        <w:numPr>
          <w:ilvl w:val="0"/>
          <w:numId w:val="9"/>
        </w:numPr>
        <w:tabs>
          <w:tab w:pos="699" w:val="left" w:leader="none"/>
          <w:tab w:pos="718" w:val="left" w:leader="none"/>
        </w:tabs>
        <w:spacing w:line="256" w:lineRule="auto" w:before="0" w:after="0"/>
        <w:ind w:left="718" w:right="99" w:hanging="405"/>
        <w:jc w:val="both"/>
        <w:rPr>
          <w:sz w:val="22"/>
        </w:rPr>
      </w:pPr>
      <w:r>
        <w:rPr>
          <w:sz w:val="22"/>
        </w:rPr>
        <w:t>Day</w:t>
      </w:r>
      <w:r>
        <w:rPr>
          <w:spacing w:val="40"/>
          <w:sz w:val="22"/>
        </w:rPr>
        <w:t> </w:t>
      </w:r>
      <w:r>
        <w:rPr>
          <w:sz w:val="22"/>
        </w:rPr>
        <w:t>JC;</w:t>
      </w:r>
      <w:r>
        <w:rPr>
          <w:spacing w:val="40"/>
          <w:sz w:val="22"/>
        </w:rPr>
        <w:t> </w:t>
      </w:r>
      <w:r>
        <w:rPr>
          <w:sz w:val="22"/>
        </w:rPr>
        <w:t>Bureau</w:t>
      </w:r>
      <w:r>
        <w:rPr>
          <w:spacing w:val="40"/>
          <w:sz w:val="22"/>
        </w:rPr>
        <w:t> </w:t>
      </w:r>
      <w:r>
        <w:rPr>
          <w:sz w:val="22"/>
        </w:rPr>
        <w:t>of</w:t>
      </w:r>
      <w:r>
        <w:rPr>
          <w:spacing w:val="40"/>
          <w:sz w:val="22"/>
        </w:rPr>
        <w:t> </w:t>
      </w:r>
      <w:r>
        <w:rPr>
          <w:sz w:val="22"/>
        </w:rPr>
        <w:t>the</w:t>
      </w:r>
      <w:r>
        <w:rPr>
          <w:spacing w:val="40"/>
          <w:sz w:val="22"/>
        </w:rPr>
        <w:t> </w:t>
      </w:r>
      <w:r>
        <w:rPr>
          <w:sz w:val="22"/>
        </w:rPr>
        <w:t>Census,</w:t>
      </w:r>
      <w:r>
        <w:rPr>
          <w:spacing w:val="40"/>
          <w:sz w:val="22"/>
        </w:rPr>
        <w:t> </w:t>
      </w:r>
      <w:r>
        <w:rPr>
          <w:sz w:val="22"/>
        </w:rPr>
        <w:t>Current</w:t>
      </w:r>
      <w:r>
        <w:rPr>
          <w:spacing w:val="40"/>
          <w:sz w:val="22"/>
        </w:rPr>
        <w:t> </w:t>
      </w:r>
      <w:r>
        <w:rPr>
          <w:sz w:val="22"/>
        </w:rPr>
        <w:t>Population</w:t>
      </w:r>
      <w:r>
        <w:rPr>
          <w:spacing w:val="40"/>
          <w:sz w:val="22"/>
        </w:rPr>
        <w:t> </w:t>
      </w:r>
      <w:r>
        <w:rPr>
          <w:sz w:val="22"/>
        </w:rPr>
        <w:t>Reports.</w:t>
      </w:r>
      <w:r>
        <w:rPr>
          <w:spacing w:val="40"/>
          <w:sz w:val="22"/>
        </w:rPr>
        <w:t> </w:t>
      </w:r>
      <w:r>
        <w:rPr>
          <w:sz w:val="22"/>
        </w:rPr>
        <w:t>Population</w:t>
      </w:r>
      <w:r>
        <w:rPr>
          <w:spacing w:val="40"/>
          <w:sz w:val="22"/>
        </w:rPr>
        <w:t> </w:t>
      </w:r>
      <w:r>
        <w:rPr>
          <w:sz w:val="22"/>
        </w:rPr>
        <w:t>projections</w:t>
      </w:r>
      <w:r>
        <w:rPr>
          <w:spacing w:val="40"/>
          <w:sz w:val="22"/>
        </w:rPr>
        <w:t> </w:t>
      </w:r>
      <w:r>
        <w:rPr>
          <w:sz w:val="22"/>
        </w:rPr>
        <w:t>of</w:t>
      </w:r>
      <w:r>
        <w:rPr>
          <w:spacing w:val="40"/>
          <w:sz w:val="22"/>
        </w:rPr>
        <w:t> </w:t>
      </w:r>
      <w:r>
        <w:rPr>
          <w:sz w:val="22"/>
        </w:rPr>
        <w:t>the United States, by age, sex, race, and Hispanic origin: 1993 to 2050. U.S. Government </w:t>
      </w:r>
      <w:r>
        <w:rPr>
          <w:sz w:val="22"/>
        </w:rPr>
        <w:t>Printing Office; 1993.</w:t>
      </w:r>
    </w:p>
    <w:p>
      <w:pPr>
        <w:pStyle w:val="ListParagraph"/>
        <w:numPr>
          <w:ilvl w:val="0"/>
          <w:numId w:val="9"/>
        </w:numPr>
        <w:tabs>
          <w:tab w:pos="699" w:val="left" w:leader="none"/>
          <w:tab w:pos="718" w:val="left" w:leader="none"/>
        </w:tabs>
        <w:spacing w:line="256" w:lineRule="auto" w:before="0" w:after="0"/>
        <w:ind w:left="718" w:right="100" w:hanging="405"/>
        <w:jc w:val="both"/>
        <w:rPr>
          <w:sz w:val="22"/>
        </w:rPr>
      </w:pPr>
      <w:r>
        <w:rPr>
          <w:sz w:val="22"/>
        </w:rPr>
        <w:t>Centers for Disease Control and Prevention. U.S. Department of Health and Human </w:t>
      </w:r>
      <w:r>
        <w:rPr>
          <w:sz w:val="22"/>
        </w:rPr>
        <w:t>Services, women and smoking: a report of the surgeon general. </w:t>
      </w:r>
      <w:r>
        <w:rPr>
          <w:i/>
          <w:sz w:val="22"/>
        </w:rPr>
        <w:t>Morb</w:t>
      </w:r>
      <w:r>
        <w:rPr>
          <w:i/>
          <w:spacing w:val="40"/>
          <w:sz w:val="22"/>
        </w:rPr>
        <w:t> </w:t>
      </w:r>
      <w:r>
        <w:rPr>
          <w:i/>
          <w:sz w:val="22"/>
        </w:rPr>
        <w:t>Mortal</w:t>
      </w:r>
      <w:r>
        <w:rPr>
          <w:i/>
          <w:spacing w:val="40"/>
          <w:sz w:val="22"/>
        </w:rPr>
        <w:t> </w:t>
      </w:r>
      <w:r>
        <w:rPr>
          <w:i/>
          <w:sz w:val="22"/>
        </w:rPr>
        <w:t>Wkly</w:t>
      </w:r>
      <w:r>
        <w:rPr>
          <w:i/>
          <w:spacing w:val="40"/>
          <w:sz w:val="22"/>
        </w:rPr>
        <w:t> </w:t>
      </w:r>
      <w:r>
        <w:rPr>
          <w:i/>
          <w:sz w:val="22"/>
        </w:rPr>
        <w:t>Rep</w:t>
      </w:r>
      <w:r>
        <w:rPr>
          <w:sz w:val="22"/>
        </w:rPr>
        <w:t>. </w:t>
      </w:r>
      <w:r>
        <w:rPr>
          <w:spacing w:val="-2"/>
          <w:sz w:val="22"/>
        </w:rPr>
        <w:t>2002;51(RR12):1.</w:t>
      </w:r>
    </w:p>
    <w:p>
      <w:pPr>
        <w:pStyle w:val="ListParagraph"/>
        <w:numPr>
          <w:ilvl w:val="0"/>
          <w:numId w:val="9"/>
        </w:numPr>
        <w:tabs>
          <w:tab w:pos="699" w:val="left" w:leader="none"/>
          <w:tab w:pos="718" w:val="left" w:leader="none"/>
        </w:tabs>
        <w:spacing w:line="256" w:lineRule="auto" w:before="0" w:after="0"/>
        <w:ind w:left="718" w:right="105" w:hanging="405"/>
        <w:jc w:val="both"/>
        <w:rPr>
          <w:sz w:val="22"/>
        </w:rPr>
      </w:pPr>
      <w:r>
        <w:rPr>
          <w:sz w:val="22"/>
        </w:rPr>
        <w:t>Annual Report of the Board of Trustees of the Federal Old-Age and Survivors Insurance </w:t>
      </w:r>
      <w:r>
        <w:rPr>
          <w:sz w:val="22"/>
        </w:rPr>
        <w:t>and Disability Insurance Trust Funds. Report No. Tb1 II.D2, U.S. Government Printing Office.</w:t>
      </w:r>
      <w:r>
        <w:rPr>
          <w:spacing w:val="40"/>
          <w:sz w:val="22"/>
        </w:rPr>
        <w:t> </w:t>
      </w:r>
      <w:r>
        <w:rPr>
          <w:sz w:val="22"/>
        </w:rPr>
        <w:t>1995. </w:t>
      </w:r>
      <w:hyperlink r:id="rId23">
        <w:r>
          <w:rPr>
            <w:sz w:val="22"/>
          </w:rPr>
          <w:t>https://www.ssa.gov/history/reports/trust/1995/index.html</w:t>
        </w:r>
      </w:hyperlink>
    </w:p>
    <w:p>
      <w:pPr>
        <w:pStyle w:val="ListParagraph"/>
        <w:numPr>
          <w:ilvl w:val="0"/>
          <w:numId w:val="9"/>
        </w:numPr>
        <w:tabs>
          <w:tab w:pos="699" w:val="left" w:leader="none"/>
          <w:tab w:pos="718" w:val="left" w:leader="none"/>
        </w:tabs>
        <w:spacing w:line="256" w:lineRule="auto" w:before="0" w:after="0"/>
        <w:ind w:left="718" w:right="100" w:hanging="405"/>
        <w:jc w:val="both"/>
        <w:rPr>
          <w:sz w:val="22"/>
        </w:rPr>
      </w:pPr>
      <w:r>
        <w:rPr>
          <w:sz w:val="22"/>
        </w:rPr>
        <w:t>Centers for Disease Control and Prevention. Advance data: characteristics of elderly home</w:t>
      </w:r>
      <w:r>
        <w:rPr>
          <w:spacing w:val="80"/>
          <w:sz w:val="22"/>
        </w:rPr>
        <w:t> </w:t>
      </w:r>
      <w:r>
        <w:rPr>
          <w:sz w:val="22"/>
        </w:rPr>
        <w:t>health care users: data from the 1993 National Home and Hospice Care Survey. 2003. </w:t>
      </w:r>
      <w:hyperlink r:id="rId24">
        <w:r>
          <w:rPr>
            <w:spacing w:val="-2"/>
            <w:sz w:val="22"/>
          </w:rPr>
          <w:t>www.cdc.gov/nchs/data/ad/ad272.pdf</w:t>
        </w:r>
      </w:hyperlink>
    </w:p>
    <w:p>
      <w:pPr>
        <w:pStyle w:val="ListParagraph"/>
        <w:numPr>
          <w:ilvl w:val="0"/>
          <w:numId w:val="9"/>
        </w:numPr>
        <w:tabs>
          <w:tab w:pos="699" w:val="left" w:leader="none"/>
          <w:tab w:pos="718" w:val="left" w:leader="none"/>
        </w:tabs>
        <w:spacing w:line="256" w:lineRule="auto" w:before="0" w:after="0"/>
        <w:ind w:left="718" w:right="103" w:hanging="405"/>
        <w:jc w:val="both"/>
        <w:rPr>
          <w:sz w:val="22"/>
        </w:rPr>
      </w:pPr>
      <w:r>
        <w:rPr>
          <w:sz w:val="22"/>
        </w:rPr>
        <w:t>Keith PM. The social context and resources of the unmarried in old age. </w:t>
      </w:r>
      <w:r>
        <w:rPr>
          <w:i/>
          <w:sz w:val="22"/>
        </w:rPr>
        <w:t>Int J Aging Hum Dev</w:t>
      </w:r>
      <w:r>
        <w:rPr>
          <w:sz w:val="22"/>
        </w:rPr>
        <w:t>. </w:t>
      </w:r>
      <w:r>
        <w:rPr>
          <w:spacing w:val="-2"/>
          <w:sz w:val="22"/>
        </w:rPr>
        <w:t>1986;23:81.</w:t>
      </w:r>
    </w:p>
    <w:p>
      <w:pPr>
        <w:pStyle w:val="ListParagraph"/>
        <w:numPr>
          <w:ilvl w:val="0"/>
          <w:numId w:val="9"/>
        </w:numPr>
        <w:tabs>
          <w:tab w:pos="699" w:val="left" w:leader="none"/>
        </w:tabs>
        <w:spacing w:line="252" w:lineRule="exact" w:before="0" w:after="0"/>
        <w:ind w:left="699" w:right="0" w:hanging="386"/>
        <w:jc w:val="both"/>
        <w:rPr>
          <w:sz w:val="22"/>
        </w:rPr>
      </w:pPr>
      <w:r>
        <w:rPr>
          <w:sz w:val="22"/>
        </w:rPr>
        <w:t>Fries</w:t>
      </w:r>
      <w:r>
        <w:rPr>
          <w:spacing w:val="5"/>
          <w:sz w:val="22"/>
        </w:rPr>
        <w:t> </w:t>
      </w:r>
      <w:r>
        <w:rPr>
          <w:sz w:val="22"/>
        </w:rPr>
        <w:t>JF,</w:t>
      </w:r>
      <w:r>
        <w:rPr>
          <w:spacing w:val="5"/>
          <w:sz w:val="22"/>
        </w:rPr>
        <w:t> </w:t>
      </w:r>
      <w:r>
        <w:rPr>
          <w:sz w:val="22"/>
        </w:rPr>
        <w:t>Crapo</w:t>
      </w:r>
      <w:r>
        <w:rPr>
          <w:spacing w:val="5"/>
          <w:sz w:val="22"/>
        </w:rPr>
        <w:t> </w:t>
      </w:r>
      <w:r>
        <w:rPr>
          <w:sz w:val="22"/>
        </w:rPr>
        <w:t>LM,</w:t>
      </w:r>
      <w:r>
        <w:rPr>
          <w:spacing w:val="5"/>
          <w:sz w:val="22"/>
        </w:rPr>
        <w:t> </w:t>
      </w:r>
      <w:r>
        <w:rPr>
          <w:sz w:val="22"/>
        </w:rPr>
        <w:t>Vitality</w:t>
      </w:r>
      <w:r>
        <w:rPr>
          <w:spacing w:val="5"/>
          <w:sz w:val="22"/>
        </w:rPr>
        <w:t> </w:t>
      </w:r>
      <w:r>
        <w:rPr>
          <w:sz w:val="22"/>
        </w:rPr>
        <w:t>and</w:t>
      </w:r>
      <w:r>
        <w:rPr>
          <w:spacing w:val="5"/>
          <w:sz w:val="22"/>
        </w:rPr>
        <w:t> </w:t>
      </w:r>
      <w:r>
        <w:rPr>
          <w:sz w:val="22"/>
        </w:rPr>
        <w:t>Aging.</w:t>
      </w:r>
      <w:r>
        <w:rPr>
          <w:spacing w:val="5"/>
          <w:sz w:val="22"/>
        </w:rPr>
        <w:t> </w:t>
      </w:r>
      <w:r>
        <w:rPr>
          <w:sz w:val="22"/>
        </w:rPr>
        <w:t>W.H.</w:t>
      </w:r>
      <w:r>
        <w:rPr>
          <w:spacing w:val="5"/>
          <w:sz w:val="22"/>
        </w:rPr>
        <w:t> </w:t>
      </w:r>
      <w:r>
        <w:rPr>
          <w:sz w:val="22"/>
        </w:rPr>
        <w:t>Freeman;</w:t>
      </w:r>
      <w:r>
        <w:rPr>
          <w:spacing w:val="5"/>
          <w:sz w:val="22"/>
        </w:rPr>
        <w:t> </w:t>
      </w:r>
      <w:r>
        <w:rPr>
          <w:spacing w:val="-2"/>
          <w:sz w:val="22"/>
        </w:rPr>
        <w:t>1981.</w:t>
      </w:r>
    </w:p>
    <w:p>
      <w:pPr>
        <w:pStyle w:val="ListParagraph"/>
        <w:numPr>
          <w:ilvl w:val="0"/>
          <w:numId w:val="9"/>
        </w:numPr>
        <w:tabs>
          <w:tab w:pos="699" w:val="left" w:leader="none"/>
          <w:tab w:pos="718" w:val="left" w:leader="none"/>
        </w:tabs>
        <w:spacing w:line="256" w:lineRule="auto" w:before="8" w:after="0"/>
        <w:ind w:left="718" w:right="99" w:hanging="405"/>
        <w:jc w:val="both"/>
        <w:rPr>
          <w:sz w:val="22"/>
        </w:rPr>
      </w:pPr>
      <w:r>
        <w:rPr>
          <w:sz w:val="22"/>
        </w:rPr>
        <w:t>Centers</w:t>
      </w:r>
      <w:r>
        <w:rPr>
          <w:spacing w:val="40"/>
          <w:sz w:val="22"/>
        </w:rPr>
        <w:t> </w:t>
      </w:r>
      <w:r>
        <w:rPr>
          <w:sz w:val="22"/>
        </w:rPr>
        <w:t>for</w:t>
      </w:r>
      <w:r>
        <w:rPr>
          <w:spacing w:val="40"/>
          <w:sz w:val="22"/>
        </w:rPr>
        <w:t> </w:t>
      </w:r>
      <w:r>
        <w:rPr>
          <w:sz w:val="22"/>
        </w:rPr>
        <w:t>Disease</w:t>
      </w:r>
      <w:r>
        <w:rPr>
          <w:spacing w:val="40"/>
          <w:sz w:val="22"/>
        </w:rPr>
        <w:t> </w:t>
      </w:r>
      <w:r>
        <w:rPr>
          <w:sz w:val="22"/>
        </w:rPr>
        <w:t>Control</w:t>
      </w:r>
      <w:r>
        <w:rPr>
          <w:spacing w:val="40"/>
          <w:sz w:val="22"/>
        </w:rPr>
        <w:t> </w:t>
      </w:r>
      <w:r>
        <w:rPr>
          <w:sz w:val="22"/>
        </w:rPr>
        <w:t>and</w:t>
      </w:r>
      <w:r>
        <w:rPr>
          <w:spacing w:val="40"/>
          <w:sz w:val="22"/>
        </w:rPr>
        <w:t> </w:t>
      </w:r>
      <w:r>
        <w:rPr>
          <w:sz w:val="22"/>
        </w:rPr>
        <w:t>Prevention.</w:t>
      </w:r>
      <w:r>
        <w:rPr>
          <w:spacing w:val="40"/>
          <w:sz w:val="22"/>
        </w:rPr>
        <w:t> </w:t>
      </w:r>
      <w:r>
        <w:rPr>
          <w:sz w:val="22"/>
        </w:rPr>
        <w:t>David</w:t>
      </w:r>
      <w:r>
        <w:rPr>
          <w:spacing w:val="40"/>
          <w:sz w:val="22"/>
        </w:rPr>
        <w:t> </w:t>
      </w:r>
      <w:r>
        <w:rPr>
          <w:sz w:val="22"/>
        </w:rPr>
        <w:t>J.</w:t>
      </w:r>
      <w:r>
        <w:rPr>
          <w:spacing w:val="40"/>
          <w:sz w:val="22"/>
        </w:rPr>
        <w:t> </w:t>
      </w:r>
      <w:r>
        <w:rPr>
          <w:sz w:val="22"/>
        </w:rPr>
        <w:t>Sencer</w:t>
      </w:r>
      <w:r>
        <w:rPr>
          <w:spacing w:val="40"/>
          <w:sz w:val="22"/>
        </w:rPr>
        <w:t> </w:t>
      </w:r>
      <w:r>
        <w:rPr>
          <w:sz w:val="22"/>
        </w:rPr>
        <w:t>CDC</w:t>
      </w:r>
      <w:r>
        <w:rPr>
          <w:spacing w:val="40"/>
          <w:sz w:val="22"/>
        </w:rPr>
        <w:t> </w:t>
      </w:r>
      <w:r>
        <w:rPr>
          <w:sz w:val="22"/>
        </w:rPr>
        <w:t>museum:</w:t>
      </w:r>
      <w:r>
        <w:rPr>
          <w:spacing w:val="40"/>
          <w:sz w:val="22"/>
        </w:rPr>
        <w:t> </w:t>
      </w:r>
      <w:r>
        <w:rPr>
          <w:sz w:val="22"/>
        </w:rPr>
        <w:t>in</w:t>
      </w:r>
      <w:r>
        <w:rPr>
          <w:spacing w:val="40"/>
          <w:sz w:val="22"/>
        </w:rPr>
        <w:t> </w:t>
      </w:r>
      <w:r>
        <w:rPr>
          <w:sz w:val="22"/>
        </w:rPr>
        <w:t>association with the Smithsonian Institution: CDC museum COVID-19 timeline. Last updated March </w:t>
      </w:r>
      <w:r>
        <w:rPr>
          <w:sz w:val="22"/>
        </w:rPr>
        <w:t>15, 2023. </w:t>
      </w:r>
      <w:hyperlink r:id="rId25">
        <w:r>
          <w:rPr>
            <w:sz w:val="22"/>
          </w:rPr>
          <w:t>https://www.cdc.gov/museum/timeline/covid19.html</w:t>
        </w:r>
      </w:hyperlink>
    </w:p>
    <w:p>
      <w:pPr>
        <w:pStyle w:val="ListParagraph"/>
        <w:numPr>
          <w:ilvl w:val="0"/>
          <w:numId w:val="9"/>
        </w:numPr>
        <w:tabs>
          <w:tab w:pos="699" w:val="left" w:leader="none"/>
        </w:tabs>
        <w:spacing w:line="251" w:lineRule="exact" w:before="0" w:after="0"/>
        <w:ind w:left="699" w:right="0" w:hanging="386"/>
        <w:jc w:val="both"/>
        <w:rPr>
          <w:sz w:val="22"/>
        </w:rPr>
      </w:pPr>
      <w:r>
        <w:rPr>
          <w:sz w:val="22"/>
        </w:rPr>
        <w:t>Fries</w:t>
      </w:r>
      <w:r>
        <w:rPr>
          <w:spacing w:val="6"/>
          <w:sz w:val="22"/>
        </w:rPr>
        <w:t> </w:t>
      </w:r>
      <w:r>
        <w:rPr>
          <w:sz w:val="22"/>
        </w:rPr>
        <w:t>JF.</w:t>
      </w:r>
      <w:r>
        <w:rPr>
          <w:spacing w:val="7"/>
          <w:sz w:val="22"/>
        </w:rPr>
        <w:t> </w:t>
      </w:r>
      <w:r>
        <w:rPr>
          <w:sz w:val="22"/>
        </w:rPr>
        <w:t>The</w:t>
      </w:r>
      <w:r>
        <w:rPr>
          <w:spacing w:val="6"/>
          <w:sz w:val="22"/>
        </w:rPr>
        <w:t> </w:t>
      </w:r>
      <w:r>
        <w:rPr>
          <w:sz w:val="22"/>
        </w:rPr>
        <w:t>sunny</w:t>
      </w:r>
      <w:r>
        <w:rPr>
          <w:spacing w:val="7"/>
          <w:sz w:val="22"/>
        </w:rPr>
        <w:t> </w:t>
      </w:r>
      <w:r>
        <w:rPr>
          <w:sz w:val="22"/>
        </w:rPr>
        <w:t>side</w:t>
      </w:r>
      <w:r>
        <w:rPr>
          <w:spacing w:val="7"/>
          <w:sz w:val="22"/>
        </w:rPr>
        <w:t> </w:t>
      </w:r>
      <w:r>
        <w:rPr>
          <w:sz w:val="22"/>
        </w:rPr>
        <w:t>of</w:t>
      </w:r>
      <w:r>
        <w:rPr>
          <w:spacing w:val="6"/>
          <w:sz w:val="22"/>
        </w:rPr>
        <w:t> </w:t>
      </w:r>
      <w:r>
        <w:rPr>
          <w:sz w:val="22"/>
        </w:rPr>
        <w:t>aging.</w:t>
      </w:r>
      <w:r>
        <w:rPr>
          <w:spacing w:val="7"/>
          <w:sz w:val="22"/>
        </w:rPr>
        <w:t> </w:t>
      </w:r>
      <w:r>
        <w:rPr>
          <w:i/>
          <w:sz w:val="22"/>
        </w:rPr>
        <w:t>JAMA</w:t>
      </w:r>
      <w:r>
        <w:rPr>
          <w:sz w:val="22"/>
        </w:rPr>
        <w:t>.</w:t>
      </w:r>
      <w:r>
        <w:rPr>
          <w:spacing w:val="7"/>
          <w:sz w:val="22"/>
        </w:rPr>
        <w:t> </w:t>
      </w:r>
      <w:r>
        <w:rPr>
          <w:spacing w:val="-2"/>
          <w:sz w:val="22"/>
        </w:rPr>
        <w:t>1990;263:2354.</w:t>
      </w:r>
    </w:p>
    <w:p>
      <w:pPr>
        <w:pStyle w:val="ListParagraph"/>
        <w:numPr>
          <w:ilvl w:val="0"/>
          <w:numId w:val="9"/>
        </w:numPr>
        <w:tabs>
          <w:tab w:pos="699" w:val="left" w:leader="none"/>
        </w:tabs>
        <w:spacing w:line="240" w:lineRule="auto" w:before="17" w:after="0"/>
        <w:ind w:left="699" w:right="0" w:hanging="386"/>
        <w:jc w:val="both"/>
        <w:rPr>
          <w:sz w:val="22"/>
        </w:rPr>
      </w:pPr>
      <w:r>
        <w:rPr>
          <w:sz w:val="22"/>
        </w:rPr>
        <w:t>Fries</w:t>
      </w:r>
      <w:r>
        <w:rPr>
          <w:spacing w:val="6"/>
          <w:sz w:val="22"/>
        </w:rPr>
        <w:t> </w:t>
      </w:r>
      <w:r>
        <w:rPr>
          <w:sz w:val="22"/>
        </w:rPr>
        <w:t>JF.</w:t>
      </w:r>
      <w:r>
        <w:rPr>
          <w:spacing w:val="7"/>
          <w:sz w:val="22"/>
        </w:rPr>
        <w:t> </w:t>
      </w:r>
      <w:r>
        <w:rPr>
          <w:sz w:val="22"/>
        </w:rPr>
        <w:t>Strategies</w:t>
      </w:r>
      <w:r>
        <w:rPr>
          <w:spacing w:val="7"/>
          <w:sz w:val="22"/>
        </w:rPr>
        <w:t> </w:t>
      </w:r>
      <w:r>
        <w:rPr>
          <w:sz w:val="22"/>
        </w:rPr>
        <w:t>for</w:t>
      </w:r>
      <w:r>
        <w:rPr>
          <w:spacing w:val="7"/>
          <w:sz w:val="22"/>
        </w:rPr>
        <w:t> </w:t>
      </w:r>
      <w:r>
        <w:rPr>
          <w:sz w:val="22"/>
        </w:rPr>
        <w:t>reduction</w:t>
      </w:r>
      <w:r>
        <w:rPr>
          <w:spacing w:val="7"/>
          <w:sz w:val="22"/>
        </w:rPr>
        <w:t> </w:t>
      </w:r>
      <w:r>
        <w:rPr>
          <w:sz w:val="22"/>
        </w:rPr>
        <w:t>of</w:t>
      </w:r>
      <w:r>
        <w:rPr>
          <w:spacing w:val="7"/>
          <w:sz w:val="22"/>
        </w:rPr>
        <w:t> </w:t>
      </w:r>
      <w:r>
        <w:rPr>
          <w:sz w:val="22"/>
        </w:rPr>
        <w:t>morbidity.</w:t>
      </w:r>
      <w:r>
        <w:rPr>
          <w:spacing w:val="7"/>
          <w:sz w:val="22"/>
        </w:rPr>
        <w:t> </w:t>
      </w:r>
      <w:r>
        <w:rPr>
          <w:i/>
          <w:sz w:val="22"/>
        </w:rPr>
        <w:t>Am</w:t>
      </w:r>
      <w:r>
        <w:rPr>
          <w:i/>
          <w:spacing w:val="7"/>
          <w:sz w:val="22"/>
        </w:rPr>
        <w:t> </w:t>
      </w:r>
      <w:r>
        <w:rPr>
          <w:i/>
          <w:sz w:val="22"/>
        </w:rPr>
        <w:t>J</w:t>
      </w:r>
      <w:r>
        <w:rPr>
          <w:i/>
          <w:spacing w:val="7"/>
          <w:sz w:val="22"/>
        </w:rPr>
        <w:t> </w:t>
      </w:r>
      <w:r>
        <w:rPr>
          <w:i/>
          <w:sz w:val="22"/>
        </w:rPr>
        <w:t>Clin</w:t>
      </w:r>
      <w:r>
        <w:rPr>
          <w:i/>
          <w:spacing w:val="6"/>
          <w:sz w:val="22"/>
        </w:rPr>
        <w:t> </w:t>
      </w:r>
      <w:r>
        <w:rPr>
          <w:i/>
          <w:sz w:val="22"/>
        </w:rPr>
        <w:t>Nutr</w:t>
      </w:r>
      <w:r>
        <w:rPr>
          <w:sz w:val="22"/>
        </w:rPr>
        <w:t>.</w:t>
      </w:r>
      <w:r>
        <w:rPr>
          <w:spacing w:val="7"/>
          <w:sz w:val="22"/>
        </w:rPr>
        <w:t> </w:t>
      </w:r>
      <w:r>
        <w:rPr>
          <w:spacing w:val="-2"/>
          <w:sz w:val="22"/>
        </w:rPr>
        <w:t>1992;55:1257S.</w:t>
      </w:r>
    </w:p>
    <w:p>
      <w:pPr>
        <w:pStyle w:val="ListParagraph"/>
        <w:numPr>
          <w:ilvl w:val="0"/>
          <w:numId w:val="9"/>
        </w:numPr>
        <w:tabs>
          <w:tab w:pos="699" w:val="left" w:leader="none"/>
          <w:tab w:pos="718" w:val="left" w:leader="none"/>
        </w:tabs>
        <w:spacing w:line="256" w:lineRule="auto" w:before="17" w:after="0"/>
        <w:ind w:left="718" w:right="108" w:hanging="405"/>
        <w:jc w:val="both"/>
        <w:rPr>
          <w:sz w:val="22"/>
        </w:rPr>
      </w:pPr>
      <w:r>
        <w:rPr>
          <w:sz w:val="22"/>
        </w:rPr>
        <w:t>Davis</w:t>
      </w:r>
      <w:r>
        <w:rPr>
          <w:spacing w:val="40"/>
          <w:sz w:val="22"/>
        </w:rPr>
        <w:t> </w:t>
      </w:r>
      <w:r>
        <w:rPr>
          <w:sz w:val="22"/>
        </w:rPr>
        <w:t>DL,</w:t>
      </w:r>
      <w:r>
        <w:rPr>
          <w:spacing w:val="40"/>
          <w:sz w:val="22"/>
        </w:rPr>
        <w:t> </w:t>
      </w:r>
      <w:r>
        <w:rPr>
          <w:sz w:val="22"/>
        </w:rPr>
        <w:t>Dinse</w:t>
      </w:r>
      <w:r>
        <w:rPr>
          <w:spacing w:val="40"/>
          <w:sz w:val="22"/>
        </w:rPr>
        <w:t> </w:t>
      </w:r>
      <w:r>
        <w:rPr>
          <w:sz w:val="22"/>
        </w:rPr>
        <w:t>GE,</w:t>
      </w:r>
      <w:r>
        <w:rPr>
          <w:spacing w:val="40"/>
          <w:sz w:val="22"/>
        </w:rPr>
        <w:t> </w:t>
      </w:r>
      <w:r>
        <w:rPr>
          <w:sz w:val="22"/>
        </w:rPr>
        <w:t>Hoel</w:t>
      </w:r>
      <w:r>
        <w:rPr>
          <w:spacing w:val="40"/>
          <w:sz w:val="22"/>
        </w:rPr>
        <w:t> </w:t>
      </w:r>
      <w:r>
        <w:rPr>
          <w:sz w:val="22"/>
        </w:rPr>
        <w:t>DG.</w:t>
      </w:r>
      <w:r>
        <w:rPr>
          <w:spacing w:val="40"/>
          <w:sz w:val="22"/>
        </w:rPr>
        <w:t> </w:t>
      </w:r>
      <w:r>
        <w:rPr>
          <w:sz w:val="22"/>
        </w:rPr>
        <w:t>Decreasing</w:t>
      </w:r>
      <w:r>
        <w:rPr>
          <w:spacing w:val="40"/>
          <w:sz w:val="22"/>
        </w:rPr>
        <w:t> </w:t>
      </w:r>
      <w:r>
        <w:rPr>
          <w:sz w:val="22"/>
        </w:rPr>
        <w:t>cardiovascular</w:t>
      </w:r>
      <w:r>
        <w:rPr>
          <w:spacing w:val="40"/>
          <w:sz w:val="22"/>
        </w:rPr>
        <w:t> </w:t>
      </w:r>
      <w:r>
        <w:rPr>
          <w:sz w:val="22"/>
        </w:rPr>
        <w:t>disease</w:t>
      </w:r>
      <w:r>
        <w:rPr>
          <w:spacing w:val="40"/>
          <w:sz w:val="22"/>
        </w:rPr>
        <w:t> </w:t>
      </w:r>
      <w:r>
        <w:rPr>
          <w:sz w:val="22"/>
        </w:rPr>
        <w:t>and</w:t>
      </w:r>
      <w:r>
        <w:rPr>
          <w:spacing w:val="40"/>
          <w:sz w:val="22"/>
        </w:rPr>
        <w:t> </w:t>
      </w:r>
      <w:r>
        <w:rPr>
          <w:sz w:val="22"/>
        </w:rPr>
        <w:t>increasing</w:t>
      </w:r>
      <w:r>
        <w:rPr>
          <w:spacing w:val="40"/>
          <w:sz w:val="22"/>
        </w:rPr>
        <w:t> </w:t>
      </w:r>
      <w:r>
        <w:rPr>
          <w:sz w:val="22"/>
        </w:rPr>
        <w:t>cancer among whites in the United States from 1973 through 1987. </w:t>
      </w:r>
      <w:r>
        <w:rPr>
          <w:i/>
          <w:sz w:val="22"/>
        </w:rPr>
        <w:t>JAMA</w:t>
      </w:r>
      <w:r>
        <w:rPr>
          <w:sz w:val="22"/>
        </w:rPr>
        <w:t>. 1994;271:431.</w:t>
      </w:r>
    </w:p>
    <w:p>
      <w:pPr>
        <w:pStyle w:val="ListParagraph"/>
        <w:numPr>
          <w:ilvl w:val="0"/>
          <w:numId w:val="9"/>
        </w:numPr>
        <w:tabs>
          <w:tab w:pos="699" w:val="left" w:leader="none"/>
          <w:tab w:pos="718" w:val="left" w:leader="none"/>
        </w:tabs>
        <w:spacing w:line="256" w:lineRule="auto" w:before="0" w:after="0"/>
        <w:ind w:left="718" w:right="98" w:hanging="405"/>
        <w:jc w:val="both"/>
        <w:rPr>
          <w:sz w:val="22"/>
        </w:rPr>
      </w:pPr>
      <w:r>
        <w:rPr>
          <w:sz w:val="22"/>
        </w:rPr>
        <w:t>Willett WC, Green A, Stampfer MJ, et al. Relative and absolute excess risks of coronary heart disease among women who smoke cigarettes. </w:t>
      </w:r>
      <w:r>
        <w:rPr>
          <w:i/>
          <w:sz w:val="22"/>
        </w:rPr>
        <w:t>N Engl J Med</w:t>
      </w:r>
      <w:r>
        <w:rPr>
          <w:sz w:val="22"/>
        </w:rPr>
        <w:t>. 1987;317:1303.</w:t>
      </w:r>
    </w:p>
    <w:p>
      <w:pPr>
        <w:pStyle w:val="ListParagraph"/>
        <w:numPr>
          <w:ilvl w:val="0"/>
          <w:numId w:val="9"/>
        </w:numPr>
        <w:tabs>
          <w:tab w:pos="699" w:val="left" w:leader="none"/>
          <w:tab w:pos="718" w:val="left" w:leader="none"/>
        </w:tabs>
        <w:spacing w:line="256" w:lineRule="auto" w:before="0" w:after="0"/>
        <w:ind w:left="718" w:right="111" w:hanging="405"/>
        <w:jc w:val="both"/>
        <w:rPr>
          <w:sz w:val="22"/>
        </w:rPr>
      </w:pPr>
      <w:r>
        <w:rPr>
          <w:sz w:val="22"/>
        </w:rPr>
        <w:t>Jha P, Ramasundarahettige C, Landsman V, et al. 21st century hazards of smoking and </w:t>
      </w:r>
      <w:r>
        <w:rPr>
          <w:sz w:val="22"/>
        </w:rPr>
        <w:t>benefits of cessation in the United States. </w:t>
      </w:r>
      <w:r>
        <w:rPr>
          <w:i/>
          <w:sz w:val="22"/>
        </w:rPr>
        <w:t>N Engl J Med</w:t>
      </w:r>
      <w:r>
        <w:rPr>
          <w:sz w:val="22"/>
        </w:rPr>
        <w:t>. 2013;368(4):341.</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Kenfield</w:t>
      </w:r>
      <w:r>
        <w:rPr>
          <w:spacing w:val="40"/>
          <w:sz w:val="22"/>
        </w:rPr>
        <w:t> </w:t>
      </w:r>
      <w:r>
        <w:rPr>
          <w:sz w:val="22"/>
        </w:rPr>
        <w:t>SA,</w:t>
      </w:r>
      <w:r>
        <w:rPr>
          <w:spacing w:val="40"/>
          <w:sz w:val="22"/>
        </w:rPr>
        <w:t> </w:t>
      </w:r>
      <w:r>
        <w:rPr>
          <w:sz w:val="22"/>
        </w:rPr>
        <w:t>Stampfer</w:t>
      </w:r>
      <w:r>
        <w:rPr>
          <w:spacing w:val="40"/>
          <w:sz w:val="22"/>
        </w:rPr>
        <w:t> </w:t>
      </w:r>
      <w:r>
        <w:rPr>
          <w:sz w:val="22"/>
        </w:rPr>
        <w:t>MJ,</w:t>
      </w:r>
      <w:r>
        <w:rPr>
          <w:spacing w:val="40"/>
          <w:sz w:val="22"/>
        </w:rPr>
        <w:t> </w:t>
      </w:r>
      <w:r>
        <w:rPr>
          <w:sz w:val="22"/>
        </w:rPr>
        <w:t>Rosner</w:t>
      </w:r>
      <w:r>
        <w:rPr>
          <w:spacing w:val="40"/>
          <w:sz w:val="22"/>
        </w:rPr>
        <w:t> </w:t>
      </w:r>
      <w:r>
        <w:rPr>
          <w:sz w:val="22"/>
        </w:rPr>
        <w:t>BA,</w:t>
      </w:r>
      <w:r>
        <w:rPr>
          <w:spacing w:val="40"/>
          <w:sz w:val="22"/>
        </w:rPr>
        <w:t> </w:t>
      </w:r>
      <w:r>
        <w:rPr>
          <w:sz w:val="22"/>
        </w:rPr>
        <w:t>Colditz</w:t>
      </w:r>
      <w:r>
        <w:rPr>
          <w:spacing w:val="40"/>
          <w:sz w:val="22"/>
        </w:rPr>
        <w:t> </w:t>
      </w:r>
      <w:r>
        <w:rPr>
          <w:sz w:val="22"/>
        </w:rPr>
        <w:t>GA.</w:t>
      </w:r>
      <w:r>
        <w:rPr>
          <w:spacing w:val="40"/>
          <w:sz w:val="22"/>
        </w:rPr>
        <w:t> </w:t>
      </w:r>
      <w:r>
        <w:rPr>
          <w:sz w:val="22"/>
        </w:rPr>
        <w:t>Smoking</w:t>
      </w:r>
      <w:r>
        <w:rPr>
          <w:spacing w:val="40"/>
          <w:sz w:val="22"/>
        </w:rPr>
        <w:t> </w:t>
      </w:r>
      <w:r>
        <w:rPr>
          <w:sz w:val="22"/>
        </w:rPr>
        <w:t>and</w:t>
      </w:r>
      <w:r>
        <w:rPr>
          <w:spacing w:val="40"/>
          <w:sz w:val="22"/>
        </w:rPr>
        <w:t> </w:t>
      </w:r>
      <w:r>
        <w:rPr>
          <w:sz w:val="22"/>
        </w:rPr>
        <w:t>smoking</w:t>
      </w:r>
      <w:r>
        <w:rPr>
          <w:spacing w:val="40"/>
          <w:sz w:val="22"/>
        </w:rPr>
        <w:t> </w:t>
      </w:r>
      <w:r>
        <w:rPr>
          <w:sz w:val="22"/>
        </w:rPr>
        <w:t>cessation</w:t>
      </w:r>
      <w:r>
        <w:rPr>
          <w:spacing w:val="40"/>
          <w:sz w:val="22"/>
        </w:rPr>
        <w:t> </w:t>
      </w:r>
      <w:r>
        <w:rPr>
          <w:sz w:val="22"/>
        </w:rPr>
        <w:t>in relation to mortality in women. </w:t>
      </w:r>
      <w:r>
        <w:rPr>
          <w:i/>
          <w:sz w:val="22"/>
        </w:rPr>
        <w:t>JAMA</w:t>
      </w:r>
      <w:r>
        <w:rPr>
          <w:sz w:val="22"/>
        </w:rPr>
        <w:t>. 2008;299:2037.</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Hermanson</w:t>
      </w:r>
      <w:r>
        <w:rPr>
          <w:spacing w:val="40"/>
          <w:sz w:val="22"/>
        </w:rPr>
        <w:t> </w:t>
      </w:r>
      <w:r>
        <w:rPr>
          <w:sz w:val="22"/>
        </w:rPr>
        <w:t>B,</w:t>
      </w:r>
      <w:r>
        <w:rPr>
          <w:spacing w:val="40"/>
          <w:sz w:val="22"/>
        </w:rPr>
        <w:t> </w:t>
      </w:r>
      <w:r>
        <w:rPr>
          <w:sz w:val="22"/>
        </w:rPr>
        <w:t>Omenn</w:t>
      </w:r>
      <w:r>
        <w:rPr>
          <w:spacing w:val="40"/>
          <w:sz w:val="22"/>
        </w:rPr>
        <w:t> </w:t>
      </w:r>
      <w:r>
        <w:rPr>
          <w:sz w:val="22"/>
        </w:rPr>
        <w:t>GS,</w:t>
      </w:r>
      <w:r>
        <w:rPr>
          <w:spacing w:val="40"/>
          <w:sz w:val="22"/>
        </w:rPr>
        <w:t> </w:t>
      </w:r>
      <w:r>
        <w:rPr>
          <w:sz w:val="22"/>
        </w:rPr>
        <w:t>Kronmal</w:t>
      </w:r>
      <w:r>
        <w:rPr>
          <w:spacing w:val="40"/>
          <w:sz w:val="22"/>
        </w:rPr>
        <w:t> </w:t>
      </w:r>
      <w:r>
        <w:rPr>
          <w:sz w:val="22"/>
        </w:rPr>
        <w:t>RA,</w:t>
      </w:r>
      <w:r>
        <w:rPr>
          <w:spacing w:val="40"/>
          <w:sz w:val="22"/>
        </w:rPr>
        <w:t> </w:t>
      </w:r>
      <w:r>
        <w:rPr>
          <w:sz w:val="22"/>
        </w:rPr>
        <w:t>Gersh</w:t>
      </w:r>
      <w:r>
        <w:rPr>
          <w:spacing w:val="40"/>
          <w:sz w:val="22"/>
        </w:rPr>
        <w:t> </w:t>
      </w:r>
      <w:r>
        <w:rPr>
          <w:sz w:val="22"/>
        </w:rPr>
        <w:t>BJ;</w:t>
      </w:r>
      <w:r>
        <w:rPr>
          <w:spacing w:val="40"/>
          <w:sz w:val="22"/>
        </w:rPr>
        <w:t> </w:t>
      </w:r>
      <w:r>
        <w:rPr>
          <w:sz w:val="22"/>
        </w:rPr>
        <w:t>Coronary</w:t>
      </w:r>
      <w:r>
        <w:rPr>
          <w:spacing w:val="40"/>
          <w:sz w:val="22"/>
        </w:rPr>
        <w:t> </w:t>
      </w:r>
      <w:r>
        <w:rPr>
          <w:sz w:val="22"/>
        </w:rPr>
        <w:t>Artery</w:t>
      </w:r>
      <w:r>
        <w:rPr>
          <w:spacing w:val="40"/>
          <w:sz w:val="22"/>
        </w:rPr>
        <w:t> </w:t>
      </w:r>
      <w:r>
        <w:rPr>
          <w:sz w:val="22"/>
        </w:rPr>
        <w:t>Surgery</w:t>
      </w:r>
      <w:r>
        <w:rPr>
          <w:spacing w:val="40"/>
          <w:sz w:val="22"/>
        </w:rPr>
        <w:t> </w:t>
      </w:r>
      <w:r>
        <w:rPr>
          <w:sz w:val="22"/>
        </w:rPr>
        <w:t>Study. Beneficial six-year outcome of smoking cessation in older men and women with </w:t>
      </w:r>
      <w:r>
        <w:rPr>
          <w:sz w:val="22"/>
        </w:rPr>
        <w:t>coronary</w:t>
      </w:r>
      <w:r>
        <w:rPr>
          <w:spacing w:val="80"/>
          <w:w w:val="150"/>
          <w:sz w:val="22"/>
        </w:rPr>
        <w:t> </w:t>
      </w:r>
      <w:r>
        <w:rPr>
          <w:sz w:val="22"/>
        </w:rPr>
        <w:t>artery disease. </w:t>
      </w:r>
      <w:r>
        <w:rPr>
          <w:i/>
          <w:sz w:val="22"/>
        </w:rPr>
        <w:t>N Engl J Med</w:t>
      </w:r>
      <w:r>
        <w:rPr>
          <w:sz w:val="22"/>
        </w:rPr>
        <w:t>. 1988;319:1365.</w:t>
      </w:r>
    </w:p>
    <w:p>
      <w:pPr>
        <w:pStyle w:val="ListParagraph"/>
        <w:numPr>
          <w:ilvl w:val="0"/>
          <w:numId w:val="9"/>
        </w:numPr>
        <w:tabs>
          <w:tab w:pos="699" w:val="left" w:leader="none"/>
          <w:tab w:pos="718" w:val="left" w:leader="none"/>
        </w:tabs>
        <w:spacing w:line="256" w:lineRule="auto" w:before="0" w:after="0"/>
        <w:ind w:left="718" w:right="107" w:hanging="405"/>
        <w:jc w:val="both"/>
        <w:rPr>
          <w:sz w:val="22"/>
        </w:rPr>
      </w:pPr>
      <w:r>
        <w:rPr>
          <w:sz w:val="22"/>
        </w:rPr>
        <w:t>Ebbert JO, Yang P, Vachon CM, et al. Lung cancer risk reduction after smoking </w:t>
      </w:r>
      <w:r>
        <w:rPr>
          <w:sz w:val="22"/>
        </w:rPr>
        <w:t>cessation: observations from a prospective cohort of women. </w:t>
      </w:r>
      <w:r>
        <w:rPr>
          <w:i/>
          <w:sz w:val="22"/>
        </w:rPr>
        <w:t>J Clin Oncol</w:t>
      </w:r>
      <w:r>
        <w:rPr>
          <w:sz w:val="22"/>
        </w:rPr>
        <w:t>. 2003;21:921.</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699" w:val="left" w:leader="none"/>
          <w:tab w:pos="718" w:val="left" w:leader="none"/>
        </w:tabs>
        <w:spacing w:line="256" w:lineRule="auto" w:before="84" w:after="0"/>
        <w:ind w:left="718" w:right="103" w:hanging="405"/>
        <w:jc w:val="both"/>
        <w:rPr>
          <w:sz w:val="22"/>
        </w:rPr>
      </w:pPr>
      <w:r>
        <w:rPr>
          <w:sz w:val="22"/>
        </w:rPr>
        <w:t>Soules MR, Sherman S, Parrott E, et al. Executive summary: Stages of Reproductive Aging Workshop (STRAW). </w:t>
      </w:r>
      <w:r>
        <w:rPr>
          <w:i/>
          <w:sz w:val="22"/>
        </w:rPr>
        <w:t>Climacteric</w:t>
      </w:r>
      <w:r>
        <w:rPr>
          <w:sz w:val="22"/>
        </w:rPr>
        <w:t>. 2001;4(4):267.</w:t>
      </w:r>
    </w:p>
    <w:p>
      <w:pPr>
        <w:pStyle w:val="ListParagraph"/>
        <w:numPr>
          <w:ilvl w:val="0"/>
          <w:numId w:val="9"/>
        </w:numPr>
        <w:tabs>
          <w:tab w:pos="699" w:val="left" w:leader="none"/>
          <w:tab w:pos="718" w:val="left" w:leader="none"/>
        </w:tabs>
        <w:spacing w:line="256" w:lineRule="auto" w:before="0" w:after="0"/>
        <w:ind w:left="718" w:right="99" w:hanging="405"/>
        <w:jc w:val="both"/>
        <w:rPr>
          <w:sz w:val="22"/>
        </w:rPr>
      </w:pPr>
      <w:r>
        <w:rPr>
          <w:sz w:val="22"/>
        </w:rPr>
        <w:t>Harlow SD, Gass M, Hall JE, et al; STRAW + 10 Collaborative Group. Executive summary of the</w:t>
      </w:r>
      <w:r>
        <w:rPr>
          <w:spacing w:val="40"/>
          <w:sz w:val="22"/>
        </w:rPr>
        <w:t> </w:t>
      </w:r>
      <w:r>
        <w:rPr>
          <w:sz w:val="22"/>
        </w:rPr>
        <w:t>Stages</w:t>
      </w:r>
      <w:r>
        <w:rPr>
          <w:spacing w:val="40"/>
          <w:sz w:val="22"/>
        </w:rPr>
        <w:t> </w:t>
      </w:r>
      <w:r>
        <w:rPr>
          <w:sz w:val="22"/>
        </w:rPr>
        <w:t>of</w:t>
      </w:r>
      <w:r>
        <w:rPr>
          <w:spacing w:val="40"/>
          <w:sz w:val="22"/>
        </w:rPr>
        <w:t> </w:t>
      </w:r>
      <w:r>
        <w:rPr>
          <w:sz w:val="22"/>
        </w:rPr>
        <w:t>Reproductive</w:t>
      </w:r>
      <w:r>
        <w:rPr>
          <w:spacing w:val="40"/>
          <w:sz w:val="22"/>
        </w:rPr>
        <w:t> </w:t>
      </w:r>
      <w:r>
        <w:rPr>
          <w:sz w:val="22"/>
        </w:rPr>
        <w:t>Aging</w:t>
      </w:r>
      <w:r>
        <w:rPr>
          <w:spacing w:val="40"/>
          <w:sz w:val="22"/>
        </w:rPr>
        <w:t> </w:t>
      </w:r>
      <w:r>
        <w:rPr>
          <w:sz w:val="22"/>
        </w:rPr>
        <w:t>Workshop</w:t>
      </w:r>
      <w:r>
        <w:rPr>
          <w:spacing w:val="40"/>
          <w:sz w:val="22"/>
        </w:rPr>
        <w:t> </w:t>
      </w:r>
      <w:r>
        <w:rPr>
          <w:sz w:val="22"/>
        </w:rPr>
        <w:t>+</w:t>
      </w:r>
      <w:r>
        <w:rPr>
          <w:spacing w:val="40"/>
          <w:sz w:val="22"/>
        </w:rPr>
        <w:t> </w:t>
      </w:r>
      <w:r>
        <w:rPr>
          <w:sz w:val="22"/>
        </w:rPr>
        <w:t>10:</w:t>
      </w:r>
      <w:r>
        <w:rPr>
          <w:spacing w:val="40"/>
          <w:sz w:val="22"/>
        </w:rPr>
        <w:t> </w:t>
      </w:r>
      <w:r>
        <w:rPr>
          <w:sz w:val="22"/>
        </w:rPr>
        <w:t>addressing</w:t>
      </w:r>
      <w:r>
        <w:rPr>
          <w:spacing w:val="40"/>
          <w:sz w:val="22"/>
        </w:rPr>
        <w:t> </w:t>
      </w:r>
      <w:r>
        <w:rPr>
          <w:sz w:val="22"/>
        </w:rPr>
        <w:t>the</w:t>
      </w:r>
      <w:r>
        <w:rPr>
          <w:spacing w:val="40"/>
          <w:sz w:val="22"/>
        </w:rPr>
        <w:t> </w:t>
      </w:r>
      <w:r>
        <w:rPr>
          <w:sz w:val="22"/>
        </w:rPr>
        <w:t>unfinished</w:t>
      </w:r>
      <w:r>
        <w:rPr>
          <w:spacing w:val="40"/>
          <w:sz w:val="22"/>
        </w:rPr>
        <w:t> </w:t>
      </w:r>
      <w:r>
        <w:rPr>
          <w:sz w:val="22"/>
        </w:rPr>
        <w:t>agenda</w:t>
      </w:r>
      <w:r>
        <w:rPr>
          <w:spacing w:val="40"/>
          <w:sz w:val="22"/>
        </w:rPr>
        <w:t> </w:t>
      </w:r>
      <w:r>
        <w:rPr>
          <w:sz w:val="22"/>
        </w:rPr>
        <w:t>of staging reproductive aging. </w:t>
      </w:r>
      <w:r>
        <w:rPr>
          <w:i/>
          <w:sz w:val="22"/>
        </w:rPr>
        <w:t>Climacteric</w:t>
      </w:r>
      <w:r>
        <w:rPr>
          <w:sz w:val="22"/>
        </w:rPr>
        <w:t>. 2012;15(2):105.</w:t>
      </w:r>
    </w:p>
    <w:p>
      <w:pPr>
        <w:pStyle w:val="ListParagraph"/>
        <w:numPr>
          <w:ilvl w:val="0"/>
          <w:numId w:val="9"/>
        </w:numPr>
        <w:tabs>
          <w:tab w:pos="699" w:val="left" w:leader="none"/>
          <w:tab w:pos="718" w:val="left" w:leader="none"/>
        </w:tabs>
        <w:spacing w:line="256" w:lineRule="auto" w:before="0" w:after="0"/>
        <w:ind w:left="718" w:right="101" w:hanging="405"/>
        <w:jc w:val="both"/>
        <w:rPr>
          <w:sz w:val="22"/>
        </w:rPr>
      </w:pPr>
      <w:r>
        <w:rPr>
          <w:sz w:val="22"/>
        </w:rPr>
        <w:t>Gracia CR, Sammel MD, Freeman EW, et al. Defining menopause status: creation of a new definition to identify the early changes of the menopausal transition. </w:t>
      </w:r>
      <w:r>
        <w:rPr>
          <w:i/>
          <w:sz w:val="22"/>
        </w:rPr>
        <w:t>Menopause</w:t>
      </w:r>
      <w:r>
        <w:rPr>
          <w:sz w:val="22"/>
        </w:rPr>
        <w:t>. </w:t>
      </w:r>
      <w:r>
        <w:rPr>
          <w:spacing w:val="-2"/>
          <w:sz w:val="22"/>
        </w:rPr>
        <w:t>2005;12(2):128-135.</w:t>
      </w:r>
    </w:p>
    <w:p>
      <w:pPr>
        <w:pStyle w:val="ListParagraph"/>
        <w:numPr>
          <w:ilvl w:val="0"/>
          <w:numId w:val="9"/>
        </w:numPr>
        <w:tabs>
          <w:tab w:pos="699" w:val="left" w:leader="none"/>
          <w:tab w:pos="718" w:val="left" w:leader="none"/>
        </w:tabs>
        <w:spacing w:line="256" w:lineRule="auto" w:before="0" w:after="0"/>
        <w:ind w:left="718" w:right="99" w:hanging="405"/>
        <w:jc w:val="both"/>
        <w:rPr>
          <w:sz w:val="22"/>
        </w:rPr>
      </w:pPr>
      <w:r>
        <w:rPr>
          <w:sz w:val="22"/>
        </w:rPr>
        <w:t>Harlow SD, Gass M, Hall JE, et al; STRAW + 10 Collaborative Group. Executive summary of the</w:t>
      </w:r>
      <w:r>
        <w:rPr>
          <w:spacing w:val="40"/>
          <w:sz w:val="22"/>
        </w:rPr>
        <w:t> </w:t>
      </w:r>
      <w:r>
        <w:rPr>
          <w:sz w:val="22"/>
        </w:rPr>
        <w:t>Stages</w:t>
      </w:r>
      <w:r>
        <w:rPr>
          <w:spacing w:val="40"/>
          <w:sz w:val="22"/>
        </w:rPr>
        <w:t> </w:t>
      </w:r>
      <w:r>
        <w:rPr>
          <w:sz w:val="22"/>
        </w:rPr>
        <w:t>of</w:t>
      </w:r>
      <w:r>
        <w:rPr>
          <w:spacing w:val="40"/>
          <w:sz w:val="22"/>
        </w:rPr>
        <w:t> </w:t>
      </w:r>
      <w:r>
        <w:rPr>
          <w:sz w:val="22"/>
        </w:rPr>
        <w:t>Reproductive</w:t>
      </w:r>
      <w:r>
        <w:rPr>
          <w:spacing w:val="40"/>
          <w:sz w:val="22"/>
        </w:rPr>
        <w:t> </w:t>
      </w:r>
      <w:r>
        <w:rPr>
          <w:sz w:val="22"/>
        </w:rPr>
        <w:t>Aging</w:t>
      </w:r>
      <w:r>
        <w:rPr>
          <w:spacing w:val="40"/>
          <w:sz w:val="22"/>
        </w:rPr>
        <w:t> </w:t>
      </w:r>
      <w:r>
        <w:rPr>
          <w:sz w:val="22"/>
        </w:rPr>
        <w:t>Workshop</w:t>
      </w:r>
      <w:r>
        <w:rPr>
          <w:spacing w:val="40"/>
          <w:sz w:val="22"/>
        </w:rPr>
        <w:t> </w:t>
      </w:r>
      <w:r>
        <w:rPr>
          <w:sz w:val="22"/>
        </w:rPr>
        <w:t>+</w:t>
      </w:r>
      <w:r>
        <w:rPr>
          <w:spacing w:val="40"/>
          <w:sz w:val="22"/>
        </w:rPr>
        <w:t> </w:t>
      </w:r>
      <w:r>
        <w:rPr>
          <w:sz w:val="22"/>
        </w:rPr>
        <w:t>10:</w:t>
      </w:r>
      <w:r>
        <w:rPr>
          <w:spacing w:val="40"/>
          <w:sz w:val="22"/>
        </w:rPr>
        <w:t> </w:t>
      </w:r>
      <w:r>
        <w:rPr>
          <w:sz w:val="22"/>
        </w:rPr>
        <w:t>addressing</w:t>
      </w:r>
      <w:r>
        <w:rPr>
          <w:spacing w:val="40"/>
          <w:sz w:val="22"/>
        </w:rPr>
        <w:t> </w:t>
      </w:r>
      <w:r>
        <w:rPr>
          <w:sz w:val="22"/>
        </w:rPr>
        <w:t>the</w:t>
      </w:r>
      <w:r>
        <w:rPr>
          <w:spacing w:val="40"/>
          <w:sz w:val="22"/>
        </w:rPr>
        <w:t> </w:t>
      </w:r>
      <w:r>
        <w:rPr>
          <w:sz w:val="22"/>
        </w:rPr>
        <w:t>unfinished</w:t>
      </w:r>
      <w:r>
        <w:rPr>
          <w:spacing w:val="40"/>
          <w:sz w:val="22"/>
        </w:rPr>
        <w:t> </w:t>
      </w:r>
      <w:r>
        <w:rPr>
          <w:sz w:val="22"/>
        </w:rPr>
        <w:t>agenda</w:t>
      </w:r>
      <w:r>
        <w:rPr>
          <w:spacing w:val="40"/>
          <w:sz w:val="22"/>
        </w:rPr>
        <w:t> </w:t>
      </w:r>
      <w:r>
        <w:rPr>
          <w:sz w:val="22"/>
        </w:rPr>
        <w:t>of staging reproductive aging. </w:t>
      </w:r>
      <w:r>
        <w:rPr>
          <w:i/>
          <w:sz w:val="22"/>
        </w:rPr>
        <w:t>Fertil Steril</w:t>
      </w:r>
      <w:r>
        <w:rPr>
          <w:sz w:val="22"/>
        </w:rPr>
        <w:t>. 2012;97(4):843.</w:t>
      </w:r>
    </w:p>
    <w:p>
      <w:pPr>
        <w:pStyle w:val="ListParagraph"/>
        <w:numPr>
          <w:ilvl w:val="0"/>
          <w:numId w:val="9"/>
        </w:numPr>
        <w:tabs>
          <w:tab w:pos="699" w:val="left" w:leader="none"/>
          <w:tab w:pos="718" w:val="left" w:leader="none"/>
        </w:tabs>
        <w:spacing w:line="256" w:lineRule="auto" w:before="0" w:after="0"/>
        <w:ind w:left="718" w:right="101" w:hanging="405"/>
        <w:jc w:val="both"/>
        <w:rPr>
          <w:sz w:val="22"/>
        </w:rPr>
      </w:pPr>
      <w:r>
        <w:rPr>
          <w:sz w:val="22"/>
        </w:rPr>
        <w:t>Buckler HM, Evans A, Mamlora H, Burger HG, Anderson DC. Gonadotropin, steroid and inhibin levels in women with incipient ovarian failure during anovulatory and ovulatory 'rebound’ cycles. </w:t>
      </w:r>
      <w:r>
        <w:rPr>
          <w:i/>
          <w:sz w:val="22"/>
        </w:rPr>
        <w:t>J Clin Endocrinol Metab</w:t>
      </w:r>
      <w:r>
        <w:rPr>
          <w:sz w:val="22"/>
        </w:rPr>
        <w:t>. 1991;72:116.</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MacNaughton J, Bangah M, McCloud P, Hee J, Burger HG. Age-related changes in follicle stimulating</w:t>
      </w:r>
      <w:r>
        <w:rPr>
          <w:spacing w:val="38"/>
          <w:sz w:val="22"/>
        </w:rPr>
        <w:t> </w:t>
      </w:r>
      <w:r>
        <w:rPr>
          <w:sz w:val="22"/>
        </w:rPr>
        <w:t>hormone,</w:t>
      </w:r>
      <w:r>
        <w:rPr>
          <w:spacing w:val="38"/>
          <w:sz w:val="22"/>
        </w:rPr>
        <w:t> </w:t>
      </w:r>
      <w:r>
        <w:rPr>
          <w:sz w:val="22"/>
        </w:rPr>
        <w:t>luteinizing</w:t>
      </w:r>
      <w:r>
        <w:rPr>
          <w:spacing w:val="38"/>
          <w:sz w:val="22"/>
        </w:rPr>
        <w:t> </w:t>
      </w:r>
      <w:r>
        <w:rPr>
          <w:sz w:val="22"/>
        </w:rPr>
        <w:t>hormone,</w:t>
      </w:r>
      <w:r>
        <w:rPr>
          <w:spacing w:val="38"/>
          <w:sz w:val="22"/>
        </w:rPr>
        <w:t> </w:t>
      </w:r>
      <w:r>
        <w:rPr>
          <w:sz w:val="22"/>
        </w:rPr>
        <w:t>oestradiol</w:t>
      </w:r>
      <w:r>
        <w:rPr>
          <w:spacing w:val="38"/>
          <w:sz w:val="22"/>
        </w:rPr>
        <w:t> </w:t>
      </w:r>
      <w:r>
        <w:rPr>
          <w:sz w:val="22"/>
        </w:rPr>
        <w:t>and</w:t>
      </w:r>
      <w:r>
        <w:rPr>
          <w:spacing w:val="38"/>
          <w:sz w:val="22"/>
        </w:rPr>
        <w:t> </w:t>
      </w:r>
      <w:r>
        <w:rPr>
          <w:sz w:val="22"/>
        </w:rPr>
        <w:t>immunoreactive</w:t>
      </w:r>
      <w:r>
        <w:rPr>
          <w:spacing w:val="38"/>
          <w:sz w:val="22"/>
        </w:rPr>
        <w:t> </w:t>
      </w:r>
      <w:r>
        <w:rPr>
          <w:sz w:val="22"/>
        </w:rPr>
        <w:t>inhibin</w:t>
      </w:r>
      <w:r>
        <w:rPr>
          <w:spacing w:val="38"/>
          <w:sz w:val="22"/>
        </w:rPr>
        <w:t> </w:t>
      </w:r>
      <w:r>
        <w:rPr>
          <w:sz w:val="22"/>
        </w:rPr>
        <w:t>in</w:t>
      </w:r>
      <w:r>
        <w:rPr>
          <w:spacing w:val="38"/>
          <w:sz w:val="22"/>
        </w:rPr>
        <w:t> </w:t>
      </w:r>
      <w:r>
        <w:rPr>
          <w:sz w:val="22"/>
        </w:rPr>
        <w:t>women of reproductive age. </w:t>
      </w:r>
      <w:r>
        <w:rPr>
          <w:i/>
          <w:sz w:val="22"/>
        </w:rPr>
        <w:t>Clin Endocrinol</w:t>
      </w:r>
      <w:r>
        <w:rPr>
          <w:sz w:val="22"/>
        </w:rPr>
        <w:t>. 1992;36:339.</w:t>
      </w:r>
    </w:p>
    <w:p>
      <w:pPr>
        <w:pStyle w:val="ListParagraph"/>
        <w:numPr>
          <w:ilvl w:val="0"/>
          <w:numId w:val="9"/>
        </w:numPr>
        <w:tabs>
          <w:tab w:pos="699" w:val="left" w:leader="none"/>
          <w:tab w:pos="718" w:val="left" w:leader="none"/>
        </w:tabs>
        <w:spacing w:line="256" w:lineRule="auto" w:before="0" w:after="0"/>
        <w:ind w:left="718" w:right="109" w:hanging="405"/>
        <w:jc w:val="both"/>
        <w:rPr>
          <w:sz w:val="22"/>
        </w:rPr>
      </w:pPr>
      <w:r>
        <w:rPr>
          <w:sz w:val="22"/>
        </w:rPr>
        <w:t>Hee J, MacNaughton J, Bangah M, Burger HG. Perimenopausal patterns of gonadotrophins, immunoreactive inhibin, oestradiol and progesterone. </w:t>
      </w:r>
      <w:r>
        <w:rPr>
          <w:i/>
          <w:sz w:val="22"/>
        </w:rPr>
        <w:t>Maturitas</w:t>
      </w:r>
      <w:r>
        <w:rPr>
          <w:sz w:val="22"/>
        </w:rPr>
        <w:t>. 1993;18:9.</w:t>
      </w:r>
    </w:p>
    <w:p>
      <w:pPr>
        <w:pStyle w:val="ListParagraph"/>
        <w:numPr>
          <w:ilvl w:val="0"/>
          <w:numId w:val="9"/>
        </w:numPr>
        <w:tabs>
          <w:tab w:pos="699" w:val="left" w:leader="none"/>
          <w:tab w:pos="718" w:val="left" w:leader="none"/>
        </w:tabs>
        <w:spacing w:line="256" w:lineRule="auto" w:before="0" w:after="0"/>
        <w:ind w:left="718" w:right="97" w:hanging="405"/>
        <w:jc w:val="both"/>
        <w:rPr>
          <w:sz w:val="22"/>
        </w:rPr>
      </w:pPr>
      <w:r>
        <w:rPr>
          <w:sz w:val="22"/>
        </w:rPr>
        <w:t>Metcalf MG, Livesay JH. Gonadotropin excretion in fertile women: effect of age and the </w:t>
      </w:r>
      <w:r>
        <w:rPr>
          <w:sz w:val="22"/>
        </w:rPr>
        <w:t>onset</w:t>
      </w:r>
      <w:r>
        <w:rPr>
          <w:spacing w:val="40"/>
          <w:sz w:val="22"/>
        </w:rPr>
        <w:t> </w:t>
      </w:r>
      <w:r>
        <w:rPr>
          <w:sz w:val="22"/>
        </w:rPr>
        <w:t>of the menopausal transition. </w:t>
      </w:r>
      <w:r>
        <w:rPr>
          <w:i/>
          <w:sz w:val="22"/>
        </w:rPr>
        <w:t>J Endocrinol</w:t>
      </w:r>
      <w:r>
        <w:rPr>
          <w:sz w:val="22"/>
        </w:rPr>
        <w:t>. 1985;105:357.</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Rannevik G, Jeppsson S, Johnell O, Bjerre B, Yaurell-Borulf Y, Svanberg L. A </w:t>
      </w:r>
      <w:r>
        <w:rPr>
          <w:sz w:val="22"/>
        </w:rPr>
        <w:t>longitudinal study of the perimenopausal transition: altered profiles of steroid and pituitary hormones,</w:t>
      </w:r>
      <w:r>
        <w:rPr>
          <w:spacing w:val="80"/>
          <w:sz w:val="22"/>
        </w:rPr>
        <w:t> </w:t>
      </w:r>
      <w:r>
        <w:rPr>
          <w:sz w:val="22"/>
        </w:rPr>
        <w:t>SHBG and bone mineral density. </w:t>
      </w:r>
      <w:r>
        <w:rPr>
          <w:i/>
          <w:sz w:val="22"/>
        </w:rPr>
        <w:t>Maturitas</w:t>
      </w:r>
      <w:r>
        <w:rPr>
          <w:sz w:val="22"/>
        </w:rPr>
        <w:t>. 1995;21:103.</w:t>
      </w:r>
    </w:p>
    <w:p>
      <w:pPr>
        <w:pStyle w:val="ListParagraph"/>
        <w:numPr>
          <w:ilvl w:val="0"/>
          <w:numId w:val="9"/>
        </w:numPr>
        <w:tabs>
          <w:tab w:pos="699" w:val="left" w:leader="none"/>
          <w:tab w:pos="718" w:val="left" w:leader="none"/>
        </w:tabs>
        <w:spacing w:line="256" w:lineRule="auto" w:before="0" w:after="0"/>
        <w:ind w:left="718" w:right="100" w:hanging="405"/>
        <w:jc w:val="both"/>
        <w:rPr>
          <w:sz w:val="22"/>
        </w:rPr>
      </w:pPr>
      <w:r>
        <w:rPr>
          <w:sz w:val="22"/>
        </w:rPr>
        <w:t>Burger HG, Dudley EC, Hopper JL, et al. Prospectively measured levels of serum </w:t>
      </w:r>
      <w:r>
        <w:rPr>
          <w:sz w:val="22"/>
        </w:rPr>
        <w:t>follicle-stimulating hormone, estradiol, and the dimeric inhibins during the menopausal transition in a population-based cohort of women. </w:t>
      </w:r>
      <w:r>
        <w:rPr>
          <w:i/>
          <w:sz w:val="22"/>
        </w:rPr>
        <w:t>J Clin Endocrinol Metab</w:t>
      </w:r>
      <w:r>
        <w:rPr>
          <w:sz w:val="22"/>
        </w:rPr>
        <w:t>. 1999;84:4025.</w:t>
      </w:r>
    </w:p>
    <w:p>
      <w:pPr>
        <w:pStyle w:val="ListParagraph"/>
        <w:numPr>
          <w:ilvl w:val="0"/>
          <w:numId w:val="9"/>
        </w:numPr>
        <w:tabs>
          <w:tab w:pos="699" w:val="left" w:leader="none"/>
          <w:tab w:pos="718" w:val="left" w:leader="none"/>
        </w:tabs>
        <w:spacing w:line="256" w:lineRule="auto" w:before="0" w:after="0"/>
        <w:ind w:left="718" w:right="104" w:hanging="405"/>
        <w:jc w:val="both"/>
        <w:rPr>
          <w:sz w:val="22"/>
        </w:rPr>
      </w:pPr>
      <w:r>
        <w:rPr>
          <w:sz w:val="22"/>
        </w:rPr>
        <w:t>Burger HG, Hale GE, Dennerstein L, Robertson DM. Cycle and hormone changes </w:t>
      </w:r>
      <w:r>
        <w:rPr>
          <w:sz w:val="22"/>
        </w:rPr>
        <w:t>during perimenopause: the key role of ovarian function. </w:t>
      </w:r>
      <w:r>
        <w:rPr>
          <w:i/>
          <w:sz w:val="22"/>
        </w:rPr>
        <w:t>Menopause</w:t>
      </w:r>
      <w:r>
        <w:rPr>
          <w:sz w:val="22"/>
        </w:rPr>
        <w:t>. 2008;15:603.</w:t>
      </w:r>
    </w:p>
    <w:p>
      <w:pPr>
        <w:pStyle w:val="ListParagraph"/>
        <w:numPr>
          <w:ilvl w:val="0"/>
          <w:numId w:val="9"/>
        </w:numPr>
        <w:tabs>
          <w:tab w:pos="699" w:val="left" w:leader="none"/>
          <w:tab w:pos="718" w:val="left" w:leader="none"/>
        </w:tabs>
        <w:spacing w:line="256" w:lineRule="auto" w:before="0" w:after="0"/>
        <w:ind w:left="718" w:right="99" w:hanging="405"/>
        <w:jc w:val="both"/>
        <w:rPr>
          <w:sz w:val="22"/>
        </w:rPr>
      </w:pPr>
      <w:r>
        <w:rPr>
          <w:sz w:val="22"/>
        </w:rPr>
        <w:t>Harlow SD, Mitchell ES, Crawford S, Nan B, Little R, Taffe J; ReSTAGE Collaboration. The ReSTAGE Collaboration: defining optimal bleeding criteria for onset of early </w:t>
      </w:r>
      <w:r>
        <w:rPr>
          <w:sz w:val="22"/>
        </w:rPr>
        <w:t>menopausal transition. </w:t>
      </w:r>
      <w:r>
        <w:rPr>
          <w:i/>
          <w:sz w:val="22"/>
        </w:rPr>
        <w:t>Fertil Steril</w:t>
      </w:r>
      <w:r>
        <w:rPr>
          <w:sz w:val="22"/>
        </w:rPr>
        <w:t>. 2008;89:129.</w:t>
      </w:r>
    </w:p>
    <w:p>
      <w:pPr>
        <w:pStyle w:val="ListParagraph"/>
        <w:numPr>
          <w:ilvl w:val="0"/>
          <w:numId w:val="9"/>
        </w:numPr>
        <w:tabs>
          <w:tab w:pos="699" w:val="left" w:leader="none"/>
          <w:tab w:pos="718" w:val="left" w:leader="none"/>
        </w:tabs>
        <w:spacing w:line="256" w:lineRule="auto" w:before="0" w:after="0"/>
        <w:ind w:left="718" w:right="103" w:hanging="405"/>
        <w:jc w:val="both"/>
        <w:rPr>
          <w:sz w:val="22"/>
        </w:rPr>
      </w:pPr>
      <w:r>
        <w:rPr>
          <w:sz w:val="22"/>
        </w:rPr>
        <w:t>Vollman RF. The menstrual cycle. In: Friedman E, ed. </w:t>
      </w:r>
      <w:r>
        <w:rPr>
          <w:i/>
          <w:sz w:val="22"/>
        </w:rPr>
        <w:t>Major Problems in Obstetrics </w:t>
      </w:r>
      <w:r>
        <w:rPr>
          <w:i/>
          <w:sz w:val="22"/>
        </w:rPr>
        <w:t>and</w:t>
      </w:r>
      <w:r>
        <w:rPr>
          <w:i/>
          <w:sz w:val="22"/>
        </w:rPr>
        <w:t> Gynecology</w:t>
      </w:r>
      <w:r>
        <w:rPr>
          <w:sz w:val="22"/>
        </w:rPr>
        <w:t>. W.B. Saunders; 1977.</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Treloar AE, Boynton RE, Borghild GB, Brown BW. Variation of the human menstrual </w:t>
      </w:r>
      <w:r>
        <w:rPr>
          <w:sz w:val="22"/>
        </w:rPr>
        <w:t>cycle through reproductive life. </w:t>
      </w:r>
      <w:r>
        <w:rPr>
          <w:i/>
          <w:sz w:val="22"/>
        </w:rPr>
        <w:t>Int J Fertil</w:t>
      </w:r>
      <w:r>
        <w:rPr>
          <w:sz w:val="22"/>
        </w:rPr>
        <w:t>. 1967;12:77.</w:t>
      </w:r>
    </w:p>
    <w:p>
      <w:pPr>
        <w:pStyle w:val="ListParagraph"/>
        <w:numPr>
          <w:ilvl w:val="0"/>
          <w:numId w:val="9"/>
        </w:numPr>
        <w:tabs>
          <w:tab w:pos="699" w:val="left" w:leader="none"/>
          <w:tab w:pos="718" w:val="left" w:leader="none"/>
        </w:tabs>
        <w:spacing w:line="256" w:lineRule="auto" w:before="0" w:after="0"/>
        <w:ind w:left="718" w:right="112" w:hanging="405"/>
        <w:jc w:val="both"/>
        <w:rPr>
          <w:sz w:val="22"/>
        </w:rPr>
      </w:pPr>
      <w:r>
        <w:rPr>
          <w:sz w:val="22"/>
        </w:rPr>
        <w:t>Cole LA, Ladner DG, Byrn FW. The normal variabilities of the menstrual cycle. </w:t>
      </w:r>
      <w:r>
        <w:rPr>
          <w:i/>
          <w:sz w:val="22"/>
        </w:rPr>
        <w:t>Fertil </w:t>
      </w:r>
      <w:r>
        <w:rPr>
          <w:i/>
          <w:sz w:val="22"/>
        </w:rPr>
        <w:t>Steril</w:t>
      </w:r>
      <w:r>
        <w:rPr>
          <w:sz w:val="22"/>
        </w:rPr>
        <w:t>. </w:t>
      </w:r>
      <w:r>
        <w:rPr>
          <w:spacing w:val="-2"/>
          <w:sz w:val="22"/>
        </w:rPr>
        <w:t>2009;91(2):522.</w:t>
      </w:r>
    </w:p>
    <w:p>
      <w:pPr>
        <w:pStyle w:val="ListParagraph"/>
        <w:numPr>
          <w:ilvl w:val="0"/>
          <w:numId w:val="9"/>
        </w:numPr>
        <w:tabs>
          <w:tab w:pos="699" w:val="left" w:leader="none"/>
          <w:tab w:pos="718" w:val="left" w:leader="none"/>
        </w:tabs>
        <w:spacing w:line="256" w:lineRule="auto" w:before="0" w:after="0"/>
        <w:ind w:left="718" w:right="109" w:hanging="405"/>
        <w:jc w:val="both"/>
        <w:rPr>
          <w:sz w:val="22"/>
        </w:rPr>
      </w:pPr>
      <w:r>
        <w:rPr>
          <w:sz w:val="22"/>
        </w:rPr>
        <w:t>Collett ME, Wertenberger GE, Fiske VM. The effect of age upon the pattern of the menstrual cycle. </w:t>
      </w:r>
      <w:r>
        <w:rPr>
          <w:i/>
          <w:sz w:val="22"/>
        </w:rPr>
        <w:t>Fertil Steril</w:t>
      </w:r>
      <w:r>
        <w:rPr>
          <w:sz w:val="22"/>
        </w:rPr>
        <w:t>. 1954;5:437.</w:t>
      </w:r>
    </w:p>
    <w:p>
      <w:pPr>
        <w:pStyle w:val="ListParagraph"/>
        <w:numPr>
          <w:ilvl w:val="0"/>
          <w:numId w:val="9"/>
        </w:numPr>
        <w:tabs>
          <w:tab w:pos="699" w:val="left" w:leader="none"/>
          <w:tab w:pos="718" w:val="left" w:leader="none"/>
        </w:tabs>
        <w:spacing w:line="256" w:lineRule="auto" w:before="0" w:after="0"/>
        <w:ind w:left="718" w:right="100" w:hanging="405"/>
        <w:jc w:val="both"/>
        <w:rPr>
          <w:sz w:val="22"/>
        </w:rPr>
      </w:pPr>
      <w:r>
        <w:rPr>
          <w:sz w:val="22"/>
        </w:rPr>
        <w:t>Chiazze L Jr, Brayer FT, Macisco JJ Jr, Parker MP, Duffy BJ. The length and variability of </w:t>
      </w:r>
      <w:r>
        <w:rPr>
          <w:sz w:val="22"/>
        </w:rPr>
        <w:t>the human menstrual cycle. </w:t>
      </w:r>
      <w:r>
        <w:rPr>
          <w:i/>
          <w:sz w:val="22"/>
        </w:rPr>
        <w:t>JAMA</w:t>
      </w:r>
      <w:r>
        <w:rPr>
          <w:sz w:val="22"/>
        </w:rPr>
        <w:t>. 1968;203:377.</w:t>
      </w:r>
    </w:p>
    <w:p>
      <w:pPr>
        <w:pStyle w:val="ListParagraph"/>
        <w:numPr>
          <w:ilvl w:val="0"/>
          <w:numId w:val="9"/>
        </w:numPr>
        <w:tabs>
          <w:tab w:pos="699" w:val="left" w:leader="none"/>
          <w:tab w:pos="718" w:val="left" w:leader="none"/>
        </w:tabs>
        <w:spacing w:line="256" w:lineRule="auto" w:before="0" w:after="0"/>
        <w:ind w:left="718" w:right="107" w:hanging="405"/>
        <w:jc w:val="both"/>
        <w:rPr>
          <w:sz w:val="22"/>
        </w:rPr>
      </w:pPr>
      <w:r>
        <w:rPr>
          <w:sz w:val="22"/>
        </w:rPr>
        <w:t>Munster K, Schmidt L, Helm P. Length and variation in the menstrual cycle—a cross-</w:t>
      </w:r>
      <w:r>
        <w:rPr>
          <w:sz w:val="22"/>
        </w:rPr>
        <w:t>sectional study from a Danish county. </w:t>
      </w:r>
      <w:r>
        <w:rPr>
          <w:i/>
          <w:sz w:val="22"/>
        </w:rPr>
        <w:t>Br J Obstet Gynaecol</w:t>
      </w:r>
      <w:r>
        <w:rPr>
          <w:sz w:val="22"/>
        </w:rPr>
        <w:t>. 1992;99:422.</w:t>
      </w:r>
    </w:p>
    <w:p>
      <w:pPr>
        <w:pStyle w:val="ListParagraph"/>
        <w:numPr>
          <w:ilvl w:val="0"/>
          <w:numId w:val="9"/>
        </w:numPr>
        <w:tabs>
          <w:tab w:pos="699" w:val="left" w:leader="none"/>
          <w:tab w:pos="718" w:val="left" w:leader="none"/>
        </w:tabs>
        <w:spacing w:line="256" w:lineRule="auto" w:before="0" w:after="0"/>
        <w:ind w:left="718" w:right="105" w:hanging="405"/>
        <w:jc w:val="both"/>
        <w:rPr>
          <w:sz w:val="22"/>
        </w:rPr>
      </w:pPr>
      <w:r>
        <w:rPr>
          <w:sz w:val="22"/>
        </w:rPr>
        <w:t>Belsey EM, Pinol APY; Task Force on Long-Acting Systemic Agents for Fertility Regulation. Menstrual bleeding patterns in untreated women. </w:t>
      </w:r>
      <w:r>
        <w:rPr>
          <w:i/>
          <w:sz w:val="22"/>
        </w:rPr>
        <w:t>Contraception</w:t>
      </w:r>
      <w:r>
        <w:rPr>
          <w:sz w:val="22"/>
        </w:rPr>
        <w:t>. 1997;55:57.</w:t>
      </w:r>
    </w:p>
    <w:p>
      <w:pPr>
        <w:pStyle w:val="ListParagraph"/>
        <w:numPr>
          <w:ilvl w:val="0"/>
          <w:numId w:val="9"/>
        </w:numPr>
        <w:tabs>
          <w:tab w:pos="699" w:val="left" w:leader="none"/>
          <w:tab w:pos="718" w:val="left" w:leader="none"/>
        </w:tabs>
        <w:spacing w:line="256" w:lineRule="auto" w:before="0" w:after="0"/>
        <w:ind w:left="718" w:right="98" w:hanging="405"/>
        <w:jc w:val="both"/>
        <w:rPr>
          <w:sz w:val="22"/>
        </w:rPr>
      </w:pPr>
      <w:r>
        <w:rPr>
          <w:sz w:val="22"/>
        </w:rPr>
        <w:t>Ferrell RJ, Simon JA, Pincus SM, et al. The length of perimenopausal menstrual cycles</w:t>
      </w:r>
      <w:r>
        <w:rPr>
          <w:spacing w:val="80"/>
          <w:sz w:val="22"/>
        </w:rPr>
        <w:t> </w:t>
      </w:r>
      <w:r>
        <w:rPr>
          <w:sz w:val="22"/>
        </w:rPr>
        <w:t>increases later and to a greater degree than previously reported. </w:t>
      </w:r>
      <w:r>
        <w:rPr>
          <w:i/>
          <w:sz w:val="22"/>
        </w:rPr>
        <w:t>Fertil Steril</w:t>
      </w:r>
      <w:r>
        <w:rPr>
          <w:sz w:val="22"/>
        </w:rPr>
        <w:t>. 2006;86:619.</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699" w:val="left" w:leader="none"/>
          <w:tab w:pos="718" w:val="left" w:leader="none"/>
        </w:tabs>
        <w:spacing w:line="256" w:lineRule="auto" w:before="84" w:after="0"/>
        <w:ind w:left="718" w:right="105" w:hanging="405"/>
        <w:jc w:val="both"/>
        <w:rPr>
          <w:sz w:val="22"/>
        </w:rPr>
      </w:pPr>
      <w:r>
        <w:rPr>
          <w:sz w:val="22"/>
        </w:rPr>
        <w:t>Taffe JR, Dennerstein L. Menstrual patterns leading to the final menstrual period. </w:t>
      </w:r>
      <w:r>
        <w:rPr>
          <w:i/>
          <w:sz w:val="22"/>
        </w:rPr>
        <w:t>Menopause</w:t>
      </w:r>
      <w:r>
        <w:rPr>
          <w:sz w:val="22"/>
        </w:rPr>
        <w:t>. </w:t>
      </w:r>
      <w:r>
        <w:rPr>
          <w:spacing w:val="-2"/>
          <w:sz w:val="22"/>
        </w:rPr>
        <w:t>2002;9:32.</w:t>
      </w:r>
    </w:p>
    <w:p>
      <w:pPr>
        <w:pStyle w:val="ListParagraph"/>
        <w:numPr>
          <w:ilvl w:val="0"/>
          <w:numId w:val="9"/>
        </w:numPr>
        <w:tabs>
          <w:tab w:pos="699" w:val="left" w:leader="none"/>
          <w:tab w:pos="718" w:val="left" w:leader="none"/>
        </w:tabs>
        <w:spacing w:line="256" w:lineRule="auto" w:before="0" w:after="0"/>
        <w:ind w:left="718" w:right="111" w:hanging="405"/>
        <w:jc w:val="both"/>
        <w:rPr>
          <w:sz w:val="22"/>
        </w:rPr>
      </w:pPr>
      <w:r>
        <w:rPr>
          <w:sz w:val="22"/>
        </w:rPr>
        <w:t>den Tonkelaar I, te Velde ER, Looman CWN. Menstrual cycle length preceding menopause in relation to age at menopause. </w:t>
      </w:r>
      <w:r>
        <w:rPr>
          <w:i/>
          <w:sz w:val="22"/>
        </w:rPr>
        <w:t>Maturitas</w:t>
      </w:r>
      <w:r>
        <w:rPr>
          <w:sz w:val="22"/>
        </w:rPr>
        <w:t>. 1998;29:115.</w:t>
      </w:r>
    </w:p>
    <w:p>
      <w:pPr>
        <w:pStyle w:val="ListParagraph"/>
        <w:numPr>
          <w:ilvl w:val="0"/>
          <w:numId w:val="9"/>
        </w:numPr>
        <w:tabs>
          <w:tab w:pos="699" w:val="left" w:leader="none"/>
          <w:tab w:pos="718" w:val="left" w:leader="none"/>
        </w:tabs>
        <w:spacing w:line="256" w:lineRule="auto" w:before="0" w:after="0"/>
        <w:ind w:left="718" w:right="103" w:hanging="405"/>
        <w:jc w:val="both"/>
        <w:rPr>
          <w:sz w:val="22"/>
        </w:rPr>
      </w:pPr>
      <w:r>
        <w:rPr>
          <w:sz w:val="22"/>
        </w:rPr>
        <w:t>Sherman BM, West JH, Korenman SG. The menopausal transition: analysis of LH, FSH, estradiol, and progesterone concentrations during menstrual cycles of older women. </w:t>
      </w:r>
      <w:r>
        <w:rPr>
          <w:i/>
          <w:sz w:val="22"/>
        </w:rPr>
        <w:t>J Clin</w:t>
      </w:r>
      <w:r>
        <w:rPr>
          <w:i/>
          <w:sz w:val="22"/>
        </w:rPr>
        <w:t> Endocrinol Metab</w:t>
      </w:r>
      <w:r>
        <w:rPr>
          <w:sz w:val="22"/>
        </w:rPr>
        <w:t>. 1976;42:629.</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El Khoudary SR, Greendale G, Crawford SL, et al. The menopause transition and women’s health at midlife: a progress report from the Study of Women’s Health Across the Nation (SWAN). </w:t>
      </w:r>
      <w:r>
        <w:rPr>
          <w:i/>
          <w:sz w:val="22"/>
        </w:rPr>
        <w:t>Menopause</w:t>
      </w:r>
      <w:r>
        <w:rPr>
          <w:sz w:val="22"/>
        </w:rPr>
        <w:t>. 2019;26(10):1213-1227.</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Lenton EA, Landgren B, Sexton L, Harper R. Normal variation in the length of the </w:t>
      </w:r>
      <w:r>
        <w:rPr>
          <w:sz w:val="22"/>
        </w:rPr>
        <w:t>follicular phase of the menstrual cycle: effect of chronological age. </w:t>
      </w:r>
      <w:r>
        <w:rPr>
          <w:i/>
          <w:sz w:val="22"/>
        </w:rPr>
        <w:t>Br J Obstet Gynaecol</w:t>
      </w:r>
      <w:r>
        <w:rPr>
          <w:sz w:val="22"/>
        </w:rPr>
        <w:t>. 1984;91:681.</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O’Connor KA, Ferrell R, Brindle E, et al. Progesterone and ovulation across stages of the transition to menopause. </w:t>
      </w:r>
      <w:r>
        <w:rPr>
          <w:i/>
          <w:sz w:val="22"/>
        </w:rPr>
        <w:t>Menopause</w:t>
      </w:r>
      <w:r>
        <w:rPr>
          <w:sz w:val="22"/>
        </w:rPr>
        <w:t>. 2009;16:1178.</w:t>
      </w:r>
    </w:p>
    <w:p>
      <w:pPr>
        <w:pStyle w:val="ListParagraph"/>
        <w:numPr>
          <w:ilvl w:val="0"/>
          <w:numId w:val="9"/>
        </w:numPr>
        <w:tabs>
          <w:tab w:pos="699" w:val="left" w:leader="none"/>
        </w:tabs>
        <w:spacing w:line="252" w:lineRule="exact" w:before="0" w:after="0"/>
        <w:ind w:left="699" w:right="0" w:hanging="386"/>
        <w:jc w:val="both"/>
        <w:rPr>
          <w:sz w:val="22"/>
        </w:rPr>
      </w:pPr>
      <w:r>
        <w:rPr>
          <w:sz w:val="22"/>
        </w:rPr>
        <w:t>Treloar</w:t>
      </w:r>
      <w:r>
        <w:rPr>
          <w:spacing w:val="13"/>
          <w:sz w:val="22"/>
        </w:rPr>
        <w:t> </w:t>
      </w:r>
      <w:r>
        <w:rPr>
          <w:sz w:val="22"/>
        </w:rPr>
        <w:t>AE.</w:t>
      </w:r>
      <w:r>
        <w:rPr>
          <w:spacing w:val="14"/>
          <w:sz w:val="22"/>
        </w:rPr>
        <w:t> </w:t>
      </w:r>
      <w:r>
        <w:rPr>
          <w:sz w:val="22"/>
        </w:rPr>
        <w:t>Menstrual</w:t>
      </w:r>
      <w:r>
        <w:rPr>
          <w:spacing w:val="14"/>
          <w:sz w:val="22"/>
        </w:rPr>
        <w:t> </w:t>
      </w:r>
      <w:r>
        <w:rPr>
          <w:sz w:val="22"/>
        </w:rPr>
        <w:t>cyclicity</w:t>
      </w:r>
      <w:r>
        <w:rPr>
          <w:spacing w:val="14"/>
          <w:sz w:val="22"/>
        </w:rPr>
        <w:t> </w:t>
      </w:r>
      <w:r>
        <w:rPr>
          <w:sz w:val="22"/>
        </w:rPr>
        <w:t>and</w:t>
      </w:r>
      <w:r>
        <w:rPr>
          <w:spacing w:val="14"/>
          <w:sz w:val="22"/>
        </w:rPr>
        <w:t> </w:t>
      </w:r>
      <w:r>
        <w:rPr>
          <w:sz w:val="22"/>
        </w:rPr>
        <w:t>the</w:t>
      </w:r>
      <w:r>
        <w:rPr>
          <w:spacing w:val="14"/>
          <w:sz w:val="22"/>
        </w:rPr>
        <w:t> </w:t>
      </w:r>
      <w:r>
        <w:rPr>
          <w:sz w:val="22"/>
        </w:rPr>
        <w:t>pre-menopause.</w:t>
      </w:r>
      <w:r>
        <w:rPr>
          <w:spacing w:val="14"/>
          <w:sz w:val="22"/>
        </w:rPr>
        <w:t> </w:t>
      </w:r>
      <w:r>
        <w:rPr>
          <w:i/>
          <w:sz w:val="22"/>
        </w:rPr>
        <w:t>Maturitas</w:t>
      </w:r>
      <w:r>
        <w:rPr>
          <w:sz w:val="22"/>
        </w:rPr>
        <w:t>.</w:t>
      </w:r>
      <w:r>
        <w:rPr>
          <w:spacing w:val="14"/>
          <w:sz w:val="22"/>
        </w:rPr>
        <w:t> </w:t>
      </w:r>
      <w:r>
        <w:rPr>
          <w:spacing w:val="-2"/>
          <w:sz w:val="22"/>
        </w:rPr>
        <w:t>1981;3:249.</w:t>
      </w:r>
    </w:p>
    <w:p>
      <w:pPr>
        <w:pStyle w:val="ListParagraph"/>
        <w:numPr>
          <w:ilvl w:val="0"/>
          <w:numId w:val="9"/>
        </w:numPr>
        <w:tabs>
          <w:tab w:pos="699" w:val="left" w:leader="none"/>
          <w:tab w:pos="718" w:val="left" w:leader="none"/>
        </w:tabs>
        <w:spacing w:line="256" w:lineRule="auto" w:before="9" w:after="0"/>
        <w:ind w:left="718" w:right="98" w:hanging="405"/>
        <w:jc w:val="both"/>
        <w:rPr>
          <w:sz w:val="22"/>
        </w:rPr>
      </w:pPr>
      <w:r>
        <w:rPr>
          <w:sz w:val="22"/>
        </w:rPr>
        <w:t>van Noord PAH, Dubas JS, Dorland M, Boersma H, te Velde E. Age at natural menopause in a population-based screening cohort: the role of menarche, fecundity, and lifestyle factors. </w:t>
      </w:r>
      <w:r>
        <w:rPr>
          <w:i/>
          <w:sz w:val="22"/>
        </w:rPr>
        <w:t>Fertil</w:t>
      </w:r>
      <w:r>
        <w:rPr>
          <w:i/>
          <w:sz w:val="22"/>
        </w:rPr>
        <w:t> Steril</w:t>
      </w:r>
      <w:r>
        <w:rPr>
          <w:sz w:val="22"/>
        </w:rPr>
        <w:t>. 1997;68:95.</w:t>
      </w:r>
    </w:p>
    <w:p>
      <w:pPr>
        <w:pStyle w:val="ListParagraph"/>
        <w:numPr>
          <w:ilvl w:val="0"/>
          <w:numId w:val="9"/>
        </w:numPr>
        <w:tabs>
          <w:tab w:pos="699" w:val="left" w:leader="none"/>
          <w:tab w:pos="718" w:val="left" w:leader="none"/>
        </w:tabs>
        <w:spacing w:line="256" w:lineRule="auto" w:before="0" w:after="0"/>
        <w:ind w:left="718" w:right="104" w:hanging="405"/>
        <w:jc w:val="both"/>
        <w:rPr>
          <w:sz w:val="22"/>
        </w:rPr>
      </w:pPr>
      <w:r>
        <w:rPr>
          <w:sz w:val="22"/>
        </w:rPr>
        <w:t>Guinness World Records. Oldest mother to conceive naturally. Accessed October 30, </w:t>
      </w:r>
      <w:r>
        <w:rPr>
          <w:sz w:val="22"/>
        </w:rPr>
        <w:t>2024. </w:t>
      </w:r>
      <w:hyperlink r:id="rId26">
        <w:r>
          <w:rPr>
            <w:spacing w:val="-2"/>
            <w:sz w:val="22"/>
          </w:rPr>
          <w:t>https://www.guinnessworldrecords.com/world-records/oldest-person-to-give-birth</w:t>
        </w:r>
      </w:hyperlink>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Burger HG, Dudley E, Manners P, Groome N, Robertson DM. Early follicular phase </w:t>
      </w:r>
      <w:r>
        <w:rPr>
          <w:sz w:val="22"/>
        </w:rPr>
        <w:t>serum</w:t>
      </w:r>
      <w:r>
        <w:rPr>
          <w:spacing w:val="80"/>
          <w:w w:val="150"/>
          <w:sz w:val="22"/>
        </w:rPr>
        <w:t> </w:t>
      </w:r>
      <w:r>
        <w:rPr>
          <w:sz w:val="22"/>
        </w:rPr>
        <w:t>FSH as a function of age: the roles of inhibin B, inhibin A and estradiol. </w:t>
      </w:r>
      <w:r>
        <w:rPr>
          <w:i/>
          <w:sz w:val="22"/>
        </w:rPr>
        <w:t>Climacteric</w:t>
      </w:r>
      <w:r>
        <w:rPr>
          <w:sz w:val="22"/>
        </w:rPr>
        <w:t>.</w:t>
      </w:r>
      <w:r>
        <w:rPr>
          <w:spacing w:val="80"/>
          <w:w w:val="150"/>
          <w:sz w:val="22"/>
        </w:rPr>
        <w:t> </w:t>
      </w:r>
      <w:r>
        <w:rPr>
          <w:spacing w:val="-2"/>
          <w:sz w:val="22"/>
        </w:rPr>
        <w:t>2000;3:17.</w:t>
      </w:r>
    </w:p>
    <w:p>
      <w:pPr>
        <w:pStyle w:val="ListParagraph"/>
        <w:numPr>
          <w:ilvl w:val="0"/>
          <w:numId w:val="9"/>
        </w:numPr>
        <w:tabs>
          <w:tab w:pos="699" w:val="left" w:leader="none"/>
          <w:tab w:pos="718" w:val="left" w:leader="none"/>
        </w:tabs>
        <w:spacing w:line="256" w:lineRule="auto" w:before="0" w:after="0"/>
        <w:ind w:left="718" w:right="98" w:hanging="405"/>
        <w:jc w:val="both"/>
        <w:rPr>
          <w:sz w:val="22"/>
        </w:rPr>
      </w:pPr>
      <w:r>
        <w:rPr>
          <w:sz w:val="22"/>
        </w:rPr>
        <w:t>Lasley BL, Santoro N, Randolph JF, et al. The relationship of </w:t>
      </w:r>
      <w:r>
        <w:rPr>
          <w:sz w:val="22"/>
        </w:rPr>
        <w:t>circulating dehydroepiandrosterone, testosterone, and estradiol to stages of the menopausal transition and ethnicity. </w:t>
      </w:r>
      <w:r>
        <w:rPr>
          <w:i/>
          <w:sz w:val="22"/>
        </w:rPr>
        <w:t>J Clin Endocrinol Metab</w:t>
      </w:r>
      <w:r>
        <w:rPr>
          <w:sz w:val="22"/>
        </w:rPr>
        <w:t>. 2002;87:3760.</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Santoro N, Brown JR, Adel T, Skurnick JH. Characterization of reproductive </w:t>
      </w:r>
      <w:r>
        <w:rPr>
          <w:sz w:val="22"/>
        </w:rPr>
        <w:t>hormonal</w:t>
      </w:r>
      <w:r>
        <w:rPr>
          <w:spacing w:val="40"/>
          <w:sz w:val="22"/>
        </w:rPr>
        <w:t> </w:t>
      </w:r>
      <w:r>
        <w:rPr>
          <w:sz w:val="22"/>
        </w:rPr>
        <w:t>dynamics in the perimenopause. </w:t>
      </w:r>
      <w:r>
        <w:rPr>
          <w:i/>
          <w:sz w:val="22"/>
        </w:rPr>
        <w:t>J Clin Endocrinol Metab</w:t>
      </w:r>
      <w:r>
        <w:rPr>
          <w:sz w:val="22"/>
        </w:rPr>
        <w:t>. 1996;81:1495.</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Meyer PM, Zeger SL, Harlow SD, et al. Characterizing daily urinary hormone profiles </w:t>
      </w:r>
      <w:r>
        <w:rPr>
          <w:sz w:val="22"/>
        </w:rPr>
        <w:t>for women at midlife using functional data analysis. </w:t>
      </w:r>
      <w:r>
        <w:rPr>
          <w:i/>
          <w:sz w:val="22"/>
        </w:rPr>
        <w:t>Am J Epidemiol</w:t>
      </w:r>
      <w:r>
        <w:rPr>
          <w:sz w:val="22"/>
        </w:rPr>
        <w:t>. 2007;165:936.</w:t>
      </w:r>
    </w:p>
    <w:p>
      <w:pPr>
        <w:pStyle w:val="ListParagraph"/>
        <w:numPr>
          <w:ilvl w:val="0"/>
          <w:numId w:val="9"/>
        </w:numPr>
        <w:tabs>
          <w:tab w:pos="699" w:val="left" w:leader="none"/>
          <w:tab w:pos="718" w:val="left" w:leader="none"/>
        </w:tabs>
        <w:spacing w:line="256" w:lineRule="auto" w:before="0" w:after="0"/>
        <w:ind w:left="718" w:right="108" w:hanging="405"/>
        <w:jc w:val="both"/>
        <w:rPr>
          <w:sz w:val="22"/>
        </w:rPr>
      </w:pPr>
      <w:r>
        <w:rPr>
          <w:sz w:val="22"/>
        </w:rPr>
        <w:t>Richardson SJ, Senikas V, Nelson JF. Follicular depletion during the menopausal </w:t>
      </w:r>
      <w:r>
        <w:rPr>
          <w:sz w:val="22"/>
        </w:rPr>
        <w:t>transition—evidence</w:t>
      </w:r>
      <w:r>
        <w:rPr>
          <w:spacing w:val="40"/>
          <w:sz w:val="22"/>
        </w:rPr>
        <w:t> </w:t>
      </w:r>
      <w:r>
        <w:rPr>
          <w:sz w:val="22"/>
        </w:rPr>
        <w:t>for</w:t>
      </w:r>
      <w:r>
        <w:rPr>
          <w:spacing w:val="40"/>
          <w:sz w:val="22"/>
        </w:rPr>
        <w:t> </w:t>
      </w:r>
      <w:r>
        <w:rPr>
          <w:sz w:val="22"/>
        </w:rPr>
        <w:t>accelerated</w:t>
      </w:r>
      <w:r>
        <w:rPr>
          <w:spacing w:val="40"/>
          <w:sz w:val="22"/>
        </w:rPr>
        <w:t> </w:t>
      </w:r>
      <w:r>
        <w:rPr>
          <w:sz w:val="22"/>
        </w:rPr>
        <w:t>loss</w:t>
      </w:r>
      <w:r>
        <w:rPr>
          <w:spacing w:val="40"/>
          <w:sz w:val="22"/>
        </w:rPr>
        <w:t> </w:t>
      </w:r>
      <w:r>
        <w:rPr>
          <w:sz w:val="22"/>
        </w:rPr>
        <w:t>and</w:t>
      </w:r>
      <w:r>
        <w:rPr>
          <w:spacing w:val="40"/>
          <w:sz w:val="22"/>
        </w:rPr>
        <w:t> </w:t>
      </w:r>
      <w:r>
        <w:rPr>
          <w:sz w:val="22"/>
        </w:rPr>
        <w:t>ultimate</w:t>
      </w:r>
      <w:r>
        <w:rPr>
          <w:spacing w:val="40"/>
          <w:sz w:val="22"/>
        </w:rPr>
        <w:t> </w:t>
      </w:r>
      <w:r>
        <w:rPr>
          <w:sz w:val="22"/>
        </w:rPr>
        <w:t>exhaustion.</w:t>
      </w:r>
      <w:r>
        <w:rPr>
          <w:spacing w:val="40"/>
          <w:sz w:val="22"/>
        </w:rPr>
        <w:t> </w:t>
      </w:r>
      <w:r>
        <w:rPr>
          <w:i/>
          <w:sz w:val="22"/>
        </w:rPr>
        <w:t>J</w:t>
      </w:r>
      <w:r>
        <w:rPr>
          <w:i/>
          <w:spacing w:val="40"/>
          <w:sz w:val="22"/>
        </w:rPr>
        <w:t> </w:t>
      </w:r>
      <w:r>
        <w:rPr>
          <w:i/>
          <w:sz w:val="22"/>
        </w:rPr>
        <w:t>Clin</w:t>
      </w:r>
      <w:r>
        <w:rPr>
          <w:i/>
          <w:spacing w:val="40"/>
          <w:sz w:val="22"/>
        </w:rPr>
        <w:t> </w:t>
      </w:r>
      <w:r>
        <w:rPr>
          <w:i/>
          <w:sz w:val="22"/>
        </w:rPr>
        <w:t>Endocrinol</w:t>
      </w:r>
      <w:r>
        <w:rPr>
          <w:i/>
          <w:spacing w:val="40"/>
          <w:sz w:val="22"/>
        </w:rPr>
        <w:t> </w:t>
      </w:r>
      <w:r>
        <w:rPr>
          <w:i/>
          <w:sz w:val="22"/>
        </w:rPr>
        <w:t>Metab</w:t>
      </w:r>
      <w:r>
        <w:rPr>
          <w:sz w:val="22"/>
        </w:rPr>
        <w:t>. </w:t>
      </w:r>
      <w:r>
        <w:rPr>
          <w:spacing w:val="-2"/>
          <w:sz w:val="22"/>
        </w:rPr>
        <w:t>1987;65:1231.</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Gougeon A, Echochard R, Thalabard JC. Age-related changes of the population of human ovarian</w:t>
      </w:r>
      <w:r>
        <w:rPr>
          <w:spacing w:val="40"/>
          <w:sz w:val="22"/>
        </w:rPr>
        <w:t> </w:t>
      </w:r>
      <w:r>
        <w:rPr>
          <w:sz w:val="22"/>
        </w:rPr>
        <w:t>follicles:</w:t>
      </w:r>
      <w:r>
        <w:rPr>
          <w:spacing w:val="40"/>
          <w:sz w:val="22"/>
        </w:rPr>
        <w:t> </w:t>
      </w:r>
      <w:r>
        <w:rPr>
          <w:sz w:val="22"/>
        </w:rPr>
        <w:t>increase</w:t>
      </w:r>
      <w:r>
        <w:rPr>
          <w:spacing w:val="40"/>
          <w:sz w:val="22"/>
        </w:rPr>
        <w:t> </w:t>
      </w:r>
      <w:r>
        <w:rPr>
          <w:sz w:val="22"/>
        </w:rPr>
        <w:t>in</w:t>
      </w:r>
      <w:r>
        <w:rPr>
          <w:spacing w:val="40"/>
          <w:sz w:val="22"/>
        </w:rPr>
        <w:t> </w:t>
      </w:r>
      <w:r>
        <w:rPr>
          <w:sz w:val="22"/>
        </w:rPr>
        <w:t>the</w:t>
      </w:r>
      <w:r>
        <w:rPr>
          <w:spacing w:val="40"/>
          <w:sz w:val="22"/>
        </w:rPr>
        <w:t> </w:t>
      </w:r>
      <w:r>
        <w:rPr>
          <w:sz w:val="22"/>
        </w:rPr>
        <w:t>disappearance</w:t>
      </w:r>
      <w:r>
        <w:rPr>
          <w:spacing w:val="40"/>
          <w:sz w:val="22"/>
        </w:rPr>
        <w:t> </w:t>
      </w:r>
      <w:r>
        <w:rPr>
          <w:sz w:val="22"/>
        </w:rPr>
        <w:t>rate</w:t>
      </w:r>
      <w:r>
        <w:rPr>
          <w:spacing w:val="40"/>
          <w:sz w:val="22"/>
        </w:rPr>
        <w:t> </w:t>
      </w:r>
      <w:r>
        <w:rPr>
          <w:sz w:val="22"/>
        </w:rPr>
        <w:t>of</w:t>
      </w:r>
      <w:r>
        <w:rPr>
          <w:spacing w:val="40"/>
          <w:sz w:val="22"/>
        </w:rPr>
        <w:t> </w:t>
      </w:r>
      <w:r>
        <w:rPr>
          <w:sz w:val="22"/>
        </w:rPr>
        <w:t>non-growing</w:t>
      </w:r>
      <w:r>
        <w:rPr>
          <w:spacing w:val="40"/>
          <w:sz w:val="22"/>
        </w:rPr>
        <w:t> </w:t>
      </w:r>
      <w:r>
        <w:rPr>
          <w:sz w:val="22"/>
        </w:rPr>
        <w:t>and</w:t>
      </w:r>
      <w:r>
        <w:rPr>
          <w:spacing w:val="40"/>
          <w:sz w:val="22"/>
        </w:rPr>
        <w:t> </w:t>
      </w:r>
      <w:r>
        <w:rPr>
          <w:sz w:val="22"/>
        </w:rPr>
        <w:t>early-growing follicles in aging women. </w:t>
      </w:r>
      <w:r>
        <w:rPr>
          <w:i/>
          <w:sz w:val="22"/>
        </w:rPr>
        <w:t>Biol Reprod</w:t>
      </w:r>
      <w:r>
        <w:rPr>
          <w:sz w:val="22"/>
        </w:rPr>
        <w:t>. 1994;50:653.</w:t>
      </w:r>
    </w:p>
    <w:p>
      <w:pPr>
        <w:pStyle w:val="ListParagraph"/>
        <w:numPr>
          <w:ilvl w:val="0"/>
          <w:numId w:val="9"/>
        </w:numPr>
        <w:tabs>
          <w:tab w:pos="699" w:val="left" w:leader="none"/>
          <w:tab w:pos="718" w:val="left" w:leader="none"/>
        </w:tabs>
        <w:spacing w:line="256" w:lineRule="auto" w:before="0" w:after="0"/>
        <w:ind w:left="718" w:right="101" w:hanging="405"/>
        <w:jc w:val="both"/>
        <w:rPr>
          <w:sz w:val="22"/>
        </w:rPr>
      </w:pPr>
      <w:r>
        <w:rPr>
          <w:sz w:val="22"/>
        </w:rPr>
        <w:t>Faddy MJ, Gosden RG, Gougeon A, Richardson SJ, Nelson JF. Accelerated disappearance of ovarian follicles in mid-life: implications for forecasting menopause. </w:t>
      </w:r>
      <w:r>
        <w:rPr>
          <w:i/>
          <w:sz w:val="22"/>
        </w:rPr>
        <w:t>Hum </w:t>
      </w:r>
      <w:r>
        <w:rPr>
          <w:i/>
          <w:sz w:val="22"/>
        </w:rPr>
        <w:t>Reprod</w:t>
      </w:r>
      <w:r>
        <w:rPr>
          <w:sz w:val="22"/>
        </w:rPr>
        <w:t>.</w:t>
      </w:r>
      <w:r>
        <w:rPr>
          <w:spacing w:val="80"/>
          <w:w w:val="150"/>
          <w:sz w:val="22"/>
        </w:rPr>
        <w:t> </w:t>
      </w:r>
      <w:r>
        <w:rPr>
          <w:spacing w:val="-2"/>
          <w:sz w:val="22"/>
        </w:rPr>
        <w:t>1992;7:1342.</w:t>
      </w:r>
    </w:p>
    <w:p>
      <w:pPr>
        <w:pStyle w:val="ListParagraph"/>
        <w:numPr>
          <w:ilvl w:val="0"/>
          <w:numId w:val="9"/>
        </w:numPr>
        <w:tabs>
          <w:tab w:pos="699" w:val="left" w:leader="none"/>
          <w:tab w:pos="718" w:val="left" w:leader="none"/>
        </w:tabs>
        <w:spacing w:line="256" w:lineRule="auto" w:before="0" w:after="0"/>
        <w:ind w:left="718" w:right="101" w:hanging="405"/>
        <w:jc w:val="both"/>
        <w:rPr>
          <w:sz w:val="22"/>
        </w:rPr>
      </w:pPr>
      <w:r>
        <w:rPr>
          <w:sz w:val="22"/>
        </w:rPr>
        <w:t>Klein NA, Illingworth PJ, Groome NP, McNeilly AS, Battaglia DE, Soules MR. </w:t>
      </w:r>
      <w:r>
        <w:rPr>
          <w:sz w:val="22"/>
        </w:rPr>
        <w:t>Decreased inhibin B secretion is associated with the monotropic FSH rise in older, ovulatory women: a study of serum and follicular fluid levels of dimeric inhibin A and B in spontaneous menstrual cycles. </w:t>
      </w:r>
      <w:r>
        <w:rPr>
          <w:i/>
          <w:sz w:val="22"/>
        </w:rPr>
        <w:t>J Clin Endocrinol Metab</w:t>
      </w:r>
      <w:r>
        <w:rPr>
          <w:sz w:val="22"/>
        </w:rPr>
        <w:t>. 1996;81:2742.</w:t>
      </w:r>
    </w:p>
    <w:p>
      <w:pPr>
        <w:pStyle w:val="ListParagraph"/>
        <w:numPr>
          <w:ilvl w:val="0"/>
          <w:numId w:val="9"/>
        </w:numPr>
        <w:tabs>
          <w:tab w:pos="699" w:val="left" w:leader="none"/>
        </w:tabs>
        <w:spacing w:line="250" w:lineRule="exact" w:before="0" w:after="0"/>
        <w:ind w:left="699" w:right="0" w:hanging="386"/>
        <w:jc w:val="both"/>
        <w:rPr>
          <w:sz w:val="22"/>
        </w:rPr>
      </w:pPr>
      <w:r>
        <w:rPr>
          <w:sz w:val="22"/>
        </w:rPr>
        <w:t>Danforth</w:t>
      </w:r>
      <w:r>
        <w:rPr>
          <w:spacing w:val="10"/>
          <w:sz w:val="22"/>
        </w:rPr>
        <w:t> </w:t>
      </w:r>
      <w:r>
        <w:rPr>
          <w:sz w:val="22"/>
        </w:rPr>
        <w:t>DR,</w:t>
      </w:r>
      <w:r>
        <w:rPr>
          <w:spacing w:val="10"/>
          <w:sz w:val="22"/>
        </w:rPr>
        <w:t> </w:t>
      </w:r>
      <w:r>
        <w:rPr>
          <w:sz w:val="22"/>
        </w:rPr>
        <w:t>Arbogast</w:t>
      </w:r>
      <w:r>
        <w:rPr>
          <w:spacing w:val="10"/>
          <w:sz w:val="22"/>
        </w:rPr>
        <w:t> </w:t>
      </w:r>
      <w:r>
        <w:rPr>
          <w:sz w:val="22"/>
        </w:rPr>
        <w:t>LK,</w:t>
      </w:r>
      <w:r>
        <w:rPr>
          <w:spacing w:val="11"/>
          <w:sz w:val="22"/>
        </w:rPr>
        <w:t> </w:t>
      </w:r>
      <w:r>
        <w:rPr>
          <w:sz w:val="22"/>
        </w:rPr>
        <w:t>Mroueh</w:t>
      </w:r>
      <w:r>
        <w:rPr>
          <w:spacing w:val="10"/>
          <w:sz w:val="22"/>
        </w:rPr>
        <w:t> </w:t>
      </w:r>
      <w:r>
        <w:rPr>
          <w:sz w:val="22"/>
        </w:rPr>
        <w:t>J,</w:t>
      </w:r>
      <w:r>
        <w:rPr>
          <w:spacing w:val="10"/>
          <w:sz w:val="22"/>
        </w:rPr>
        <w:t> </w:t>
      </w:r>
      <w:r>
        <w:rPr>
          <w:sz w:val="22"/>
        </w:rPr>
        <w:t>et</w:t>
      </w:r>
      <w:r>
        <w:rPr>
          <w:spacing w:val="11"/>
          <w:sz w:val="22"/>
        </w:rPr>
        <w:t> </w:t>
      </w:r>
      <w:r>
        <w:rPr>
          <w:sz w:val="22"/>
        </w:rPr>
        <w:t>al.</w:t>
      </w:r>
      <w:r>
        <w:rPr>
          <w:spacing w:val="10"/>
          <w:sz w:val="22"/>
        </w:rPr>
        <w:t> </w:t>
      </w:r>
      <w:r>
        <w:rPr>
          <w:sz w:val="22"/>
        </w:rPr>
        <w:t>Dimeric</w:t>
      </w:r>
      <w:r>
        <w:rPr>
          <w:spacing w:val="10"/>
          <w:sz w:val="22"/>
        </w:rPr>
        <w:t> </w:t>
      </w:r>
      <w:r>
        <w:rPr>
          <w:sz w:val="22"/>
        </w:rPr>
        <w:t>inhibin:</w:t>
      </w:r>
      <w:r>
        <w:rPr>
          <w:spacing w:val="11"/>
          <w:sz w:val="22"/>
        </w:rPr>
        <w:t> </w:t>
      </w:r>
      <w:r>
        <w:rPr>
          <w:sz w:val="22"/>
        </w:rPr>
        <w:t>a</w:t>
      </w:r>
      <w:r>
        <w:rPr>
          <w:spacing w:val="10"/>
          <w:sz w:val="22"/>
        </w:rPr>
        <w:t> </w:t>
      </w:r>
      <w:r>
        <w:rPr>
          <w:sz w:val="22"/>
        </w:rPr>
        <w:t>direct</w:t>
      </w:r>
      <w:r>
        <w:rPr>
          <w:spacing w:val="10"/>
          <w:sz w:val="22"/>
        </w:rPr>
        <w:t> </w:t>
      </w:r>
      <w:r>
        <w:rPr>
          <w:sz w:val="22"/>
        </w:rPr>
        <w:t>marker</w:t>
      </w:r>
      <w:r>
        <w:rPr>
          <w:spacing w:val="11"/>
          <w:sz w:val="22"/>
        </w:rPr>
        <w:t> </w:t>
      </w:r>
      <w:r>
        <w:rPr>
          <w:sz w:val="22"/>
        </w:rPr>
        <w:t>of</w:t>
      </w:r>
      <w:r>
        <w:rPr>
          <w:spacing w:val="10"/>
          <w:sz w:val="22"/>
        </w:rPr>
        <w:t> </w:t>
      </w:r>
      <w:r>
        <w:rPr>
          <w:sz w:val="22"/>
        </w:rPr>
        <w:t>ovarian</w:t>
      </w:r>
      <w:r>
        <w:rPr>
          <w:spacing w:val="10"/>
          <w:sz w:val="22"/>
        </w:rPr>
        <w:t> </w:t>
      </w:r>
      <w:r>
        <w:rPr>
          <w:spacing w:val="-2"/>
          <w:sz w:val="22"/>
        </w:rPr>
        <w:t>aging.</w:t>
      </w:r>
    </w:p>
    <w:p>
      <w:pPr>
        <w:spacing w:before="1"/>
        <w:ind w:left="718" w:right="0" w:firstLine="0"/>
        <w:jc w:val="both"/>
        <w:rPr>
          <w:sz w:val="22"/>
        </w:rPr>
      </w:pPr>
      <w:r>
        <w:rPr>
          <w:i/>
          <w:sz w:val="22"/>
        </w:rPr>
        <w:t>Fertil</w:t>
      </w:r>
      <w:r>
        <w:rPr>
          <w:i/>
          <w:spacing w:val="10"/>
          <w:sz w:val="22"/>
        </w:rPr>
        <w:t> </w:t>
      </w:r>
      <w:r>
        <w:rPr>
          <w:i/>
          <w:sz w:val="22"/>
        </w:rPr>
        <w:t>Steril</w:t>
      </w:r>
      <w:r>
        <w:rPr>
          <w:sz w:val="22"/>
        </w:rPr>
        <w:t>.</w:t>
      </w:r>
      <w:r>
        <w:rPr>
          <w:spacing w:val="11"/>
          <w:sz w:val="22"/>
        </w:rPr>
        <w:t> </w:t>
      </w:r>
      <w:r>
        <w:rPr>
          <w:spacing w:val="-2"/>
          <w:sz w:val="22"/>
        </w:rPr>
        <w:t>1998;70:119.</w:t>
      </w:r>
    </w:p>
    <w:p>
      <w:pPr>
        <w:pStyle w:val="ListParagraph"/>
        <w:numPr>
          <w:ilvl w:val="0"/>
          <w:numId w:val="9"/>
        </w:numPr>
        <w:tabs>
          <w:tab w:pos="699" w:val="left" w:leader="none"/>
          <w:tab w:pos="718" w:val="left" w:leader="none"/>
        </w:tabs>
        <w:spacing w:line="256" w:lineRule="auto" w:before="17" w:after="0"/>
        <w:ind w:left="718" w:right="105" w:hanging="405"/>
        <w:jc w:val="both"/>
        <w:rPr>
          <w:sz w:val="22"/>
        </w:rPr>
      </w:pPr>
      <w:r>
        <w:rPr>
          <w:sz w:val="22"/>
        </w:rPr>
        <w:t>Welt CK, McNicholl DJ, Taylor AE, Hall JE. Female reproductive aging is marked </w:t>
      </w:r>
      <w:r>
        <w:rPr>
          <w:sz w:val="22"/>
        </w:rPr>
        <w:t>by</w:t>
      </w:r>
      <w:r>
        <w:rPr>
          <w:spacing w:val="80"/>
          <w:sz w:val="22"/>
        </w:rPr>
        <w:t> </w:t>
      </w:r>
      <w:r>
        <w:rPr>
          <w:sz w:val="22"/>
        </w:rPr>
        <w:t>decreased secretion of dimeric inhibin. </w:t>
      </w:r>
      <w:r>
        <w:rPr>
          <w:i/>
          <w:sz w:val="22"/>
        </w:rPr>
        <w:t>J Clin Endocrinol Metab</w:t>
      </w:r>
      <w:r>
        <w:rPr>
          <w:sz w:val="22"/>
        </w:rPr>
        <w:t>. 1999;84:105.</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699" w:val="left" w:leader="none"/>
          <w:tab w:pos="718" w:val="left" w:leader="none"/>
        </w:tabs>
        <w:spacing w:line="256" w:lineRule="auto" w:before="84" w:after="0"/>
        <w:ind w:left="718" w:right="104" w:hanging="405"/>
        <w:jc w:val="both"/>
        <w:rPr>
          <w:sz w:val="22"/>
        </w:rPr>
      </w:pPr>
      <w:r>
        <w:rPr>
          <w:sz w:val="22"/>
        </w:rPr>
        <w:t>Seifer DB, Gardiner AC, Ferreira KA, Peluso JJ. Apoptosis as a function of ovarian reserve </w:t>
      </w:r>
      <w:r>
        <w:rPr>
          <w:sz w:val="22"/>
        </w:rPr>
        <w:t>in women undergoing in vitro fertilization. </w:t>
      </w:r>
      <w:r>
        <w:rPr>
          <w:i/>
          <w:sz w:val="22"/>
        </w:rPr>
        <w:t>Fertil Steril</w:t>
      </w:r>
      <w:r>
        <w:rPr>
          <w:sz w:val="22"/>
        </w:rPr>
        <w:t>. 1996;66:593.</w:t>
      </w:r>
    </w:p>
    <w:p>
      <w:pPr>
        <w:pStyle w:val="ListParagraph"/>
        <w:numPr>
          <w:ilvl w:val="0"/>
          <w:numId w:val="9"/>
        </w:numPr>
        <w:tabs>
          <w:tab w:pos="699" w:val="left" w:leader="none"/>
          <w:tab w:pos="718" w:val="left" w:leader="none"/>
        </w:tabs>
        <w:spacing w:line="256" w:lineRule="auto" w:before="0" w:after="0"/>
        <w:ind w:left="718" w:right="109" w:hanging="405"/>
        <w:jc w:val="both"/>
        <w:rPr>
          <w:sz w:val="22"/>
        </w:rPr>
      </w:pPr>
      <w:r>
        <w:rPr>
          <w:sz w:val="22"/>
        </w:rPr>
        <w:t>Klein NA, Battaglia DE, Miller PB, Branigan EF, Giudice LC, Soules MR. Ovarian follicular development and the follicular fluid hormones and growth factors in normal women </w:t>
      </w:r>
      <w:r>
        <w:rPr>
          <w:sz w:val="22"/>
        </w:rPr>
        <w:t>of</w:t>
      </w:r>
      <w:r>
        <w:rPr>
          <w:spacing w:val="80"/>
          <w:sz w:val="22"/>
        </w:rPr>
        <w:t> </w:t>
      </w:r>
      <w:r>
        <w:rPr>
          <w:sz w:val="22"/>
        </w:rPr>
        <w:t>advanced reproductive age. </w:t>
      </w:r>
      <w:r>
        <w:rPr>
          <w:i/>
          <w:sz w:val="22"/>
        </w:rPr>
        <w:t>J Clin Endocrinol Metab</w:t>
      </w:r>
      <w:r>
        <w:rPr>
          <w:sz w:val="22"/>
        </w:rPr>
        <w:t>. 1996;81:1946.</w:t>
      </w:r>
    </w:p>
    <w:p>
      <w:pPr>
        <w:pStyle w:val="ListParagraph"/>
        <w:numPr>
          <w:ilvl w:val="0"/>
          <w:numId w:val="9"/>
        </w:numPr>
        <w:tabs>
          <w:tab w:pos="699" w:val="left" w:leader="none"/>
          <w:tab w:pos="718" w:val="left" w:leader="none"/>
        </w:tabs>
        <w:spacing w:line="256" w:lineRule="auto" w:before="0" w:after="0"/>
        <w:ind w:left="718" w:right="103" w:hanging="405"/>
        <w:jc w:val="both"/>
        <w:rPr>
          <w:sz w:val="22"/>
        </w:rPr>
      </w:pPr>
      <w:r>
        <w:rPr>
          <w:sz w:val="22"/>
        </w:rPr>
        <w:t>Klein NA, Battaglia DE, Fujimoto VY, Davis GS, Bremmer WJ, Soules MR. </w:t>
      </w:r>
      <w:r>
        <w:rPr>
          <w:sz w:val="22"/>
        </w:rPr>
        <w:t>Reproductive aging: accelerated ovarian follicular development associated with a monotropic follicle-stimulating hormone rise in normal older women. </w:t>
      </w:r>
      <w:r>
        <w:rPr>
          <w:i/>
          <w:sz w:val="22"/>
        </w:rPr>
        <w:t>J Clin Endocrinol Metab</w:t>
      </w:r>
      <w:r>
        <w:rPr>
          <w:sz w:val="22"/>
        </w:rPr>
        <w:t>. 1996;81:1038.</w:t>
      </w:r>
    </w:p>
    <w:p>
      <w:pPr>
        <w:pStyle w:val="ListParagraph"/>
        <w:numPr>
          <w:ilvl w:val="0"/>
          <w:numId w:val="9"/>
        </w:numPr>
        <w:tabs>
          <w:tab w:pos="699" w:val="left" w:leader="none"/>
          <w:tab w:pos="718" w:val="left" w:leader="none"/>
        </w:tabs>
        <w:spacing w:line="256" w:lineRule="auto" w:before="0" w:after="0"/>
        <w:ind w:left="718" w:right="103" w:hanging="405"/>
        <w:jc w:val="both"/>
        <w:rPr>
          <w:sz w:val="22"/>
        </w:rPr>
      </w:pPr>
      <w:r>
        <w:rPr>
          <w:sz w:val="22"/>
        </w:rPr>
        <w:t>Klein</w:t>
      </w:r>
      <w:r>
        <w:rPr>
          <w:spacing w:val="39"/>
          <w:sz w:val="22"/>
        </w:rPr>
        <w:t> </w:t>
      </w:r>
      <w:r>
        <w:rPr>
          <w:sz w:val="22"/>
        </w:rPr>
        <w:t>NA,</w:t>
      </w:r>
      <w:r>
        <w:rPr>
          <w:spacing w:val="39"/>
          <w:sz w:val="22"/>
        </w:rPr>
        <w:t> </w:t>
      </w:r>
      <w:r>
        <w:rPr>
          <w:sz w:val="22"/>
        </w:rPr>
        <w:t>Harper</w:t>
      </w:r>
      <w:r>
        <w:rPr>
          <w:spacing w:val="39"/>
          <w:sz w:val="22"/>
        </w:rPr>
        <w:t> </w:t>
      </w:r>
      <w:r>
        <w:rPr>
          <w:sz w:val="22"/>
        </w:rPr>
        <w:t>AJ,</w:t>
      </w:r>
      <w:r>
        <w:rPr>
          <w:spacing w:val="39"/>
          <w:sz w:val="22"/>
        </w:rPr>
        <w:t> </w:t>
      </w:r>
      <w:r>
        <w:rPr>
          <w:sz w:val="22"/>
        </w:rPr>
        <w:t>Houmard</w:t>
      </w:r>
      <w:r>
        <w:rPr>
          <w:spacing w:val="39"/>
          <w:sz w:val="22"/>
        </w:rPr>
        <w:t> </w:t>
      </w:r>
      <w:r>
        <w:rPr>
          <w:sz w:val="22"/>
        </w:rPr>
        <w:t>BS,</w:t>
      </w:r>
      <w:r>
        <w:rPr>
          <w:spacing w:val="39"/>
          <w:sz w:val="22"/>
        </w:rPr>
        <w:t> </w:t>
      </w:r>
      <w:r>
        <w:rPr>
          <w:sz w:val="22"/>
        </w:rPr>
        <w:t>Sluss</w:t>
      </w:r>
      <w:r>
        <w:rPr>
          <w:spacing w:val="39"/>
          <w:sz w:val="22"/>
        </w:rPr>
        <w:t> </w:t>
      </w:r>
      <w:r>
        <w:rPr>
          <w:sz w:val="22"/>
        </w:rPr>
        <w:t>PM,</w:t>
      </w:r>
      <w:r>
        <w:rPr>
          <w:spacing w:val="39"/>
          <w:sz w:val="22"/>
        </w:rPr>
        <w:t> </w:t>
      </w:r>
      <w:r>
        <w:rPr>
          <w:sz w:val="22"/>
        </w:rPr>
        <w:t>Soules</w:t>
      </w:r>
      <w:r>
        <w:rPr>
          <w:spacing w:val="39"/>
          <w:sz w:val="22"/>
        </w:rPr>
        <w:t> </w:t>
      </w:r>
      <w:r>
        <w:rPr>
          <w:sz w:val="22"/>
        </w:rPr>
        <w:t>MR.</w:t>
      </w:r>
      <w:r>
        <w:rPr>
          <w:spacing w:val="39"/>
          <w:sz w:val="22"/>
        </w:rPr>
        <w:t> </w:t>
      </w:r>
      <w:r>
        <w:rPr>
          <w:sz w:val="22"/>
        </w:rPr>
        <w:t>Is</w:t>
      </w:r>
      <w:r>
        <w:rPr>
          <w:spacing w:val="39"/>
          <w:sz w:val="22"/>
        </w:rPr>
        <w:t> </w:t>
      </w:r>
      <w:r>
        <w:rPr>
          <w:sz w:val="22"/>
        </w:rPr>
        <w:t>the</w:t>
      </w:r>
      <w:r>
        <w:rPr>
          <w:spacing w:val="39"/>
          <w:sz w:val="22"/>
        </w:rPr>
        <w:t> </w:t>
      </w:r>
      <w:r>
        <w:rPr>
          <w:sz w:val="22"/>
        </w:rPr>
        <w:t>short</w:t>
      </w:r>
      <w:r>
        <w:rPr>
          <w:spacing w:val="39"/>
          <w:sz w:val="22"/>
        </w:rPr>
        <w:t> </w:t>
      </w:r>
      <w:r>
        <w:rPr>
          <w:sz w:val="22"/>
        </w:rPr>
        <w:t>follicular</w:t>
      </w:r>
      <w:r>
        <w:rPr>
          <w:spacing w:val="39"/>
          <w:sz w:val="22"/>
        </w:rPr>
        <w:t> </w:t>
      </w:r>
      <w:r>
        <w:rPr>
          <w:sz w:val="22"/>
        </w:rPr>
        <w:t>phase</w:t>
      </w:r>
      <w:r>
        <w:rPr>
          <w:spacing w:val="39"/>
          <w:sz w:val="22"/>
        </w:rPr>
        <w:t> </w:t>
      </w:r>
      <w:r>
        <w:rPr>
          <w:sz w:val="22"/>
        </w:rPr>
        <w:t>in older women secondary to advanced or accelerated dominant follicle development? </w:t>
      </w:r>
      <w:r>
        <w:rPr>
          <w:i/>
          <w:sz w:val="22"/>
        </w:rPr>
        <w:t>J Clin</w:t>
      </w:r>
      <w:r>
        <w:rPr>
          <w:i/>
          <w:sz w:val="22"/>
        </w:rPr>
        <w:t> Endocrinol Metab</w:t>
      </w:r>
      <w:r>
        <w:rPr>
          <w:sz w:val="22"/>
        </w:rPr>
        <w:t>. 2002;87:5746.</w:t>
      </w:r>
    </w:p>
    <w:p>
      <w:pPr>
        <w:pStyle w:val="ListParagraph"/>
        <w:numPr>
          <w:ilvl w:val="0"/>
          <w:numId w:val="9"/>
        </w:numPr>
        <w:tabs>
          <w:tab w:pos="699" w:val="left" w:leader="none"/>
          <w:tab w:pos="718" w:val="left" w:leader="none"/>
        </w:tabs>
        <w:spacing w:line="256" w:lineRule="auto" w:before="0" w:after="0"/>
        <w:ind w:left="718" w:right="99" w:hanging="405"/>
        <w:jc w:val="both"/>
        <w:rPr>
          <w:sz w:val="22"/>
        </w:rPr>
      </w:pPr>
      <w:r>
        <w:rPr>
          <w:sz w:val="22"/>
        </w:rPr>
        <w:t>van Zonneveld P, Scheffer GJ, Broekmans FJ, et al. Do cycle disturbances explain the age-related</w:t>
      </w:r>
      <w:r>
        <w:rPr>
          <w:spacing w:val="40"/>
          <w:sz w:val="22"/>
        </w:rPr>
        <w:t> </w:t>
      </w:r>
      <w:r>
        <w:rPr>
          <w:sz w:val="22"/>
        </w:rPr>
        <w:t>decline</w:t>
      </w:r>
      <w:r>
        <w:rPr>
          <w:spacing w:val="40"/>
          <w:sz w:val="22"/>
        </w:rPr>
        <w:t> </w:t>
      </w:r>
      <w:r>
        <w:rPr>
          <w:sz w:val="22"/>
        </w:rPr>
        <w:t>of</w:t>
      </w:r>
      <w:r>
        <w:rPr>
          <w:spacing w:val="40"/>
          <w:sz w:val="22"/>
        </w:rPr>
        <w:t> </w:t>
      </w:r>
      <w:r>
        <w:rPr>
          <w:sz w:val="22"/>
        </w:rPr>
        <w:t>female</w:t>
      </w:r>
      <w:r>
        <w:rPr>
          <w:spacing w:val="40"/>
          <w:sz w:val="22"/>
        </w:rPr>
        <w:t> </w:t>
      </w:r>
      <w:r>
        <w:rPr>
          <w:sz w:val="22"/>
        </w:rPr>
        <w:t>fertility?</w:t>
      </w:r>
      <w:r>
        <w:rPr>
          <w:spacing w:val="40"/>
          <w:sz w:val="22"/>
        </w:rPr>
        <w:t> </w:t>
      </w:r>
      <w:r>
        <w:rPr>
          <w:sz w:val="22"/>
        </w:rPr>
        <w:t>Cycle</w:t>
      </w:r>
      <w:r>
        <w:rPr>
          <w:spacing w:val="40"/>
          <w:sz w:val="22"/>
        </w:rPr>
        <w:t> </w:t>
      </w:r>
      <w:r>
        <w:rPr>
          <w:sz w:val="22"/>
        </w:rPr>
        <w:t>characteristics</w:t>
      </w:r>
      <w:r>
        <w:rPr>
          <w:spacing w:val="40"/>
          <w:sz w:val="22"/>
        </w:rPr>
        <w:t> </w:t>
      </w:r>
      <w:r>
        <w:rPr>
          <w:sz w:val="22"/>
        </w:rPr>
        <w:t>of</w:t>
      </w:r>
      <w:r>
        <w:rPr>
          <w:spacing w:val="40"/>
          <w:sz w:val="22"/>
        </w:rPr>
        <w:t> </w:t>
      </w:r>
      <w:r>
        <w:rPr>
          <w:sz w:val="22"/>
        </w:rPr>
        <w:t>women</w:t>
      </w:r>
      <w:r>
        <w:rPr>
          <w:spacing w:val="40"/>
          <w:sz w:val="22"/>
        </w:rPr>
        <w:t> </w:t>
      </w:r>
      <w:r>
        <w:rPr>
          <w:sz w:val="22"/>
        </w:rPr>
        <w:t>aged</w:t>
      </w:r>
      <w:r>
        <w:rPr>
          <w:spacing w:val="40"/>
          <w:sz w:val="22"/>
        </w:rPr>
        <w:t> </w:t>
      </w:r>
      <w:r>
        <w:rPr>
          <w:sz w:val="22"/>
        </w:rPr>
        <w:t>over</w:t>
      </w:r>
      <w:r>
        <w:rPr>
          <w:spacing w:val="40"/>
          <w:sz w:val="22"/>
        </w:rPr>
        <w:t> </w:t>
      </w:r>
      <w:r>
        <w:rPr>
          <w:sz w:val="22"/>
        </w:rPr>
        <w:t>40</w:t>
      </w:r>
      <w:r>
        <w:rPr>
          <w:spacing w:val="40"/>
          <w:sz w:val="22"/>
        </w:rPr>
        <w:t> </w:t>
      </w:r>
      <w:r>
        <w:rPr>
          <w:sz w:val="22"/>
        </w:rPr>
        <w:t>years compared with a reference population of young women. </w:t>
      </w:r>
      <w:r>
        <w:rPr>
          <w:i/>
          <w:sz w:val="22"/>
        </w:rPr>
        <w:t>Hum Reprod</w:t>
      </w:r>
      <w:r>
        <w:rPr>
          <w:sz w:val="22"/>
        </w:rPr>
        <w:t>. 2003;18:495.</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Lass A, Silye R, Abrams D-C, et al. Follicular density in ovarian biopsy of infertile women: a novel method to assess ovarian reserve. </w:t>
      </w:r>
      <w:r>
        <w:rPr>
          <w:i/>
          <w:sz w:val="22"/>
        </w:rPr>
        <w:t>Hum Reprod</w:t>
      </w:r>
      <w:r>
        <w:rPr>
          <w:sz w:val="22"/>
        </w:rPr>
        <w:t>. 1997;12:1028.</w:t>
      </w:r>
    </w:p>
    <w:p>
      <w:pPr>
        <w:pStyle w:val="ListParagraph"/>
        <w:numPr>
          <w:ilvl w:val="0"/>
          <w:numId w:val="9"/>
        </w:numPr>
        <w:tabs>
          <w:tab w:pos="699" w:val="left" w:leader="none"/>
          <w:tab w:pos="718" w:val="left" w:leader="none"/>
        </w:tabs>
        <w:spacing w:line="256" w:lineRule="auto" w:before="0" w:after="0"/>
        <w:ind w:left="718" w:right="101" w:hanging="405"/>
        <w:jc w:val="both"/>
        <w:rPr>
          <w:sz w:val="22"/>
        </w:rPr>
      </w:pPr>
      <w:r>
        <w:rPr>
          <w:sz w:val="22"/>
        </w:rPr>
        <w:t>Lass A, Skull J, McVeigh E, Margara R, Winston RM. Measurement of ovarian volume </w:t>
      </w:r>
      <w:r>
        <w:rPr>
          <w:sz w:val="22"/>
        </w:rPr>
        <w:t>by transvaginal sonography before human menopausal gonadotrophin superovulation for in-vitro fertilization can predict poor response. </w:t>
      </w:r>
      <w:r>
        <w:rPr>
          <w:i/>
          <w:sz w:val="22"/>
        </w:rPr>
        <w:t>Hum Reprod</w:t>
      </w:r>
      <w:r>
        <w:rPr>
          <w:sz w:val="22"/>
        </w:rPr>
        <w:t>. 1997;12:294.</w:t>
      </w:r>
    </w:p>
    <w:p>
      <w:pPr>
        <w:pStyle w:val="ListParagraph"/>
        <w:numPr>
          <w:ilvl w:val="0"/>
          <w:numId w:val="9"/>
        </w:numPr>
        <w:tabs>
          <w:tab w:pos="699" w:val="left" w:leader="none"/>
          <w:tab w:pos="718" w:val="left" w:leader="none"/>
        </w:tabs>
        <w:spacing w:line="256" w:lineRule="auto" w:before="0" w:after="0"/>
        <w:ind w:left="718" w:right="99" w:hanging="405"/>
        <w:jc w:val="both"/>
        <w:rPr>
          <w:sz w:val="22"/>
        </w:rPr>
      </w:pPr>
      <w:r>
        <w:rPr>
          <w:sz w:val="22"/>
        </w:rPr>
        <w:t>Yong PY, Baird DT, Thong KJ, McNeilly AS, Anderson RA. Prospective analysis of the relationships between the ovarian follicle cohort and basal FSH concentration, the inhibin response to exogenous FSH and ovarian follicle number at different stages of the normal menstrual cycle and after pituitary down-regulation. </w:t>
      </w:r>
      <w:r>
        <w:rPr>
          <w:i/>
          <w:sz w:val="22"/>
        </w:rPr>
        <w:t>Hum Reprod</w:t>
      </w:r>
      <w:r>
        <w:rPr>
          <w:sz w:val="22"/>
        </w:rPr>
        <w:t>. 2003;18:35.</w:t>
      </w:r>
    </w:p>
    <w:p>
      <w:pPr>
        <w:pStyle w:val="ListParagraph"/>
        <w:numPr>
          <w:ilvl w:val="0"/>
          <w:numId w:val="9"/>
        </w:numPr>
        <w:tabs>
          <w:tab w:pos="699" w:val="left" w:leader="none"/>
          <w:tab w:pos="718" w:val="left" w:leader="none"/>
        </w:tabs>
        <w:spacing w:line="256" w:lineRule="auto" w:before="0" w:after="0"/>
        <w:ind w:left="718" w:right="109" w:hanging="405"/>
        <w:jc w:val="both"/>
        <w:rPr>
          <w:sz w:val="22"/>
        </w:rPr>
      </w:pPr>
      <w:r>
        <w:rPr>
          <w:sz w:val="22"/>
        </w:rPr>
        <w:t>Frattarelli JL, Lauria-Costab DF, Miller BT, Bergh PA, Scott RT. Basal antral follicle number and mean ovarian diameter predict cycle cancellation and ovarian responsiveness in assisted reproductive technology cycles. </w:t>
      </w:r>
      <w:r>
        <w:rPr>
          <w:i/>
          <w:sz w:val="22"/>
        </w:rPr>
        <w:t>Fertil Steril</w:t>
      </w:r>
      <w:r>
        <w:rPr>
          <w:sz w:val="22"/>
        </w:rPr>
        <w:t>. 2000;74:512.</w:t>
      </w:r>
    </w:p>
    <w:p>
      <w:pPr>
        <w:pStyle w:val="ListParagraph"/>
        <w:numPr>
          <w:ilvl w:val="0"/>
          <w:numId w:val="9"/>
        </w:numPr>
        <w:tabs>
          <w:tab w:pos="699" w:val="left" w:leader="none"/>
          <w:tab w:pos="718" w:val="left" w:leader="none"/>
        </w:tabs>
        <w:spacing w:line="256" w:lineRule="auto" w:before="0" w:after="0"/>
        <w:ind w:left="718" w:right="104" w:hanging="405"/>
        <w:jc w:val="both"/>
        <w:rPr>
          <w:sz w:val="22"/>
        </w:rPr>
      </w:pPr>
      <w:r>
        <w:rPr>
          <w:sz w:val="22"/>
        </w:rPr>
        <w:t>Dumesic DA, Damario MA, Session DR, et al. Ovarian morphology and serum </w:t>
      </w:r>
      <w:r>
        <w:rPr>
          <w:sz w:val="22"/>
        </w:rPr>
        <w:t>hormone</w:t>
      </w:r>
      <w:r>
        <w:rPr>
          <w:spacing w:val="40"/>
          <w:sz w:val="22"/>
        </w:rPr>
        <w:t> </w:t>
      </w:r>
      <w:r>
        <w:rPr>
          <w:sz w:val="22"/>
        </w:rPr>
        <w:t>markers</w:t>
      </w:r>
      <w:r>
        <w:rPr>
          <w:spacing w:val="15"/>
          <w:sz w:val="22"/>
        </w:rPr>
        <w:t> </w:t>
      </w:r>
      <w:r>
        <w:rPr>
          <w:sz w:val="22"/>
        </w:rPr>
        <w:t>as</w:t>
      </w:r>
      <w:r>
        <w:rPr>
          <w:spacing w:val="15"/>
          <w:sz w:val="22"/>
        </w:rPr>
        <w:t> </w:t>
      </w:r>
      <w:r>
        <w:rPr>
          <w:sz w:val="22"/>
        </w:rPr>
        <w:t>predictors</w:t>
      </w:r>
      <w:r>
        <w:rPr>
          <w:spacing w:val="15"/>
          <w:sz w:val="22"/>
        </w:rPr>
        <w:t> </w:t>
      </w:r>
      <w:r>
        <w:rPr>
          <w:sz w:val="22"/>
        </w:rPr>
        <w:t>of</w:t>
      </w:r>
      <w:r>
        <w:rPr>
          <w:spacing w:val="15"/>
          <w:sz w:val="22"/>
        </w:rPr>
        <w:t> </w:t>
      </w:r>
      <w:r>
        <w:rPr>
          <w:sz w:val="22"/>
        </w:rPr>
        <w:t>ovarian</w:t>
      </w:r>
      <w:r>
        <w:rPr>
          <w:spacing w:val="15"/>
          <w:sz w:val="22"/>
        </w:rPr>
        <w:t> </w:t>
      </w:r>
      <w:r>
        <w:rPr>
          <w:sz w:val="22"/>
        </w:rPr>
        <w:t>follicle</w:t>
      </w:r>
      <w:r>
        <w:rPr>
          <w:spacing w:val="15"/>
          <w:sz w:val="22"/>
        </w:rPr>
        <w:t> </w:t>
      </w:r>
      <w:r>
        <w:rPr>
          <w:sz w:val="22"/>
        </w:rPr>
        <w:t>recruitment</w:t>
      </w:r>
      <w:r>
        <w:rPr>
          <w:spacing w:val="15"/>
          <w:sz w:val="22"/>
        </w:rPr>
        <w:t> </w:t>
      </w:r>
      <w:r>
        <w:rPr>
          <w:sz w:val="22"/>
        </w:rPr>
        <w:t>by</w:t>
      </w:r>
      <w:r>
        <w:rPr>
          <w:spacing w:val="15"/>
          <w:sz w:val="22"/>
        </w:rPr>
        <w:t> </w:t>
      </w:r>
      <w:r>
        <w:rPr>
          <w:sz w:val="22"/>
        </w:rPr>
        <w:t>gonadotropins</w:t>
      </w:r>
      <w:r>
        <w:rPr>
          <w:spacing w:val="15"/>
          <w:sz w:val="22"/>
        </w:rPr>
        <w:t> </w:t>
      </w:r>
      <w:r>
        <w:rPr>
          <w:sz w:val="22"/>
        </w:rPr>
        <w:t>for</w:t>
      </w:r>
      <w:r>
        <w:rPr>
          <w:spacing w:val="15"/>
          <w:sz w:val="22"/>
        </w:rPr>
        <w:t> </w:t>
      </w:r>
      <w:r>
        <w:rPr>
          <w:sz w:val="22"/>
        </w:rPr>
        <w:t>in</w:t>
      </w:r>
      <w:r>
        <w:rPr>
          <w:spacing w:val="15"/>
          <w:sz w:val="22"/>
        </w:rPr>
        <w:t> </w:t>
      </w:r>
      <w:r>
        <w:rPr>
          <w:sz w:val="22"/>
        </w:rPr>
        <w:t>vitro</w:t>
      </w:r>
      <w:r>
        <w:rPr>
          <w:spacing w:val="15"/>
          <w:sz w:val="22"/>
        </w:rPr>
        <w:t> </w:t>
      </w:r>
      <w:r>
        <w:rPr>
          <w:sz w:val="22"/>
        </w:rPr>
        <w:t>fertilization. </w:t>
      </w:r>
      <w:r>
        <w:rPr>
          <w:i/>
          <w:sz w:val="22"/>
        </w:rPr>
        <w:t>J Clin Endocrinol Metab</w:t>
      </w:r>
      <w:r>
        <w:rPr>
          <w:sz w:val="22"/>
        </w:rPr>
        <w:t>. 2001;86:2538.</w:t>
      </w:r>
    </w:p>
    <w:p>
      <w:pPr>
        <w:pStyle w:val="ListParagraph"/>
        <w:numPr>
          <w:ilvl w:val="0"/>
          <w:numId w:val="9"/>
        </w:numPr>
        <w:tabs>
          <w:tab w:pos="699" w:val="left" w:leader="none"/>
          <w:tab w:pos="718" w:val="left" w:leader="none"/>
        </w:tabs>
        <w:spacing w:line="256" w:lineRule="auto" w:before="0" w:after="0"/>
        <w:ind w:left="718" w:right="109" w:hanging="405"/>
        <w:jc w:val="both"/>
        <w:rPr>
          <w:sz w:val="22"/>
        </w:rPr>
      </w:pPr>
      <w:r>
        <w:rPr>
          <w:sz w:val="22"/>
        </w:rPr>
        <w:t>Bancsi</w:t>
      </w:r>
      <w:r>
        <w:rPr>
          <w:spacing w:val="20"/>
          <w:sz w:val="22"/>
        </w:rPr>
        <w:t> </w:t>
      </w:r>
      <w:r>
        <w:rPr>
          <w:sz w:val="22"/>
        </w:rPr>
        <w:t>LF,</w:t>
      </w:r>
      <w:r>
        <w:rPr>
          <w:spacing w:val="20"/>
          <w:sz w:val="22"/>
        </w:rPr>
        <w:t> </w:t>
      </w:r>
      <w:r>
        <w:rPr>
          <w:sz w:val="22"/>
        </w:rPr>
        <w:t>Broekmans</w:t>
      </w:r>
      <w:r>
        <w:rPr>
          <w:spacing w:val="20"/>
          <w:sz w:val="22"/>
        </w:rPr>
        <w:t> </w:t>
      </w:r>
      <w:r>
        <w:rPr>
          <w:sz w:val="22"/>
        </w:rPr>
        <w:t>FJ,</w:t>
      </w:r>
      <w:r>
        <w:rPr>
          <w:spacing w:val="20"/>
          <w:sz w:val="22"/>
        </w:rPr>
        <w:t> </w:t>
      </w:r>
      <w:r>
        <w:rPr>
          <w:sz w:val="22"/>
        </w:rPr>
        <w:t>Eijkemans</w:t>
      </w:r>
      <w:r>
        <w:rPr>
          <w:spacing w:val="20"/>
          <w:sz w:val="22"/>
        </w:rPr>
        <w:t> </w:t>
      </w:r>
      <w:r>
        <w:rPr>
          <w:sz w:val="22"/>
        </w:rPr>
        <w:t>MJ,</w:t>
      </w:r>
      <w:r>
        <w:rPr>
          <w:spacing w:val="20"/>
          <w:sz w:val="22"/>
        </w:rPr>
        <w:t> </w:t>
      </w:r>
      <w:r>
        <w:rPr>
          <w:sz w:val="22"/>
        </w:rPr>
        <w:t>de</w:t>
      </w:r>
      <w:r>
        <w:rPr>
          <w:spacing w:val="20"/>
          <w:sz w:val="22"/>
        </w:rPr>
        <w:t> </w:t>
      </w:r>
      <w:r>
        <w:rPr>
          <w:sz w:val="22"/>
        </w:rPr>
        <w:t>Jong</w:t>
      </w:r>
      <w:r>
        <w:rPr>
          <w:spacing w:val="20"/>
          <w:sz w:val="22"/>
        </w:rPr>
        <w:t> </w:t>
      </w:r>
      <w:r>
        <w:rPr>
          <w:sz w:val="22"/>
        </w:rPr>
        <w:t>FH,</w:t>
      </w:r>
      <w:r>
        <w:rPr>
          <w:spacing w:val="20"/>
          <w:sz w:val="22"/>
        </w:rPr>
        <w:t> </w:t>
      </w:r>
      <w:r>
        <w:rPr>
          <w:sz w:val="22"/>
        </w:rPr>
        <w:t>Habbema</w:t>
      </w:r>
      <w:r>
        <w:rPr>
          <w:spacing w:val="20"/>
          <w:sz w:val="22"/>
        </w:rPr>
        <w:t> </w:t>
      </w:r>
      <w:r>
        <w:rPr>
          <w:sz w:val="22"/>
        </w:rPr>
        <w:t>JD,</w:t>
      </w:r>
      <w:r>
        <w:rPr>
          <w:spacing w:val="20"/>
          <w:sz w:val="22"/>
        </w:rPr>
        <w:t> </w:t>
      </w:r>
      <w:r>
        <w:rPr>
          <w:sz w:val="22"/>
        </w:rPr>
        <w:t>te</w:t>
      </w:r>
      <w:r>
        <w:rPr>
          <w:spacing w:val="20"/>
          <w:sz w:val="22"/>
        </w:rPr>
        <w:t> </w:t>
      </w:r>
      <w:r>
        <w:rPr>
          <w:sz w:val="22"/>
        </w:rPr>
        <w:t>Velde</w:t>
      </w:r>
      <w:r>
        <w:rPr>
          <w:spacing w:val="20"/>
          <w:sz w:val="22"/>
        </w:rPr>
        <w:t> </w:t>
      </w:r>
      <w:r>
        <w:rPr>
          <w:sz w:val="22"/>
        </w:rPr>
        <w:t>ER.</w:t>
      </w:r>
      <w:r>
        <w:rPr>
          <w:spacing w:val="20"/>
          <w:sz w:val="22"/>
        </w:rPr>
        <w:t> </w:t>
      </w:r>
      <w:r>
        <w:rPr>
          <w:sz w:val="22"/>
        </w:rPr>
        <w:t>Predictors of poor ovarian response in in vitro fertilization: a prospective study comparing basal markers</w:t>
      </w:r>
      <w:r>
        <w:rPr>
          <w:spacing w:val="80"/>
          <w:sz w:val="22"/>
        </w:rPr>
        <w:t> </w:t>
      </w:r>
      <w:r>
        <w:rPr>
          <w:sz w:val="22"/>
        </w:rPr>
        <w:t>of ovarian reserve. </w:t>
      </w:r>
      <w:r>
        <w:rPr>
          <w:i/>
          <w:sz w:val="22"/>
        </w:rPr>
        <w:t>Fertil Steril</w:t>
      </w:r>
      <w:r>
        <w:rPr>
          <w:sz w:val="22"/>
        </w:rPr>
        <w:t>. 2002;77:328.</w:t>
      </w:r>
    </w:p>
    <w:p>
      <w:pPr>
        <w:pStyle w:val="ListParagraph"/>
        <w:numPr>
          <w:ilvl w:val="0"/>
          <w:numId w:val="9"/>
        </w:numPr>
        <w:tabs>
          <w:tab w:pos="699" w:val="left" w:leader="none"/>
          <w:tab w:pos="718" w:val="left" w:leader="none"/>
        </w:tabs>
        <w:spacing w:line="256" w:lineRule="auto" w:before="0" w:after="0"/>
        <w:ind w:left="718" w:right="100" w:hanging="405"/>
        <w:jc w:val="both"/>
        <w:rPr>
          <w:sz w:val="22"/>
        </w:rPr>
      </w:pPr>
      <w:r>
        <w:rPr>
          <w:sz w:val="22"/>
        </w:rPr>
        <w:t>Kupesic S, Kurjak A, Bjelos D, Vujisic S. Three-dimensional ultrasonographic </w:t>
      </w:r>
      <w:r>
        <w:rPr>
          <w:sz w:val="22"/>
        </w:rPr>
        <w:t>ovarian measurements and in vitro fertilization outcome are related to age. </w:t>
      </w:r>
      <w:r>
        <w:rPr>
          <w:i/>
          <w:sz w:val="22"/>
        </w:rPr>
        <w:t>Fertil Steril</w:t>
      </w:r>
      <w:r>
        <w:rPr>
          <w:sz w:val="22"/>
        </w:rPr>
        <w:t>. 2003;79:190.</w:t>
      </w:r>
    </w:p>
    <w:p>
      <w:pPr>
        <w:pStyle w:val="ListParagraph"/>
        <w:numPr>
          <w:ilvl w:val="0"/>
          <w:numId w:val="9"/>
        </w:numPr>
        <w:tabs>
          <w:tab w:pos="699" w:val="left" w:leader="none"/>
          <w:tab w:pos="718" w:val="left" w:leader="none"/>
        </w:tabs>
        <w:spacing w:line="256" w:lineRule="auto" w:before="0" w:after="0"/>
        <w:ind w:left="718" w:right="106" w:hanging="405"/>
        <w:jc w:val="both"/>
        <w:rPr>
          <w:sz w:val="22"/>
        </w:rPr>
      </w:pPr>
      <w:r>
        <w:rPr>
          <w:sz w:val="22"/>
        </w:rPr>
        <w:t>Sowers MR, Zheng H, McConnell D, Nan B, Harlow S, Randolph JF Jr. Follicle stimulating hormone and its rate of change in defining menopause transition stages. </w:t>
      </w:r>
      <w:r>
        <w:rPr>
          <w:i/>
          <w:sz w:val="22"/>
        </w:rPr>
        <w:t>J Clin Endocrinol</w:t>
      </w:r>
      <w:r>
        <w:rPr>
          <w:i/>
          <w:sz w:val="22"/>
        </w:rPr>
        <w:t> Metab</w:t>
      </w:r>
      <w:r>
        <w:rPr>
          <w:sz w:val="22"/>
        </w:rPr>
        <w:t>. 2008;93:3958.</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Sowers MR, Zheng H, McConnell D, Nan B, Harlow SD, Randolph JF Jr. Estradiol rates of change in relation to the final menstrual period in a population-based cohort of women. </w:t>
      </w:r>
      <w:r>
        <w:rPr>
          <w:i/>
          <w:sz w:val="22"/>
        </w:rPr>
        <w:t>J Clin</w:t>
      </w:r>
      <w:r>
        <w:rPr>
          <w:i/>
          <w:sz w:val="22"/>
        </w:rPr>
        <w:t> Endocrinol Metab</w:t>
      </w:r>
      <w:r>
        <w:rPr>
          <w:sz w:val="22"/>
        </w:rPr>
        <w:t>. 2008;93:3847.</w:t>
      </w:r>
    </w:p>
    <w:p>
      <w:pPr>
        <w:pStyle w:val="ListParagraph"/>
        <w:numPr>
          <w:ilvl w:val="0"/>
          <w:numId w:val="9"/>
        </w:numPr>
        <w:tabs>
          <w:tab w:pos="699" w:val="left" w:leader="none"/>
          <w:tab w:pos="718" w:val="left" w:leader="none"/>
        </w:tabs>
        <w:spacing w:line="256" w:lineRule="auto" w:before="0" w:after="0"/>
        <w:ind w:left="718" w:right="98" w:hanging="405"/>
        <w:jc w:val="both"/>
        <w:rPr>
          <w:sz w:val="22"/>
        </w:rPr>
      </w:pPr>
      <w:r>
        <w:rPr>
          <w:sz w:val="22"/>
        </w:rPr>
        <w:t>Sowers</w:t>
      </w:r>
      <w:r>
        <w:rPr>
          <w:spacing w:val="30"/>
          <w:sz w:val="22"/>
        </w:rPr>
        <w:t> </w:t>
      </w:r>
      <w:r>
        <w:rPr>
          <w:sz w:val="22"/>
        </w:rPr>
        <w:t>MR,</w:t>
      </w:r>
      <w:r>
        <w:rPr>
          <w:spacing w:val="30"/>
          <w:sz w:val="22"/>
        </w:rPr>
        <w:t> </w:t>
      </w:r>
      <w:r>
        <w:rPr>
          <w:sz w:val="22"/>
        </w:rPr>
        <w:t>Eyvazzadeh</w:t>
      </w:r>
      <w:r>
        <w:rPr>
          <w:spacing w:val="30"/>
          <w:sz w:val="22"/>
        </w:rPr>
        <w:t> </w:t>
      </w:r>
      <w:r>
        <w:rPr>
          <w:sz w:val="22"/>
        </w:rPr>
        <w:t>AD,</w:t>
      </w:r>
      <w:r>
        <w:rPr>
          <w:spacing w:val="30"/>
          <w:sz w:val="22"/>
        </w:rPr>
        <w:t> </w:t>
      </w:r>
      <w:r>
        <w:rPr>
          <w:sz w:val="22"/>
        </w:rPr>
        <w:t>McConnell</w:t>
      </w:r>
      <w:r>
        <w:rPr>
          <w:spacing w:val="30"/>
          <w:sz w:val="22"/>
        </w:rPr>
        <w:t> </w:t>
      </w:r>
      <w:r>
        <w:rPr>
          <w:sz w:val="22"/>
        </w:rPr>
        <w:t>D,</w:t>
      </w:r>
      <w:r>
        <w:rPr>
          <w:spacing w:val="30"/>
          <w:sz w:val="22"/>
        </w:rPr>
        <w:t> </w:t>
      </w:r>
      <w:r>
        <w:rPr>
          <w:sz w:val="22"/>
        </w:rPr>
        <w:t>et</w:t>
      </w:r>
      <w:r>
        <w:rPr>
          <w:spacing w:val="30"/>
          <w:sz w:val="22"/>
        </w:rPr>
        <w:t> </w:t>
      </w:r>
      <w:r>
        <w:rPr>
          <w:sz w:val="22"/>
        </w:rPr>
        <w:t>al.</w:t>
      </w:r>
      <w:r>
        <w:rPr>
          <w:spacing w:val="29"/>
          <w:sz w:val="22"/>
        </w:rPr>
        <w:t> </w:t>
      </w:r>
      <w:r>
        <w:rPr>
          <w:sz w:val="22"/>
        </w:rPr>
        <w:t>Anti-müllerian</w:t>
      </w:r>
      <w:r>
        <w:rPr>
          <w:spacing w:val="32"/>
          <w:sz w:val="22"/>
        </w:rPr>
        <w:t> </w:t>
      </w:r>
      <w:r>
        <w:rPr>
          <w:sz w:val="22"/>
        </w:rPr>
        <w:t>hormone</w:t>
      </w:r>
      <w:r>
        <w:rPr>
          <w:spacing w:val="32"/>
          <w:sz w:val="22"/>
        </w:rPr>
        <w:t> </w:t>
      </w:r>
      <w:r>
        <w:rPr>
          <w:sz w:val="22"/>
        </w:rPr>
        <w:t>and</w:t>
      </w:r>
      <w:r>
        <w:rPr>
          <w:spacing w:val="32"/>
          <w:sz w:val="22"/>
        </w:rPr>
        <w:t> </w:t>
      </w:r>
      <w:r>
        <w:rPr>
          <w:sz w:val="22"/>
        </w:rPr>
        <w:t>inhibin</w:t>
      </w:r>
      <w:r>
        <w:rPr>
          <w:spacing w:val="32"/>
          <w:sz w:val="22"/>
        </w:rPr>
        <w:t> </w:t>
      </w:r>
      <w:r>
        <w:rPr>
          <w:sz w:val="22"/>
        </w:rPr>
        <w:t>B</w:t>
      </w:r>
      <w:r>
        <w:rPr>
          <w:spacing w:val="32"/>
          <w:sz w:val="22"/>
        </w:rPr>
        <w:t> </w:t>
      </w:r>
      <w:r>
        <w:rPr>
          <w:sz w:val="22"/>
        </w:rPr>
        <w:t>in the definition of ovarian aging and the menopause transition. </w:t>
      </w:r>
      <w:r>
        <w:rPr>
          <w:i/>
          <w:sz w:val="22"/>
        </w:rPr>
        <w:t>J Clin Endocrinol Metab</w:t>
      </w:r>
      <w:r>
        <w:rPr>
          <w:sz w:val="22"/>
        </w:rPr>
        <w:t>. </w:t>
      </w:r>
      <w:r>
        <w:rPr>
          <w:spacing w:val="-2"/>
          <w:sz w:val="22"/>
        </w:rPr>
        <w:t>2008;93:3478.</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Depmann M, Eijkemans MJ, Broer SL, et al. Does anti-Mullerian hormone predict </w:t>
      </w:r>
      <w:r>
        <w:rPr>
          <w:sz w:val="22"/>
        </w:rPr>
        <w:t>menopause</w:t>
      </w:r>
      <w:r>
        <w:rPr>
          <w:spacing w:val="80"/>
          <w:sz w:val="22"/>
        </w:rPr>
        <w:t> </w:t>
      </w:r>
      <w:r>
        <w:rPr>
          <w:sz w:val="22"/>
        </w:rPr>
        <w:t>in the general population? Results of a prospective ongoing cohort study. </w:t>
      </w:r>
      <w:r>
        <w:rPr>
          <w:i/>
          <w:sz w:val="22"/>
        </w:rPr>
        <w:t>Hum Reprod</w:t>
      </w:r>
      <w:r>
        <w:rPr>
          <w:sz w:val="22"/>
        </w:rPr>
        <w:t>. </w:t>
      </w:r>
      <w:r>
        <w:rPr>
          <w:spacing w:val="-2"/>
          <w:sz w:val="22"/>
        </w:rPr>
        <w:t>2016;31(7):1579.</w:t>
      </w:r>
    </w:p>
    <w:p>
      <w:pPr>
        <w:pStyle w:val="ListParagraph"/>
        <w:numPr>
          <w:ilvl w:val="0"/>
          <w:numId w:val="9"/>
        </w:numPr>
        <w:tabs>
          <w:tab w:pos="699" w:val="left" w:leader="none"/>
          <w:tab w:pos="718" w:val="left" w:leader="none"/>
        </w:tabs>
        <w:spacing w:line="256" w:lineRule="auto" w:before="0" w:after="0"/>
        <w:ind w:left="718" w:right="110" w:hanging="405"/>
        <w:jc w:val="both"/>
        <w:rPr>
          <w:sz w:val="22"/>
        </w:rPr>
      </w:pPr>
      <w:r>
        <w:rPr>
          <w:sz w:val="22"/>
        </w:rPr>
        <w:t>Visser JA, De Jong FH, Laven JS, Themmen AP. Anti-müllerian hormone: a new marker for ovarian function. </w:t>
      </w:r>
      <w:r>
        <w:rPr>
          <w:i/>
          <w:sz w:val="22"/>
        </w:rPr>
        <w:t>Reproduction</w:t>
      </w:r>
      <w:r>
        <w:rPr>
          <w:sz w:val="22"/>
        </w:rPr>
        <w:t>. 2006;131:1.</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699" w:val="left" w:leader="none"/>
          <w:tab w:pos="718" w:val="left" w:leader="none"/>
        </w:tabs>
        <w:spacing w:line="256" w:lineRule="auto" w:before="84" w:after="0"/>
        <w:ind w:left="718" w:right="98" w:hanging="405"/>
        <w:jc w:val="both"/>
        <w:rPr>
          <w:sz w:val="22"/>
        </w:rPr>
      </w:pPr>
      <w:r>
        <w:rPr>
          <w:sz w:val="22"/>
        </w:rPr>
        <w:t>Randolph JF Jr, Crawford S, Dennerstein L, et al. The value of follicle-stimulating hormone concentration and clinical findings as markers of the late menopausal transition. </w:t>
      </w:r>
      <w:r>
        <w:rPr>
          <w:i/>
          <w:sz w:val="22"/>
        </w:rPr>
        <w:t>J </w:t>
      </w:r>
      <w:r>
        <w:rPr>
          <w:i/>
          <w:sz w:val="22"/>
        </w:rPr>
        <w:t>Clin</w:t>
      </w:r>
      <w:r>
        <w:rPr>
          <w:i/>
          <w:sz w:val="22"/>
        </w:rPr>
        <w:t> Endocrinol Metab</w:t>
      </w:r>
      <w:r>
        <w:rPr>
          <w:sz w:val="22"/>
        </w:rPr>
        <w:t>. 2006;91:3034.</w:t>
      </w:r>
    </w:p>
    <w:p>
      <w:pPr>
        <w:pStyle w:val="ListParagraph"/>
        <w:numPr>
          <w:ilvl w:val="0"/>
          <w:numId w:val="9"/>
        </w:numPr>
        <w:tabs>
          <w:tab w:pos="699" w:val="left" w:leader="none"/>
          <w:tab w:pos="718" w:val="left" w:leader="none"/>
        </w:tabs>
        <w:spacing w:line="256" w:lineRule="auto" w:before="0" w:after="0"/>
        <w:ind w:left="718" w:right="107" w:hanging="405"/>
        <w:jc w:val="both"/>
        <w:rPr>
          <w:sz w:val="22"/>
        </w:rPr>
      </w:pPr>
      <w:r>
        <w:rPr>
          <w:sz w:val="22"/>
        </w:rPr>
        <w:t>McKinlay SM, Brambilla DJ, Posner JG. The normal menopause transition. </w:t>
      </w:r>
      <w:r>
        <w:rPr>
          <w:i/>
          <w:sz w:val="22"/>
        </w:rPr>
        <w:t>Maturitas</w:t>
      </w:r>
      <w:r>
        <w:rPr>
          <w:sz w:val="22"/>
        </w:rPr>
        <w:t>. </w:t>
      </w:r>
      <w:r>
        <w:rPr>
          <w:spacing w:val="-2"/>
          <w:sz w:val="22"/>
        </w:rPr>
        <w:t>1992;14:103.</w:t>
      </w:r>
    </w:p>
    <w:p>
      <w:pPr>
        <w:pStyle w:val="ListParagraph"/>
        <w:numPr>
          <w:ilvl w:val="0"/>
          <w:numId w:val="9"/>
        </w:numPr>
        <w:tabs>
          <w:tab w:pos="699" w:val="left" w:leader="none"/>
          <w:tab w:pos="718" w:val="left" w:leader="none"/>
        </w:tabs>
        <w:spacing w:line="256" w:lineRule="auto" w:before="0" w:after="0"/>
        <w:ind w:left="718" w:right="102" w:hanging="405"/>
        <w:jc w:val="both"/>
        <w:rPr>
          <w:sz w:val="22"/>
        </w:rPr>
      </w:pPr>
      <w:r>
        <w:rPr>
          <w:sz w:val="22"/>
        </w:rPr>
        <w:t>McKinlay SM, Bigano NL, McKinlay JB. Smoking and age at menopause. </w:t>
      </w:r>
      <w:r>
        <w:rPr>
          <w:i/>
          <w:sz w:val="22"/>
        </w:rPr>
        <w:t>Ann Intern </w:t>
      </w:r>
      <w:r>
        <w:rPr>
          <w:i/>
          <w:sz w:val="22"/>
        </w:rPr>
        <w:t>Med</w:t>
      </w:r>
      <w:r>
        <w:rPr>
          <w:sz w:val="22"/>
        </w:rPr>
        <w:t>. </w:t>
      </w:r>
      <w:r>
        <w:rPr>
          <w:spacing w:val="-2"/>
          <w:sz w:val="22"/>
        </w:rPr>
        <w:t>1985;103:350.</w:t>
      </w:r>
    </w:p>
    <w:p>
      <w:pPr>
        <w:pStyle w:val="ListParagraph"/>
        <w:numPr>
          <w:ilvl w:val="0"/>
          <w:numId w:val="9"/>
        </w:numPr>
        <w:tabs>
          <w:tab w:pos="699" w:val="left" w:leader="none"/>
        </w:tabs>
        <w:spacing w:line="252" w:lineRule="exact" w:before="0" w:after="0"/>
        <w:ind w:left="699" w:right="0" w:hanging="386"/>
        <w:jc w:val="both"/>
        <w:rPr>
          <w:sz w:val="22"/>
        </w:rPr>
      </w:pPr>
      <w:r>
        <w:rPr>
          <w:sz w:val="22"/>
        </w:rPr>
        <w:t>Treolar</w:t>
      </w:r>
      <w:r>
        <w:rPr>
          <w:spacing w:val="12"/>
          <w:sz w:val="22"/>
        </w:rPr>
        <w:t> </w:t>
      </w:r>
      <w:r>
        <w:rPr>
          <w:sz w:val="22"/>
        </w:rPr>
        <w:t>AE.</w:t>
      </w:r>
      <w:r>
        <w:rPr>
          <w:spacing w:val="12"/>
          <w:sz w:val="22"/>
        </w:rPr>
        <w:t> </w:t>
      </w:r>
      <w:r>
        <w:rPr>
          <w:sz w:val="22"/>
        </w:rPr>
        <w:t>Menarche,</w:t>
      </w:r>
      <w:r>
        <w:rPr>
          <w:spacing w:val="13"/>
          <w:sz w:val="22"/>
        </w:rPr>
        <w:t> </w:t>
      </w:r>
      <w:r>
        <w:rPr>
          <w:sz w:val="22"/>
        </w:rPr>
        <w:t>menopause</w:t>
      </w:r>
      <w:r>
        <w:rPr>
          <w:spacing w:val="12"/>
          <w:sz w:val="22"/>
        </w:rPr>
        <w:t> </w:t>
      </w:r>
      <w:r>
        <w:rPr>
          <w:sz w:val="22"/>
        </w:rPr>
        <w:t>and</w:t>
      </w:r>
      <w:r>
        <w:rPr>
          <w:spacing w:val="12"/>
          <w:sz w:val="22"/>
        </w:rPr>
        <w:t> </w:t>
      </w:r>
      <w:r>
        <w:rPr>
          <w:sz w:val="22"/>
        </w:rPr>
        <w:t>intervening</w:t>
      </w:r>
      <w:r>
        <w:rPr>
          <w:spacing w:val="13"/>
          <w:sz w:val="22"/>
        </w:rPr>
        <w:t> </w:t>
      </w:r>
      <w:r>
        <w:rPr>
          <w:sz w:val="22"/>
        </w:rPr>
        <w:t>fecundability.</w:t>
      </w:r>
      <w:r>
        <w:rPr>
          <w:spacing w:val="12"/>
          <w:sz w:val="22"/>
        </w:rPr>
        <w:t> </w:t>
      </w:r>
      <w:r>
        <w:rPr>
          <w:i/>
          <w:sz w:val="22"/>
        </w:rPr>
        <w:t>Hum</w:t>
      </w:r>
      <w:r>
        <w:rPr>
          <w:i/>
          <w:spacing w:val="12"/>
          <w:sz w:val="22"/>
        </w:rPr>
        <w:t> </w:t>
      </w:r>
      <w:r>
        <w:rPr>
          <w:i/>
          <w:sz w:val="22"/>
        </w:rPr>
        <w:t>Biol</w:t>
      </w:r>
      <w:r>
        <w:rPr>
          <w:sz w:val="22"/>
        </w:rPr>
        <w:t>.</w:t>
      </w:r>
      <w:r>
        <w:rPr>
          <w:spacing w:val="13"/>
          <w:sz w:val="22"/>
        </w:rPr>
        <w:t> </w:t>
      </w:r>
      <w:r>
        <w:rPr>
          <w:spacing w:val="-2"/>
          <w:sz w:val="22"/>
        </w:rPr>
        <w:t>1974;46:89.</w:t>
      </w:r>
    </w:p>
    <w:p>
      <w:pPr>
        <w:pStyle w:val="ListParagraph"/>
        <w:numPr>
          <w:ilvl w:val="0"/>
          <w:numId w:val="9"/>
        </w:numPr>
        <w:tabs>
          <w:tab w:pos="699" w:val="left" w:leader="none"/>
          <w:tab w:pos="718" w:val="left" w:leader="none"/>
        </w:tabs>
        <w:spacing w:line="256" w:lineRule="auto" w:before="14" w:after="0"/>
        <w:ind w:left="718" w:right="106" w:hanging="405"/>
        <w:jc w:val="both"/>
        <w:rPr>
          <w:sz w:val="22"/>
        </w:rPr>
      </w:pPr>
      <w:r>
        <w:rPr>
          <w:sz w:val="22"/>
        </w:rPr>
        <w:t>Meschia</w:t>
      </w:r>
      <w:r>
        <w:rPr>
          <w:spacing w:val="40"/>
          <w:sz w:val="22"/>
        </w:rPr>
        <w:t> </w:t>
      </w:r>
      <w:r>
        <w:rPr>
          <w:sz w:val="22"/>
        </w:rPr>
        <w:t>M,</w:t>
      </w:r>
      <w:r>
        <w:rPr>
          <w:spacing w:val="40"/>
          <w:sz w:val="22"/>
        </w:rPr>
        <w:t> </w:t>
      </w:r>
      <w:r>
        <w:rPr>
          <w:sz w:val="22"/>
        </w:rPr>
        <w:t>Pansini</w:t>
      </w:r>
      <w:r>
        <w:rPr>
          <w:spacing w:val="40"/>
          <w:sz w:val="22"/>
        </w:rPr>
        <w:t> </w:t>
      </w:r>
      <w:r>
        <w:rPr>
          <w:sz w:val="22"/>
        </w:rPr>
        <w:t>F,</w:t>
      </w:r>
      <w:r>
        <w:rPr>
          <w:spacing w:val="40"/>
          <w:sz w:val="22"/>
        </w:rPr>
        <w:t> </w:t>
      </w:r>
      <w:r>
        <w:rPr>
          <w:sz w:val="22"/>
        </w:rPr>
        <w:t>Modena</w:t>
      </w:r>
      <w:r>
        <w:rPr>
          <w:spacing w:val="40"/>
          <w:sz w:val="22"/>
        </w:rPr>
        <w:t> </w:t>
      </w:r>
      <w:r>
        <w:rPr>
          <w:sz w:val="22"/>
        </w:rPr>
        <w:t>AB,</w:t>
      </w:r>
      <w:r>
        <w:rPr>
          <w:spacing w:val="40"/>
          <w:sz w:val="22"/>
        </w:rPr>
        <w:t> </w:t>
      </w:r>
      <w:r>
        <w:rPr>
          <w:sz w:val="22"/>
        </w:rPr>
        <w:t>et</w:t>
      </w:r>
      <w:r>
        <w:rPr>
          <w:spacing w:val="40"/>
          <w:sz w:val="22"/>
        </w:rPr>
        <w:t> </w:t>
      </w:r>
      <w:r>
        <w:rPr>
          <w:sz w:val="22"/>
        </w:rPr>
        <w:t>al;</w:t>
      </w:r>
      <w:r>
        <w:rPr>
          <w:spacing w:val="40"/>
          <w:sz w:val="22"/>
        </w:rPr>
        <w:t> </w:t>
      </w:r>
      <w:r>
        <w:rPr>
          <w:sz w:val="22"/>
        </w:rPr>
        <w:t>On</w:t>
      </w:r>
      <w:r>
        <w:rPr>
          <w:spacing w:val="40"/>
          <w:sz w:val="22"/>
        </w:rPr>
        <w:t> </w:t>
      </w:r>
      <w:r>
        <w:rPr>
          <w:sz w:val="22"/>
        </w:rPr>
        <w:t>behalf</w:t>
      </w:r>
      <w:r>
        <w:rPr>
          <w:spacing w:val="40"/>
          <w:sz w:val="22"/>
        </w:rPr>
        <w:t> </w:t>
      </w:r>
      <w:r>
        <w:rPr>
          <w:sz w:val="22"/>
        </w:rPr>
        <w:t>of</w:t>
      </w:r>
      <w:r>
        <w:rPr>
          <w:spacing w:val="40"/>
          <w:sz w:val="22"/>
        </w:rPr>
        <w:t> </w:t>
      </w:r>
      <w:r>
        <w:rPr>
          <w:sz w:val="22"/>
        </w:rPr>
        <w:t>the</w:t>
      </w:r>
      <w:r>
        <w:rPr>
          <w:spacing w:val="40"/>
          <w:sz w:val="22"/>
        </w:rPr>
        <w:t> </w:t>
      </w:r>
      <w:r>
        <w:rPr>
          <w:sz w:val="22"/>
        </w:rPr>
        <w:t>ICARUS</w:t>
      </w:r>
      <w:r>
        <w:rPr>
          <w:spacing w:val="40"/>
          <w:sz w:val="22"/>
        </w:rPr>
        <w:t> </w:t>
      </w:r>
      <w:r>
        <w:rPr>
          <w:sz w:val="22"/>
        </w:rPr>
        <w:t>Study</w:t>
      </w:r>
      <w:r>
        <w:rPr>
          <w:spacing w:val="40"/>
          <w:sz w:val="22"/>
        </w:rPr>
        <w:t> </w:t>
      </w:r>
      <w:r>
        <w:rPr>
          <w:sz w:val="22"/>
        </w:rPr>
        <w:t>Group. Determinants</w:t>
      </w:r>
      <w:r>
        <w:rPr>
          <w:spacing w:val="40"/>
          <w:sz w:val="22"/>
        </w:rPr>
        <w:t> </w:t>
      </w:r>
      <w:r>
        <w:rPr>
          <w:sz w:val="22"/>
        </w:rPr>
        <w:t>of</w:t>
      </w:r>
      <w:r>
        <w:rPr>
          <w:spacing w:val="40"/>
          <w:sz w:val="22"/>
        </w:rPr>
        <w:t> </w:t>
      </w:r>
      <w:r>
        <w:rPr>
          <w:sz w:val="22"/>
        </w:rPr>
        <w:t>age</w:t>
      </w:r>
      <w:r>
        <w:rPr>
          <w:spacing w:val="40"/>
          <w:sz w:val="22"/>
        </w:rPr>
        <w:t> </w:t>
      </w:r>
      <w:r>
        <w:rPr>
          <w:sz w:val="22"/>
        </w:rPr>
        <w:t>at</w:t>
      </w:r>
      <w:r>
        <w:rPr>
          <w:spacing w:val="40"/>
          <w:sz w:val="22"/>
        </w:rPr>
        <w:t> </w:t>
      </w:r>
      <w:r>
        <w:rPr>
          <w:sz w:val="22"/>
        </w:rPr>
        <w:t>menopause</w:t>
      </w:r>
      <w:r>
        <w:rPr>
          <w:spacing w:val="40"/>
          <w:sz w:val="22"/>
        </w:rPr>
        <w:t> </w:t>
      </w:r>
      <w:r>
        <w:rPr>
          <w:sz w:val="22"/>
        </w:rPr>
        <w:t>in</w:t>
      </w:r>
      <w:r>
        <w:rPr>
          <w:spacing w:val="40"/>
          <w:sz w:val="22"/>
        </w:rPr>
        <w:t> </w:t>
      </w:r>
      <w:r>
        <w:rPr>
          <w:sz w:val="22"/>
        </w:rPr>
        <w:t>Italy:</w:t>
      </w:r>
      <w:r>
        <w:rPr>
          <w:spacing w:val="40"/>
          <w:sz w:val="22"/>
        </w:rPr>
        <w:t> </w:t>
      </w:r>
      <w:r>
        <w:rPr>
          <w:sz w:val="22"/>
        </w:rPr>
        <w:t>results</w:t>
      </w:r>
      <w:r>
        <w:rPr>
          <w:spacing w:val="40"/>
          <w:sz w:val="22"/>
        </w:rPr>
        <w:t> </w:t>
      </w:r>
      <w:r>
        <w:rPr>
          <w:sz w:val="22"/>
        </w:rPr>
        <w:t>from</w:t>
      </w:r>
      <w:r>
        <w:rPr>
          <w:spacing w:val="40"/>
          <w:sz w:val="22"/>
        </w:rPr>
        <w:t> </w:t>
      </w:r>
      <w:r>
        <w:rPr>
          <w:sz w:val="22"/>
        </w:rPr>
        <w:t>a</w:t>
      </w:r>
      <w:r>
        <w:rPr>
          <w:spacing w:val="40"/>
          <w:sz w:val="22"/>
        </w:rPr>
        <w:t> </w:t>
      </w:r>
      <w:r>
        <w:rPr>
          <w:sz w:val="22"/>
        </w:rPr>
        <w:t>large</w:t>
      </w:r>
      <w:r>
        <w:rPr>
          <w:spacing w:val="40"/>
          <w:sz w:val="22"/>
        </w:rPr>
        <w:t> </w:t>
      </w:r>
      <w:r>
        <w:rPr>
          <w:sz w:val="22"/>
        </w:rPr>
        <w:t>cross-sectional</w:t>
      </w:r>
      <w:r>
        <w:rPr>
          <w:spacing w:val="40"/>
          <w:sz w:val="22"/>
        </w:rPr>
        <w:t> </w:t>
      </w:r>
      <w:r>
        <w:rPr>
          <w:sz w:val="22"/>
        </w:rPr>
        <w:t>study. </w:t>
      </w:r>
      <w:r>
        <w:rPr>
          <w:i/>
          <w:sz w:val="22"/>
        </w:rPr>
        <w:t>Maturitas</w:t>
      </w:r>
      <w:r>
        <w:rPr>
          <w:sz w:val="22"/>
        </w:rPr>
        <w:t>. 2000;34:119.</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Gold</w:t>
      </w:r>
      <w:r>
        <w:rPr>
          <w:spacing w:val="25"/>
          <w:sz w:val="22"/>
        </w:rPr>
        <w:t> </w:t>
      </w:r>
      <w:r>
        <w:rPr>
          <w:sz w:val="22"/>
        </w:rPr>
        <w:t>EB,</w:t>
      </w:r>
      <w:r>
        <w:rPr>
          <w:spacing w:val="25"/>
          <w:sz w:val="22"/>
        </w:rPr>
        <w:t> </w:t>
      </w:r>
      <w:r>
        <w:rPr>
          <w:sz w:val="22"/>
        </w:rPr>
        <w:t>Bromberger</w:t>
      </w:r>
      <w:r>
        <w:rPr>
          <w:spacing w:val="25"/>
          <w:sz w:val="22"/>
        </w:rPr>
        <w:t> </w:t>
      </w:r>
      <w:r>
        <w:rPr>
          <w:sz w:val="22"/>
        </w:rPr>
        <w:t>J,</w:t>
      </w:r>
      <w:r>
        <w:rPr>
          <w:spacing w:val="25"/>
          <w:sz w:val="22"/>
        </w:rPr>
        <w:t> </w:t>
      </w:r>
      <w:r>
        <w:rPr>
          <w:sz w:val="22"/>
        </w:rPr>
        <w:t>Crawford</w:t>
      </w:r>
      <w:r>
        <w:rPr>
          <w:spacing w:val="25"/>
          <w:sz w:val="22"/>
        </w:rPr>
        <w:t> </w:t>
      </w:r>
      <w:r>
        <w:rPr>
          <w:sz w:val="22"/>
        </w:rPr>
        <w:t>S,</w:t>
      </w:r>
      <w:r>
        <w:rPr>
          <w:spacing w:val="25"/>
          <w:sz w:val="22"/>
        </w:rPr>
        <w:t> </w:t>
      </w:r>
      <w:r>
        <w:rPr>
          <w:sz w:val="22"/>
        </w:rPr>
        <w:t>et</w:t>
      </w:r>
      <w:r>
        <w:rPr>
          <w:spacing w:val="25"/>
          <w:sz w:val="22"/>
        </w:rPr>
        <w:t> </w:t>
      </w:r>
      <w:r>
        <w:rPr>
          <w:sz w:val="22"/>
        </w:rPr>
        <w:t>al.</w:t>
      </w:r>
      <w:r>
        <w:rPr>
          <w:spacing w:val="25"/>
          <w:sz w:val="22"/>
        </w:rPr>
        <w:t> </w:t>
      </w:r>
      <w:r>
        <w:rPr>
          <w:sz w:val="22"/>
        </w:rPr>
        <w:t>Factors</w:t>
      </w:r>
      <w:r>
        <w:rPr>
          <w:spacing w:val="25"/>
          <w:sz w:val="22"/>
        </w:rPr>
        <w:t> </w:t>
      </w:r>
      <w:r>
        <w:rPr>
          <w:sz w:val="22"/>
        </w:rPr>
        <w:t>associated</w:t>
      </w:r>
      <w:r>
        <w:rPr>
          <w:spacing w:val="25"/>
          <w:sz w:val="22"/>
        </w:rPr>
        <w:t> </w:t>
      </w:r>
      <w:r>
        <w:rPr>
          <w:sz w:val="22"/>
        </w:rPr>
        <w:t>with</w:t>
      </w:r>
      <w:r>
        <w:rPr>
          <w:spacing w:val="25"/>
          <w:sz w:val="22"/>
        </w:rPr>
        <w:t> </w:t>
      </w:r>
      <w:r>
        <w:rPr>
          <w:sz w:val="22"/>
        </w:rPr>
        <w:t>age</w:t>
      </w:r>
      <w:r>
        <w:rPr>
          <w:spacing w:val="25"/>
          <w:sz w:val="22"/>
        </w:rPr>
        <w:t> </w:t>
      </w:r>
      <w:r>
        <w:rPr>
          <w:sz w:val="22"/>
        </w:rPr>
        <w:t>at</w:t>
      </w:r>
      <w:r>
        <w:rPr>
          <w:spacing w:val="25"/>
          <w:sz w:val="22"/>
        </w:rPr>
        <w:t> </w:t>
      </w:r>
      <w:r>
        <w:rPr>
          <w:sz w:val="22"/>
        </w:rPr>
        <w:t>natural</w:t>
      </w:r>
      <w:r>
        <w:rPr>
          <w:spacing w:val="25"/>
          <w:sz w:val="22"/>
        </w:rPr>
        <w:t> </w:t>
      </w:r>
      <w:r>
        <w:rPr>
          <w:sz w:val="22"/>
        </w:rPr>
        <w:t>menopause in a multiethnic sample of midlife women. </w:t>
      </w:r>
      <w:r>
        <w:rPr>
          <w:i/>
          <w:sz w:val="22"/>
        </w:rPr>
        <w:t>Am J Epidemiol</w:t>
      </w:r>
      <w:r>
        <w:rPr>
          <w:sz w:val="22"/>
        </w:rPr>
        <w:t>. 2001;153:865.</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de Vries E, den Tonkelaar I, van Noord PAH, van der Schouw YT, te Velde ER, Peeters PHM. Oral contraceptive use in relation to age at menopause in the DOM cohort. </w:t>
      </w:r>
      <w:r>
        <w:rPr>
          <w:i/>
          <w:sz w:val="22"/>
        </w:rPr>
        <w:t>Hum Reprod</w:t>
      </w:r>
      <w:r>
        <w:rPr>
          <w:sz w:val="22"/>
        </w:rPr>
        <w:t>. </w:t>
      </w:r>
      <w:r>
        <w:rPr>
          <w:spacing w:val="-2"/>
          <w:sz w:val="22"/>
        </w:rPr>
        <w:t>2001;16:1657.</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Coulam CB, Adamsen SC, Annegers JF. Incidence of premature ovarian failure. </w:t>
      </w:r>
      <w:r>
        <w:rPr>
          <w:i/>
          <w:sz w:val="22"/>
        </w:rPr>
        <w:t>Obstet</w:t>
      </w:r>
      <w:r>
        <w:rPr>
          <w:i/>
          <w:spacing w:val="40"/>
          <w:sz w:val="22"/>
        </w:rPr>
        <w:t> </w:t>
      </w:r>
      <w:r>
        <w:rPr>
          <w:i/>
          <w:sz w:val="22"/>
        </w:rPr>
        <w:t>Gynecol</w:t>
      </w:r>
      <w:r>
        <w:rPr>
          <w:sz w:val="22"/>
        </w:rPr>
        <w:t>. 1986;67:604.</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Luborsky JL, Meyer P, Sowers MF, Gold EB, Santoro N. Premature menopause in a multi-ethnic population study of the menopause transition. </w:t>
      </w:r>
      <w:r>
        <w:rPr>
          <w:i/>
          <w:sz w:val="22"/>
        </w:rPr>
        <w:t>Hum Reprod</w:t>
      </w:r>
      <w:r>
        <w:rPr>
          <w:sz w:val="22"/>
        </w:rPr>
        <w:t>. 2003;18:199.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Dratva</w:t>
      </w:r>
      <w:r>
        <w:rPr>
          <w:spacing w:val="20"/>
          <w:sz w:val="22"/>
        </w:rPr>
        <w:t> </w:t>
      </w:r>
      <w:r>
        <w:rPr>
          <w:sz w:val="22"/>
        </w:rPr>
        <w:t>J,</w:t>
      </w:r>
      <w:r>
        <w:rPr>
          <w:spacing w:val="20"/>
          <w:sz w:val="22"/>
        </w:rPr>
        <w:t> </w:t>
      </w:r>
      <w:r>
        <w:rPr>
          <w:sz w:val="22"/>
        </w:rPr>
        <w:t>Real</w:t>
      </w:r>
      <w:r>
        <w:rPr>
          <w:spacing w:val="20"/>
          <w:sz w:val="22"/>
        </w:rPr>
        <w:t> </w:t>
      </w:r>
      <w:r>
        <w:rPr>
          <w:sz w:val="22"/>
        </w:rPr>
        <w:t>FG,</w:t>
      </w:r>
      <w:r>
        <w:rPr>
          <w:spacing w:val="20"/>
          <w:sz w:val="22"/>
        </w:rPr>
        <w:t> </w:t>
      </w:r>
      <w:r>
        <w:rPr>
          <w:sz w:val="22"/>
        </w:rPr>
        <w:t>Schindler</w:t>
      </w:r>
      <w:r>
        <w:rPr>
          <w:spacing w:val="20"/>
          <w:sz w:val="22"/>
        </w:rPr>
        <w:t> </w:t>
      </w:r>
      <w:r>
        <w:rPr>
          <w:sz w:val="22"/>
        </w:rPr>
        <w:t>C,</w:t>
      </w:r>
      <w:r>
        <w:rPr>
          <w:spacing w:val="20"/>
          <w:sz w:val="22"/>
        </w:rPr>
        <w:t> </w:t>
      </w:r>
      <w:r>
        <w:rPr>
          <w:sz w:val="22"/>
        </w:rPr>
        <w:t>et</w:t>
      </w:r>
      <w:r>
        <w:rPr>
          <w:spacing w:val="20"/>
          <w:sz w:val="22"/>
        </w:rPr>
        <w:t> </w:t>
      </w:r>
      <w:r>
        <w:rPr>
          <w:sz w:val="22"/>
        </w:rPr>
        <w:t>al.</w:t>
      </w:r>
      <w:r>
        <w:rPr>
          <w:spacing w:val="20"/>
          <w:sz w:val="22"/>
        </w:rPr>
        <w:t> </w:t>
      </w:r>
      <w:r>
        <w:rPr>
          <w:sz w:val="22"/>
        </w:rPr>
        <w:t>Is</w:t>
      </w:r>
      <w:r>
        <w:rPr>
          <w:spacing w:val="25"/>
          <w:sz w:val="22"/>
        </w:rPr>
        <w:t> </w:t>
      </w:r>
      <w:r>
        <w:rPr>
          <w:sz w:val="22"/>
        </w:rPr>
        <w:t>age</w:t>
      </w:r>
      <w:r>
        <w:rPr>
          <w:spacing w:val="25"/>
          <w:sz w:val="22"/>
        </w:rPr>
        <w:t> </w:t>
      </w:r>
      <w:r>
        <w:rPr>
          <w:sz w:val="22"/>
        </w:rPr>
        <w:t>at</w:t>
      </w:r>
      <w:r>
        <w:rPr>
          <w:spacing w:val="25"/>
          <w:sz w:val="22"/>
        </w:rPr>
        <w:t> </w:t>
      </w:r>
      <w:r>
        <w:rPr>
          <w:sz w:val="22"/>
        </w:rPr>
        <w:t>menopause</w:t>
      </w:r>
      <w:r>
        <w:rPr>
          <w:spacing w:val="25"/>
          <w:sz w:val="22"/>
        </w:rPr>
        <w:t> </w:t>
      </w:r>
      <w:r>
        <w:rPr>
          <w:sz w:val="22"/>
        </w:rPr>
        <w:t>increasing</w:t>
      </w:r>
      <w:r>
        <w:rPr>
          <w:spacing w:val="25"/>
          <w:sz w:val="22"/>
        </w:rPr>
        <w:t> </w:t>
      </w:r>
      <w:r>
        <w:rPr>
          <w:sz w:val="22"/>
        </w:rPr>
        <w:t>across</w:t>
      </w:r>
      <w:r>
        <w:rPr>
          <w:spacing w:val="25"/>
          <w:sz w:val="22"/>
        </w:rPr>
        <w:t> </w:t>
      </w:r>
      <w:r>
        <w:rPr>
          <w:sz w:val="22"/>
        </w:rPr>
        <w:t>Europe?</w:t>
      </w:r>
      <w:r>
        <w:rPr>
          <w:spacing w:val="25"/>
          <w:sz w:val="22"/>
        </w:rPr>
        <w:t> </w:t>
      </w:r>
      <w:r>
        <w:rPr>
          <w:sz w:val="22"/>
        </w:rPr>
        <w:t>Results on age at menopause and determinants from two population-based studies. </w:t>
      </w:r>
      <w:r>
        <w:rPr>
          <w:i/>
          <w:sz w:val="22"/>
        </w:rPr>
        <w:t>Menopause</w:t>
      </w:r>
      <w:r>
        <w:rPr>
          <w:sz w:val="22"/>
        </w:rPr>
        <w:t>. </w:t>
      </w:r>
      <w:r>
        <w:rPr>
          <w:spacing w:val="-2"/>
          <w:sz w:val="22"/>
        </w:rPr>
        <w:t>2009;16:385.</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Kapur</w:t>
      </w:r>
      <w:r>
        <w:rPr>
          <w:spacing w:val="40"/>
          <w:sz w:val="22"/>
        </w:rPr>
        <w:t> </w:t>
      </w:r>
      <w:r>
        <w:rPr>
          <w:sz w:val="22"/>
        </w:rPr>
        <w:t>P,</w:t>
      </w:r>
      <w:r>
        <w:rPr>
          <w:spacing w:val="40"/>
          <w:sz w:val="22"/>
        </w:rPr>
        <w:t> </w:t>
      </w:r>
      <w:r>
        <w:rPr>
          <w:sz w:val="22"/>
        </w:rPr>
        <w:t>Sinha</w:t>
      </w:r>
      <w:r>
        <w:rPr>
          <w:spacing w:val="40"/>
          <w:sz w:val="22"/>
        </w:rPr>
        <w:t> </w:t>
      </w:r>
      <w:r>
        <w:rPr>
          <w:sz w:val="22"/>
        </w:rPr>
        <w:t>B,</w:t>
      </w:r>
      <w:r>
        <w:rPr>
          <w:spacing w:val="40"/>
          <w:sz w:val="22"/>
        </w:rPr>
        <w:t> </w:t>
      </w:r>
      <w:r>
        <w:rPr>
          <w:sz w:val="22"/>
        </w:rPr>
        <w:t>Pereira</w:t>
      </w:r>
      <w:r>
        <w:rPr>
          <w:spacing w:val="40"/>
          <w:sz w:val="22"/>
        </w:rPr>
        <w:t> </w:t>
      </w:r>
      <w:r>
        <w:rPr>
          <w:sz w:val="22"/>
        </w:rPr>
        <w:t>BMJ.</w:t>
      </w:r>
      <w:r>
        <w:rPr>
          <w:spacing w:val="40"/>
          <w:sz w:val="22"/>
        </w:rPr>
        <w:t> </w:t>
      </w:r>
      <w:r>
        <w:rPr>
          <w:sz w:val="22"/>
        </w:rPr>
        <w:t>Measuring</w:t>
      </w:r>
      <w:r>
        <w:rPr>
          <w:spacing w:val="40"/>
          <w:sz w:val="22"/>
        </w:rPr>
        <w:t> </w:t>
      </w:r>
      <w:r>
        <w:rPr>
          <w:sz w:val="22"/>
        </w:rPr>
        <w:t>climacteric</w:t>
      </w:r>
      <w:r>
        <w:rPr>
          <w:spacing w:val="40"/>
          <w:sz w:val="22"/>
        </w:rPr>
        <w:t> </w:t>
      </w:r>
      <w:r>
        <w:rPr>
          <w:sz w:val="22"/>
        </w:rPr>
        <w:t>symptoms</w:t>
      </w:r>
      <w:r>
        <w:rPr>
          <w:spacing w:val="40"/>
          <w:sz w:val="22"/>
        </w:rPr>
        <w:t> </w:t>
      </w:r>
      <w:r>
        <w:rPr>
          <w:sz w:val="22"/>
        </w:rPr>
        <w:t>and</w:t>
      </w:r>
      <w:r>
        <w:rPr>
          <w:spacing w:val="40"/>
          <w:sz w:val="22"/>
        </w:rPr>
        <w:t> </w:t>
      </w:r>
      <w:r>
        <w:rPr>
          <w:sz w:val="22"/>
        </w:rPr>
        <w:t>age</w:t>
      </w:r>
      <w:r>
        <w:rPr>
          <w:spacing w:val="40"/>
          <w:sz w:val="22"/>
        </w:rPr>
        <w:t> </w:t>
      </w:r>
      <w:r>
        <w:rPr>
          <w:sz w:val="22"/>
        </w:rPr>
        <w:t>at</w:t>
      </w:r>
      <w:r>
        <w:rPr>
          <w:spacing w:val="40"/>
          <w:sz w:val="22"/>
        </w:rPr>
        <w:t> </w:t>
      </w:r>
      <w:r>
        <w:rPr>
          <w:sz w:val="22"/>
        </w:rPr>
        <w:t>natural menopause in an Indian population using the Greene Climacteric Scale. </w:t>
      </w:r>
      <w:r>
        <w:rPr>
          <w:i/>
          <w:sz w:val="22"/>
        </w:rPr>
        <w:t>Menopause</w:t>
      </w:r>
      <w:r>
        <w:rPr>
          <w:sz w:val="22"/>
        </w:rPr>
        <w:t>. </w:t>
      </w:r>
      <w:r>
        <w:rPr>
          <w:spacing w:val="-2"/>
          <w:sz w:val="22"/>
        </w:rPr>
        <w:t>2009;16:378.</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Tibiletti</w:t>
      </w:r>
      <w:r>
        <w:rPr>
          <w:spacing w:val="37"/>
          <w:sz w:val="22"/>
        </w:rPr>
        <w:t> </w:t>
      </w:r>
      <w:r>
        <w:rPr>
          <w:sz w:val="22"/>
        </w:rPr>
        <w:t>MG,</w:t>
      </w:r>
      <w:r>
        <w:rPr>
          <w:spacing w:val="37"/>
          <w:sz w:val="22"/>
        </w:rPr>
        <w:t> </w:t>
      </w:r>
      <w:r>
        <w:rPr>
          <w:sz w:val="22"/>
        </w:rPr>
        <w:t>Testa</w:t>
      </w:r>
      <w:r>
        <w:rPr>
          <w:spacing w:val="37"/>
          <w:sz w:val="22"/>
        </w:rPr>
        <w:t> </w:t>
      </w:r>
      <w:r>
        <w:rPr>
          <w:sz w:val="22"/>
        </w:rPr>
        <w:t>G,</w:t>
      </w:r>
      <w:r>
        <w:rPr>
          <w:spacing w:val="37"/>
          <w:sz w:val="22"/>
        </w:rPr>
        <w:t> </w:t>
      </w:r>
      <w:r>
        <w:rPr>
          <w:sz w:val="22"/>
        </w:rPr>
        <w:t>Vegetti</w:t>
      </w:r>
      <w:r>
        <w:rPr>
          <w:spacing w:val="37"/>
          <w:sz w:val="22"/>
        </w:rPr>
        <w:t> </w:t>
      </w:r>
      <w:r>
        <w:rPr>
          <w:sz w:val="22"/>
        </w:rPr>
        <w:t>W,</w:t>
      </w:r>
      <w:r>
        <w:rPr>
          <w:spacing w:val="37"/>
          <w:sz w:val="22"/>
        </w:rPr>
        <w:t> </w:t>
      </w:r>
      <w:r>
        <w:rPr>
          <w:sz w:val="22"/>
        </w:rPr>
        <w:t>et</w:t>
      </w:r>
      <w:r>
        <w:rPr>
          <w:spacing w:val="37"/>
          <w:sz w:val="22"/>
        </w:rPr>
        <w:t> </w:t>
      </w:r>
      <w:r>
        <w:rPr>
          <w:sz w:val="22"/>
        </w:rPr>
        <w:t>al.</w:t>
      </w:r>
      <w:r>
        <w:rPr>
          <w:spacing w:val="36"/>
          <w:sz w:val="22"/>
        </w:rPr>
        <w:t> </w:t>
      </w:r>
      <w:r>
        <w:rPr>
          <w:sz w:val="22"/>
        </w:rPr>
        <w:t>The</w:t>
      </w:r>
      <w:r>
        <w:rPr>
          <w:spacing w:val="37"/>
          <w:sz w:val="22"/>
        </w:rPr>
        <w:t> </w:t>
      </w:r>
      <w:r>
        <w:rPr>
          <w:sz w:val="22"/>
        </w:rPr>
        <w:t>idiopathic</w:t>
      </w:r>
      <w:r>
        <w:rPr>
          <w:spacing w:val="37"/>
          <w:sz w:val="22"/>
        </w:rPr>
        <w:t> </w:t>
      </w:r>
      <w:r>
        <w:rPr>
          <w:sz w:val="22"/>
        </w:rPr>
        <w:t>forms</w:t>
      </w:r>
      <w:r>
        <w:rPr>
          <w:spacing w:val="37"/>
          <w:sz w:val="22"/>
        </w:rPr>
        <w:t> </w:t>
      </w:r>
      <w:r>
        <w:rPr>
          <w:sz w:val="22"/>
        </w:rPr>
        <w:t>of</w:t>
      </w:r>
      <w:r>
        <w:rPr>
          <w:spacing w:val="37"/>
          <w:sz w:val="22"/>
        </w:rPr>
        <w:t> </w:t>
      </w:r>
      <w:r>
        <w:rPr>
          <w:sz w:val="22"/>
        </w:rPr>
        <w:t>premature</w:t>
      </w:r>
      <w:r>
        <w:rPr>
          <w:spacing w:val="37"/>
          <w:sz w:val="22"/>
        </w:rPr>
        <w:t> </w:t>
      </w:r>
      <w:r>
        <w:rPr>
          <w:sz w:val="22"/>
        </w:rPr>
        <w:t>menopause</w:t>
      </w:r>
      <w:r>
        <w:rPr>
          <w:spacing w:val="37"/>
          <w:sz w:val="22"/>
        </w:rPr>
        <w:t> </w:t>
      </w:r>
      <w:r>
        <w:rPr>
          <w:sz w:val="22"/>
        </w:rPr>
        <w:t>and early menopause show the same genetic pattern. </w:t>
      </w:r>
      <w:r>
        <w:rPr>
          <w:i/>
          <w:sz w:val="22"/>
        </w:rPr>
        <w:t>Hum Reprod</w:t>
      </w:r>
      <w:r>
        <w:rPr>
          <w:sz w:val="22"/>
        </w:rPr>
        <w:t>. 1999;14:2731.</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Vegetti W, Marozzi A, Manfredini E, et al. Premature ovarian failure. </w:t>
      </w:r>
      <w:r>
        <w:rPr>
          <w:i/>
          <w:sz w:val="22"/>
        </w:rPr>
        <w:t>Mol Cell Endocrinol</w:t>
      </w:r>
      <w:r>
        <w:rPr>
          <w:sz w:val="22"/>
        </w:rPr>
        <w:t>. </w:t>
      </w:r>
      <w:r>
        <w:rPr>
          <w:spacing w:val="-2"/>
          <w:sz w:val="22"/>
        </w:rPr>
        <w:t>2000;161:53.</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Torgerson DJ, Avenell A, Russell IT, Reid DM. Factors associated with onset of menopause in women aged 45-49. </w:t>
      </w:r>
      <w:r>
        <w:rPr>
          <w:i/>
          <w:sz w:val="22"/>
        </w:rPr>
        <w:t>Maturitas</w:t>
      </w:r>
      <w:r>
        <w:rPr>
          <w:sz w:val="22"/>
        </w:rPr>
        <w:t>. 1994;19:83.</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Torgerson</w:t>
      </w:r>
      <w:r>
        <w:rPr>
          <w:spacing w:val="40"/>
          <w:sz w:val="22"/>
        </w:rPr>
        <w:t> </w:t>
      </w:r>
      <w:r>
        <w:rPr>
          <w:sz w:val="22"/>
        </w:rPr>
        <w:t>DJ,</w:t>
      </w:r>
      <w:r>
        <w:rPr>
          <w:spacing w:val="40"/>
          <w:sz w:val="22"/>
        </w:rPr>
        <w:t> </w:t>
      </w:r>
      <w:r>
        <w:rPr>
          <w:sz w:val="22"/>
        </w:rPr>
        <w:t>Thomas</w:t>
      </w:r>
      <w:r>
        <w:rPr>
          <w:spacing w:val="40"/>
          <w:sz w:val="22"/>
        </w:rPr>
        <w:t> </w:t>
      </w:r>
      <w:r>
        <w:rPr>
          <w:sz w:val="22"/>
        </w:rPr>
        <w:t>RE,</w:t>
      </w:r>
      <w:r>
        <w:rPr>
          <w:spacing w:val="40"/>
          <w:sz w:val="22"/>
        </w:rPr>
        <w:t> </w:t>
      </w:r>
      <w:r>
        <w:rPr>
          <w:sz w:val="22"/>
        </w:rPr>
        <w:t>Campbell</w:t>
      </w:r>
      <w:r>
        <w:rPr>
          <w:spacing w:val="40"/>
          <w:sz w:val="22"/>
        </w:rPr>
        <w:t> </w:t>
      </w:r>
      <w:r>
        <w:rPr>
          <w:sz w:val="22"/>
        </w:rPr>
        <w:t>MK,</w:t>
      </w:r>
      <w:r>
        <w:rPr>
          <w:spacing w:val="40"/>
          <w:sz w:val="22"/>
        </w:rPr>
        <w:t> </w:t>
      </w:r>
      <w:r>
        <w:rPr>
          <w:sz w:val="22"/>
        </w:rPr>
        <w:t>Reid</w:t>
      </w:r>
      <w:r>
        <w:rPr>
          <w:spacing w:val="40"/>
          <w:sz w:val="22"/>
        </w:rPr>
        <w:t> </w:t>
      </w:r>
      <w:r>
        <w:rPr>
          <w:sz w:val="22"/>
        </w:rPr>
        <w:t>DM.</w:t>
      </w:r>
      <w:r>
        <w:rPr>
          <w:spacing w:val="40"/>
          <w:sz w:val="22"/>
        </w:rPr>
        <w:t> </w:t>
      </w:r>
      <w:r>
        <w:rPr>
          <w:sz w:val="22"/>
        </w:rPr>
        <w:t>Alcohol</w:t>
      </w:r>
      <w:r>
        <w:rPr>
          <w:spacing w:val="40"/>
          <w:sz w:val="22"/>
        </w:rPr>
        <w:t> </w:t>
      </w:r>
      <w:r>
        <w:rPr>
          <w:sz w:val="22"/>
        </w:rPr>
        <w:t>consumption</w:t>
      </w:r>
      <w:r>
        <w:rPr>
          <w:spacing w:val="40"/>
          <w:sz w:val="22"/>
        </w:rPr>
        <w:t> </w:t>
      </w:r>
      <w:r>
        <w:rPr>
          <w:sz w:val="22"/>
        </w:rPr>
        <w:t>and</w:t>
      </w:r>
      <w:r>
        <w:rPr>
          <w:spacing w:val="40"/>
          <w:sz w:val="22"/>
        </w:rPr>
        <w:t> </w:t>
      </w:r>
      <w:r>
        <w:rPr>
          <w:sz w:val="22"/>
        </w:rPr>
        <w:t>age</w:t>
      </w:r>
      <w:r>
        <w:rPr>
          <w:spacing w:val="40"/>
          <w:sz w:val="22"/>
        </w:rPr>
        <w:t> </w:t>
      </w:r>
      <w:r>
        <w:rPr>
          <w:sz w:val="22"/>
        </w:rPr>
        <w:t>of maternal menopause are associated with menopause onset. </w:t>
      </w:r>
      <w:r>
        <w:rPr>
          <w:i/>
          <w:sz w:val="22"/>
        </w:rPr>
        <w:t>Maturitas</w:t>
      </w:r>
      <w:r>
        <w:rPr>
          <w:sz w:val="22"/>
        </w:rPr>
        <w:t>. 1997;26:21.</w:t>
      </w:r>
    </w:p>
    <w:p>
      <w:pPr>
        <w:pStyle w:val="ListParagraph"/>
        <w:numPr>
          <w:ilvl w:val="0"/>
          <w:numId w:val="9"/>
        </w:numPr>
        <w:tabs>
          <w:tab w:pos="699" w:val="left" w:leader="none"/>
          <w:tab w:pos="718" w:val="left" w:leader="none"/>
        </w:tabs>
        <w:spacing w:line="256" w:lineRule="auto" w:before="0" w:after="0"/>
        <w:ind w:left="718" w:right="105" w:hanging="507"/>
        <w:jc w:val="both"/>
        <w:rPr>
          <w:sz w:val="22"/>
        </w:rPr>
      </w:pPr>
      <w:r>
        <w:rPr>
          <w:sz w:val="22"/>
        </w:rPr>
        <w:t>Cramer</w:t>
      </w:r>
      <w:r>
        <w:rPr>
          <w:spacing w:val="40"/>
          <w:sz w:val="22"/>
        </w:rPr>
        <w:t> </w:t>
      </w:r>
      <w:r>
        <w:rPr>
          <w:sz w:val="22"/>
        </w:rPr>
        <w:t>DW,</w:t>
      </w:r>
      <w:r>
        <w:rPr>
          <w:spacing w:val="40"/>
          <w:sz w:val="22"/>
        </w:rPr>
        <w:t> </w:t>
      </w:r>
      <w:r>
        <w:rPr>
          <w:sz w:val="22"/>
        </w:rPr>
        <w:t>Xu</w:t>
      </w:r>
      <w:r>
        <w:rPr>
          <w:spacing w:val="40"/>
          <w:sz w:val="22"/>
        </w:rPr>
        <w:t> </w:t>
      </w:r>
      <w:r>
        <w:rPr>
          <w:sz w:val="22"/>
        </w:rPr>
        <w:t>H,</w:t>
      </w:r>
      <w:r>
        <w:rPr>
          <w:spacing w:val="40"/>
          <w:sz w:val="22"/>
        </w:rPr>
        <w:t> </w:t>
      </w:r>
      <w:r>
        <w:rPr>
          <w:sz w:val="22"/>
        </w:rPr>
        <w:t>Harlow</w:t>
      </w:r>
      <w:r>
        <w:rPr>
          <w:spacing w:val="40"/>
          <w:sz w:val="22"/>
        </w:rPr>
        <w:t> </w:t>
      </w:r>
      <w:r>
        <w:rPr>
          <w:sz w:val="22"/>
        </w:rPr>
        <w:t>BL.</w:t>
      </w:r>
      <w:r>
        <w:rPr>
          <w:spacing w:val="40"/>
          <w:sz w:val="22"/>
        </w:rPr>
        <w:t> </w:t>
      </w:r>
      <w:r>
        <w:rPr>
          <w:sz w:val="22"/>
        </w:rPr>
        <w:t>Family</w:t>
      </w:r>
      <w:r>
        <w:rPr>
          <w:spacing w:val="40"/>
          <w:sz w:val="22"/>
        </w:rPr>
        <w:t> </w:t>
      </w:r>
      <w:r>
        <w:rPr>
          <w:sz w:val="22"/>
        </w:rPr>
        <w:t>history</w:t>
      </w:r>
      <w:r>
        <w:rPr>
          <w:spacing w:val="40"/>
          <w:sz w:val="22"/>
        </w:rPr>
        <w:t> </w:t>
      </w:r>
      <w:r>
        <w:rPr>
          <w:sz w:val="22"/>
        </w:rPr>
        <w:t>as</w:t>
      </w:r>
      <w:r>
        <w:rPr>
          <w:spacing w:val="40"/>
          <w:sz w:val="22"/>
        </w:rPr>
        <w:t> </w:t>
      </w:r>
      <w:r>
        <w:rPr>
          <w:sz w:val="22"/>
        </w:rPr>
        <w:t>a</w:t>
      </w:r>
      <w:r>
        <w:rPr>
          <w:spacing w:val="40"/>
          <w:sz w:val="22"/>
        </w:rPr>
        <w:t> </w:t>
      </w:r>
      <w:r>
        <w:rPr>
          <w:sz w:val="22"/>
        </w:rPr>
        <w:t>predictor</w:t>
      </w:r>
      <w:r>
        <w:rPr>
          <w:spacing w:val="40"/>
          <w:sz w:val="22"/>
        </w:rPr>
        <w:t> </w:t>
      </w:r>
      <w:r>
        <w:rPr>
          <w:sz w:val="22"/>
        </w:rPr>
        <w:t>of</w:t>
      </w:r>
      <w:r>
        <w:rPr>
          <w:spacing w:val="40"/>
          <w:sz w:val="22"/>
        </w:rPr>
        <w:t> </w:t>
      </w:r>
      <w:r>
        <w:rPr>
          <w:sz w:val="22"/>
        </w:rPr>
        <w:t>early</w:t>
      </w:r>
      <w:r>
        <w:rPr>
          <w:spacing w:val="40"/>
          <w:sz w:val="22"/>
        </w:rPr>
        <w:t> </w:t>
      </w:r>
      <w:r>
        <w:rPr>
          <w:sz w:val="22"/>
        </w:rPr>
        <w:t>menopause.</w:t>
      </w:r>
      <w:r>
        <w:rPr>
          <w:spacing w:val="40"/>
          <w:sz w:val="22"/>
        </w:rPr>
        <w:t> </w:t>
      </w:r>
      <w:r>
        <w:rPr>
          <w:i/>
          <w:sz w:val="22"/>
        </w:rPr>
        <w:t>Fertil</w:t>
      </w:r>
      <w:r>
        <w:rPr>
          <w:i/>
          <w:sz w:val="22"/>
        </w:rPr>
        <w:t> Steril</w:t>
      </w:r>
      <w:r>
        <w:rPr>
          <w:sz w:val="22"/>
        </w:rPr>
        <w:t>. 1995;64:740.</w:t>
      </w:r>
    </w:p>
    <w:p>
      <w:pPr>
        <w:pStyle w:val="ListParagraph"/>
        <w:numPr>
          <w:ilvl w:val="0"/>
          <w:numId w:val="9"/>
        </w:numPr>
        <w:tabs>
          <w:tab w:pos="691" w:val="left" w:leader="none"/>
        </w:tabs>
        <w:spacing w:line="252" w:lineRule="exact" w:before="0" w:after="0"/>
        <w:ind w:left="691" w:right="0" w:hanging="479"/>
        <w:jc w:val="both"/>
        <w:rPr>
          <w:sz w:val="22"/>
        </w:rPr>
      </w:pPr>
      <w:r>
        <w:rPr>
          <w:sz w:val="22"/>
        </w:rPr>
        <w:t>Nelson</w:t>
      </w:r>
      <w:r>
        <w:rPr>
          <w:spacing w:val="10"/>
          <w:sz w:val="22"/>
        </w:rPr>
        <w:t> </w:t>
      </w:r>
      <w:r>
        <w:rPr>
          <w:sz w:val="22"/>
        </w:rPr>
        <w:t>LM.</w:t>
      </w:r>
      <w:r>
        <w:rPr>
          <w:spacing w:val="10"/>
          <w:sz w:val="22"/>
        </w:rPr>
        <w:t> </w:t>
      </w:r>
      <w:r>
        <w:rPr>
          <w:sz w:val="22"/>
        </w:rPr>
        <w:t>Clinical</w:t>
      </w:r>
      <w:r>
        <w:rPr>
          <w:spacing w:val="10"/>
          <w:sz w:val="22"/>
        </w:rPr>
        <w:t> </w:t>
      </w:r>
      <w:r>
        <w:rPr>
          <w:sz w:val="22"/>
        </w:rPr>
        <w:t>practice:</w:t>
      </w:r>
      <w:r>
        <w:rPr>
          <w:spacing w:val="10"/>
          <w:sz w:val="22"/>
        </w:rPr>
        <w:t> </w:t>
      </w:r>
      <w:r>
        <w:rPr>
          <w:sz w:val="22"/>
        </w:rPr>
        <w:t>primary</w:t>
      </w:r>
      <w:r>
        <w:rPr>
          <w:spacing w:val="11"/>
          <w:sz w:val="22"/>
        </w:rPr>
        <w:t> </w:t>
      </w:r>
      <w:r>
        <w:rPr>
          <w:sz w:val="22"/>
        </w:rPr>
        <w:t>ovarian</w:t>
      </w:r>
      <w:r>
        <w:rPr>
          <w:spacing w:val="10"/>
          <w:sz w:val="22"/>
        </w:rPr>
        <w:t> </w:t>
      </w:r>
      <w:r>
        <w:rPr>
          <w:sz w:val="22"/>
        </w:rPr>
        <w:t>insufficiency.</w:t>
      </w:r>
      <w:r>
        <w:rPr>
          <w:spacing w:val="10"/>
          <w:sz w:val="22"/>
        </w:rPr>
        <w:t> </w:t>
      </w:r>
      <w:r>
        <w:rPr>
          <w:i/>
          <w:sz w:val="22"/>
        </w:rPr>
        <w:t>N</w:t>
      </w:r>
      <w:r>
        <w:rPr>
          <w:i/>
          <w:spacing w:val="10"/>
          <w:sz w:val="22"/>
        </w:rPr>
        <w:t> </w:t>
      </w:r>
      <w:r>
        <w:rPr>
          <w:i/>
          <w:sz w:val="22"/>
        </w:rPr>
        <w:t>Engl</w:t>
      </w:r>
      <w:r>
        <w:rPr>
          <w:i/>
          <w:spacing w:val="11"/>
          <w:sz w:val="22"/>
        </w:rPr>
        <w:t> </w:t>
      </w:r>
      <w:r>
        <w:rPr>
          <w:i/>
          <w:sz w:val="22"/>
        </w:rPr>
        <w:t>J</w:t>
      </w:r>
      <w:r>
        <w:rPr>
          <w:i/>
          <w:spacing w:val="10"/>
          <w:sz w:val="22"/>
        </w:rPr>
        <w:t> </w:t>
      </w:r>
      <w:r>
        <w:rPr>
          <w:i/>
          <w:sz w:val="22"/>
        </w:rPr>
        <w:t>Med</w:t>
      </w:r>
      <w:r>
        <w:rPr>
          <w:sz w:val="22"/>
        </w:rPr>
        <w:t>.</w:t>
      </w:r>
      <w:r>
        <w:rPr>
          <w:spacing w:val="10"/>
          <w:sz w:val="22"/>
        </w:rPr>
        <w:t> </w:t>
      </w:r>
      <w:r>
        <w:rPr>
          <w:spacing w:val="-2"/>
          <w:sz w:val="22"/>
        </w:rPr>
        <w:t>2009;360(6):606.</w:t>
      </w:r>
    </w:p>
    <w:p>
      <w:pPr>
        <w:pStyle w:val="ListParagraph"/>
        <w:numPr>
          <w:ilvl w:val="0"/>
          <w:numId w:val="9"/>
        </w:numPr>
        <w:tabs>
          <w:tab w:pos="699" w:val="left" w:leader="none"/>
          <w:tab w:pos="718" w:val="left" w:leader="none"/>
        </w:tabs>
        <w:spacing w:line="256" w:lineRule="auto" w:before="0" w:after="0"/>
        <w:ind w:left="718" w:right="105" w:hanging="507"/>
        <w:jc w:val="both"/>
        <w:rPr>
          <w:sz w:val="22"/>
        </w:rPr>
      </w:pPr>
      <w:r>
        <w:rPr>
          <w:sz w:val="22"/>
        </w:rPr>
        <w:t>Baird</w:t>
      </w:r>
      <w:r>
        <w:rPr>
          <w:spacing w:val="23"/>
          <w:sz w:val="22"/>
        </w:rPr>
        <w:t> </w:t>
      </w:r>
      <w:r>
        <w:rPr>
          <w:sz w:val="22"/>
        </w:rPr>
        <w:t>DD,</w:t>
      </w:r>
      <w:r>
        <w:rPr>
          <w:spacing w:val="23"/>
          <w:sz w:val="22"/>
        </w:rPr>
        <w:t> </w:t>
      </w:r>
      <w:r>
        <w:rPr>
          <w:sz w:val="22"/>
        </w:rPr>
        <w:t>Tylavsky</w:t>
      </w:r>
      <w:r>
        <w:rPr>
          <w:spacing w:val="23"/>
          <w:sz w:val="22"/>
        </w:rPr>
        <w:t> </w:t>
      </w:r>
      <w:r>
        <w:rPr>
          <w:sz w:val="22"/>
        </w:rPr>
        <w:t>FA,</w:t>
      </w:r>
      <w:r>
        <w:rPr>
          <w:spacing w:val="23"/>
          <w:sz w:val="22"/>
        </w:rPr>
        <w:t> </w:t>
      </w:r>
      <w:r>
        <w:rPr>
          <w:sz w:val="22"/>
        </w:rPr>
        <w:t>Anderson</w:t>
      </w:r>
      <w:r>
        <w:rPr>
          <w:spacing w:val="23"/>
          <w:sz w:val="22"/>
        </w:rPr>
        <w:t> </w:t>
      </w:r>
      <w:r>
        <w:rPr>
          <w:sz w:val="22"/>
        </w:rPr>
        <w:t>JJB.</w:t>
      </w:r>
      <w:r>
        <w:rPr>
          <w:spacing w:val="23"/>
          <w:sz w:val="22"/>
        </w:rPr>
        <w:t> </w:t>
      </w:r>
      <w:r>
        <w:rPr>
          <w:sz w:val="22"/>
        </w:rPr>
        <w:t>Do</w:t>
      </w:r>
      <w:r>
        <w:rPr>
          <w:spacing w:val="23"/>
          <w:sz w:val="22"/>
        </w:rPr>
        <w:t> </w:t>
      </w:r>
      <w:r>
        <w:rPr>
          <w:sz w:val="22"/>
        </w:rPr>
        <w:t>vegetarians</w:t>
      </w:r>
      <w:r>
        <w:rPr>
          <w:spacing w:val="23"/>
          <w:sz w:val="22"/>
        </w:rPr>
        <w:t> </w:t>
      </w:r>
      <w:r>
        <w:rPr>
          <w:sz w:val="22"/>
        </w:rPr>
        <w:t>have</w:t>
      </w:r>
      <w:r>
        <w:rPr>
          <w:spacing w:val="23"/>
          <w:sz w:val="22"/>
        </w:rPr>
        <w:t> </w:t>
      </w:r>
      <w:r>
        <w:rPr>
          <w:sz w:val="22"/>
        </w:rPr>
        <w:t>earlier</w:t>
      </w:r>
      <w:r>
        <w:rPr>
          <w:spacing w:val="23"/>
          <w:sz w:val="22"/>
        </w:rPr>
        <w:t> </w:t>
      </w:r>
      <w:r>
        <w:rPr>
          <w:sz w:val="22"/>
        </w:rPr>
        <w:t>menopause?</w:t>
      </w:r>
      <w:r>
        <w:rPr>
          <w:spacing w:val="23"/>
          <w:sz w:val="22"/>
        </w:rPr>
        <w:t> </w:t>
      </w:r>
      <w:r>
        <w:rPr>
          <w:sz w:val="22"/>
        </w:rPr>
        <w:t>Proceedings of the Society of Epidemiologic Research. </w:t>
      </w:r>
      <w:r>
        <w:rPr>
          <w:i/>
          <w:sz w:val="22"/>
        </w:rPr>
        <w:t>Am J Epidemiol</w:t>
      </w:r>
      <w:r>
        <w:rPr>
          <w:sz w:val="22"/>
        </w:rPr>
        <w:t>. 1988;19:1.</w:t>
      </w:r>
    </w:p>
    <w:p>
      <w:pPr>
        <w:pStyle w:val="ListParagraph"/>
        <w:numPr>
          <w:ilvl w:val="0"/>
          <w:numId w:val="9"/>
        </w:numPr>
        <w:tabs>
          <w:tab w:pos="700" w:val="left" w:leader="none"/>
        </w:tabs>
        <w:spacing w:line="252" w:lineRule="exact" w:before="0" w:after="0"/>
        <w:ind w:left="700" w:right="0" w:hanging="488"/>
        <w:jc w:val="both"/>
        <w:rPr>
          <w:sz w:val="22"/>
        </w:rPr>
      </w:pPr>
      <w:r>
        <w:rPr>
          <w:sz w:val="22"/>
        </w:rPr>
        <w:t>MacMahon</w:t>
      </w:r>
      <w:r>
        <w:rPr>
          <w:spacing w:val="11"/>
          <w:sz w:val="22"/>
        </w:rPr>
        <w:t> </w:t>
      </w:r>
      <w:r>
        <w:rPr>
          <w:sz w:val="22"/>
        </w:rPr>
        <w:t>B,</w:t>
      </w:r>
      <w:r>
        <w:rPr>
          <w:spacing w:val="11"/>
          <w:sz w:val="22"/>
        </w:rPr>
        <w:t> </w:t>
      </w:r>
      <w:r>
        <w:rPr>
          <w:sz w:val="22"/>
        </w:rPr>
        <w:t>Worcester</w:t>
      </w:r>
      <w:r>
        <w:rPr>
          <w:spacing w:val="12"/>
          <w:sz w:val="22"/>
        </w:rPr>
        <w:t> </w:t>
      </w:r>
      <w:r>
        <w:rPr>
          <w:sz w:val="22"/>
        </w:rPr>
        <w:t>J.</w:t>
      </w:r>
      <w:r>
        <w:rPr>
          <w:spacing w:val="11"/>
          <w:sz w:val="22"/>
        </w:rPr>
        <w:t> </w:t>
      </w:r>
      <w:r>
        <w:rPr>
          <w:sz w:val="22"/>
        </w:rPr>
        <w:t>Age</w:t>
      </w:r>
      <w:r>
        <w:rPr>
          <w:spacing w:val="12"/>
          <w:sz w:val="22"/>
        </w:rPr>
        <w:t> </w:t>
      </w:r>
      <w:r>
        <w:rPr>
          <w:sz w:val="22"/>
        </w:rPr>
        <w:t>at</w:t>
      </w:r>
      <w:r>
        <w:rPr>
          <w:spacing w:val="11"/>
          <w:sz w:val="22"/>
        </w:rPr>
        <w:t> </w:t>
      </w:r>
      <w:r>
        <w:rPr>
          <w:sz w:val="22"/>
        </w:rPr>
        <w:t>menopause</w:t>
      </w:r>
      <w:r>
        <w:rPr>
          <w:spacing w:val="12"/>
          <w:sz w:val="22"/>
        </w:rPr>
        <w:t> </w:t>
      </w:r>
      <w:r>
        <w:rPr>
          <w:sz w:val="22"/>
        </w:rPr>
        <w:t>U.S.</w:t>
      </w:r>
      <w:r>
        <w:rPr>
          <w:spacing w:val="11"/>
          <w:sz w:val="22"/>
        </w:rPr>
        <w:t> </w:t>
      </w:r>
      <w:r>
        <w:rPr>
          <w:sz w:val="22"/>
        </w:rPr>
        <w:t>1960-1962.</w:t>
      </w:r>
      <w:r>
        <w:rPr>
          <w:spacing w:val="11"/>
          <w:sz w:val="22"/>
        </w:rPr>
        <w:t> </w:t>
      </w:r>
      <w:r>
        <w:rPr>
          <w:i/>
          <w:sz w:val="22"/>
        </w:rPr>
        <w:t>Vital</w:t>
      </w:r>
      <w:r>
        <w:rPr>
          <w:i/>
          <w:spacing w:val="12"/>
          <w:sz w:val="22"/>
        </w:rPr>
        <w:t> </w:t>
      </w:r>
      <w:r>
        <w:rPr>
          <w:i/>
          <w:sz w:val="22"/>
        </w:rPr>
        <w:t>Health</w:t>
      </w:r>
      <w:r>
        <w:rPr>
          <w:i/>
          <w:spacing w:val="11"/>
          <w:sz w:val="22"/>
        </w:rPr>
        <w:t> </w:t>
      </w:r>
      <w:r>
        <w:rPr>
          <w:i/>
          <w:sz w:val="22"/>
        </w:rPr>
        <w:t>Stat</w:t>
      </w:r>
      <w:r>
        <w:rPr>
          <w:sz w:val="22"/>
        </w:rPr>
        <w:t>.</w:t>
      </w:r>
      <w:r>
        <w:rPr>
          <w:spacing w:val="12"/>
          <w:sz w:val="22"/>
        </w:rPr>
        <w:t> </w:t>
      </w:r>
      <w:r>
        <w:rPr>
          <w:spacing w:val="-2"/>
          <w:sz w:val="22"/>
        </w:rPr>
        <w:t>1966;19:1.</w:t>
      </w:r>
    </w:p>
    <w:p>
      <w:pPr>
        <w:pStyle w:val="ListParagraph"/>
        <w:numPr>
          <w:ilvl w:val="0"/>
          <w:numId w:val="9"/>
        </w:numPr>
        <w:tabs>
          <w:tab w:pos="699" w:val="left" w:leader="none"/>
          <w:tab w:pos="718" w:val="left" w:leader="none"/>
        </w:tabs>
        <w:spacing w:line="256" w:lineRule="auto" w:before="16" w:after="0"/>
        <w:ind w:left="718" w:right="99" w:hanging="507"/>
        <w:jc w:val="both"/>
        <w:rPr>
          <w:sz w:val="22"/>
        </w:rPr>
      </w:pPr>
      <w:r>
        <w:rPr>
          <w:sz w:val="22"/>
        </w:rPr>
        <w:t>Katsouyanni K, Boyle P, Trichopoulos D. Diet and urine estrogens among </w:t>
      </w:r>
      <w:r>
        <w:rPr>
          <w:sz w:val="22"/>
        </w:rPr>
        <w:t>postmenopausal women. </w:t>
      </w:r>
      <w:r>
        <w:rPr>
          <w:i/>
          <w:sz w:val="22"/>
        </w:rPr>
        <w:t>Oncology</w:t>
      </w:r>
      <w:r>
        <w:rPr>
          <w:sz w:val="22"/>
        </w:rPr>
        <w:t>. 1991;48:490.</w:t>
      </w:r>
    </w:p>
    <w:p>
      <w:pPr>
        <w:pStyle w:val="ListParagraph"/>
        <w:numPr>
          <w:ilvl w:val="0"/>
          <w:numId w:val="9"/>
        </w:numPr>
        <w:tabs>
          <w:tab w:pos="699" w:val="left" w:leader="none"/>
          <w:tab w:pos="718" w:val="left" w:leader="none"/>
        </w:tabs>
        <w:spacing w:line="256" w:lineRule="auto" w:before="0" w:after="0"/>
        <w:ind w:left="718" w:right="107" w:hanging="507"/>
        <w:jc w:val="both"/>
        <w:rPr>
          <w:sz w:val="22"/>
        </w:rPr>
      </w:pPr>
      <w:r>
        <w:rPr>
          <w:sz w:val="22"/>
        </w:rPr>
        <w:t>Gapstur SM, Potter JD, Sellers TA, Folsom AR. Increased risk of breast cancer with alcohol consumption in postmenopausal women. </w:t>
      </w:r>
      <w:r>
        <w:rPr>
          <w:i/>
          <w:sz w:val="22"/>
        </w:rPr>
        <w:t>Am J Epidemiol</w:t>
      </w:r>
      <w:r>
        <w:rPr>
          <w:sz w:val="22"/>
        </w:rPr>
        <w:t>. 1992;136:1221.</w:t>
      </w:r>
    </w:p>
    <w:p>
      <w:pPr>
        <w:pStyle w:val="ListParagraph"/>
        <w:numPr>
          <w:ilvl w:val="0"/>
          <w:numId w:val="9"/>
        </w:numPr>
        <w:tabs>
          <w:tab w:pos="699" w:val="left" w:leader="none"/>
          <w:tab w:pos="718" w:val="left" w:leader="none"/>
        </w:tabs>
        <w:spacing w:line="256" w:lineRule="auto" w:before="0" w:after="0"/>
        <w:ind w:left="718" w:right="99" w:hanging="507"/>
        <w:jc w:val="both"/>
        <w:rPr>
          <w:sz w:val="22"/>
        </w:rPr>
      </w:pPr>
      <w:r>
        <w:rPr>
          <w:sz w:val="22"/>
        </w:rPr>
        <w:t>Gavaler JS, Van Thiel DH. The association between moderate alcoholic beverage consumption and serum estradiol and testosterone levels in normal postmenopausal women: relationship </w:t>
      </w:r>
      <w:r>
        <w:rPr>
          <w:sz w:val="22"/>
        </w:rPr>
        <w:t>to</w:t>
      </w:r>
      <w:r>
        <w:rPr>
          <w:spacing w:val="40"/>
          <w:sz w:val="22"/>
        </w:rPr>
        <w:t> </w:t>
      </w:r>
      <w:r>
        <w:rPr>
          <w:sz w:val="22"/>
        </w:rPr>
        <w:t>the literature. </w:t>
      </w:r>
      <w:r>
        <w:rPr>
          <w:i/>
          <w:sz w:val="22"/>
        </w:rPr>
        <w:t>Alcohol Clin Exp Res</w:t>
      </w:r>
      <w:r>
        <w:rPr>
          <w:sz w:val="22"/>
        </w:rPr>
        <w:t>. 1992;16:87.</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699" w:val="left" w:leader="none"/>
          <w:tab w:pos="718" w:val="left" w:leader="none"/>
        </w:tabs>
        <w:spacing w:line="256" w:lineRule="auto" w:before="84" w:after="0"/>
        <w:ind w:left="718" w:right="110" w:hanging="507"/>
        <w:jc w:val="both"/>
        <w:rPr>
          <w:sz w:val="22"/>
        </w:rPr>
      </w:pPr>
      <w:r>
        <w:rPr>
          <w:sz w:val="22"/>
        </w:rPr>
        <w:t>Holbrook</w:t>
      </w:r>
      <w:r>
        <w:rPr>
          <w:spacing w:val="40"/>
          <w:sz w:val="22"/>
        </w:rPr>
        <w:t> </w:t>
      </w:r>
      <w:r>
        <w:rPr>
          <w:sz w:val="22"/>
        </w:rPr>
        <w:t>TC,</w:t>
      </w:r>
      <w:r>
        <w:rPr>
          <w:spacing w:val="40"/>
          <w:sz w:val="22"/>
        </w:rPr>
        <w:t> </w:t>
      </w:r>
      <w:r>
        <w:rPr>
          <w:sz w:val="22"/>
        </w:rPr>
        <w:t>Barrett-Connor</w:t>
      </w:r>
      <w:r>
        <w:rPr>
          <w:spacing w:val="40"/>
          <w:sz w:val="22"/>
        </w:rPr>
        <w:t> </w:t>
      </w:r>
      <w:r>
        <w:rPr>
          <w:sz w:val="22"/>
        </w:rPr>
        <w:t>E.</w:t>
      </w:r>
      <w:r>
        <w:rPr>
          <w:spacing w:val="40"/>
          <w:sz w:val="22"/>
        </w:rPr>
        <w:t> </w:t>
      </w:r>
      <w:r>
        <w:rPr>
          <w:sz w:val="22"/>
        </w:rPr>
        <w:t>A</w:t>
      </w:r>
      <w:r>
        <w:rPr>
          <w:spacing w:val="40"/>
          <w:sz w:val="22"/>
        </w:rPr>
        <w:t> </w:t>
      </w:r>
      <w:r>
        <w:rPr>
          <w:sz w:val="22"/>
        </w:rPr>
        <w:t>prospective</w:t>
      </w:r>
      <w:r>
        <w:rPr>
          <w:spacing w:val="40"/>
          <w:sz w:val="22"/>
        </w:rPr>
        <w:t> </w:t>
      </w:r>
      <w:r>
        <w:rPr>
          <w:sz w:val="22"/>
        </w:rPr>
        <w:t>study</w:t>
      </w:r>
      <w:r>
        <w:rPr>
          <w:spacing w:val="40"/>
          <w:sz w:val="22"/>
        </w:rPr>
        <w:t> </w:t>
      </w:r>
      <w:r>
        <w:rPr>
          <w:sz w:val="22"/>
        </w:rPr>
        <w:t>of</w:t>
      </w:r>
      <w:r>
        <w:rPr>
          <w:spacing w:val="40"/>
          <w:sz w:val="22"/>
        </w:rPr>
        <w:t> </w:t>
      </w:r>
      <w:r>
        <w:rPr>
          <w:sz w:val="22"/>
        </w:rPr>
        <w:t>alcohol</w:t>
      </w:r>
      <w:r>
        <w:rPr>
          <w:spacing w:val="40"/>
          <w:sz w:val="22"/>
        </w:rPr>
        <w:t> </w:t>
      </w:r>
      <w:r>
        <w:rPr>
          <w:sz w:val="22"/>
        </w:rPr>
        <w:t>consumption</w:t>
      </w:r>
      <w:r>
        <w:rPr>
          <w:spacing w:val="40"/>
          <w:sz w:val="22"/>
        </w:rPr>
        <w:t> </w:t>
      </w:r>
      <w:r>
        <w:rPr>
          <w:sz w:val="22"/>
        </w:rPr>
        <w:t>and</w:t>
      </w:r>
      <w:r>
        <w:rPr>
          <w:spacing w:val="40"/>
          <w:sz w:val="22"/>
        </w:rPr>
        <w:t> </w:t>
      </w:r>
      <w:r>
        <w:rPr>
          <w:sz w:val="22"/>
        </w:rPr>
        <w:t>bone mineral density. </w:t>
      </w:r>
      <w:r>
        <w:rPr>
          <w:i/>
          <w:sz w:val="22"/>
        </w:rPr>
        <w:t>Br Med J</w:t>
      </w:r>
      <w:r>
        <w:rPr>
          <w:sz w:val="22"/>
        </w:rPr>
        <w:t>. 1993;306:1506.</w:t>
      </w:r>
    </w:p>
    <w:p>
      <w:pPr>
        <w:pStyle w:val="ListParagraph"/>
        <w:numPr>
          <w:ilvl w:val="0"/>
          <w:numId w:val="9"/>
        </w:numPr>
        <w:tabs>
          <w:tab w:pos="699" w:val="left" w:leader="none"/>
          <w:tab w:pos="718" w:val="left" w:leader="none"/>
        </w:tabs>
        <w:spacing w:line="256" w:lineRule="auto" w:before="0" w:after="0"/>
        <w:ind w:left="718" w:right="104" w:hanging="507"/>
        <w:jc w:val="both"/>
        <w:rPr>
          <w:sz w:val="22"/>
        </w:rPr>
      </w:pPr>
      <w:r>
        <w:rPr>
          <w:sz w:val="22"/>
        </w:rPr>
        <w:t>Ginsburg EL, Mello NK, Mendelson JH, et al. Effects of alcohol ingestion on estrogens in postmenopausal women. </w:t>
      </w:r>
      <w:r>
        <w:rPr>
          <w:i/>
          <w:sz w:val="22"/>
        </w:rPr>
        <w:t>JAMA</w:t>
      </w:r>
      <w:r>
        <w:rPr>
          <w:sz w:val="22"/>
        </w:rPr>
        <w:t>. 1996;276:1747.</w:t>
      </w:r>
    </w:p>
    <w:p>
      <w:pPr>
        <w:pStyle w:val="ListParagraph"/>
        <w:numPr>
          <w:ilvl w:val="0"/>
          <w:numId w:val="9"/>
        </w:numPr>
        <w:tabs>
          <w:tab w:pos="699" w:val="left" w:leader="none"/>
          <w:tab w:pos="718" w:val="left" w:leader="none"/>
        </w:tabs>
        <w:spacing w:line="256" w:lineRule="auto" w:before="0" w:after="0"/>
        <w:ind w:left="718" w:right="99" w:hanging="507"/>
        <w:jc w:val="both"/>
        <w:rPr>
          <w:sz w:val="22"/>
        </w:rPr>
      </w:pPr>
      <w:r>
        <w:rPr>
          <w:sz w:val="22"/>
        </w:rPr>
        <w:t>Snieder</w:t>
      </w:r>
      <w:r>
        <w:rPr>
          <w:spacing w:val="40"/>
          <w:sz w:val="22"/>
        </w:rPr>
        <w:t> </w:t>
      </w:r>
      <w:r>
        <w:rPr>
          <w:sz w:val="22"/>
        </w:rPr>
        <w:t>H,</w:t>
      </w:r>
      <w:r>
        <w:rPr>
          <w:spacing w:val="40"/>
          <w:sz w:val="22"/>
        </w:rPr>
        <w:t> </w:t>
      </w:r>
      <w:r>
        <w:rPr>
          <w:sz w:val="22"/>
        </w:rPr>
        <w:t>MacGregor</w:t>
      </w:r>
      <w:r>
        <w:rPr>
          <w:spacing w:val="40"/>
          <w:sz w:val="22"/>
        </w:rPr>
        <w:t> </w:t>
      </w:r>
      <w:r>
        <w:rPr>
          <w:sz w:val="22"/>
        </w:rPr>
        <w:t>AJ,</w:t>
      </w:r>
      <w:r>
        <w:rPr>
          <w:spacing w:val="40"/>
          <w:sz w:val="22"/>
        </w:rPr>
        <w:t> </w:t>
      </w:r>
      <w:r>
        <w:rPr>
          <w:sz w:val="22"/>
        </w:rPr>
        <w:t>Spector</w:t>
      </w:r>
      <w:r>
        <w:rPr>
          <w:spacing w:val="40"/>
          <w:sz w:val="22"/>
        </w:rPr>
        <w:t> </w:t>
      </w:r>
      <w:r>
        <w:rPr>
          <w:sz w:val="22"/>
        </w:rPr>
        <w:t>TD.</w:t>
      </w:r>
      <w:r>
        <w:rPr>
          <w:spacing w:val="40"/>
          <w:sz w:val="22"/>
        </w:rPr>
        <w:t> </w:t>
      </w:r>
      <w:r>
        <w:rPr>
          <w:sz w:val="22"/>
        </w:rPr>
        <w:t>Genes</w:t>
      </w:r>
      <w:r>
        <w:rPr>
          <w:spacing w:val="40"/>
          <w:sz w:val="22"/>
        </w:rPr>
        <w:t> </w:t>
      </w:r>
      <w:r>
        <w:rPr>
          <w:sz w:val="22"/>
        </w:rPr>
        <w:t>control</w:t>
      </w:r>
      <w:r>
        <w:rPr>
          <w:spacing w:val="40"/>
          <w:sz w:val="22"/>
        </w:rPr>
        <w:t> </w:t>
      </w:r>
      <w:r>
        <w:rPr>
          <w:sz w:val="22"/>
        </w:rPr>
        <w:t>the</w:t>
      </w:r>
      <w:r>
        <w:rPr>
          <w:spacing w:val="40"/>
          <w:sz w:val="22"/>
        </w:rPr>
        <w:t> </w:t>
      </w:r>
      <w:r>
        <w:rPr>
          <w:sz w:val="22"/>
        </w:rPr>
        <w:t>cessation</w:t>
      </w:r>
      <w:r>
        <w:rPr>
          <w:spacing w:val="40"/>
          <w:sz w:val="22"/>
        </w:rPr>
        <w:t> </w:t>
      </w:r>
      <w:r>
        <w:rPr>
          <w:sz w:val="22"/>
        </w:rPr>
        <w:t>of</w:t>
      </w:r>
      <w:r>
        <w:rPr>
          <w:spacing w:val="40"/>
          <w:sz w:val="22"/>
        </w:rPr>
        <w:t> </w:t>
      </w:r>
      <w:r>
        <w:rPr>
          <w:sz w:val="22"/>
        </w:rPr>
        <w:t>a</w:t>
      </w:r>
      <w:r>
        <w:rPr>
          <w:spacing w:val="40"/>
          <w:sz w:val="22"/>
        </w:rPr>
        <w:t> </w:t>
      </w:r>
      <w:r>
        <w:rPr>
          <w:sz w:val="22"/>
        </w:rPr>
        <w:t>woman’s reproductive</w:t>
      </w:r>
      <w:r>
        <w:rPr>
          <w:spacing w:val="40"/>
          <w:sz w:val="22"/>
        </w:rPr>
        <w:t> </w:t>
      </w:r>
      <w:r>
        <w:rPr>
          <w:sz w:val="22"/>
        </w:rPr>
        <w:t>life:</w:t>
      </w:r>
      <w:r>
        <w:rPr>
          <w:spacing w:val="40"/>
          <w:sz w:val="22"/>
        </w:rPr>
        <w:t> </w:t>
      </w:r>
      <w:r>
        <w:rPr>
          <w:sz w:val="22"/>
        </w:rPr>
        <w:t>a</w:t>
      </w:r>
      <w:r>
        <w:rPr>
          <w:spacing w:val="40"/>
          <w:sz w:val="22"/>
        </w:rPr>
        <w:t> </w:t>
      </w:r>
      <w:r>
        <w:rPr>
          <w:sz w:val="22"/>
        </w:rPr>
        <w:t>twin</w:t>
      </w:r>
      <w:r>
        <w:rPr>
          <w:spacing w:val="40"/>
          <w:sz w:val="22"/>
        </w:rPr>
        <w:t> </w:t>
      </w:r>
      <w:r>
        <w:rPr>
          <w:sz w:val="22"/>
        </w:rPr>
        <w:t>study</w:t>
      </w:r>
      <w:r>
        <w:rPr>
          <w:spacing w:val="40"/>
          <w:sz w:val="22"/>
        </w:rPr>
        <w:t> </w:t>
      </w:r>
      <w:r>
        <w:rPr>
          <w:sz w:val="22"/>
        </w:rPr>
        <w:t>of</w:t>
      </w:r>
      <w:r>
        <w:rPr>
          <w:spacing w:val="40"/>
          <w:sz w:val="22"/>
        </w:rPr>
        <w:t> </w:t>
      </w:r>
      <w:r>
        <w:rPr>
          <w:sz w:val="22"/>
        </w:rPr>
        <w:t>hysterectomy</w:t>
      </w:r>
      <w:r>
        <w:rPr>
          <w:spacing w:val="40"/>
          <w:sz w:val="22"/>
        </w:rPr>
        <w:t> </w:t>
      </w:r>
      <w:r>
        <w:rPr>
          <w:sz w:val="22"/>
        </w:rPr>
        <w:t>and</w:t>
      </w:r>
      <w:r>
        <w:rPr>
          <w:spacing w:val="40"/>
          <w:sz w:val="22"/>
        </w:rPr>
        <w:t> </w:t>
      </w:r>
      <w:r>
        <w:rPr>
          <w:sz w:val="22"/>
        </w:rPr>
        <w:t>age</w:t>
      </w:r>
      <w:r>
        <w:rPr>
          <w:spacing w:val="40"/>
          <w:sz w:val="22"/>
        </w:rPr>
        <w:t> </w:t>
      </w:r>
      <w:r>
        <w:rPr>
          <w:sz w:val="22"/>
        </w:rPr>
        <w:t>at</w:t>
      </w:r>
      <w:r>
        <w:rPr>
          <w:spacing w:val="40"/>
          <w:sz w:val="22"/>
        </w:rPr>
        <w:t> </w:t>
      </w:r>
      <w:r>
        <w:rPr>
          <w:sz w:val="22"/>
        </w:rPr>
        <w:t>menopause.</w:t>
      </w:r>
      <w:r>
        <w:rPr>
          <w:spacing w:val="40"/>
          <w:sz w:val="22"/>
        </w:rPr>
        <w:t> </w:t>
      </w:r>
      <w:r>
        <w:rPr>
          <w:i/>
          <w:sz w:val="22"/>
        </w:rPr>
        <w:t>J</w:t>
      </w:r>
      <w:r>
        <w:rPr>
          <w:i/>
          <w:spacing w:val="40"/>
          <w:sz w:val="22"/>
        </w:rPr>
        <w:t> </w:t>
      </w:r>
      <w:r>
        <w:rPr>
          <w:i/>
          <w:sz w:val="22"/>
        </w:rPr>
        <w:t>Clin</w:t>
      </w:r>
      <w:r>
        <w:rPr>
          <w:i/>
          <w:spacing w:val="40"/>
          <w:sz w:val="22"/>
        </w:rPr>
        <w:t> </w:t>
      </w:r>
      <w:r>
        <w:rPr>
          <w:i/>
          <w:sz w:val="22"/>
        </w:rPr>
        <w:t>Endocrinol</w:t>
      </w:r>
      <w:r>
        <w:rPr>
          <w:i/>
          <w:sz w:val="22"/>
        </w:rPr>
        <w:t> Metab</w:t>
      </w:r>
      <w:r>
        <w:rPr>
          <w:sz w:val="22"/>
        </w:rPr>
        <w:t>. 1998;83:1875.</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Rödström K, Bengtsson C, Milsom I, Lissner L, Sundh V, Bjoürkelund C. Evidence for a</w:t>
      </w:r>
      <w:r>
        <w:rPr>
          <w:spacing w:val="80"/>
          <w:sz w:val="22"/>
        </w:rPr>
        <w:t> </w:t>
      </w:r>
      <w:r>
        <w:rPr>
          <w:sz w:val="22"/>
        </w:rPr>
        <w:t>secular trend in menopausal age: a population study of women in Gothenburg. </w:t>
      </w:r>
      <w:r>
        <w:rPr>
          <w:i/>
          <w:sz w:val="22"/>
        </w:rPr>
        <w:t>Menopause</w:t>
      </w:r>
      <w:r>
        <w:rPr>
          <w:sz w:val="22"/>
        </w:rPr>
        <w:t>. </w:t>
      </w:r>
      <w:r>
        <w:rPr>
          <w:spacing w:val="-2"/>
          <w:sz w:val="22"/>
        </w:rPr>
        <w:t>2003;10:538.</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Brambila DJ, McKinlay SM, Johannes CB. Defining the perimenopause for application </w:t>
      </w:r>
      <w:r>
        <w:rPr>
          <w:sz w:val="22"/>
        </w:rPr>
        <w:t>in epidemiologic investigations. </w:t>
      </w:r>
      <w:r>
        <w:rPr>
          <w:i/>
          <w:sz w:val="22"/>
        </w:rPr>
        <w:t>Am J Epidemiol</w:t>
      </w:r>
      <w:r>
        <w:rPr>
          <w:sz w:val="22"/>
        </w:rPr>
        <w:t>. 1994;140:1091.</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Bromberger JT, Matthews KA, Kuller LH, Wing RR, Meilahn EN, Plantinga P. Prospective study of the determinants of age at menopause. </w:t>
      </w:r>
      <w:r>
        <w:rPr>
          <w:i/>
          <w:sz w:val="22"/>
        </w:rPr>
        <w:t>Am J Epidemiol</w:t>
      </w:r>
      <w:r>
        <w:rPr>
          <w:sz w:val="22"/>
        </w:rPr>
        <w:t>. 1997;145:124.</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Cassou B, Derriennic F, Monfort C, Dell’Accio P, Touranchet A. Risk factors of </w:t>
      </w:r>
      <w:r>
        <w:rPr>
          <w:sz w:val="22"/>
        </w:rPr>
        <w:t>early menopause in two generations of gainfully employed French women. </w:t>
      </w:r>
      <w:r>
        <w:rPr>
          <w:i/>
          <w:sz w:val="22"/>
        </w:rPr>
        <w:t>Maturitas</w:t>
      </w:r>
      <w:r>
        <w:rPr>
          <w:sz w:val="22"/>
        </w:rPr>
        <w:t>. 1997;26:165.</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Beall</w:t>
      </w:r>
      <w:r>
        <w:rPr>
          <w:spacing w:val="40"/>
          <w:sz w:val="22"/>
        </w:rPr>
        <w:t> </w:t>
      </w:r>
      <w:r>
        <w:rPr>
          <w:sz w:val="22"/>
        </w:rPr>
        <w:t>CM.</w:t>
      </w:r>
      <w:r>
        <w:rPr>
          <w:spacing w:val="40"/>
          <w:sz w:val="22"/>
        </w:rPr>
        <w:t> </w:t>
      </w:r>
      <w:r>
        <w:rPr>
          <w:sz w:val="22"/>
        </w:rPr>
        <w:t>Ages</w:t>
      </w:r>
      <w:r>
        <w:rPr>
          <w:spacing w:val="40"/>
          <w:sz w:val="22"/>
        </w:rPr>
        <w:t> </w:t>
      </w:r>
      <w:r>
        <w:rPr>
          <w:sz w:val="22"/>
        </w:rPr>
        <w:t>at</w:t>
      </w:r>
      <w:r>
        <w:rPr>
          <w:spacing w:val="40"/>
          <w:sz w:val="22"/>
        </w:rPr>
        <w:t> </w:t>
      </w:r>
      <w:r>
        <w:rPr>
          <w:sz w:val="22"/>
        </w:rPr>
        <w:t>menopause</w:t>
      </w:r>
      <w:r>
        <w:rPr>
          <w:spacing w:val="40"/>
          <w:sz w:val="22"/>
        </w:rPr>
        <w:t> </w:t>
      </w:r>
      <w:r>
        <w:rPr>
          <w:sz w:val="22"/>
        </w:rPr>
        <w:t>and</w:t>
      </w:r>
      <w:r>
        <w:rPr>
          <w:spacing w:val="40"/>
          <w:sz w:val="22"/>
        </w:rPr>
        <w:t> </w:t>
      </w:r>
      <w:r>
        <w:rPr>
          <w:sz w:val="22"/>
        </w:rPr>
        <w:t>menarche</w:t>
      </w:r>
      <w:r>
        <w:rPr>
          <w:spacing w:val="40"/>
          <w:sz w:val="22"/>
        </w:rPr>
        <w:t> </w:t>
      </w:r>
      <w:r>
        <w:rPr>
          <w:sz w:val="22"/>
        </w:rPr>
        <w:t>in</w:t>
      </w:r>
      <w:r>
        <w:rPr>
          <w:spacing w:val="40"/>
          <w:sz w:val="22"/>
        </w:rPr>
        <w:t> </w:t>
      </w:r>
      <w:r>
        <w:rPr>
          <w:sz w:val="22"/>
        </w:rPr>
        <w:t>a</w:t>
      </w:r>
      <w:r>
        <w:rPr>
          <w:spacing w:val="40"/>
          <w:sz w:val="22"/>
        </w:rPr>
        <w:t> </w:t>
      </w:r>
      <w:r>
        <w:rPr>
          <w:sz w:val="22"/>
        </w:rPr>
        <w:t>high-altitude</w:t>
      </w:r>
      <w:r>
        <w:rPr>
          <w:spacing w:val="40"/>
          <w:sz w:val="22"/>
        </w:rPr>
        <w:t> </w:t>
      </w:r>
      <w:r>
        <w:rPr>
          <w:sz w:val="22"/>
        </w:rPr>
        <w:t>Himalayan</w:t>
      </w:r>
      <w:r>
        <w:rPr>
          <w:spacing w:val="40"/>
          <w:sz w:val="22"/>
        </w:rPr>
        <w:t> </w:t>
      </w:r>
      <w:r>
        <w:rPr>
          <w:sz w:val="22"/>
        </w:rPr>
        <w:t>population.</w:t>
      </w:r>
      <w:r>
        <w:rPr>
          <w:spacing w:val="40"/>
          <w:sz w:val="22"/>
        </w:rPr>
        <w:t> </w:t>
      </w:r>
      <w:r>
        <w:rPr>
          <w:i/>
          <w:sz w:val="22"/>
        </w:rPr>
        <w:t>Ann</w:t>
      </w:r>
      <w:r>
        <w:rPr>
          <w:i/>
          <w:sz w:val="22"/>
        </w:rPr>
        <w:t> Hum Biol</w:t>
      </w:r>
      <w:r>
        <w:rPr>
          <w:sz w:val="22"/>
        </w:rPr>
        <w:t>. 1983;10:365.</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Gonzales GF, Villena A. Age at menopause in Central Andean Peruvian women. </w:t>
      </w:r>
      <w:r>
        <w:rPr>
          <w:i/>
          <w:sz w:val="22"/>
        </w:rPr>
        <w:t>Menopause</w:t>
      </w:r>
      <w:r>
        <w:rPr>
          <w:sz w:val="22"/>
        </w:rPr>
        <w:t>. </w:t>
      </w:r>
      <w:r>
        <w:rPr>
          <w:spacing w:val="-2"/>
          <w:sz w:val="22"/>
        </w:rPr>
        <w:t>1997;4:32.</w:t>
      </w:r>
    </w:p>
    <w:p>
      <w:pPr>
        <w:pStyle w:val="ListParagraph"/>
        <w:numPr>
          <w:ilvl w:val="0"/>
          <w:numId w:val="9"/>
        </w:numPr>
        <w:tabs>
          <w:tab w:pos="710" w:val="left" w:leader="none"/>
        </w:tabs>
        <w:spacing w:line="252" w:lineRule="exact" w:before="0" w:after="0"/>
        <w:ind w:left="710" w:right="0" w:hanging="498"/>
        <w:jc w:val="both"/>
        <w:rPr>
          <w:sz w:val="22"/>
        </w:rPr>
      </w:pPr>
      <w:r>
        <w:rPr>
          <w:sz w:val="22"/>
        </w:rPr>
        <w:t>Leidy</w:t>
      </w:r>
      <w:r>
        <w:rPr>
          <w:spacing w:val="10"/>
          <w:sz w:val="22"/>
        </w:rPr>
        <w:t> </w:t>
      </w:r>
      <w:r>
        <w:rPr>
          <w:sz w:val="22"/>
        </w:rPr>
        <w:t>LF.</w:t>
      </w:r>
      <w:r>
        <w:rPr>
          <w:spacing w:val="11"/>
          <w:sz w:val="22"/>
        </w:rPr>
        <w:t> </w:t>
      </w:r>
      <w:r>
        <w:rPr>
          <w:sz w:val="22"/>
        </w:rPr>
        <w:t>Early</w:t>
      </w:r>
      <w:r>
        <w:rPr>
          <w:spacing w:val="11"/>
          <w:sz w:val="22"/>
        </w:rPr>
        <w:t> </w:t>
      </w:r>
      <w:r>
        <w:rPr>
          <w:sz w:val="22"/>
        </w:rPr>
        <w:t>age</w:t>
      </w:r>
      <w:r>
        <w:rPr>
          <w:spacing w:val="11"/>
          <w:sz w:val="22"/>
        </w:rPr>
        <w:t> </w:t>
      </w:r>
      <w:r>
        <w:rPr>
          <w:sz w:val="22"/>
        </w:rPr>
        <w:t>at</w:t>
      </w:r>
      <w:r>
        <w:rPr>
          <w:spacing w:val="11"/>
          <w:sz w:val="22"/>
        </w:rPr>
        <w:t> </w:t>
      </w:r>
      <w:r>
        <w:rPr>
          <w:sz w:val="22"/>
        </w:rPr>
        <w:t>menopause</w:t>
      </w:r>
      <w:r>
        <w:rPr>
          <w:spacing w:val="11"/>
          <w:sz w:val="22"/>
        </w:rPr>
        <w:t> </w:t>
      </w:r>
      <w:r>
        <w:rPr>
          <w:sz w:val="22"/>
        </w:rPr>
        <w:t>among</w:t>
      </w:r>
      <w:r>
        <w:rPr>
          <w:spacing w:val="10"/>
          <w:sz w:val="22"/>
        </w:rPr>
        <w:t> </w:t>
      </w:r>
      <w:r>
        <w:rPr>
          <w:sz w:val="22"/>
        </w:rPr>
        <w:t>left-handed</w:t>
      </w:r>
      <w:r>
        <w:rPr>
          <w:spacing w:val="11"/>
          <w:sz w:val="22"/>
        </w:rPr>
        <w:t> </w:t>
      </w:r>
      <w:r>
        <w:rPr>
          <w:sz w:val="22"/>
        </w:rPr>
        <w:t>women.</w:t>
      </w:r>
      <w:r>
        <w:rPr>
          <w:spacing w:val="11"/>
          <w:sz w:val="22"/>
        </w:rPr>
        <w:t> </w:t>
      </w:r>
      <w:r>
        <w:rPr>
          <w:i/>
          <w:sz w:val="22"/>
        </w:rPr>
        <w:t>Obstet</w:t>
      </w:r>
      <w:r>
        <w:rPr>
          <w:i/>
          <w:spacing w:val="11"/>
          <w:sz w:val="22"/>
        </w:rPr>
        <w:t> </w:t>
      </w:r>
      <w:r>
        <w:rPr>
          <w:i/>
          <w:sz w:val="22"/>
        </w:rPr>
        <w:t>Gynecol</w:t>
      </w:r>
      <w:r>
        <w:rPr>
          <w:sz w:val="22"/>
        </w:rPr>
        <w:t>.</w:t>
      </w:r>
      <w:r>
        <w:rPr>
          <w:spacing w:val="11"/>
          <w:sz w:val="22"/>
        </w:rPr>
        <w:t> </w:t>
      </w:r>
      <w:r>
        <w:rPr>
          <w:spacing w:val="-2"/>
          <w:sz w:val="22"/>
        </w:rPr>
        <w:t>1990;76:1111.</w:t>
      </w:r>
    </w:p>
    <w:p>
      <w:pPr>
        <w:pStyle w:val="ListParagraph"/>
        <w:numPr>
          <w:ilvl w:val="0"/>
          <w:numId w:val="9"/>
        </w:numPr>
        <w:tabs>
          <w:tab w:pos="709" w:val="left" w:leader="none"/>
          <w:tab w:pos="718" w:val="left" w:leader="none"/>
        </w:tabs>
        <w:spacing w:line="256" w:lineRule="auto" w:before="5" w:after="0"/>
        <w:ind w:left="718" w:right="108" w:hanging="507"/>
        <w:jc w:val="both"/>
        <w:rPr>
          <w:sz w:val="22"/>
        </w:rPr>
      </w:pPr>
      <w:r>
        <w:rPr>
          <w:sz w:val="22"/>
        </w:rPr>
        <w:t>Dane</w:t>
      </w:r>
      <w:r>
        <w:rPr>
          <w:spacing w:val="39"/>
          <w:sz w:val="22"/>
        </w:rPr>
        <w:t> </w:t>
      </w:r>
      <w:r>
        <w:rPr>
          <w:sz w:val="22"/>
        </w:rPr>
        <w:t>S,</w:t>
      </w:r>
      <w:r>
        <w:rPr>
          <w:spacing w:val="39"/>
          <w:sz w:val="22"/>
        </w:rPr>
        <w:t> </w:t>
      </w:r>
      <w:r>
        <w:rPr>
          <w:sz w:val="22"/>
        </w:rPr>
        <w:t>Reis</w:t>
      </w:r>
      <w:r>
        <w:rPr>
          <w:spacing w:val="39"/>
          <w:sz w:val="22"/>
        </w:rPr>
        <w:t> </w:t>
      </w:r>
      <w:r>
        <w:rPr>
          <w:sz w:val="22"/>
        </w:rPr>
        <w:t>N,</w:t>
      </w:r>
      <w:r>
        <w:rPr>
          <w:spacing w:val="39"/>
          <w:sz w:val="22"/>
        </w:rPr>
        <w:t> </w:t>
      </w:r>
      <w:r>
        <w:rPr>
          <w:sz w:val="22"/>
        </w:rPr>
        <w:t>Pasinliogu</w:t>
      </w:r>
      <w:r>
        <w:rPr>
          <w:spacing w:val="39"/>
          <w:sz w:val="22"/>
        </w:rPr>
        <w:t> </w:t>
      </w:r>
      <w:r>
        <w:rPr>
          <w:sz w:val="22"/>
        </w:rPr>
        <w:t>T.</w:t>
      </w:r>
      <w:r>
        <w:rPr>
          <w:spacing w:val="39"/>
          <w:sz w:val="22"/>
        </w:rPr>
        <w:t> </w:t>
      </w:r>
      <w:r>
        <w:rPr>
          <w:sz w:val="22"/>
        </w:rPr>
        <w:t>Left-handed</w:t>
      </w:r>
      <w:r>
        <w:rPr>
          <w:spacing w:val="39"/>
          <w:sz w:val="22"/>
        </w:rPr>
        <w:t> </w:t>
      </w:r>
      <w:r>
        <w:rPr>
          <w:sz w:val="22"/>
        </w:rPr>
        <w:t>women</w:t>
      </w:r>
      <w:r>
        <w:rPr>
          <w:spacing w:val="39"/>
          <w:sz w:val="22"/>
        </w:rPr>
        <w:t> </w:t>
      </w:r>
      <w:r>
        <w:rPr>
          <w:sz w:val="22"/>
        </w:rPr>
        <w:t>have</w:t>
      </w:r>
      <w:r>
        <w:rPr>
          <w:spacing w:val="39"/>
          <w:sz w:val="22"/>
        </w:rPr>
        <w:t> </w:t>
      </w:r>
      <w:r>
        <w:rPr>
          <w:sz w:val="22"/>
        </w:rPr>
        <w:t>earlier</w:t>
      </w:r>
      <w:r>
        <w:rPr>
          <w:spacing w:val="39"/>
          <w:sz w:val="22"/>
        </w:rPr>
        <w:t> </w:t>
      </w:r>
      <w:r>
        <w:rPr>
          <w:sz w:val="22"/>
        </w:rPr>
        <w:t>age</w:t>
      </w:r>
      <w:r>
        <w:rPr>
          <w:spacing w:val="39"/>
          <w:sz w:val="22"/>
        </w:rPr>
        <w:t> </w:t>
      </w:r>
      <w:r>
        <w:rPr>
          <w:sz w:val="22"/>
        </w:rPr>
        <w:t>of</w:t>
      </w:r>
      <w:r>
        <w:rPr>
          <w:spacing w:val="39"/>
          <w:sz w:val="22"/>
        </w:rPr>
        <w:t> </w:t>
      </w:r>
      <w:r>
        <w:rPr>
          <w:sz w:val="22"/>
        </w:rPr>
        <w:t>menopause.</w:t>
      </w:r>
      <w:r>
        <w:rPr>
          <w:spacing w:val="39"/>
          <w:sz w:val="22"/>
        </w:rPr>
        <w:t> </w:t>
      </w:r>
      <w:r>
        <w:rPr>
          <w:i/>
          <w:sz w:val="22"/>
        </w:rPr>
        <w:t>J</w:t>
      </w:r>
      <w:r>
        <w:rPr>
          <w:i/>
          <w:spacing w:val="39"/>
          <w:sz w:val="22"/>
        </w:rPr>
        <w:t> </w:t>
      </w:r>
      <w:r>
        <w:rPr>
          <w:i/>
          <w:sz w:val="22"/>
        </w:rPr>
        <w:t>Basic</w:t>
      </w:r>
      <w:r>
        <w:rPr>
          <w:i/>
          <w:sz w:val="22"/>
        </w:rPr>
        <w:t> Clin Physiol Pharmacol</w:t>
      </w:r>
      <w:r>
        <w:rPr>
          <w:sz w:val="22"/>
        </w:rPr>
        <w:t>. 1999;10:147.</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Cresswell JL, Egger P, Fall CHD, Osmond C, Fraser RB, Barker DJP. Is the age of menopause determined in-utero? </w:t>
      </w:r>
      <w:r>
        <w:rPr>
          <w:i/>
          <w:sz w:val="22"/>
        </w:rPr>
        <w:t>Early Hum Dev</w:t>
      </w:r>
      <w:r>
        <w:rPr>
          <w:sz w:val="22"/>
        </w:rPr>
        <w:t>. 1997;49:143.</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Siddle N, Sarrel P, Whitehead M. The effect of hysterectomy on the age at ovarian failure: identification of a subgroup of women with premature loss of ovarian function and </w:t>
      </w:r>
      <w:r>
        <w:rPr>
          <w:sz w:val="22"/>
        </w:rPr>
        <w:t>literature review. </w:t>
      </w:r>
      <w:r>
        <w:rPr>
          <w:i/>
          <w:sz w:val="22"/>
        </w:rPr>
        <w:t>Fertil Steril</w:t>
      </w:r>
      <w:r>
        <w:rPr>
          <w:sz w:val="22"/>
        </w:rPr>
        <w:t>. 1987;47:94.</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Derksen JGM, Brömann HAM, Wiegerinck MAHM, Vader HL, Heintz APM. The effect of hysterectomy and endometrial ablation on follicle stimulating hormone (FSH) levels up to </w:t>
      </w:r>
      <w:r>
        <w:rPr>
          <w:sz w:val="22"/>
        </w:rPr>
        <w:t>1</w:t>
      </w:r>
      <w:r>
        <w:rPr>
          <w:spacing w:val="80"/>
          <w:sz w:val="22"/>
        </w:rPr>
        <w:t> </w:t>
      </w:r>
      <w:r>
        <w:rPr>
          <w:sz w:val="22"/>
        </w:rPr>
        <w:t>year after surgery. </w:t>
      </w:r>
      <w:r>
        <w:rPr>
          <w:i/>
          <w:sz w:val="22"/>
        </w:rPr>
        <w:t>Maturitas</w:t>
      </w:r>
      <w:r>
        <w:rPr>
          <w:sz w:val="22"/>
        </w:rPr>
        <w:t>. 1998;29:133.</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Chalmers C, Lindsay M, Usher D, Warner P, Evans D, Ferguson M. Hysterectomy and ovarian function:</w:t>
      </w:r>
      <w:r>
        <w:rPr>
          <w:spacing w:val="40"/>
          <w:sz w:val="22"/>
        </w:rPr>
        <w:t> </w:t>
      </w:r>
      <w:r>
        <w:rPr>
          <w:sz w:val="22"/>
        </w:rPr>
        <w:t>levels</w:t>
      </w:r>
      <w:r>
        <w:rPr>
          <w:spacing w:val="40"/>
          <w:sz w:val="22"/>
        </w:rPr>
        <w:t> </w:t>
      </w:r>
      <w:r>
        <w:rPr>
          <w:sz w:val="22"/>
        </w:rPr>
        <w:t>of</w:t>
      </w:r>
      <w:r>
        <w:rPr>
          <w:spacing w:val="40"/>
          <w:sz w:val="22"/>
        </w:rPr>
        <w:t> </w:t>
      </w:r>
      <w:r>
        <w:rPr>
          <w:sz w:val="22"/>
        </w:rPr>
        <w:t>follicle</w:t>
      </w:r>
      <w:r>
        <w:rPr>
          <w:spacing w:val="40"/>
          <w:sz w:val="22"/>
        </w:rPr>
        <w:t> </w:t>
      </w:r>
      <w:r>
        <w:rPr>
          <w:sz w:val="22"/>
        </w:rPr>
        <w:t>stimulating</w:t>
      </w:r>
      <w:r>
        <w:rPr>
          <w:spacing w:val="40"/>
          <w:sz w:val="22"/>
        </w:rPr>
        <w:t> </w:t>
      </w:r>
      <w:r>
        <w:rPr>
          <w:sz w:val="22"/>
        </w:rPr>
        <w:t>hormone</w:t>
      </w:r>
      <w:r>
        <w:rPr>
          <w:spacing w:val="40"/>
          <w:sz w:val="22"/>
        </w:rPr>
        <w:t> </w:t>
      </w:r>
      <w:r>
        <w:rPr>
          <w:sz w:val="22"/>
        </w:rPr>
        <w:t>and</w:t>
      </w:r>
      <w:r>
        <w:rPr>
          <w:spacing w:val="40"/>
          <w:sz w:val="22"/>
        </w:rPr>
        <w:t> </w:t>
      </w:r>
      <w:r>
        <w:rPr>
          <w:sz w:val="22"/>
        </w:rPr>
        <w:t>incidence</w:t>
      </w:r>
      <w:r>
        <w:rPr>
          <w:spacing w:val="40"/>
          <w:sz w:val="22"/>
        </w:rPr>
        <w:t> </w:t>
      </w:r>
      <w:r>
        <w:rPr>
          <w:sz w:val="22"/>
        </w:rPr>
        <w:t>of</w:t>
      </w:r>
      <w:r>
        <w:rPr>
          <w:spacing w:val="40"/>
          <w:sz w:val="22"/>
        </w:rPr>
        <w:t> </w:t>
      </w:r>
      <w:r>
        <w:rPr>
          <w:sz w:val="22"/>
        </w:rPr>
        <w:t>menopausal</w:t>
      </w:r>
      <w:r>
        <w:rPr>
          <w:spacing w:val="40"/>
          <w:sz w:val="22"/>
        </w:rPr>
        <w:t> </w:t>
      </w:r>
      <w:r>
        <w:rPr>
          <w:sz w:val="22"/>
        </w:rPr>
        <w:t>symptoms</w:t>
      </w:r>
      <w:r>
        <w:rPr>
          <w:spacing w:val="40"/>
          <w:sz w:val="22"/>
        </w:rPr>
        <w:t> </w:t>
      </w:r>
      <w:r>
        <w:rPr>
          <w:sz w:val="22"/>
        </w:rPr>
        <w:t>are not affected by hysterectomy in women under age 45 years. </w:t>
      </w:r>
      <w:r>
        <w:rPr>
          <w:i/>
          <w:sz w:val="22"/>
        </w:rPr>
        <w:t>Climacteric</w:t>
      </w:r>
      <w:r>
        <w:rPr>
          <w:sz w:val="22"/>
        </w:rPr>
        <w:t>. 2002;5:366.</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Rustamov O, Krishnan M, Roberts SA, Fitzgerald CT. Effect of salpingectomy, </w:t>
      </w:r>
      <w:r>
        <w:rPr>
          <w:sz w:val="22"/>
        </w:rPr>
        <w:t>ovarian cystectomy and unilateral salpingo-oophorectomy on ovarian reserve. </w:t>
      </w:r>
      <w:r>
        <w:rPr>
          <w:i/>
          <w:sz w:val="22"/>
        </w:rPr>
        <w:t>Gynecol Surg</w:t>
      </w:r>
      <w:r>
        <w:rPr>
          <w:sz w:val="22"/>
        </w:rPr>
        <w:t>. </w:t>
      </w:r>
      <w:r>
        <w:rPr>
          <w:spacing w:val="-2"/>
          <w:sz w:val="22"/>
        </w:rPr>
        <w:t>2016;13:173.</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Willett W, Stampfer MJ, Bain C, et al. Cigarette smoking, relative weight, and menopause. </w:t>
      </w:r>
      <w:r>
        <w:rPr>
          <w:i/>
          <w:sz w:val="22"/>
        </w:rPr>
        <w:t>Am</w:t>
      </w:r>
      <w:r>
        <w:rPr>
          <w:i/>
          <w:spacing w:val="80"/>
          <w:sz w:val="22"/>
        </w:rPr>
        <w:t> </w:t>
      </w:r>
      <w:r>
        <w:rPr>
          <w:i/>
          <w:sz w:val="22"/>
        </w:rPr>
        <w:t>J Epidemiol</w:t>
      </w:r>
      <w:r>
        <w:rPr>
          <w:sz w:val="22"/>
        </w:rPr>
        <w:t>. 1983;117:651.</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Midgette AS, Baron JA. Cigarette smoking and the risk of natural menopause. </w:t>
      </w:r>
      <w:r>
        <w:rPr>
          <w:i/>
          <w:sz w:val="22"/>
        </w:rPr>
        <w:t>Epidemiology</w:t>
      </w:r>
      <w:r>
        <w:rPr>
          <w:sz w:val="22"/>
        </w:rPr>
        <w:t>. </w:t>
      </w:r>
      <w:r>
        <w:rPr>
          <w:spacing w:val="-2"/>
          <w:sz w:val="22"/>
        </w:rPr>
        <w:t>1990;1:474.</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Amundsen DW, Diers CJ. The age of menopause in classical Greece and Rome. </w:t>
      </w:r>
      <w:r>
        <w:rPr>
          <w:i/>
          <w:sz w:val="22"/>
        </w:rPr>
        <w:t>Hum Biol</w:t>
      </w:r>
      <w:r>
        <w:rPr>
          <w:sz w:val="22"/>
        </w:rPr>
        <w:t>. </w:t>
      </w:r>
      <w:r>
        <w:rPr>
          <w:spacing w:val="-2"/>
          <w:sz w:val="22"/>
        </w:rPr>
        <w:t>1970;42:79.</w:t>
      </w:r>
    </w:p>
    <w:p>
      <w:pPr>
        <w:pStyle w:val="ListParagraph"/>
        <w:numPr>
          <w:ilvl w:val="0"/>
          <w:numId w:val="9"/>
        </w:numPr>
        <w:tabs>
          <w:tab w:pos="710" w:val="left" w:leader="none"/>
        </w:tabs>
        <w:spacing w:line="252" w:lineRule="exact" w:before="0" w:after="0"/>
        <w:ind w:left="710" w:right="0" w:hanging="498"/>
        <w:jc w:val="both"/>
        <w:rPr>
          <w:sz w:val="22"/>
        </w:rPr>
      </w:pPr>
      <w:r>
        <w:rPr>
          <w:sz w:val="22"/>
        </w:rPr>
        <w:t>Amundsen</w:t>
      </w:r>
      <w:r>
        <w:rPr>
          <w:spacing w:val="9"/>
          <w:sz w:val="22"/>
        </w:rPr>
        <w:t> </w:t>
      </w:r>
      <w:r>
        <w:rPr>
          <w:sz w:val="22"/>
        </w:rPr>
        <w:t>DW,</w:t>
      </w:r>
      <w:r>
        <w:rPr>
          <w:spacing w:val="9"/>
          <w:sz w:val="22"/>
        </w:rPr>
        <w:t> </w:t>
      </w:r>
      <w:r>
        <w:rPr>
          <w:sz w:val="22"/>
        </w:rPr>
        <w:t>Diers</w:t>
      </w:r>
      <w:r>
        <w:rPr>
          <w:spacing w:val="9"/>
          <w:sz w:val="22"/>
        </w:rPr>
        <w:t> </w:t>
      </w:r>
      <w:r>
        <w:rPr>
          <w:sz w:val="22"/>
        </w:rPr>
        <w:t>CJ.</w:t>
      </w:r>
      <w:r>
        <w:rPr>
          <w:spacing w:val="10"/>
          <w:sz w:val="22"/>
        </w:rPr>
        <w:t> </w:t>
      </w:r>
      <w:r>
        <w:rPr>
          <w:sz w:val="22"/>
        </w:rPr>
        <w:t>The</w:t>
      </w:r>
      <w:r>
        <w:rPr>
          <w:spacing w:val="9"/>
          <w:sz w:val="22"/>
        </w:rPr>
        <w:t> </w:t>
      </w:r>
      <w:r>
        <w:rPr>
          <w:sz w:val="22"/>
        </w:rPr>
        <w:t>age</w:t>
      </w:r>
      <w:r>
        <w:rPr>
          <w:spacing w:val="9"/>
          <w:sz w:val="22"/>
        </w:rPr>
        <w:t> </w:t>
      </w:r>
      <w:r>
        <w:rPr>
          <w:sz w:val="22"/>
        </w:rPr>
        <w:t>of</w:t>
      </w:r>
      <w:r>
        <w:rPr>
          <w:spacing w:val="9"/>
          <w:sz w:val="22"/>
        </w:rPr>
        <w:t> </w:t>
      </w:r>
      <w:r>
        <w:rPr>
          <w:sz w:val="22"/>
        </w:rPr>
        <w:t>menopause</w:t>
      </w:r>
      <w:r>
        <w:rPr>
          <w:spacing w:val="10"/>
          <w:sz w:val="22"/>
        </w:rPr>
        <w:t> </w:t>
      </w:r>
      <w:r>
        <w:rPr>
          <w:sz w:val="22"/>
        </w:rPr>
        <w:t>in</w:t>
      </w:r>
      <w:r>
        <w:rPr>
          <w:spacing w:val="9"/>
          <w:sz w:val="22"/>
        </w:rPr>
        <w:t> </w:t>
      </w:r>
      <w:r>
        <w:rPr>
          <w:sz w:val="22"/>
        </w:rPr>
        <w:t>medieval</w:t>
      </w:r>
      <w:r>
        <w:rPr>
          <w:spacing w:val="9"/>
          <w:sz w:val="22"/>
        </w:rPr>
        <w:t> </w:t>
      </w:r>
      <w:r>
        <w:rPr>
          <w:sz w:val="22"/>
        </w:rPr>
        <w:t>Europe.</w:t>
      </w:r>
      <w:r>
        <w:rPr>
          <w:spacing w:val="9"/>
          <w:sz w:val="22"/>
        </w:rPr>
        <w:t> </w:t>
      </w:r>
      <w:r>
        <w:rPr>
          <w:i/>
          <w:sz w:val="22"/>
        </w:rPr>
        <w:t>Hum</w:t>
      </w:r>
      <w:r>
        <w:rPr>
          <w:i/>
          <w:spacing w:val="10"/>
          <w:sz w:val="22"/>
        </w:rPr>
        <w:t> </w:t>
      </w:r>
      <w:r>
        <w:rPr>
          <w:i/>
          <w:sz w:val="22"/>
        </w:rPr>
        <w:t>Biol</w:t>
      </w:r>
      <w:r>
        <w:rPr>
          <w:sz w:val="22"/>
        </w:rPr>
        <w:t>.</w:t>
      </w:r>
      <w:r>
        <w:rPr>
          <w:spacing w:val="9"/>
          <w:sz w:val="22"/>
        </w:rPr>
        <w:t> </w:t>
      </w:r>
      <w:r>
        <w:rPr>
          <w:spacing w:val="-2"/>
          <w:sz w:val="22"/>
        </w:rPr>
        <w:t>1973;45:605.</w:t>
      </w:r>
    </w:p>
    <w:p>
      <w:pPr>
        <w:pStyle w:val="ListParagraph"/>
        <w:numPr>
          <w:ilvl w:val="0"/>
          <w:numId w:val="9"/>
        </w:numPr>
        <w:tabs>
          <w:tab w:pos="710" w:val="left" w:leader="none"/>
        </w:tabs>
        <w:spacing w:line="240" w:lineRule="auto" w:before="3" w:after="0"/>
        <w:ind w:left="710" w:right="0" w:hanging="498"/>
        <w:jc w:val="both"/>
        <w:rPr>
          <w:sz w:val="22"/>
        </w:rPr>
      </w:pPr>
      <w:r>
        <w:rPr>
          <w:sz w:val="22"/>
        </w:rPr>
        <w:t>Frommer</w:t>
      </w:r>
      <w:r>
        <w:rPr>
          <w:spacing w:val="10"/>
          <w:sz w:val="22"/>
        </w:rPr>
        <w:t> </w:t>
      </w:r>
      <w:r>
        <w:rPr>
          <w:sz w:val="22"/>
        </w:rPr>
        <w:t>DJ.</w:t>
      </w:r>
      <w:r>
        <w:rPr>
          <w:spacing w:val="10"/>
          <w:sz w:val="22"/>
        </w:rPr>
        <w:t> </w:t>
      </w:r>
      <w:r>
        <w:rPr>
          <w:sz w:val="22"/>
        </w:rPr>
        <w:t>Changing</w:t>
      </w:r>
      <w:r>
        <w:rPr>
          <w:spacing w:val="10"/>
          <w:sz w:val="22"/>
        </w:rPr>
        <w:t> </w:t>
      </w:r>
      <w:r>
        <w:rPr>
          <w:sz w:val="22"/>
        </w:rPr>
        <w:t>age</w:t>
      </w:r>
      <w:r>
        <w:rPr>
          <w:spacing w:val="11"/>
          <w:sz w:val="22"/>
        </w:rPr>
        <w:t> </w:t>
      </w:r>
      <w:r>
        <w:rPr>
          <w:sz w:val="22"/>
        </w:rPr>
        <w:t>at</w:t>
      </w:r>
      <w:r>
        <w:rPr>
          <w:spacing w:val="10"/>
          <w:sz w:val="22"/>
        </w:rPr>
        <w:t> </w:t>
      </w:r>
      <w:r>
        <w:rPr>
          <w:sz w:val="22"/>
        </w:rPr>
        <w:t>menopause.</w:t>
      </w:r>
      <w:r>
        <w:rPr>
          <w:spacing w:val="10"/>
          <w:sz w:val="22"/>
        </w:rPr>
        <w:t> </w:t>
      </w:r>
      <w:r>
        <w:rPr>
          <w:i/>
          <w:sz w:val="22"/>
        </w:rPr>
        <w:t>Br</w:t>
      </w:r>
      <w:r>
        <w:rPr>
          <w:i/>
          <w:spacing w:val="11"/>
          <w:sz w:val="22"/>
        </w:rPr>
        <w:t> </w:t>
      </w:r>
      <w:r>
        <w:rPr>
          <w:i/>
          <w:sz w:val="22"/>
        </w:rPr>
        <w:t>Med</w:t>
      </w:r>
      <w:r>
        <w:rPr>
          <w:i/>
          <w:spacing w:val="10"/>
          <w:sz w:val="22"/>
        </w:rPr>
        <w:t> </w:t>
      </w:r>
      <w:r>
        <w:rPr>
          <w:i/>
          <w:sz w:val="22"/>
        </w:rPr>
        <w:t>J</w:t>
      </w:r>
      <w:r>
        <w:rPr>
          <w:sz w:val="22"/>
        </w:rPr>
        <w:t>.</w:t>
      </w:r>
      <w:r>
        <w:rPr>
          <w:spacing w:val="10"/>
          <w:sz w:val="22"/>
        </w:rPr>
        <w:t> </w:t>
      </w:r>
      <w:r>
        <w:rPr>
          <w:spacing w:val="-2"/>
          <w:sz w:val="22"/>
        </w:rPr>
        <w:t>1964;2:349.</w:t>
      </w:r>
    </w:p>
    <w:p>
      <w:pPr>
        <w:pStyle w:val="ListParagraph"/>
        <w:numPr>
          <w:ilvl w:val="0"/>
          <w:numId w:val="9"/>
        </w:numPr>
        <w:tabs>
          <w:tab w:pos="709" w:val="left" w:leader="none"/>
          <w:tab w:pos="718" w:val="left" w:leader="none"/>
        </w:tabs>
        <w:spacing w:line="256" w:lineRule="auto" w:before="17" w:after="0"/>
        <w:ind w:left="718" w:right="105" w:hanging="507"/>
        <w:jc w:val="both"/>
        <w:rPr>
          <w:sz w:val="22"/>
        </w:rPr>
      </w:pPr>
      <w:r>
        <w:rPr>
          <w:sz w:val="22"/>
        </w:rPr>
        <w:t>Traupman</w:t>
      </w:r>
      <w:r>
        <w:rPr>
          <w:spacing w:val="40"/>
          <w:sz w:val="22"/>
        </w:rPr>
        <w:t> </w:t>
      </w:r>
      <w:r>
        <w:rPr>
          <w:sz w:val="22"/>
        </w:rPr>
        <w:t>J,</w:t>
      </w:r>
      <w:r>
        <w:rPr>
          <w:spacing w:val="40"/>
          <w:sz w:val="22"/>
        </w:rPr>
        <w:t> </w:t>
      </w:r>
      <w:r>
        <w:rPr>
          <w:sz w:val="22"/>
        </w:rPr>
        <w:t>Eckels</w:t>
      </w:r>
      <w:r>
        <w:rPr>
          <w:spacing w:val="40"/>
          <w:sz w:val="22"/>
        </w:rPr>
        <w:t> </w:t>
      </w:r>
      <w:r>
        <w:rPr>
          <w:sz w:val="22"/>
        </w:rPr>
        <w:t>E,</w:t>
      </w:r>
      <w:r>
        <w:rPr>
          <w:spacing w:val="40"/>
          <w:sz w:val="22"/>
        </w:rPr>
        <w:t> </w:t>
      </w:r>
      <w:r>
        <w:rPr>
          <w:sz w:val="22"/>
        </w:rPr>
        <w:t>Hatfield</w:t>
      </w:r>
      <w:r>
        <w:rPr>
          <w:spacing w:val="40"/>
          <w:sz w:val="22"/>
        </w:rPr>
        <w:t> </w:t>
      </w:r>
      <w:r>
        <w:rPr>
          <w:sz w:val="22"/>
        </w:rPr>
        <w:t>E.</w:t>
      </w:r>
      <w:r>
        <w:rPr>
          <w:spacing w:val="40"/>
          <w:sz w:val="22"/>
        </w:rPr>
        <w:t> </w:t>
      </w:r>
      <w:r>
        <w:rPr>
          <w:sz w:val="22"/>
        </w:rPr>
        <w:t>Intimacy</w:t>
      </w:r>
      <w:r>
        <w:rPr>
          <w:spacing w:val="40"/>
          <w:sz w:val="22"/>
        </w:rPr>
        <w:t> </w:t>
      </w:r>
      <w:r>
        <w:rPr>
          <w:sz w:val="22"/>
        </w:rPr>
        <w:t>in</w:t>
      </w:r>
      <w:r>
        <w:rPr>
          <w:spacing w:val="40"/>
          <w:sz w:val="22"/>
        </w:rPr>
        <w:t> </w:t>
      </w:r>
      <w:r>
        <w:rPr>
          <w:sz w:val="22"/>
        </w:rPr>
        <w:t>older</w:t>
      </w:r>
      <w:r>
        <w:rPr>
          <w:spacing w:val="40"/>
          <w:sz w:val="22"/>
        </w:rPr>
        <w:t> </w:t>
      </w:r>
      <w:r>
        <w:rPr>
          <w:sz w:val="22"/>
        </w:rPr>
        <w:t>women’s</w:t>
      </w:r>
      <w:r>
        <w:rPr>
          <w:spacing w:val="40"/>
          <w:sz w:val="22"/>
        </w:rPr>
        <w:t> </w:t>
      </w:r>
      <w:r>
        <w:rPr>
          <w:sz w:val="22"/>
        </w:rPr>
        <w:t>lives.</w:t>
      </w:r>
      <w:r>
        <w:rPr>
          <w:spacing w:val="40"/>
          <w:sz w:val="22"/>
        </w:rPr>
        <w:t> </w:t>
      </w:r>
      <w:r>
        <w:rPr>
          <w:i/>
          <w:sz w:val="22"/>
        </w:rPr>
        <w:t>Gerontologist</w:t>
      </w:r>
      <w:r>
        <w:rPr>
          <w:sz w:val="22"/>
        </w:rPr>
        <w:t>. </w:t>
      </w:r>
      <w:r>
        <w:rPr>
          <w:spacing w:val="-2"/>
          <w:sz w:val="22"/>
        </w:rPr>
        <w:t>1982;2:493.</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10" w:hanging="507"/>
        <w:jc w:val="both"/>
        <w:rPr>
          <w:sz w:val="22"/>
        </w:rPr>
      </w:pPr>
      <w:r>
        <w:rPr>
          <w:sz w:val="22"/>
        </w:rPr>
        <w:t>Pfeiffer E, Verwoerdt A, Davis GC. Sexual behavior in middle life. </w:t>
      </w:r>
      <w:r>
        <w:rPr>
          <w:i/>
          <w:sz w:val="22"/>
        </w:rPr>
        <w:t>Am J Psychiatr</w:t>
      </w:r>
      <w:r>
        <w:rPr>
          <w:sz w:val="22"/>
        </w:rPr>
        <w:t>. </w:t>
      </w:r>
      <w:r>
        <w:rPr>
          <w:spacing w:val="-2"/>
          <w:sz w:val="22"/>
        </w:rPr>
        <w:t>1972;128:1262.</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Greendale GA, Hogan P, Shumaker S; Postmenopausal Estrogen/Progestin Interventions Trial Investigators. Sexual functioning in postmenopausal women: the </w:t>
      </w:r>
      <w:r>
        <w:rPr>
          <w:sz w:val="22"/>
        </w:rPr>
        <w:t>Postmenopausal Estrogen/Progestin Interventions (PEPI) trial. </w:t>
      </w:r>
      <w:r>
        <w:rPr>
          <w:i/>
          <w:sz w:val="22"/>
        </w:rPr>
        <w:t>J Womens Health</w:t>
      </w:r>
      <w:r>
        <w:rPr>
          <w:sz w:val="22"/>
        </w:rPr>
        <w:t>. 1996;5:445.</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Lindau</w:t>
      </w:r>
      <w:r>
        <w:rPr>
          <w:spacing w:val="40"/>
          <w:sz w:val="22"/>
        </w:rPr>
        <w:t> </w:t>
      </w:r>
      <w:r>
        <w:rPr>
          <w:sz w:val="22"/>
        </w:rPr>
        <w:t>ST,</w:t>
      </w:r>
      <w:r>
        <w:rPr>
          <w:spacing w:val="40"/>
          <w:sz w:val="22"/>
        </w:rPr>
        <w:t> </w:t>
      </w:r>
      <w:r>
        <w:rPr>
          <w:sz w:val="22"/>
        </w:rPr>
        <w:t>Schumm</w:t>
      </w:r>
      <w:r>
        <w:rPr>
          <w:spacing w:val="40"/>
          <w:sz w:val="22"/>
        </w:rPr>
        <w:t> </w:t>
      </w:r>
      <w:r>
        <w:rPr>
          <w:sz w:val="22"/>
        </w:rPr>
        <w:t>LP,</w:t>
      </w:r>
      <w:r>
        <w:rPr>
          <w:spacing w:val="40"/>
          <w:sz w:val="22"/>
        </w:rPr>
        <w:t> </w:t>
      </w:r>
      <w:r>
        <w:rPr>
          <w:sz w:val="22"/>
        </w:rPr>
        <w:t>Waumann</w:t>
      </w:r>
      <w:r>
        <w:rPr>
          <w:spacing w:val="40"/>
          <w:sz w:val="22"/>
        </w:rPr>
        <w:t> </w:t>
      </w:r>
      <w:r>
        <w:rPr>
          <w:sz w:val="22"/>
        </w:rPr>
        <w:t>EO,</w:t>
      </w:r>
      <w:r>
        <w:rPr>
          <w:spacing w:val="40"/>
          <w:sz w:val="22"/>
        </w:rPr>
        <w:t> </w:t>
      </w:r>
      <w:r>
        <w:rPr>
          <w:sz w:val="22"/>
        </w:rPr>
        <w:t>Levinson</w:t>
      </w:r>
      <w:r>
        <w:rPr>
          <w:spacing w:val="40"/>
          <w:sz w:val="22"/>
        </w:rPr>
        <w:t> </w:t>
      </w:r>
      <w:r>
        <w:rPr>
          <w:sz w:val="22"/>
        </w:rPr>
        <w:t>W,</w:t>
      </w:r>
      <w:r>
        <w:rPr>
          <w:spacing w:val="40"/>
          <w:sz w:val="22"/>
        </w:rPr>
        <w:t> </w:t>
      </w:r>
      <w:r>
        <w:rPr>
          <w:sz w:val="22"/>
        </w:rPr>
        <w:t>O’Muircheartaigh</w:t>
      </w:r>
      <w:r>
        <w:rPr>
          <w:spacing w:val="40"/>
          <w:sz w:val="22"/>
        </w:rPr>
        <w:t> </w:t>
      </w:r>
      <w:r>
        <w:rPr>
          <w:sz w:val="22"/>
        </w:rPr>
        <w:t>CA,</w:t>
      </w:r>
      <w:r>
        <w:rPr>
          <w:spacing w:val="40"/>
          <w:sz w:val="22"/>
        </w:rPr>
        <w:t> </w:t>
      </w:r>
      <w:r>
        <w:rPr>
          <w:sz w:val="22"/>
        </w:rPr>
        <w:t>Waite</w:t>
      </w:r>
      <w:r>
        <w:rPr>
          <w:spacing w:val="40"/>
          <w:sz w:val="22"/>
        </w:rPr>
        <w:t> </w:t>
      </w:r>
      <w:r>
        <w:rPr>
          <w:sz w:val="22"/>
        </w:rPr>
        <w:t>LJ.</w:t>
      </w:r>
      <w:r>
        <w:rPr>
          <w:spacing w:val="40"/>
          <w:sz w:val="22"/>
        </w:rPr>
        <w:t> </w:t>
      </w:r>
      <w:r>
        <w:rPr>
          <w:sz w:val="22"/>
        </w:rPr>
        <w:t>A study of sexuality and health among older adults in the United States. </w:t>
      </w:r>
      <w:r>
        <w:rPr>
          <w:i/>
          <w:sz w:val="22"/>
        </w:rPr>
        <w:t>N Engl J Med</w:t>
      </w:r>
      <w:r>
        <w:rPr>
          <w:sz w:val="22"/>
        </w:rPr>
        <w:t>. </w:t>
      </w:r>
      <w:r>
        <w:rPr>
          <w:spacing w:val="-2"/>
          <w:sz w:val="22"/>
        </w:rPr>
        <w:t>2007;357:762.</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Shifren JL, Monz BU, Russo PA, Segreti A, Johannes CB. Sexual problems and distress </w:t>
      </w:r>
      <w:r>
        <w:rPr>
          <w:sz w:val="22"/>
        </w:rPr>
        <w:t>in United States women: prevalence and correlates. </w:t>
      </w:r>
      <w:r>
        <w:rPr>
          <w:i/>
          <w:sz w:val="22"/>
        </w:rPr>
        <w:t>Obstet Gynecol</w:t>
      </w:r>
      <w:r>
        <w:rPr>
          <w:sz w:val="22"/>
        </w:rPr>
        <w:t>. 2008;112:970.</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Taylor HS, Tal A, Pal L, et al. Effects of oral vs transdermal estrogen therapy on sexual</w:t>
      </w:r>
      <w:r>
        <w:rPr>
          <w:spacing w:val="80"/>
          <w:w w:val="150"/>
          <w:sz w:val="22"/>
        </w:rPr>
        <w:t> </w:t>
      </w:r>
      <w:r>
        <w:rPr>
          <w:sz w:val="22"/>
        </w:rPr>
        <w:t>function in early postmenopause: ancillary study of the Kronos Early Estrogen Prevention</w:t>
      </w:r>
      <w:r>
        <w:rPr>
          <w:spacing w:val="80"/>
          <w:w w:val="150"/>
          <w:sz w:val="22"/>
        </w:rPr>
        <w:t> </w:t>
      </w:r>
      <w:r>
        <w:rPr>
          <w:sz w:val="22"/>
        </w:rPr>
        <w:t>Study (KEEPS). </w:t>
      </w:r>
      <w:r>
        <w:rPr>
          <w:i/>
          <w:sz w:val="22"/>
        </w:rPr>
        <w:t>JAMA Intern Med</w:t>
      </w:r>
      <w:r>
        <w:rPr>
          <w:sz w:val="22"/>
        </w:rPr>
        <w:t>. 2017;177(10):1471.</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Dennerstein</w:t>
      </w:r>
      <w:r>
        <w:rPr>
          <w:spacing w:val="29"/>
          <w:sz w:val="22"/>
        </w:rPr>
        <w:t> </w:t>
      </w:r>
      <w:r>
        <w:rPr>
          <w:sz w:val="22"/>
        </w:rPr>
        <w:t>L,</w:t>
      </w:r>
      <w:r>
        <w:rPr>
          <w:spacing w:val="29"/>
          <w:sz w:val="22"/>
        </w:rPr>
        <w:t> </w:t>
      </w:r>
      <w:r>
        <w:rPr>
          <w:sz w:val="22"/>
        </w:rPr>
        <w:t>Lehert</w:t>
      </w:r>
      <w:r>
        <w:rPr>
          <w:spacing w:val="29"/>
          <w:sz w:val="22"/>
        </w:rPr>
        <w:t> </w:t>
      </w:r>
      <w:r>
        <w:rPr>
          <w:sz w:val="22"/>
        </w:rPr>
        <w:t>P,</w:t>
      </w:r>
      <w:r>
        <w:rPr>
          <w:spacing w:val="29"/>
          <w:sz w:val="22"/>
        </w:rPr>
        <w:t> </w:t>
      </w:r>
      <w:r>
        <w:rPr>
          <w:sz w:val="22"/>
        </w:rPr>
        <w:t>Burger</w:t>
      </w:r>
      <w:r>
        <w:rPr>
          <w:spacing w:val="29"/>
          <w:sz w:val="22"/>
        </w:rPr>
        <w:t> </w:t>
      </w:r>
      <w:r>
        <w:rPr>
          <w:sz w:val="22"/>
        </w:rPr>
        <w:t>H.</w:t>
      </w:r>
      <w:r>
        <w:rPr>
          <w:spacing w:val="29"/>
          <w:sz w:val="22"/>
        </w:rPr>
        <w:t> </w:t>
      </w:r>
      <w:r>
        <w:rPr>
          <w:sz w:val="22"/>
        </w:rPr>
        <w:t>The</w:t>
      </w:r>
      <w:r>
        <w:rPr>
          <w:spacing w:val="28"/>
          <w:sz w:val="22"/>
        </w:rPr>
        <w:t> </w:t>
      </w:r>
      <w:r>
        <w:rPr>
          <w:sz w:val="22"/>
        </w:rPr>
        <w:t>relative</w:t>
      </w:r>
      <w:r>
        <w:rPr>
          <w:spacing w:val="28"/>
          <w:sz w:val="22"/>
        </w:rPr>
        <w:t> </w:t>
      </w:r>
      <w:r>
        <w:rPr>
          <w:sz w:val="22"/>
        </w:rPr>
        <w:t>effects</w:t>
      </w:r>
      <w:r>
        <w:rPr>
          <w:spacing w:val="28"/>
          <w:sz w:val="22"/>
        </w:rPr>
        <w:t> </w:t>
      </w:r>
      <w:r>
        <w:rPr>
          <w:sz w:val="22"/>
        </w:rPr>
        <w:t>of</w:t>
      </w:r>
      <w:r>
        <w:rPr>
          <w:spacing w:val="28"/>
          <w:sz w:val="22"/>
        </w:rPr>
        <w:t> </w:t>
      </w:r>
      <w:r>
        <w:rPr>
          <w:sz w:val="22"/>
        </w:rPr>
        <w:t>hormones</w:t>
      </w:r>
      <w:r>
        <w:rPr>
          <w:spacing w:val="28"/>
          <w:sz w:val="22"/>
        </w:rPr>
        <w:t> </w:t>
      </w:r>
      <w:r>
        <w:rPr>
          <w:sz w:val="22"/>
        </w:rPr>
        <w:t>and</w:t>
      </w:r>
      <w:r>
        <w:rPr>
          <w:spacing w:val="28"/>
          <w:sz w:val="22"/>
        </w:rPr>
        <w:t> </w:t>
      </w:r>
      <w:r>
        <w:rPr>
          <w:sz w:val="22"/>
        </w:rPr>
        <w:t>relationship</w:t>
      </w:r>
      <w:r>
        <w:rPr>
          <w:spacing w:val="28"/>
          <w:sz w:val="22"/>
        </w:rPr>
        <w:t> </w:t>
      </w:r>
      <w:r>
        <w:rPr>
          <w:sz w:val="22"/>
        </w:rPr>
        <w:t>factors on sexual function of women through the natural menopause transition. </w:t>
      </w:r>
      <w:r>
        <w:rPr>
          <w:i/>
          <w:sz w:val="22"/>
        </w:rPr>
        <w:t>Fertil Steril</w:t>
      </w:r>
      <w:r>
        <w:rPr>
          <w:sz w:val="22"/>
        </w:rPr>
        <w:t>. </w:t>
      </w:r>
      <w:r>
        <w:rPr>
          <w:spacing w:val="-2"/>
          <w:sz w:val="22"/>
        </w:rPr>
        <w:t>2005;84:174.</w:t>
      </w:r>
    </w:p>
    <w:p>
      <w:pPr>
        <w:pStyle w:val="ListParagraph"/>
        <w:numPr>
          <w:ilvl w:val="0"/>
          <w:numId w:val="9"/>
        </w:numPr>
        <w:tabs>
          <w:tab w:pos="710" w:val="left" w:leader="none"/>
        </w:tabs>
        <w:spacing w:line="251" w:lineRule="exact" w:before="0" w:after="0"/>
        <w:ind w:left="710" w:right="0" w:hanging="498"/>
        <w:jc w:val="both"/>
        <w:rPr>
          <w:sz w:val="22"/>
        </w:rPr>
      </w:pPr>
      <w:r>
        <w:rPr>
          <w:sz w:val="22"/>
        </w:rPr>
        <w:t>Rhodes</w:t>
      </w:r>
      <w:r>
        <w:rPr>
          <w:spacing w:val="29"/>
          <w:sz w:val="22"/>
        </w:rPr>
        <w:t> </w:t>
      </w:r>
      <w:r>
        <w:rPr>
          <w:sz w:val="22"/>
        </w:rPr>
        <w:t>JC,</w:t>
      </w:r>
      <w:r>
        <w:rPr>
          <w:spacing w:val="29"/>
          <w:sz w:val="22"/>
        </w:rPr>
        <w:t> </w:t>
      </w:r>
      <w:r>
        <w:rPr>
          <w:sz w:val="22"/>
        </w:rPr>
        <w:t>Kjerulff</w:t>
      </w:r>
      <w:r>
        <w:rPr>
          <w:spacing w:val="30"/>
          <w:sz w:val="22"/>
        </w:rPr>
        <w:t> </w:t>
      </w:r>
      <w:r>
        <w:rPr>
          <w:sz w:val="22"/>
        </w:rPr>
        <w:t>KH,</w:t>
      </w:r>
      <w:r>
        <w:rPr>
          <w:spacing w:val="29"/>
          <w:sz w:val="22"/>
        </w:rPr>
        <w:t> </w:t>
      </w:r>
      <w:r>
        <w:rPr>
          <w:sz w:val="22"/>
        </w:rPr>
        <w:t>Langenberg</w:t>
      </w:r>
      <w:r>
        <w:rPr>
          <w:spacing w:val="30"/>
          <w:sz w:val="22"/>
        </w:rPr>
        <w:t> </w:t>
      </w:r>
      <w:r>
        <w:rPr>
          <w:sz w:val="22"/>
        </w:rPr>
        <w:t>PW,</w:t>
      </w:r>
      <w:r>
        <w:rPr>
          <w:spacing w:val="29"/>
          <w:sz w:val="22"/>
        </w:rPr>
        <w:t> </w:t>
      </w:r>
      <w:r>
        <w:rPr>
          <w:sz w:val="22"/>
        </w:rPr>
        <w:t>Guzinski</w:t>
      </w:r>
      <w:r>
        <w:rPr>
          <w:spacing w:val="30"/>
          <w:sz w:val="22"/>
        </w:rPr>
        <w:t> </w:t>
      </w:r>
      <w:r>
        <w:rPr>
          <w:sz w:val="22"/>
        </w:rPr>
        <w:t>GM.</w:t>
      </w:r>
      <w:r>
        <w:rPr>
          <w:spacing w:val="28"/>
          <w:sz w:val="22"/>
        </w:rPr>
        <w:t> </w:t>
      </w:r>
      <w:r>
        <w:rPr>
          <w:sz w:val="22"/>
        </w:rPr>
        <w:t>Hysterectomy</w:t>
      </w:r>
      <w:r>
        <w:rPr>
          <w:spacing w:val="31"/>
          <w:sz w:val="22"/>
        </w:rPr>
        <w:t> </w:t>
      </w:r>
      <w:r>
        <w:rPr>
          <w:sz w:val="22"/>
        </w:rPr>
        <w:t>and</w:t>
      </w:r>
      <w:r>
        <w:rPr>
          <w:spacing w:val="31"/>
          <w:sz w:val="22"/>
        </w:rPr>
        <w:t> </w:t>
      </w:r>
      <w:r>
        <w:rPr>
          <w:sz w:val="22"/>
        </w:rPr>
        <w:t>sexual</w:t>
      </w:r>
      <w:r>
        <w:rPr>
          <w:spacing w:val="30"/>
          <w:sz w:val="22"/>
        </w:rPr>
        <w:t> </w:t>
      </w:r>
      <w:r>
        <w:rPr>
          <w:spacing w:val="-2"/>
          <w:sz w:val="22"/>
        </w:rPr>
        <w:t>function.</w:t>
      </w:r>
    </w:p>
    <w:p>
      <w:pPr>
        <w:spacing w:before="8"/>
        <w:ind w:left="718" w:right="0" w:firstLine="0"/>
        <w:jc w:val="both"/>
        <w:rPr>
          <w:sz w:val="22"/>
        </w:rPr>
      </w:pPr>
      <w:r>
        <w:rPr>
          <w:i/>
          <w:sz w:val="22"/>
        </w:rPr>
        <w:t>JAMA</w:t>
      </w:r>
      <w:r>
        <w:rPr>
          <w:sz w:val="22"/>
        </w:rPr>
        <w:t>.</w:t>
      </w:r>
      <w:r>
        <w:rPr>
          <w:spacing w:val="12"/>
          <w:sz w:val="22"/>
        </w:rPr>
        <w:t> </w:t>
      </w:r>
      <w:r>
        <w:rPr>
          <w:spacing w:val="-2"/>
          <w:sz w:val="22"/>
        </w:rPr>
        <w:t>1999;282:20.</w:t>
      </w:r>
    </w:p>
    <w:p>
      <w:pPr>
        <w:pStyle w:val="ListParagraph"/>
        <w:numPr>
          <w:ilvl w:val="0"/>
          <w:numId w:val="9"/>
        </w:numPr>
        <w:tabs>
          <w:tab w:pos="709" w:val="left" w:leader="none"/>
          <w:tab w:pos="718" w:val="left" w:leader="none"/>
        </w:tabs>
        <w:spacing w:line="256" w:lineRule="auto" w:before="18" w:after="0"/>
        <w:ind w:left="718" w:right="100" w:hanging="507"/>
        <w:jc w:val="both"/>
        <w:rPr>
          <w:sz w:val="22"/>
        </w:rPr>
      </w:pPr>
      <w:r>
        <w:rPr>
          <w:sz w:val="22"/>
        </w:rPr>
        <w:t>Anderson HD, Pace WD, Libby AM, West DR, Valuck RJ. Rates of 5 common antidepressant side effects among new adult and adolescent cases of depression: a retrospective US </w:t>
      </w:r>
      <w:r>
        <w:rPr>
          <w:sz w:val="22"/>
        </w:rPr>
        <w:t>claims study. </w:t>
      </w:r>
      <w:r>
        <w:rPr>
          <w:i/>
          <w:sz w:val="22"/>
        </w:rPr>
        <w:t>Clin Ther</w:t>
      </w:r>
      <w:r>
        <w:rPr>
          <w:sz w:val="22"/>
        </w:rPr>
        <w:t>. 2012;34(1):113.</w:t>
      </w:r>
    </w:p>
    <w:p>
      <w:pPr>
        <w:pStyle w:val="ListParagraph"/>
        <w:numPr>
          <w:ilvl w:val="0"/>
          <w:numId w:val="9"/>
        </w:numPr>
        <w:tabs>
          <w:tab w:pos="710" w:val="left" w:leader="none"/>
        </w:tabs>
        <w:spacing w:line="251" w:lineRule="exact" w:before="0" w:after="0"/>
        <w:ind w:left="710" w:right="0" w:hanging="498"/>
        <w:jc w:val="both"/>
        <w:rPr>
          <w:sz w:val="22"/>
        </w:rPr>
      </w:pPr>
      <w:r>
        <w:rPr>
          <w:sz w:val="22"/>
        </w:rPr>
        <w:t>DeLamater</w:t>
      </w:r>
      <w:r>
        <w:rPr>
          <w:spacing w:val="12"/>
          <w:sz w:val="22"/>
        </w:rPr>
        <w:t> </w:t>
      </w:r>
      <w:r>
        <w:rPr>
          <w:sz w:val="22"/>
        </w:rPr>
        <w:t>J,</w:t>
      </w:r>
      <w:r>
        <w:rPr>
          <w:spacing w:val="12"/>
          <w:sz w:val="22"/>
        </w:rPr>
        <w:t> </w:t>
      </w:r>
      <w:r>
        <w:rPr>
          <w:sz w:val="22"/>
        </w:rPr>
        <w:t>Karraker</w:t>
      </w:r>
      <w:r>
        <w:rPr>
          <w:spacing w:val="12"/>
          <w:sz w:val="22"/>
        </w:rPr>
        <w:t> </w:t>
      </w:r>
      <w:r>
        <w:rPr>
          <w:sz w:val="22"/>
        </w:rPr>
        <w:t>A.</w:t>
      </w:r>
      <w:r>
        <w:rPr>
          <w:spacing w:val="12"/>
          <w:sz w:val="22"/>
        </w:rPr>
        <w:t> </w:t>
      </w:r>
      <w:r>
        <w:rPr>
          <w:sz w:val="22"/>
        </w:rPr>
        <w:t>Sexual</w:t>
      </w:r>
      <w:r>
        <w:rPr>
          <w:spacing w:val="12"/>
          <w:sz w:val="22"/>
        </w:rPr>
        <w:t> </w:t>
      </w:r>
      <w:r>
        <w:rPr>
          <w:sz w:val="22"/>
        </w:rPr>
        <w:t>functioning</w:t>
      </w:r>
      <w:r>
        <w:rPr>
          <w:spacing w:val="12"/>
          <w:sz w:val="22"/>
        </w:rPr>
        <w:t> </w:t>
      </w:r>
      <w:r>
        <w:rPr>
          <w:sz w:val="22"/>
        </w:rPr>
        <w:t>in</w:t>
      </w:r>
      <w:r>
        <w:rPr>
          <w:spacing w:val="12"/>
          <w:sz w:val="22"/>
        </w:rPr>
        <w:t> </w:t>
      </w:r>
      <w:r>
        <w:rPr>
          <w:sz w:val="22"/>
        </w:rPr>
        <w:t>older</w:t>
      </w:r>
      <w:r>
        <w:rPr>
          <w:spacing w:val="12"/>
          <w:sz w:val="22"/>
        </w:rPr>
        <w:t> </w:t>
      </w:r>
      <w:r>
        <w:rPr>
          <w:sz w:val="22"/>
        </w:rPr>
        <w:t>adults.</w:t>
      </w:r>
      <w:r>
        <w:rPr>
          <w:spacing w:val="12"/>
          <w:sz w:val="22"/>
        </w:rPr>
        <w:t> </w:t>
      </w:r>
      <w:r>
        <w:rPr>
          <w:i/>
          <w:sz w:val="22"/>
        </w:rPr>
        <w:t>Curr</w:t>
      </w:r>
      <w:r>
        <w:rPr>
          <w:i/>
          <w:spacing w:val="12"/>
          <w:sz w:val="22"/>
        </w:rPr>
        <w:t> </w:t>
      </w:r>
      <w:r>
        <w:rPr>
          <w:i/>
          <w:sz w:val="22"/>
        </w:rPr>
        <w:t>Psychiatry</w:t>
      </w:r>
      <w:r>
        <w:rPr>
          <w:i/>
          <w:spacing w:val="13"/>
          <w:sz w:val="22"/>
        </w:rPr>
        <w:t> </w:t>
      </w:r>
      <w:r>
        <w:rPr>
          <w:i/>
          <w:sz w:val="22"/>
        </w:rPr>
        <w:t>Rep</w:t>
      </w:r>
      <w:r>
        <w:rPr>
          <w:sz w:val="22"/>
        </w:rPr>
        <w:t>.</w:t>
      </w:r>
      <w:r>
        <w:rPr>
          <w:spacing w:val="12"/>
          <w:sz w:val="22"/>
        </w:rPr>
        <w:t> </w:t>
      </w:r>
      <w:r>
        <w:rPr>
          <w:spacing w:val="-2"/>
          <w:sz w:val="22"/>
        </w:rPr>
        <w:t>2009;11:6.</w:t>
      </w:r>
    </w:p>
    <w:p>
      <w:pPr>
        <w:pStyle w:val="ListParagraph"/>
        <w:numPr>
          <w:ilvl w:val="0"/>
          <w:numId w:val="9"/>
        </w:numPr>
        <w:tabs>
          <w:tab w:pos="709" w:val="left" w:leader="none"/>
          <w:tab w:pos="718" w:val="left" w:leader="none"/>
        </w:tabs>
        <w:spacing w:line="256" w:lineRule="auto" w:before="17" w:after="0"/>
        <w:ind w:left="718" w:right="111" w:hanging="507"/>
        <w:jc w:val="both"/>
        <w:rPr>
          <w:sz w:val="22"/>
        </w:rPr>
      </w:pPr>
      <w:r>
        <w:rPr>
          <w:sz w:val="22"/>
        </w:rPr>
        <w:t>Martin CE. Factors affecting sexual functioning in 60-79 year-old married males. </w:t>
      </w:r>
      <w:r>
        <w:rPr>
          <w:i/>
          <w:sz w:val="22"/>
        </w:rPr>
        <w:t>Arch Sex</w:t>
      </w:r>
      <w:r>
        <w:rPr>
          <w:i/>
          <w:sz w:val="22"/>
        </w:rPr>
        <w:t> Behav</w:t>
      </w:r>
      <w:r>
        <w:rPr>
          <w:sz w:val="22"/>
        </w:rPr>
        <w:t>. 1981;10:399.</w:t>
      </w:r>
    </w:p>
    <w:p>
      <w:pPr>
        <w:pStyle w:val="ListParagraph"/>
        <w:numPr>
          <w:ilvl w:val="0"/>
          <w:numId w:val="9"/>
        </w:numPr>
        <w:tabs>
          <w:tab w:pos="710" w:val="left" w:leader="none"/>
        </w:tabs>
        <w:spacing w:line="252" w:lineRule="exact" w:before="0" w:after="0"/>
        <w:ind w:left="710" w:right="0" w:hanging="498"/>
        <w:jc w:val="both"/>
        <w:rPr>
          <w:sz w:val="22"/>
        </w:rPr>
      </w:pPr>
      <w:r>
        <w:rPr>
          <w:sz w:val="22"/>
        </w:rPr>
        <w:t>George</w:t>
      </w:r>
      <w:r>
        <w:rPr>
          <w:spacing w:val="7"/>
          <w:sz w:val="22"/>
        </w:rPr>
        <w:t> </w:t>
      </w:r>
      <w:r>
        <w:rPr>
          <w:sz w:val="22"/>
        </w:rPr>
        <w:t>LK,</w:t>
      </w:r>
      <w:r>
        <w:rPr>
          <w:spacing w:val="8"/>
          <w:sz w:val="22"/>
        </w:rPr>
        <w:t> </w:t>
      </w:r>
      <w:r>
        <w:rPr>
          <w:sz w:val="22"/>
        </w:rPr>
        <w:t>Weiler</w:t>
      </w:r>
      <w:r>
        <w:rPr>
          <w:spacing w:val="8"/>
          <w:sz w:val="22"/>
        </w:rPr>
        <w:t> </w:t>
      </w:r>
      <w:r>
        <w:rPr>
          <w:sz w:val="22"/>
        </w:rPr>
        <w:t>SJ.</w:t>
      </w:r>
      <w:r>
        <w:rPr>
          <w:spacing w:val="8"/>
          <w:sz w:val="22"/>
        </w:rPr>
        <w:t> </w:t>
      </w:r>
      <w:r>
        <w:rPr>
          <w:sz w:val="22"/>
        </w:rPr>
        <w:t>Sexuality</w:t>
      </w:r>
      <w:r>
        <w:rPr>
          <w:spacing w:val="8"/>
          <w:sz w:val="22"/>
        </w:rPr>
        <w:t> </w:t>
      </w:r>
      <w:r>
        <w:rPr>
          <w:sz w:val="22"/>
        </w:rPr>
        <w:t>in</w:t>
      </w:r>
      <w:r>
        <w:rPr>
          <w:spacing w:val="8"/>
          <w:sz w:val="22"/>
        </w:rPr>
        <w:t> </w:t>
      </w:r>
      <w:r>
        <w:rPr>
          <w:sz w:val="22"/>
        </w:rPr>
        <w:t>middle</w:t>
      </w:r>
      <w:r>
        <w:rPr>
          <w:spacing w:val="7"/>
          <w:sz w:val="22"/>
        </w:rPr>
        <w:t> </w:t>
      </w:r>
      <w:r>
        <w:rPr>
          <w:sz w:val="22"/>
        </w:rPr>
        <w:t>and</w:t>
      </w:r>
      <w:r>
        <w:rPr>
          <w:spacing w:val="8"/>
          <w:sz w:val="22"/>
        </w:rPr>
        <w:t> </w:t>
      </w:r>
      <w:r>
        <w:rPr>
          <w:sz w:val="22"/>
        </w:rPr>
        <w:t>late</w:t>
      </w:r>
      <w:r>
        <w:rPr>
          <w:spacing w:val="8"/>
          <w:sz w:val="22"/>
        </w:rPr>
        <w:t> </w:t>
      </w:r>
      <w:r>
        <w:rPr>
          <w:sz w:val="22"/>
        </w:rPr>
        <w:t>life.</w:t>
      </w:r>
      <w:r>
        <w:rPr>
          <w:spacing w:val="8"/>
          <w:sz w:val="22"/>
        </w:rPr>
        <w:t> </w:t>
      </w:r>
      <w:r>
        <w:rPr>
          <w:i/>
          <w:sz w:val="22"/>
        </w:rPr>
        <w:t>Arch</w:t>
      </w:r>
      <w:r>
        <w:rPr>
          <w:i/>
          <w:spacing w:val="8"/>
          <w:sz w:val="22"/>
        </w:rPr>
        <w:t> </w:t>
      </w:r>
      <w:r>
        <w:rPr>
          <w:i/>
          <w:sz w:val="22"/>
        </w:rPr>
        <w:t>Gen</w:t>
      </w:r>
      <w:r>
        <w:rPr>
          <w:i/>
          <w:spacing w:val="8"/>
          <w:sz w:val="22"/>
        </w:rPr>
        <w:t> </w:t>
      </w:r>
      <w:r>
        <w:rPr>
          <w:i/>
          <w:sz w:val="22"/>
        </w:rPr>
        <w:t>Psychiatr</w:t>
      </w:r>
      <w:r>
        <w:rPr>
          <w:sz w:val="22"/>
        </w:rPr>
        <w:t>.</w:t>
      </w:r>
      <w:r>
        <w:rPr>
          <w:spacing w:val="7"/>
          <w:sz w:val="22"/>
        </w:rPr>
        <w:t> </w:t>
      </w:r>
      <w:r>
        <w:rPr>
          <w:spacing w:val="-2"/>
          <w:sz w:val="22"/>
        </w:rPr>
        <w:t>1981;38:919.</w:t>
      </w:r>
    </w:p>
    <w:p>
      <w:pPr>
        <w:pStyle w:val="ListParagraph"/>
        <w:numPr>
          <w:ilvl w:val="0"/>
          <w:numId w:val="9"/>
        </w:numPr>
        <w:tabs>
          <w:tab w:pos="709" w:val="left" w:leader="none"/>
          <w:tab w:pos="718" w:val="left" w:leader="none"/>
        </w:tabs>
        <w:spacing w:line="256" w:lineRule="auto" w:before="17" w:after="0"/>
        <w:ind w:left="718" w:right="106" w:hanging="507"/>
        <w:jc w:val="both"/>
        <w:rPr>
          <w:sz w:val="22"/>
        </w:rPr>
      </w:pPr>
      <w:r>
        <w:rPr>
          <w:sz w:val="22"/>
        </w:rPr>
        <w:t>White CB. Sexual interest, attitudes, knowledge, and sexual history in relation to sexual</w:t>
      </w:r>
      <w:r>
        <w:rPr>
          <w:spacing w:val="40"/>
          <w:sz w:val="22"/>
        </w:rPr>
        <w:t> </w:t>
      </w:r>
      <w:r>
        <w:rPr>
          <w:sz w:val="22"/>
        </w:rPr>
        <w:t>behavior in the institutionalized aged. </w:t>
      </w:r>
      <w:r>
        <w:rPr>
          <w:i/>
          <w:sz w:val="22"/>
        </w:rPr>
        <w:t>Arch Sex Behav</w:t>
      </w:r>
      <w:r>
        <w:rPr>
          <w:sz w:val="22"/>
        </w:rPr>
        <w:t>. 1982;11:11.</w:t>
      </w:r>
    </w:p>
    <w:p>
      <w:pPr>
        <w:pStyle w:val="ListParagraph"/>
        <w:numPr>
          <w:ilvl w:val="0"/>
          <w:numId w:val="9"/>
        </w:numPr>
        <w:tabs>
          <w:tab w:pos="710" w:val="left" w:leader="none"/>
        </w:tabs>
        <w:spacing w:line="252" w:lineRule="exact" w:before="0" w:after="0"/>
        <w:ind w:left="710" w:right="0" w:hanging="498"/>
        <w:jc w:val="both"/>
        <w:rPr>
          <w:sz w:val="22"/>
        </w:rPr>
      </w:pPr>
      <w:r>
        <w:rPr>
          <w:sz w:val="22"/>
        </w:rPr>
        <w:t>Renshaw</w:t>
      </w:r>
      <w:r>
        <w:rPr>
          <w:spacing w:val="8"/>
          <w:sz w:val="22"/>
        </w:rPr>
        <w:t> </w:t>
      </w:r>
      <w:r>
        <w:rPr>
          <w:sz w:val="22"/>
        </w:rPr>
        <w:t>DC.</w:t>
      </w:r>
      <w:r>
        <w:rPr>
          <w:spacing w:val="8"/>
          <w:sz w:val="22"/>
        </w:rPr>
        <w:t> </w:t>
      </w:r>
      <w:r>
        <w:rPr>
          <w:sz w:val="22"/>
        </w:rPr>
        <w:t>Sex,</w:t>
      </w:r>
      <w:r>
        <w:rPr>
          <w:spacing w:val="8"/>
          <w:sz w:val="22"/>
        </w:rPr>
        <w:t> </w:t>
      </w:r>
      <w:r>
        <w:rPr>
          <w:sz w:val="22"/>
        </w:rPr>
        <w:t>intimacy,</w:t>
      </w:r>
      <w:r>
        <w:rPr>
          <w:spacing w:val="8"/>
          <w:sz w:val="22"/>
        </w:rPr>
        <w:t> </w:t>
      </w:r>
      <w:r>
        <w:rPr>
          <w:sz w:val="22"/>
        </w:rPr>
        <w:t>and</w:t>
      </w:r>
      <w:r>
        <w:rPr>
          <w:spacing w:val="8"/>
          <w:sz w:val="22"/>
        </w:rPr>
        <w:t> </w:t>
      </w:r>
      <w:r>
        <w:rPr>
          <w:sz w:val="22"/>
        </w:rPr>
        <w:t>the</w:t>
      </w:r>
      <w:r>
        <w:rPr>
          <w:spacing w:val="8"/>
          <w:sz w:val="22"/>
        </w:rPr>
        <w:t> </w:t>
      </w:r>
      <w:r>
        <w:rPr>
          <w:sz w:val="22"/>
        </w:rPr>
        <w:t>older</w:t>
      </w:r>
      <w:r>
        <w:rPr>
          <w:spacing w:val="9"/>
          <w:sz w:val="22"/>
        </w:rPr>
        <w:t> </w:t>
      </w:r>
      <w:r>
        <w:rPr>
          <w:sz w:val="22"/>
        </w:rPr>
        <w:t>woman.</w:t>
      </w:r>
      <w:r>
        <w:rPr>
          <w:spacing w:val="8"/>
          <w:sz w:val="22"/>
        </w:rPr>
        <w:t> </w:t>
      </w:r>
      <w:r>
        <w:rPr>
          <w:i/>
          <w:sz w:val="22"/>
        </w:rPr>
        <w:t>Women</w:t>
      </w:r>
      <w:r>
        <w:rPr>
          <w:i/>
          <w:spacing w:val="8"/>
          <w:sz w:val="22"/>
        </w:rPr>
        <w:t> </w:t>
      </w:r>
      <w:r>
        <w:rPr>
          <w:i/>
          <w:sz w:val="22"/>
        </w:rPr>
        <w:t>Health</w:t>
      </w:r>
      <w:r>
        <w:rPr>
          <w:sz w:val="22"/>
        </w:rPr>
        <w:t>.</w:t>
      </w:r>
      <w:r>
        <w:rPr>
          <w:spacing w:val="8"/>
          <w:sz w:val="22"/>
        </w:rPr>
        <w:t> </w:t>
      </w:r>
      <w:r>
        <w:rPr>
          <w:spacing w:val="-2"/>
          <w:sz w:val="22"/>
        </w:rPr>
        <w:t>1983;8:43.</w:t>
      </w:r>
    </w:p>
    <w:p>
      <w:pPr>
        <w:pStyle w:val="ListParagraph"/>
        <w:numPr>
          <w:ilvl w:val="0"/>
          <w:numId w:val="9"/>
        </w:numPr>
        <w:tabs>
          <w:tab w:pos="709" w:val="left" w:leader="none"/>
          <w:tab w:pos="718" w:val="left" w:leader="none"/>
        </w:tabs>
        <w:spacing w:line="256" w:lineRule="auto" w:before="17" w:after="0"/>
        <w:ind w:left="718" w:right="111" w:hanging="507"/>
        <w:jc w:val="left"/>
        <w:rPr>
          <w:sz w:val="22"/>
        </w:rPr>
      </w:pPr>
      <w:r>
        <w:rPr>
          <w:sz w:val="22"/>
        </w:rPr>
        <w:t>Dennerstein</w:t>
      </w:r>
      <w:r>
        <w:rPr>
          <w:spacing w:val="22"/>
          <w:sz w:val="22"/>
        </w:rPr>
        <w:t> </w:t>
      </w:r>
      <w:r>
        <w:rPr>
          <w:sz w:val="22"/>
        </w:rPr>
        <w:t>L,</w:t>
      </w:r>
      <w:r>
        <w:rPr>
          <w:spacing w:val="22"/>
          <w:sz w:val="22"/>
        </w:rPr>
        <w:t> </w:t>
      </w:r>
      <w:r>
        <w:rPr>
          <w:sz w:val="22"/>
        </w:rPr>
        <w:t>Lehert</w:t>
      </w:r>
      <w:r>
        <w:rPr>
          <w:spacing w:val="22"/>
          <w:sz w:val="22"/>
        </w:rPr>
        <w:t> </w:t>
      </w:r>
      <w:r>
        <w:rPr>
          <w:sz w:val="22"/>
        </w:rPr>
        <w:t>P,</w:t>
      </w:r>
      <w:r>
        <w:rPr>
          <w:spacing w:val="22"/>
          <w:sz w:val="22"/>
        </w:rPr>
        <w:t> </w:t>
      </w:r>
      <w:r>
        <w:rPr>
          <w:sz w:val="22"/>
        </w:rPr>
        <w:t>Burger</w:t>
      </w:r>
      <w:r>
        <w:rPr>
          <w:spacing w:val="22"/>
          <w:sz w:val="22"/>
        </w:rPr>
        <w:t> </w:t>
      </w:r>
      <w:r>
        <w:rPr>
          <w:sz w:val="22"/>
        </w:rPr>
        <w:t>H,</w:t>
      </w:r>
      <w:r>
        <w:rPr>
          <w:spacing w:val="22"/>
          <w:sz w:val="22"/>
        </w:rPr>
        <w:t> </w:t>
      </w:r>
      <w:r>
        <w:rPr>
          <w:sz w:val="22"/>
        </w:rPr>
        <w:t>Dudley</w:t>
      </w:r>
      <w:r>
        <w:rPr>
          <w:spacing w:val="22"/>
          <w:sz w:val="22"/>
        </w:rPr>
        <w:t> </w:t>
      </w:r>
      <w:r>
        <w:rPr>
          <w:sz w:val="22"/>
        </w:rPr>
        <w:t>E.</w:t>
      </w:r>
      <w:r>
        <w:rPr>
          <w:spacing w:val="22"/>
          <w:sz w:val="22"/>
        </w:rPr>
        <w:t> </w:t>
      </w:r>
      <w:r>
        <w:rPr>
          <w:sz w:val="22"/>
        </w:rPr>
        <w:t>Factors</w:t>
      </w:r>
      <w:r>
        <w:rPr>
          <w:spacing w:val="21"/>
          <w:sz w:val="22"/>
        </w:rPr>
        <w:t> </w:t>
      </w:r>
      <w:r>
        <w:rPr>
          <w:sz w:val="22"/>
        </w:rPr>
        <w:t>affecting</w:t>
      </w:r>
      <w:r>
        <w:rPr>
          <w:spacing w:val="21"/>
          <w:sz w:val="22"/>
        </w:rPr>
        <w:t> </w:t>
      </w:r>
      <w:r>
        <w:rPr>
          <w:sz w:val="22"/>
        </w:rPr>
        <w:t>sexual</w:t>
      </w:r>
      <w:r>
        <w:rPr>
          <w:spacing w:val="21"/>
          <w:sz w:val="22"/>
        </w:rPr>
        <w:t> </w:t>
      </w:r>
      <w:r>
        <w:rPr>
          <w:sz w:val="22"/>
        </w:rPr>
        <w:t>functioning</w:t>
      </w:r>
      <w:r>
        <w:rPr>
          <w:spacing w:val="21"/>
          <w:sz w:val="22"/>
        </w:rPr>
        <w:t> </w:t>
      </w:r>
      <w:r>
        <w:rPr>
          <w:sz w:val="22"/>
        </w:rPr>
        <w:t>of</w:t>
      </w:r>
      <w:r>
        <w:rPr>
          <w:spacing w:val="21"/>
          <w:sz w:val="22"/>
        </w:rPr>
        <w:t> </w:t>
      </w:r>
      <w:r>
        <w:rPr>
          <w:sz w:val="22"/>
        </w:rPr>
        <w:t>women in the midlife years. </w:t>
      </w:r>
      <w:r>
        <w:rPr>
          <w:i/>
          <w:sz w:val="22"/>
        </w:rPr>
        <w:t>Climacteric</w:t>
      </w:r>
      <w:r>
        <w:rPr>
          <w:sz w:val="22"/>
        </w:rPr>
        <w:t>. 1999;2:254.</w:t>
      </w:r>
    </w:p>
    <w:p>
      <w:pPr>
        <w:pStyle w:val="ListParagraph"/>
        <w:numPr>
          <w:ilvl w:val="0"/>
          <w:numId w:val="9"/>
        </w:numPr>
        <w:tabs>
          <w:tab w:pos="709" w:val="left" w:leader="none"/>
          <w:tab w:pos="718" w:val="left" w:leader="none"/>
        </w:tabs>
        <w:spacing w:line="256" w:lineRule="auto" w:before="0" w:after="0"/>
        <w:ind w:left="718" w:right="102" w:hanging="507"/>
        <w:jc w:val="left"/>
        <w:rPr>
          <w:sz w:val="22"/>
        </w:rPr>
      </w:pPr>
      <w:r>
        <w:rPr>
          <w:sz w:val="22"/>
        </w:rPr>
        <w:t>Dennerstein</w:t>
      </w:r>
      <w:r>
        <w:rPr>
          <w:spacing w:val="22"/>
          <w:sz w:val="22"/>
        </w:rPr>
        <w:t> </w:t>
      </w:r>
      <w:r>
        <w:rPr>
          <w:sz w:val="22"/>
        </w:rPr>
        <w:t>L,</w:t>
      </w:r>
      <w:r>
        <w:rPr>
          <w:spacing w:val="22"/>
          <w:sz w:val="22"/>
        </w:rPr>
        <w:t> </w:t>
      </w:r>
      <w:r>
        <w:rPr>
          <w:sz w:val="22"/>
        </w:rPr>
        <w:t>Dudley</w:t>
      </w:r>
      <w:r>
        <w:rPr>
          <w:spacing w:val="22"/>
          <w:sz w:val="22"/>
        </w:rPr>
        <w:t> </w:t>
      </w:r>
      <w:r>
        <w:rPr>
          <w:sz w:val="22"/>
        </w:rPr>
        <w:t>E,</w:t>
      </w:r>
      <w:r>
        <w:rPr>
          <w:spacing w:val="22"/>
          <w:sz w:val="22"/>
        </w:rPr>
        <w:t> </w:t>
      </w:r>
      <w:r>
        <w:rPr>
          <w:sz w:val="22"/>
        </w:rPr>
        <w:t>Burger</w:t>
      </w:r>
      <w:r>
        <w:rPr>
          <w:spacing w:val="22"/>
          <w:sz w:val="22"/>
        </w:rPr>
        <w:t> </w:t>
      </w:r>
      <w:r>
        <w:rPr>
          <w:sz w:val="22"/>
        </w:rPr>
        <w:t>H.</w:t>
      </w:r>
      <w:r>
        <w:rPr>
          <w:spacing w:val="22"/>
          <w:sz w:val="22"/>
        </w:rPr>
        <w:t> </w:t>
      </w:r>
      <w:r>
        <w:rPr>
          <w:sz w:val="22"/>
        </w:rPr>
        <w:t>Are</w:t>
      </w:r>
      <w:r>
        <w:rPr>
          <w:spacing w:val="25"/>
          <w:sz w:val="22"/>
        </w:rPr>
        <w:t> </w:t>
      </w:r>
      <w:r>
        <w:rPr>
          <w:sz w:val="22"/>
        </w:rPr>
        <w:t>changes</w:t>
      </w:r>
      <w:r>
        <w:rPr>
          <w:spacing w:val="25"/>
          <w:sz w:val="22"/>
        </w:rPr>
        <w:t> </w:t>
      </w:r>
      <w:r>
        <w:rPr>
          <w:sz w:val="22"/>
        </w:rPr>
        <w:t>in</w:t>
      </w:r>
      <w:r>
        <w:rPr>
          <w:spacing w:val="25"/>
          <w:sz w:val="22"/>
        </w:rPr>
        <w:t> </w:t>
      </w:r>
      <w:r>
        <w:rPr>
          <w:sz w:val="22"/>
        </w:rPr>
        <w:t>sexual</w:t>
      </w:r>
      <w:r>
        <w:rPr>
          <w:spacing w:val="25"/>
          <w:sz w:val="22"/>
        </w:rPr>
        <w:t> </w:t>
      </w:r>
      <w:r>
        <w:rPr>
          <w:sz w:val="22"/>
        </w:rPr>
        <w:t>functioning</w:t>
      </w:r>
      <w:r>
        <w:rPr>
          <w:spacing w:val="25"/>
          <w:sz w:val="22"/>
        </w:rPr>
        <w:t> </w:t>
      </w:r>
      <w:r>
        <w:rPr>
          <w:sz w:val="22"/>
        </w:rPr>
        <w:t>during</w:t>
      </w:r>
      <w:r>
        <w:rPr>
          <w:spacing w:val="25"/>
          <w:sz w:val="22"/>
        </w:rPr>
        <w:t> </w:t>
      </w:r>
      <w:r>
        <w:rPr>
          <w:sz w:val="22"/>
        </w:rPr>
        <w:t>midlife</w:t>
      </w:r>
      <w:r>
        <w:rPr>
          <w:spacing w:val="25"/>
          <w:sz w:val="22"/>
        </w:rPr>
        <w:t> </w:t>
      </w:r>
      <w:r>
        <w:rPr>
          <w:sz w:val="22"/>
        </w:rPr>
        <w:t>due</w:t>
      </w:r>
      <w:r>
        <w:rPr>
          <w:spacing w:val="25"/>
          <w:sz w:val="22"/>
        </w:rPr>
        <w:t> </w:t>
      </w:r>
      <w:r>
        <w:rPr>
          <w:sz w:val="22"/>
        </w:rPr>
        <w:t>to aging or menopause? </w:t>
      </w:r>
      <w:r>
        <w:rPr>
          <w:i/>
          <w:sz w:val="22"/>
        </w:rPr>
        <w:t>Fertil Steril</w:t>
      </w:r>
      <w:r>
        <w:rPr>
          <w:sz w:val="22"/>
        </w:rPr>
        <w:t>. 2001;76:456.</w:t>
      </w:r>
    </w:p>
    <w:p>
      <w:pPr>
        <w:pStyle w:val="ListParagraph"/>
        <w:numPr>
          <w:ilvl w:val="0"/>
          <w:numId w:val="9"/>
        </w:numPr>
        <w:tabs>
          <w:tab w:pos="710" w:val="left" w:leader="none"/>
        </w:tabs>
        <w:spacing w:line="252" w:lineRule="exact" w:before="0" w:after="0"/>
        <w:ind w:left="710" w:right="0" w:hanging="498"/>
        <w:jc w:val="left"/>
        <w:rPr>
          <w:sz w:val="22"/>
        </w:rPr>
      </w:pPr>
      <w:r>
        <w:rPr>
          <w:sz w:val="22"/>
        </w:rPr>
        <w:t>Gosden</w:t>
      </w:r>
      <w:r>
        <w:rPr>
          <w:spacing w:val="11"/>
          <w:sz w:val="22"/>
        </w:rPr>
        <w:t> </w:t>
      </w:r>
      <w:r>
        <w:rPr>
          <w:sz w:val="22"/>
        </w:rPr>
        <w:t>RG.</w:t>
      </w:r>
      <w:r>
        <w:rPr>
          <w:spacing w:val="12"/>
          <w:sz w:val="22"/>
        </w:rPr>
        <w:t> </w:t>
      </w:r>
      <w:r>
        <w:rPr>
          <w:sz w:val="22"/>
        </w:rPr>
        <w:t>Follicular</w:t>
      </w:r>
      <w:r>
        <w:rPr>
          <w:spacing w:val="12"/>
          <w:sz w:val="22"/>
        </w:rPr>
        <w:t> </w:t>
      </w:r>
      <w:r>
        <w:rPr>
          <w:sz w:val="22"/>
        </w:rPr>
        <w:t>status</w:t>
      </w:r>
      <w:r>
        <w:rPr>
          <w:spacing w:val="11"/>
          <w:sz w:val="22"/>
        </w:rPr>
        <w:t> </w:t>
      </w:r>
      <w:r>
        <w:rPr>
          <w:sz w:val="22"/>
        </w:rPr>
        <w:t>at</w:t>
      </w:r>
      <w:r>
        <w:rPr>
          <w:spacing w:val="12"/>
          <w:sz w:val="22"/>
        </w:rPr>
        <w:t> </w:t>
      </w:r>
      <w:r>
        <w:rPr>
          <w:sz w:val="22"/>
        </w:rPr>
        <w:t>menopause.</w:t>
      </w:r>
      <w:r>
        <w:rPr>
          <w:spacing w:val="12"/>
          <w:sz w:val="22"/>
        </w:rPr>
        <w:t> </w:t>
      </w:r>
      <w:r>
        <w:rPr>
          <w:i/>
          <w:sz w:val="22"/>
        </w:rPr>
        <w:t>Hum</w:t>
      </w:r>
      <w:r>
        <w:rPr>
          <w:i/>
          <w:spacing w:val="11"/>
          <w:sz w:val="22"/>
        </w:rPr>
        <w:t> </w:t>
      </w:r>
      <w:r>
        <w:rPr>
          <w:i/>
          <w:sz w:val="22"/>
        </w:rPr>
        <w:t>Reprod</w:t>
      </w:r>
      <w:r>
        <w:rPr>
          <w:sz w:val="22"/>
        </w:rPr>
        <w:t>.</w:t>
      </w:r>
      <w:r>
        <w:rPr>
          <w:spacing w:val="12"/>
          <w:sz w:val="22"/>
        </w:rPr>
        <w:t> </w:t>
      </w:r>
      <w:r>
        <w:rPr>
          <w:spacing w:val="-2"/>
          <w:sz w:val="22"/>
        </w:rPr>
        <w:t>1987;2:617.</w:t>
      </w:r>
    </w:p>
    <w:p>
      <w:pPr>
        <w:pStyle w:val="ListParagraph"/>
        <w:numPr>
          <w:ilvl w:val="0"/>
          <w:numId w:val="9"/>
        </w:numPr>
        <w:tabs>
          <w:tab w:pos="709" w:val="left" w:leader="none"/>
          <w:tab w:pos="718" w:val="left" w:leader="none"/>
        </w:tabs>
        <w:spacing w:line="256" w:lineRule="auto" w:before="15" w:after="0"/>
        <w:ind w:left="718" w:right="111" w:hanging="507"/>
        <w:jc w:val="both"/>
        <w:rPr>
          <w:sz w:val="22"/>
        </w:rPr>
      </w:pPr>
      <w:r>
        <w:rPr>
          <w:sz w:val="22"/>
        </w:rPr>
        <w:t>Chakravarti S, Collins WP, Forecast JD, Newton JR, Oram DH, Studd JWW. </w:t>
      </w:r>
      <w:r>
        <w:rPr>
          <w:sz w:val="22"/>
        </w:rPr>
        <w:t>Hormonal</w:t>
      </w:r>
      <w:r>
        <w:rPr>
          <w:spacing w:val="80"/>
          <w:w w:val="150"/>
          <w:sz w:val="22"/>
        </w:rPr>
        <w:t> </w:t>
      </w:r>
      <w:r>
        <w:rPr>
          <w:sz w:val="22"/>
        </w:rPr>
        <w:t>profiles after the menopause. </w:t>
      </w:r>
      <w:r>
        <w:rPr>
          <w:i/>
          <w:sz w:val="22"/>
        </w:rPr>
        <w:t>Br Med J</w:t>
      </w:r>
      <w:r>
        <w:rPr>
          <w:sz w:val="22"/>
        </w:rPr>
        <w:t>. 1976;2:784.</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Jiroutek MR, Chen M-H, Johnston CC, Longcope C. Changes</w:t>
      </w:r>
      <w:r>
        <w:rPr>
          <w:spacing w:val="31"/>
          <w:sz w:val="22"/>
        </w:rPr>
        <w:t> </w:t>
      </w:r>
      <w:r>
        <w:rPr>
          <w:sz w:val="22"/>
        </w:rPr>
        <w:t>in</w:t>
      </w:r>
      <w:r>
        <w:rPr>
          <w:spacing w:val="31"/>
          <w:sz w:val="22"/>
        </w:rPr>
        <w:t> </w:t>
      </w:r>
      <w:r>
        <w:rPr>
          <w:sz w:val="22"/>
        </w:rPr>
        <w:t>reproductive</w:t>
      </w:r>
      <w:r>
        <w:rPr>
          <w:spacing w:val="31"/>
          <w:sz w:val="22"/>
        </w:rPr>
        <w:t> </w:t>
      </w:r>
      <w:r>
        <w:rPr>
          <w:sz w:val="22"/>
        </w:rPr>
        <w:t>hormones</w:t>
      </w:r>
      <w:r>
        <w:rPr>
          <w:spacing w:val="31"/>
          <w:sz w:val="22"/>
        </w:rPr>
        <w:t> </w:t>
      </w:r>
      <w:r>
        <w:rPr>
          <w:sz w:val="22"/>
        </w:rPr>
        <w:t>and sex hormone-binding globulin in a group of postmenopausal women measured over 10 years. </w:t>
      </w:r>
      <w:r>
        <w:rPr>
          <w:i/>
          <w:sz w:val="22"/>
        </w:rPr>
        <w:t>Menopause</w:t>
      </w:r>
      <w:r>
        <w:rPr>
          <w:sz w:val="22"/>
        </w:rPr>
        <w:t>. 1998;5:90.</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Meldrum</w:t>
      </w:r>
      <w:r>
        <w:rPr>
          <w:spacing w:val="23"/>
          <w:sz w:val="22"/>
        </w:rPr>
        <w:t> </w:t>
      </w:r>
      <w:r>
        <w:rPr>
          <w:sz w:val="22"/>
        </w:rPr>
        <w:t>DR,</w:t>
      </w:r>
      <w:r>
        <w:rPr>
          <w:spacing w:val="23"/>
          <w:sz w:val="22"/>
        </w:rPr>
        <w:t> </w:t>
      </w:r>
      <w:r>
        <w:rPr>
          <w:sz w:val="22"/>
        </w:rPr>
        <w:t>Davidson</w:t>
      </w:r>
      <w:r>
        <w:rPr>
          <w:spacing w:val="23"/>
          <w:sz w:val="22"/>
        </w:rPr>
        <w:t> </w:t>
      </w:r>
      <w:r>
        <w:rPr>
          <w:sz w:val="22"/>
        </w:rPr>
        <w:t>BJ,</w:t>
      </w:r>
      <w:r>
        <w:rPr>
          <w:spacing w:val="23"/>
          <w:sz w:val="22"/>
        </w:rPr>
        <w:t> </w:t>
      </w:r>
      <w:r>
        <w:rPr>
          <w:sz w:val="22"/>
        </w:rPr>
        <w:t>Tataryn</w:t>
      </w:r>
      <w:r>
        <w:rPr>
          <w:spacing w:val="23"/>
          <w:sz w:val="22"/>
        </w:rPr>
        <w:t> </w:t>
      </w:r>
      <w:r>
        <w:rPr>
          <w:sz w:val="22"/>
        </w:rPr>
        <w:t>IV,</w:t>
      </w:r>
      <w:r>
        <w:rPr>
          <w:spacing w:val="23"/>
          <w:sz w:val="22"/>
        </w:rPr>
        <w:t> </w:t>
      </w:r>
      <w:r>
        <w:rPr>
          <w:sz w:val="22"/>
        </w:rPr>
        <w:t>Judd</w:t>
      </w:r>
      <w:r>
        <w:rPr>
          <w:spacing w:val="23"/>
          <w:sz w:val="22"/>
        </w:rPr>
        <w:t> </w:t>
      </w:r>
      <w:r>
        <w:rPr>
          <w:sz w:val="22"/>
        </w:rPr>
        <w:t>HL.</w:t>
      </w:r>
      <w:r>
        <w:rPr>
          <w:spacing w:val="23"/>
          <w:sz w:val="22"/>
        </w:rPr>
        <w:t> </w:t>
      </w:r>
      <w:r>
        <w:rPr>
          <w:sz w:val="22"/>
        </w:rPr>
        <w:t>Changes</w:t>
      </w:r>
      <w:r>
        <w:rPr>
          <w:spacing w:val="26"/>
          <w:sz w:val="22"/>
        </w:rPr>
        <w:t> </w:t>
      </w:r>
      <w:r>
        <w:rPr>
          <w:sz w:val="22"/>
        </w:rPr>
        <w:t>in</w:t>
      </w:r>
      <w:r>
        <w:rPr>
          <w:spacing w:val="26"/>
          <w:sz w:val="22"/>
        </w:rPr>
        <w:t> </w:t>
      </w:r>
      <w:r>
        <w:rPr>
          <w:sz w:val="22"/>
        </w:rPr>
        <w:t>circulating</w:t>
      </w:r>
      <w:r>
        <w:rPr>
          <w:spacing w:val="26"/>
          <w:sz w:val="22"/>
        </w:rPr>
        <w:t> </w:t>
      </w:r>
      <w:r>
        <w:rPr>
          <w:sz w:val="22"/>
        </w:rPr>
        <w:t>steroids</w:t>
      </w:r>
      <w:r>
        <w:rPr>
          <w:spacing w:val="26"/>
          <w:sz w:val="22"/>
        </w:rPr>
        <w:t> </w:t>
      </w:r>
      <w:r>
        <w:rPr>
          <w:sz w:val="22"/>
        </w:rPr>
        <w:t>with</w:t>
      </w:r>
      <w:r>
        <w:rPr>
          <w:spacing w:val="26"/>
          <w:sz w:val="22"/>
        </w:rPr>
        <w:t> </w:t>
      </w:r>
      <w:r>
        <w:rPr>
          <w:sz w:val="22"/>
        </w:rPr>
        <w:t>aging in postmenopausal women. </w:t>
      </w:r>
      <w:r>
        <w:rPr>
          <w:i/>
          <w:sz w:val="22"/>
        </w:rPr>
        <w:t>Obstet Gynecol</w:t>
      </w:r>
      <w:r>
        <w:rPr>
          <w:sz w:val="22"/>
        </w:rPr>
        <w:t>. 1981;57:624.</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Grodin JM, Siiteri PK, McDonald PC. Source of estrogen production in </w:t>
      </w:r>
      <w:r>
        <w:rPr>
          <w:sz w:val="22"/>
        </w:rPr>
        <w:t>postmenopausal</w:t>
      </w:r>
      <w:r>
        <w:rPr>
          <w:spacing w:val="80"/>
          <w:sz w:val="22"/>
        </w:rPr>
        <w:t> </w:t>
      </w:r>
      <w:r>
        <w:rPr>
          <w:sz w:val="22"/>
        </w:rPr>
        <w:t>women. </w:t>
      </w:r>
      <w:r>
        <w:rPr>
          <w:i/>
          <w:sz w:val="22"/>
        </w:rPr>
        <w:t>J Clin Endocrinol Metab</w:t>
      </w:r>
      <w:r>
        <w:rPr>
          <w:sz w:val="22"/>
        </w:rPr>
        <w:t>. 1963;36:207.</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Parker CR Jr, Slayden SM, Azziz R, et al. Effects of aging on adrenal function in the </w:t>
      </w:r>
      <w:r>
        <w:rPr>
          <w:sz w:val="22"/>
        </w:rPr>
        <w:t>human: responsiveness and sensitivity of adrenal androgens and cortisol to adrenocorticotropin in premenopausal and postmenopausal women. </w:t>
      </w:r>
      <w:r>
        <w:rPr>
          <w:i/>
          <w:sz w:val="22"/>
        </w:rPr>
        <w:t>J Clin Endocrinol Metab</w:t>
      </w:r>
      <w:r>
        <w:rPr>
          <w:sz w:val="22"/>
        </w:rPr>
        <w:t>. 2000;85:48.</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Labrie</w:t>
      </w:r>
      <w:r>
        <w:rPr>
          <w:spacing w:val="40"/>
          <w:sz w:val="22"/>
        </w:rPr>
        <w:t> </w:t>
      </w:r>
      <w:r>
        <w:rPr>
          <w:sz w:val="22"/>
        </w:rPr>
        <w:t>F,</w:t>
      </w:r>
      <w:r>
        <w:rPr>
          <w:spacing w:val="40"/>
          <w:sz w:val="22"/>
        </w:rPr>
        <w:t> </w:t>
      </w:r>
      <w:r>
        <w:rPr>
          <w:sz w:val="22"/>
        </w:rPr>
        <w:t>Bélanger</w:t>
      </w:r>
      <w:r>
        <w:rPr>
          <w:spacing w:val="40"/>
          <w:sz w:val="22"/>
        </w:rPr>
        <w:t> </w:t>
      </w:r>
      <w:r>
        <w:rPr>
          <w:sz w:val="22"/>
        </w:rPr>
        <w:t>A,</w:t>
      </w:r>
      <w:r>
        <w:rPr>
          <w:spacing w:val="40"/>
          <w:sz w:val="22"/>
        </w:rPr>
        <w:t> </w:t>
      </w:r>
      <w:r>
        <w:rPr>
          <w:sz w:val="22"/>
        </w:rPr>
        <w:t>Cusan</w:t>
      </w:r>
      <w:r>
        <w:rPr>
          <w:spacing w:val="40"/>
          <w:sz w:val="22"/>
        </w:rPr>
        <w:t> </w:t>
      </w:r>
      <w:r>
        <w:rPr>
          <w:sz w:val="22"/>
        </w:rPr>
        <w:t>L,</w:t>
      </w:r>
      <w:r>
        <w:rPr>
          <w:spacing w:val="40"/>
          <w:sz w:val="22"/>
        </w:rPr>
        <w:t> </w:t>
      </w:r>
      <w:r>
        <w:rPr>
          <w:sz w:val="22"/>
        </w:rPr>
        <w:t>Gomez</w:t>
      </w:r>
      <w:r>
        <w:rPr>
          <w:spacing w:val="40"/>
          <w:sz w:val="22"/>
        </w:rPr>
        <w:t> </w:t>
      </w:r>
      <w:r>
        <w:rPr>
          <w:sz w:val="22"/>
        </w:rPr>
        <w:t>J-L,</w:t>
      </w:r>
      <w:r>
        <w:rPr>
          <w:spacing w:val="40"/>
          <w:sz w:val="22"/>
        </w:rPr>
        <w:t> </w:t>
      </w:r>
      <w:r>
        <w:rPr>
          <w:sz w:val="22"/>
        </w:rPr>
        <w:t>Candas</w:t>
      </w:r>
      <w:r>
        <w:rPr>
          <w:spacing w:val="40"/>
          <w:sz w:val="22"/>
        </w:rPr>
        <w:t> </w:t>
      </w:r>
      <w:r>
        <w:rPr>
          <w:sz w:val="22"/>
        </w:rPr>
        <w:t>B.</w:t>
      </w:r>
      <w:r>
        <w:rPr>
          <w:spacing w:val="40"/>
          <w:sz w:val="22"/>
        </w:rPr>
        <w:t> </w:t>
      </w:r>
      <w:r>
        <w:rPr>
          <w:sz w:val="22"/>
        </w:rPr>
        <w:t>Marked</w:t>
      </w:r>
      <w:r>
        <w:rPr>
          <w:spacing w:val="40"/>
          <w:sz w:val="22"/>
        </w:rPr>
        <w:t> </w:t>
      </w:r>
      <w:r>
        <w:rPr>
          <w:sz w:val="22"/>
        </w:rPr>
        <w:t>decline</w:t>
      </w:r>
      <w:r>
        <w:rPr>
          <w:spacing w:val="40"/>
          <w:sz w:val="22"/>
        </w:rPr>
        <w:t> </w:t>
      </w:r>
      <w:r>
        <w:rPr>
          <w:sz w:val="22"/>
        </w:rPr>
        <w:t>in</w:t>
      </w:r>
      <w:r>
        <w:rPr>
          <w:spacing w:val="40"/>
          <w:sz w:val="22"/>
        </w:rPr>
        <w:t> </w:t>
      </w:r>
      <w:r>
        <w:rPr>
          <w:sz w:val="22"/>
        </w:rPr>
        <w:t>serum concentrations of adrenal C19 sex steroid precursors and conjugated androgen metabolites during aging. </w:t>
      </w:r>
      <w:r>
        <w:rPr>
          <w:i/>
          <w:sz w:val="22"/>
        </w:rPr>
        <w:t>J Clin Endocrinol Metab</w:t>
      </w:r>
      <w:r>
        <w:rPr>
          <w:sz w:val="22"/>
        </w:rPr>
        <w:t>. 1997;82:2396.</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08" w:hanging="507"/>
        <w:jc w:val="both"/>
        <w:rPr>
          <w:sz w:val="22"/>
        </w:rPr>
      </w:pPr>
      <w:r>
        <w:rPr>
          <w:sz w:val="22"/>
        </w:rPr>
        <w:t>Burger HG, Dudley EC, Cui J, Dennerstein L, Hopper JL. A prospective longitudinal study </w:t>
      </w:r>
      <w:r>
        <w:rPr>
          <w:sz w:val="22"/>
        </w:rPr>
        <w:t>of serum testosterone, dehydroepiandrosterone sulfate, and sex hormone-binding globulin levels through the menopause transition. </w:t>
      </w:r>
      <w:r>
        <w:rPr>
          <w:i/>
          <w:sz w:val="22"/>
        </w:rPr>
        <w:t>J Clin Endocrinol Metab</w:t>
      </w:r>
      <w:r>
        <w:rPr>
          <w:sz w:val="22"/>
        </w:rPr>
        <w:t>. 2000;85:2832.</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Jabara S, Christenson LK, Wang CY, et al. Stromal cells of the human postmenopausal ovary display a distinctive biochemical and molecular phenotype. </w:t>
      </w:r>
      <w:r>
        <w:rPr>
          <w:i/>
          <w:sz w:val="22"/>
        </w:rPr>
        <w:t>J Clin Endocrinol Metab</w:t>
      </w:r>
      <w:r>
        <w:rPr>
          <w:sz w:val="22"/>
        </w:rPr>
        <w:t>. </w:t>
      </w:r>
      <w:r>
        <w:rPr>
          <w:spacing w:val="-2"/>
          <w:sz w:val="22"/>
        </w:rPr>
        <w:t>2003;88:484.</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Dowsett</w:t>
      </w:r>
      <w:r>
        <w:rPr>
          <w:spacing w:val="40"/>
          <w:sz w:val="22"/>
        </w:rPr>
        <w:t> </w:t>
      </w:r>
      <w:r>
        <w:rPr>
          <w:sz w:val="22"/>
        </w:rPr>
        <w:t>M,</w:t>
      </w:r>
      <w:r>
        <w:rPr>
          <w:spacing w:val="40"/>
          <w:sz w:val="22"/>
        </w:rPr>
        <w:t> </w:t>
      </w:r>
      <w:r>
        <w:rPr>
          <w:sz w:val="22"/>
        </w:rPr>
        <w:t>Cantwell</w:t>
      </w:r>
      <w:r>
        <w:rPr>
          <w:spacing w:val="40"/>
          <w:sz w:val="22"/>
        </w:rPr>
        <w:t> </w:t>
      </w:r>
      <w:r>
        <w:rPr>
          <w:sz w:val="22"/>
        </w:rPr>
        <w:t>B,</w:t>
      </w:r>
      <w:r>
        <w:rPr>
          <w:spacing w:val="40"/>
          <w:sz w:val="22"/>
        </w:rPr>
        <w:t> </w:t>
      </w:r>
      <w:r>
        <w:rPr>
          <w:sz w:val="22"/>
        </w:rPr>
        <w:t>Anshumala</w:t>
      </w:r>
      <w:r>
        <w:rPr>
          <w:spacing w:val="40"/>
          <w:sz w:val="22"/>
        </w:rPr>
        <w:t> </w:t>
      </w:r>
      <w:r>
        <w:rPr>
          <w:sz w:val="22"/>
        </w:rPr>
        <w:t>L,</w:t>
      </w:r>
      <w:r>
        <w:rPr>
          <w:spacing w:val="40"/>
          <w:sz w:val="22"/>
        </w:rPr>
        <w:t> </w:t>
      </w:r>
      <w:r>
        <w:rPr>
          <w:sz w:val="22"/>
        </w:rPr>
        <w:t>Jeffcoate</w:t>
      </w:r>
      <w:r>
        <w:rPr>
          <w:spacing w:val="40"/>
          <w:sz w:val="22"/>
        </w:rPr>
        <w:t> </w:t>
      </w:r>
      <w:r>
        <w:rPr>
          <w:sz w:val="22"/>
        </w:rPr>
        <w:t>SL,</w:t>
      </w:r>
      <w:r>
        <w:rPr>
          <w:spacing w:val="40"/>
          <w:sz w:val="22"/>
        </w:rPr>
        <w:t> </w:t>
      </w:r>
      <w:r>
        <w:rPr>
          <w:sz w:val="22"/>
        </w:rPr>
        <w:t>Harris</w:t>
      </w:r>
      <w:r>
        <w:rPr>
          <w:spacing w:val="40"/>
          <w:sz w:val="22"/>
        </w:rPr>
        <w:t> </w:t>
      </w:r>
      <w:r>
        <w:rPr>
          <w:sz w:val="22"/>
        </w:rPr>
        <w:t>SL.</w:t>
      </w:r>
      <w:r>
        <w:rPr>
          <w:spacing w:val="40"/>
          <w:sz w:val="22"/>
        </w:rPr>
        <w:t> </w:t>
      </w:r>
      <w:r>
        <w:rPr>
          <w:sz w:val="22"/>
        </w:rPr>
        <w:t>Suppression</w:t>
      </w:r>
      <w:r>
        <w:rPr>
          <w:spacing w:val="40"/>
          <w:sz w:val="22"/>
        </w:rPr>
        <w:t> </w:t>
      </w:r>
      <w:r>
        <w:rPr>
          <w:sz w:val="22"/>
        </w:rPr>
        <w:t>of postmenopausal ovarian steroidogenesis with the luteinizing hormone-releasing </w:t>
      </w:r>
      <w:r>
        <w:rPr>
          <w:sz w:val="22"/>
        </w:rPr>
        <w:t>hormone</w:t>
      </w:r>
      <w:r>
        <w:rPr>
          <w:spacing w:val="80"/>
          <w:sz w:val="22"/>
        </w:rPr>
        <w:t> </w:t>
      </w:r>
      <w:r>
        <w:rPr>
          <w:sz w:val="22"/>
        </w:rPr>
        <w:t>agonist goserelin. </w:t>
      </w:r>
      <w:r>
        <w:rPr>
          <w:i/>
          <w:sz w:val="22"/>
        </w:rPr>
        <w:t>J Clin Endocrinol Metab</w:t>
      </w:r>
      <w:r>
        <w:rPr>
          <w:sz w:val="22"/>
        </w:rPr>
        <w:t>. 1988;66:672.</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Andreyko JL, Monroe SE, Marshall LA, Fluker MR, Nerenberg CA, Jaffe RB. Concordant suppression</w:t>
      </w:r>
      <w:r>
        <w:rPr>
          <w:spacing w:val="40"/>
          <w:sz w:val="22"/>
        </w:rPr>
        <w:t> </w:t>
      </w:r>
      <w:r>
        <w:rPr>
          <w:sz w:val="22"/>
        </w:rPr>
        <w:t>of</w:t>
      </w:r>
      <w:r>
        <w:rPr>
          <w:spacing w:val="40"/>
          <w:sz w:val="22"/>
        </w:rPr>
        <w:t> </w:t>
      </w:r>
      <w:r>
        <w:rPr>
          <w:sz w:val="22"/>
        </w:rPr>
        <w:t>serum</w:t>
      </w:r>
      <w:r>
        <w:rPr>
          <w:spacing w:val="40"/>
          <w:sz w:val="22"/>
        </w:rPr>
        <w:t> </w:t>
      </w:r>
      <w:r>
        <w:rPr>
          <w:sz w:val="22"/>
        </w:rPr>
        <w:t>immunoreactive</w:t>
      </w:r>
      <w:r>
        <w:rPr>
          <w:spacing w:val="40"/>
          <w:sz w:val="22"/>
        </w:rPr>
        <w:t> </w:t>
      </w:r>
      <w:r>
        <w:rPr>
          <w:sz w:val="22"/>
        </w:rPr>
        <w:t>luteinizing</w:t>
      </w:r>
      <w:r>
        <w:rPr>
          <w:spacing w:val="40"/>
          <w:sz w:val="22"/>
        </w:rPr>
        <w:t> </w:t>
      </w:r>
      <w:r>
        <w:rPr>
          <w:sz w:val="22"/>
        </w:rPr>
        <w:t>hormone</w:t>
      </w:r>
      <w:r>
        <w:rPr>
          <w:spacing w:val="40"/>
          <w:sz w:val="22"/>
        </w:rPr>
        <w:t> </w:t>
      </w:r>
      <w:r>
        <w:rPr>
          <w:sz w:val="22"/>
        </w:rPr>
        <w:t>(LH),</w:t>
      </w:r>
      <w:r>
        <w:rPr>
          <w:spacing w:val="40"/>
          <w:sz w:val="22"/>
        </w:rPr>
        <w:t> </w:t>
      </w:r>
      <w:r>
        <w:rPr>
          <w:sz w:val="22"/>
        </w:rPr>
        <w:t>follicle-</w:t>
      </w:r>
      <w:r>
        <w:rPr>
          <w:sz w:val="22"/>
        </w:rPr>
        <w:t>stimulating hormone, subunit, bioactive LH, and testosterone in postmenopausal women by a potent gonadotropin releasing hormone antagonist (detirelix). </w:t>
      </w:r>
      <w:r>
        <w:rPr>
          <w:i/>
          <w:sz w:val="22"/>
        </w:rPr>
        <w:t>J Clin Endocrinol Metab</w:t>
      </w:r>
      <w:r>
        <w:rPr>
          <w:sz w:val="22"/>
        </w:rPr>
        <w:t>. 1992;74:399.</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Sluijmer AV, Heineman MJ, De Jong FH, Evers JL. Endocrine activity of the postmenopausal ovary: the effects of pituitary down-regulation and oophorectomy. </w:t>
      </w:r>
      <w:r>
        <w:rPr>
          <w:i/>
          <w:sz w:val="22"/>
        </w:rPr>
        <w:t>J Clin Endocrinol Metab</w:t>
      </w:r>
      <w:r>
        <w:rPr>
          <w:sz w:val="22"/>
        </w:rPr>
        <w:t>. </w:t>
      </w:r>
      <w:r>
        <w:rPr>
          <w:spacing w:val="-2"/>
          <w:sz w:val="22"/>
        </w:rPr>
        <w:t>1995;80:2163.</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Longcope</w:t>
      </w:r>
      <w:r>
        <w:rPr>
          <w:spacing w:val="18"/>
          <w:sz w:val="22"/>
        </w:rPr>
        <w:t> </w:t>
      </w:r>
      <w:r>
        <w:rPr>
          <w:sz w:val="22"/>
        </w:rPr>
        <w:t>C,</w:t>
      </w:r>
      <w:r>
        <w:rPr>
          <w:spacing w:val="18"/>
          <w:sz w:val="22"/>
        </w:rPr>
        <w:t> </w:t>
      </w:r>
      <w:r>
        <w:rPr>
          <w:sz w:val="22"/>
        </w:rPr>
        <w:t>Franz</w:t>
      </w:r>
      <w:r>
        <w:rPr>
          <w:spacing w:val="18"/>
          <w:sz w:val="22"/>
        </w:rPr>
        <w:t> </w:t>
      </w:r>
      <w:r>
        <w:rPr>
          <w:sz w:val="22"/>
        </w:rPr>
        <w:t>C,</w:t>
      </w:r>
      <w:r>
        <w:rPr>
          <w:spacing w:val="18"/>
          <w:sz w:val="22"/>
        </w:rPr>
        <w:t> </w:t>
      </w:r>
      <w:r>
        <w:rPr>
          <w:sz w:val="22"/>
        </w:rPr>
        <w:t>Morello</w:t>
      </w:r>
      <w:r>
        <w:rPr>
          <w:spacing w:val="18"/>
          <w:sz w:val="22"/>
        </w:rPr>
        <w:t> </w:t>
      </w:r>
      <w:r>
        <w:rPr>
          <w:sz w:val="22"/>
        </w:rPr>
        <w:t>C,</w:t>
      </w:r>
      <w:r>
        <w:rPr>
          <w:spacing w:val="18"/>
          <w:sz w:val="22"/>
        </w:rPr>
        <w:t> </w:t>
      </w:r>
      <w:r>
        <w:rPr>
          <w:sz w:val="22"/>
        </w:rPr>
        <w:t>Baker</w:t>
      </w:r>
      <w:r>
        <w:rPr>
          <w:spacing w:val="18"/>
          <w:sz w:val="22"/>
        </w:rPr>
        <w:t> </w:t>
      </w:r>
      <w:r>
        <w:rPr>
          <w:sz w:val="22"/>
        </w:rPr>
        <w:t>RS,</w:t>
      </w:r>
      <w:r>
        <w:rPr>
          <w:spacing w:val="18"/>
          <w:sz w:val="22"/>
        </w:rPr>
        <w:t> </w:t>
      </w:r>
      <w:r>
        <w:rPr>
          <w:sz w:val="22"/>
        </w:rPr>
        <w:t>Johnston</w:t>
      </w:r>
      <w:r>
        <w:rPr>
          <w:spacing w:val="18"/>
          <w:sz w:val="22"/>
        </w:rPr>
        <w:t> </w:t>
      </w:r>
      <w:r>
        <w:rPr>
          <w:sz w:val="22"/>
        </w:rPr>
        <w:t>CC</w:t>
      </w:r>
      <w:r>
        <w:rPr>
          <w:spacing w:val="18"/>
          <w:sz w:val="22"/>
        </w:rPr>
        <w:t> </w:t>
      </w:r>
      <w:r>
        <w:rPr>
          <w:sz w:val="22"/>
        </w:rPr>
        <w:t>Jr.</w:t>
      </w:r>
      <w:r>
        <w:rPr>
          <w:spacing w:val="18"/>
          <w:sz w:val="22"/>
        </w:rPr>
        <w:t> </w:t>
      </w:r>
      <w:r>
        <w:rPr>
          <w:sz w:val="22"/>
        </w:rPr>
        <w:t>Steroid</w:t>
      </w:r>
      <w:r>
        <w:rPr>
          <w:spacing w:val="20"/>
          <w:sz w:val="22"/>
        </w:rPr>
        <w:t> </w:t>
      </w:r>
      <w:r>
        <w:rPr>
          <w:sz w:val="22"/>
        </w:rPr>
        <w:t>and</w:t>
      </w:r>
      <w:r>
        <w:rPr>
          <w:spacing w:val="20"/>
          <w:sz w:val="22"/>
        </w:rPr>
        <w:t> </w:t>
      </w:r>
      <w:r>
        <w:rPr>
          <w:sz w:val="22"/>
        </w:rPr>
        <w:t>gonadotropin</w:t>
      </w:r>
      <w:r>
        <w:rPr>
          <w:spacing w:val="20"/>
          <w:sz w:val="22"/>
        </w:rPr>
        <w:t> </w:t>
      </w:r>
      <w:r>
        <w:rPr>
          <w:sz w:val="22"/>
        </w:rPr>
        <w:t>levels in women during the peri-menopausal years. </w:t>
      </w:r>
      <w:r>
        <w:rPr>
          <w:i/>
          <w:sz w:val="22"/>
        </w:rPr>
        <w:t>Maturitas</w:t>
      </w:r>
      <w:r>
        <w:rPr>
          <w:sz w:val="22"/>
        </w:rPr>
        <w:t>. 1986;8:189.</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Laughlin GA, Barrett-Conner E, Kritz-Silverstin D, von Mühlen D. </w:t>
      </w:r>
      <w:r>
        <w:rPr>
          <w:sz w:val="22"/>
        </w:rPr>
        <w:t>Hysterectomy, oophorectomy, and endogenous sex hormone levels in older women: the Rancho Bernardo Study. </w:t>
      </w:r>
      <w:r>
        <w:rPr>
          <w:i/>
          <w:sz w:val="22"/>
        </w:rPr>
        <w:t>J Clin Endocrinol Metab</w:t>
      </w:r>
      <w:r>
        <w:rPr>
          <w:sz w:val="22"/>
        </w:rPr>
        <w:t>. 2000;85:645.</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Couzinet B, Meduri G, Lecce MG, et al. The postmenopausal ovary is not a major </w:t>
      </w:r>
      <w:r>
        <w:rPr>
          <w:sz w:val="22"/>
        </w:rPr>
        <w:t>androgen-producing gland. </w:t>
      </w:r>
      <w:r>
        <w:rPr>
          <w:i/>
          <w:sz w:val="22"/>
        </w:rPr>
        <w:t>J Clin Endocrinol Metab</w:t>
      </w:r>
      <w:r>
        <w:rPr>
          <w:sz w:val="22"/>
        </w:rPr>
        <w:t>. 2001;86:5060.</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Judd HL, Judd GE, Lucas WE, Yen SSC. Endocrine function of the postmenopausal ovary; concentration of androgens and estrogens in ovarian and peripheral vein blood. </w:t>
      </w:r>
      <w:r>
        <w:rPr>
          <w:i/>
          <w:sz w:val="22"/>
        </w:rPr>
        <w:t>J </w:t>
      </w:r>
      <w:r>
        <w:rPr>
          <w:i/>
          <w:sz w:val="22"/>
        </w:rPr>
        <w:t>Clin</w:t>
      </w:r>
      <w:r>
        <w:rPr>
          <w:i/>
          <w:sz w:val="22"/>
        </w:rPr>
        <w:t> Endocrinol Metab</w:t>
      </w:r>
      <w:r>
        <w:rPr>
          <w:sz w:val="22"/>
        </w:rPr>
        <w:t>. 1974;39:1020.</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Judd</w:t>
      </w:r>
      <w:r>
        <w:rPr>
          <w:spacing w:val="40"/>
          <w:sz w:val="22"/>
        </w:rPr>
        <w:t> </w:t>
      </w:r>
      <w:r>
        <w:rPr>
          <w:sz w:val="22"/>
        </w:rPr>
        <w:t>HL,</w:t>
      </w:r>
      <w:r>
        <w:rPr>
          <w:spacing w:val="40"/>
          <w:sz w:val="22"/>
        </w:rPr>
        <w:t> </w:t>
      </w:r>
      <w:r>
        <w:rPr>
          <w:sz w:val="22"/>
        </w:rPr>
        <w:t>Shamonki</w:t>
      </w:r>
      <w:r>
        <w:rPr>
          <w:spacing w:val="40"/>
          <w:sz w:val="22"/>
        </w:rPr>
        <w:t> </w:t>
      </w:r>
      <w:r>
        <w:rPr>
          <w:sz w:val="22"/>
        </w:rPr>
        <w:t>IM,</w:t>
      </w:r>
      <w:r>
        <w:rPr>
          <w:spacing w:val="40"/>
          <w:sz w:val="22"/>
        </w:rPr>
        <w:t> </w:t>
      </w:r>
      <w:r>
        <w:rPr>
          <w:sz w:val="22"/>
        </w:rPr>
        <w:t>Frumar</w:t>
      </w:r>
      <w:r>
        <w:rPr>
          <w:spacing w:val="40"/>
          <w:sz w:val="22"/>
        </w:rPr>
        <w:t> </w:t>
      </w:r>
      <w:r>
        <w:rPr>
          <w:sz w:val="22"/>
        </w:rPr>
        <w:t>AM,</w:t>
      </w:r>
      <w:r>
        <w:rPr>
          <w:spacing w:val="40"/>
          <w:sz w:val="22"/>
        </w:rPr>
        <w:t> </w:t>
      </w:r>
      <w:r>
        <w:rPr>
          <w:sz w:val="22"/>
        </w:rPr>
        <w:t>Lagasse</w:t>
      </w:r>
      <w:r>
        <w:rPr>
          <w:spacing w:val="40"/>
          <w:sz w:val="22"/>
        </w:rPr>
        <w:t> </w:t>
      </w:r>
      <w:r>
        <w:rPr>
          <w:sz w:val="22"/>
        </w:rPr>
        <w:t>LD.</w:t>
      </w:r>
      <w:r>
        <w:rPr>
          <w:spacing w:val="40"/>
          <w:sz w:val="22"/>
        </w:rPr>
        <w:t> </w:t>
      </w:r>
      <w:r>
        <w:rPr>
          <w:sz w:val="22"/>
        </w:rPr>
        <w:t>Origin</w:t>
      </w:r>
      <w:r>
        <w:rPr>
          <w:spacing w:val="40"/>
          <w:sz w:val="22"/>
        </w:rPr>
        <w:t> </w:t>
      </w:r>
      <w:r>
        <w:rPr>
          <w:sz w:val="22"/>
        </w:rPr>
        <w:t>of</w:t>
      </w:r>
      <w:r>
        <w:rPr>
          <w:spacing w:val="40"/>
          <w:sz w:val="22"/>
        </w:rPr>
        <w:t> </w:t>
      </w:r>
      <w:r>
        <w:rPr>
          <w:sz w:val="22"/>
        </w:rPr>
        <w:t>serum</w:t>
      </w:r>
      <w:r>
        <w:rPr>
          <w:spacing w:val="40"/>
          <w:sz w:val="22"/>
        </w:rPr>
        <w:t> </w:t>
      </w:r>
      <w:r>
        <w:rPr>
          <w:sz w:val="22"/>
        </w:rPr>
        <w:t>estradiol</w:t>
      </w:r>
      <w:r>
        <w:rPr>
          <w:spacing w:val="40"/>
          <w:sz w:val="22"/>
        </w:rPr>
        <w:t> </w:t>
      </w:r>
      <w:r>
        <w:rPr>
          <w:sz w:val="22"/>
        </w:rPr>
        <w:t>in postmenopausal women. </w:t>
      </w:r>
      <w:r>
        <w:rPr>
          <w:i/>
          <w:sz w:val="22"/>
        </w:rPr>
        <w:t>Obstet Gynecol</w:t>
      </w:r>
      <w:r>
        <w:rPr>
          <w:sz w:val="22"/>
        </w:rPr>
        <w:t>. 1982;59:680.</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Longcope C, Jaffe W, Griffing G. Production rates of androgens and oestrogens in post-menopausal women. </w:t>
      </w:r>
      <w:r>
        <w:rPr>
          <w:i/>
          <w:sz w:val="22"/>
        </w:rPr>
        <w:t>Maturitas</w:t>
      </w:r>
      <w:r>
        <w:rPr>
          <w:sz w:val="22"/>
        </w:rPr>
        <w:t>. 1981;3:215.</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Adashi EY. The climacteric ovary as a functional gonadotropin-driven androgen-</w:t>
      </w:r>
      <w:r>
        <w:rPr>
          <w:sz w:val="22"/>
        </w:rPr>
        <w:t>producing gland. </w:t>
      </w:r>
      <w:r>
        <w:rPr>
          <w:i/>
          <w:sz w:val="22"/>
        </w:rPr>
        <w:t>Fertil Steril</w:t>
      </w:r>
      <w:r>
        <w:rPr>
          <w:sz w:val="22"/>
        </w:rPr>
        <w:t>. 1994;62:20.</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Beyene Y. From Menarche to Menopause: Reproductive Lives of Peasant Women in </w:t>
      </w:r>
      <w:r>
        <w:rPr>
          <w:sz w:val="22"/>
        </w:rPr>
        <w:t>Two Cultures. State University of New York Press; 1989.</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Lock M. Encounters with Aging: Mythologies of Menopause in Japan and North America. University of California Press; 1993.</w:t>
      </w:r>
    </w:p>
    <w:p>
      <w:pPr>
        <w:pStyle w:val="ListParagraph"/>
        <w:numPr>
          <w:ilvl w:val="0"/>
          <w:numId w:val="9"/>
        </w:numPr>
        <w:tabs>
          <w:tab w:pos="710" w:val="left" w:leader="none"/>
        </w:tabs>
        <w:spacing w:line="252" w:lineRule="exact" w:before="0" w:after="0"/>
        <w:ind w:left="710" w:right="0" w:hanging="498"/>
        <w:jc w:val="both"/>
        <w:rPr>
          <w:sz w:val="22"/>
        </w:rPr>
      </w:pPr>
      <w:r>
        <w:rPr>
          <w:sz w:val="22"/>
        </w:rPr>
        <w:t>Lock</w:t>
      </w:r>
      <w:r>
        <w:rPr>
          <w:spacing w:val="10"/>
          <w:sz w:val="22"/>
        </w:rPr>
        <w:t> </w:t>
      </w:r>
      <w:r>
        <w:rPr>
          <w:sz w:val="22"/>
        </w:rPr>
        <w:t>M.</w:t>
      </w:r>
      <w:r>
        <w:rPr>
          <w:spacing w:val="11"/>
          <w:sz w:val="22"/>
        </w:rPr>
        <w:t> </w:t>
      </w:r>
      <w:r>
        <w:rPr>
          <w:sz w:val="22"/>
        </w:rPr>
        <w:t>Menopause</w:t>
      </w:r>
      <w:r>
        <w:rPr>
          <w:spacing w:val="11"/>
          <w:sz w:val="22"/>
        </w:rPr>
        <w:t> </w:t>
      </w:r>
      <w:r>
        <w:rPr>
          <w:sz w:val="22"/>
        </w:rPr>
        <w:t>in</w:t>
      </w:r>
      <w:r>
        <w:rPr>
          <w:spacing w:val="11"/>
          <w:sz w:val="22"/>
        </w:rPr>
        <w:t> </w:t>
      </w:r>
      <w:r>
        <w:rPr>
          <w:sz w:val="22"/>
        </w:rPr>
        <w:t>cultural</w:t>
      </w:r>
      <w:r>
        <w:rPr>
          <w:spacing w:val="11"/>
          <w:sz w:val="22"/>
        </w:rPr>
        <w:t> </w:t>
      </w:r>
      <w:r>
        <w:rPr>
          <w:sz w:val="22"/>
        </w:rPr>
        <w:t>context.</w:t>
      </w:r>
      <w:r>
        <w:rPr>
          <w:spacing w:val="11"/>
          <w:sz w:val="22"/>
        </w:rPr>
        <w:t> </w:t>
      </w:r>
      <w:r>
        <w:rPr>
          <w:i/>
          <w:sz w:val="22"/>
        </w:rPr>
        <w:t>Exp</w:t>
      </w:r>
      <w:r>
        <w:rPr>
          <w:i/>
          <w:spacing w:val="11"/>
          <w:sz w:val="22"/>
        </w:rPr>
        <w:t> </w:t>
      </w:r>
      <w:r>
        <w:rPr>
          <w:i/>
          <w:sz w:val="22"/>
        </w:rPr>
        <w:t>Gerontol</w:t>
      </w:r>
      <w:r>
        <w:rPr>
          <w:sz w:val="22"/>
        </w:rPr>
        <w:t>.</w:t>
      </w:r>
      <w:r>
        <w:rPr>
          <w:spacing w:val="11"/>
          <w:sz w:val="22"/>
        </w:rPr>
        <w:t> </w:t>
      </w:r>
      <w:r>
        <w:rPr>
          <w:spacing w:val="-2"/>
          <w:sz w:val="22"/>
        </w:rPr>
        <w:t>1994;29:307.</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Moore B, Kombe H. Climacteric</w:t>
      </w:r>
      <w:r>
        <w:rPr>
          <w:spacing w:val="40"/>
          <w:sz w:val="22"/>
        </w:rPr>
        <w:t> </w:t>
      </w:r>
      <w:r>
        <w:rPr>
          <w:sz w:val="22"/>
        </w:rPr>
        <w:t>symptoms</w:t>
      </w:r>
      <w:r>
        <w:rPr>
          <w:spacing w:val="40"/>
          <w:sz w:val="22"/>
        </w:rPr>
        <w:t> </w:t>
      </w:r>
      <w:r>
        <w:rPr>
          <w:sz w:val="22"/>
        </w:rPr>
        <w:t>in</w:t>
      </w:r>
      <w:r>
        <w:rPr>
          <w:spacing w:val="40"/>
          <w:sz w:val="22"/>
        </w:rPr>
        <w:t> </w:t>
      </w:r>
      <w:r>
        <w:rPr>
          <w:sz w:val="22"/>
        </w:rPr>
        <w:t>a</w:t>
      </w:r>
      <w:r>
        <w:rPr>
          <w:spacing w:val="40"/>
          <w:sz w:val="22"/>
        </w:rPr>
        <w:t> </w:t>
      </w:r>
      <w:r>
        <w:rPr>
          <w:sz w:val="22"/>
        </w:rPr>
        <w:t>Tanzanian</w:t>
      </w:r>
      <w:r>
        <w:rPr>
          <w:spacing w:val="40"/>
          <w:sz w:val="22"/>
        </w:rPr>
        <w:t> </w:t>
      </w:r>
      <w:r>
        <w:rPr>
          <w:sz w:val="22"/>
        </w:rPr>
        <w:t>community.</w:t>
      </w:r>
      <w:r>
        <w:rPr>
          <w:spacing w:val="40"/>
          <w:sz w:val="22"/>
        </w:rPr>
        <w:t> </w:t>
      </w:r>
      <w:r>
        <w:rPr>
          <w:i/>
          <w:sz w:val="22"/>
        </w:rPr>
        <w:t>Maturitas</w:t>
      </w:r>
      <w:r>
        <w:rPr>
          <w:sz w:val="22"/>
        </w:rPr>
        <w:t>. </w:t>
      </w:r>
      <w:r>
        <w:rPr>
          <w:spacing w:val="-2"/>
          <w:sz w:val="22"/>
        </w:rPr>
        <w:t>1991;13:229.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Martin</w:t>
      </w:r>
      <w:r>
        <w:rPr>
          <w:spacing w:val="32"/>
          <w:sz w:val="22"/>
        </w:rPr>
        <w:t> </w:t>
      </w:r>
      <w:r>
        <w:rPr>
          <w:sz w:val="22"/>
        </w:rPr>
        <w:t>MC.</w:t>
      </w:r>
      <w:r>
        <w:rPr>
          <w:spacing w:val="32"/>
          <w:sz w:val="22"/>
        </w:rPr>
        <w:t> </w:t>
      </w:r>
      <w:r>
        <w:rPr>
          <w:sz w:val="22"/>
        </w:rPr>
        <w:t>Block</w:t>
      </w:r>
      <w:r>
        <w:rPr>
          <w:spacing w:val="36"/>
          <w:sz w:val="22"/>
        </w:rPr>
        <w:t> </w:t>
      </w:r>
      <w:r>
        <w:rPr>
          <w:sz w:val="22"/>
        </w:rPr>
        <w:t>JE,</w:t>
      </w:r>
      <w:r>
        <w:rPr>
          <w:spacing w:val="36"/>
          <w:sz w:val="22"/>
        </w:rPr>
        <w:t> </w:t>
      </w:r>
      <w:r>
        <w:rPr>
          <w:sz w:val="22"/>
        </w:rPr>
        <w:t>Sanchez</w:t>
      </w:r>
      <w:r>
        <w:rPr>
          <w:spacing w:val="36"/>
          <w:sz w:val="22"/>
        </w:rPr>
        <w:t> </w:t>
      </w:r>
      <w:r>
        <w:rPr>
          <w:sz w:val="22"/>
        </w:rPr>
        <w:t>SD,</w:t>
      </w:r>
      <w:r>
        <w:rPr>
          <w:spacing w:val="36"/>
          <w:sz w:val="22"/>
        </w:rPr>
        <w:t> </w:t>
      </w:r>
      <w:r>
        <w:rPr>
          <w:sz w:val="22"/>
        </w:rPr>
        <w:t>Arnaud</w:t>
      </w:r>
      <w:r>
        <w:rPr>
          <w:spacing w:val="36"/>
          <w:sz w:val="22"/>
        </w:rPr>
        <w:t> </w:t>
      </w:r>
      <w:r>
        <w:rPr>
          <w:sz w:val="22"/>
        </w:rPr>
        <w:t>CD,</w:t>
      </w:r>
      <w:r>
        <w:rPr>
          <w:spacing w:val="36"/>
          <w:sz w:val="22"/>
        </w:rPr>
        <w:t> </w:t>
      </w:r>
      <w:r>
        <w:rPr>
          <w:sz w:val="22"/>
        </w:rPr>
        <w:t>Beyene</w:t>
      </w:r>
      <w:r>
        <w:rPr>
          <w:spacing w:val="36"/>
          <w:sz w:val="22"/>
        </w:rPr>
        <w:t> </w:t>
      </w:r>
      <w:r>
        <w:rPr>
          <w:sz w:val="22"/>
        </w:rPr>
        <w:t>Y.</w:t>
      </w:r>
      <w:r>
        <w:rPr>
          <w:spacing w:val="36"/>
          <w:sz w:val="22"/>
        </w:rPr>
        <w:t> </w:t>
      </w:r>
      <w:r>
        <w:rPr>
          <w:sz w:val="22"/>
        </w:rPr>
        <w:t>Menopause</w:t>
      </w:r>
      <w:r>
        <w:rPr>
          <w:spacing w:val="40"/>
          <w:sz w:val="22"/>
        </w:rPr>
        <w:t> </w:t>
      </w:r>
      <w:r>
        <w:rPr>
          <w:sz w:val="22"/>
        </w:rPr>
        <w:t>without</w:t>
      </w:r>
      <w:r>
        <w:rPr>
          <w:spacing w:val="40"/>
          <w:sz w:val="22"/>
        </w:rPr>
        <w:t> </w:t>
      </w:r>
      <w:r>
        <w:rPr>
          <w:sz w:val="22"/>
        </w:rPr>
        <w:t>symptoms: the endocrinology of menopause among rural Mayan Indians. </w:t>
      </w:r>
      <w:r>
        <w:rPr>
          <w:i/>
          <w:sz w:val="22"/>
        </w:rPr>
        <w:t>Am J Obstet </w:t>
      </w:r>
      <w:r>
        <w:rPr>
          <w:i/>
          <w:sz w:val="22"/>
        </w:rPr>
        <w:t>Gynecol</w:t>
      </w:r>
      <w:r>
        <w:rPr>
          <w:sz w:val="22"/>
        </w:rPr>
        <w:t>. </w:t>
      </w:r>
      <w:r>
        <w:rPr>
          <w:spacing w:val="-2"/>
          <w:sz w:val="22"/>
        </w:rPr>
        <w:t>1993;168:1839.</w:t>
      </w:r>
    </w:p>
    <w:p>
      <w:pPr>
        <w:pStyle w:val="ListParagraph"/>
        <w:numPr>
          <w:ilvl w:val="0"/>
          <w:numId w:val="9"/>
        </w:numPr>
        <w:tabs>
          <w:tab w:pos="710" w:val="left" w:leader="none"/>
        </w:tabs>
        <w:spacing w:line="251" w:lineRule="exact" w:before="0" w:after="0"/>
        <w:ind w:left="710" w:right="0" w:hanging="498"/>
        <w:jc w:val="both"/>
        <w:rPr>
          <w:sz w:val="22"/>
        </w:rPr>
      </w:pPr>
      <w:r>
        <w:rPr>
          <w:sz w:val="22"/>
        </w:rPr>
        <w:t>Robinson</w:t>
      </w:r>
      <w:r>
        <w:rPr>
          <w:spacing w:val="12"/>
          <w:sz w:val="22"/>
        </w:rPr>
        <w:t> </w:t>
      </w:r>
      <w:r>
        <w:rPr>
          <w:sz w:val="22"/>
        </w:rPr>
        <w:t>G.</w:t>
      </w:r>
      <w:r>
        <w:rPr>
          <w:spacing w:val="13"/>
          <w:sz w:val="22"/>
        </w:rPr>
        <w:t> </w:t>
      </w:r>
      <w:r>
        <w:rPr>
          <w:sz w:val="22"/>
        </w:rPr>
        <w:t>Cross-cultural</w:t>
      </w:r>
      <w:r>
        <w:rPr>
          <w:spacing w:val="13"/>
          <w:sz w:val="22"/>
        </w:rPr>
        <w:t> </w:t>
      </w:r>
      <w:r>
        <w:rPr>
          <w:sz w:val="22"/>
        </w:rPr>
        <w:t>perspectives</w:t>
      </w:r>
      <w:r>
        <w:rPr>
          <w:spacing w:val="13"/>
          <w:sz w:val="22"/>
        </w:rPr>
        <w:t> </w:t>
      </w:r>
      <w:r>
        <w:rPr>
          <w:sz w:val="22"/>
        </w:rPr>
        <w:t>on</w:t>
      </w:r>
      <w:r>
        <w:rPr>
          <w:spacing w:val="13"/>
          <w:sz w:val="22"/>
        </w:rPr>
        <w:t> </w:t>
      </w:r>
      <w:r>
        <w:rPr>
          <w:sz w:val="22"/>
        </w:rPr>
        <w:t>menopause.</w:t>
      </w:r>
      <w:r>
        <w:rPr>
          <w:spacing w:val="13"/>
          <w:sz w:val="22"/>
        </w:rPr>
        <w:t> </w:t>
      </w:r>
      <w:r>
        <w:rPr>
          <w:i/>
          <w:sz w:val="22"/>
        </w:rPr>
        <w:t>J</w:t>
      </w:r>
      <w:r>
        <w:rPr>
          <w:i/>
          <w:spacing w:val="13"/>
          <w:sz w:val="22"/>
        </w:rPr>
        <w:t> </w:t>
      </w:r>
      <w:r>
        <w:rPr>
          <w:i/>
          <w:sz w:val="22"/>
        </w:rPr>
        <w:t>Nerv</w:t>
      </w:r>
      <w:r>
        <w:rPr>
          <w:i/>
          <w:spacing w:val="13"/>
          <w:sz w:val="22"/>
        </w:rPr>
        <w:t> </w:t>
      </w:r>
      <w:r>
        <w:rPr>
          <w:i/>
          <w:sz w:val="22"/>
        </w:rPr>
        <w:t>Ment</w:t>
      </w:r>
      <w:r>
        <w:rPr>
          <w:i/>
          <w:spacing w:val="12"/>
          <w:sz w:val="22"/>
        </w:rPr>
        <w:t> </w:t>
      </w:r>
      <w:r>
        <w:rPr>
          <w:i/>
          <w:sz w:val="22"/>
        </w:rPr>
        <w:t>Dis</w:t>
      </w:r>
      <w:r>
        <w:rPr>
          <w:sz w:val="22"/>
        </w:rPr>
        <w:t>.</w:t>
      </w:r>
      <w:r>
        <w:rPr>
          <w:spacing w:val="13"/>
          <w:sz w:val="22"/>
        </w:rPr>
        <w:t> </w:t>
      </w:r>
      <w:r>
        <w:rPr>
          <w:spacing w:val="-2"/>
          <w:sz w:val="22"/>
        </w:rPr>
        <w:t>1996;184:453.</w:t>
      </w:r>
    </w:p>
    <w:p>
      <w:pPr>
        <w:pStyle w:val="ListParagraph"/>
        <w:numPr>
          <w:ilvl w:val="0"/>
          <w:numId w:val="9"/>
        </w:numPr>
        <w:tabs>
          <w:tab w:pos="710" w:val="left" w:leader="none"/>
        </w:tabs>
        <w:spacing w:line="240" w:lineRule="auto" w:before="10" w:after="0"/>
        <w:ind w:left="710" w:right="0" w:hanging="498"/>
        <w:jc w:val="both"/>
        <w:rPr>
          <w:sz w:val="22"/>
        </w:rPr>
      </w:pPr>
      <w:r>
        <w:rPr>
          <w:sz w:val="22"/>
        </w:rPr>
        <w:t>Richters</w:t>
      </w:r>
      <w:r>
        <w:rPr>
          <w:spacing w:val="13"/>
          <w:sz w:val="22"/>
        </w:rPr>
        <w:t> </w:t>
      </w:r>
      <w:r>
        <w:rPr>
          <w:sz w:val="22"/>
        </w:rPr>
        <w:t>JMA.</w:t>
      </w:r>
      <w:r>
        <w:rPr>
          <w:spacing w:val="13"/>
          <w:sz w:val="22"/>
        </w:rPr>
        <w:t> </w:t>
      </w:r>
      <w:r>
        <w:rPr>
          <w:sz w:val="22"/>
        </w:rPr>
        <w:t>Menopause</w:t>
      </w:r>
      <w:r>
        <w:rPr>
          <w:spacing w:val="13"/>
          <w:sz w:val="22"/>
        </w:rPr>
        <w:t> </w:t>
      </w:r>
      <w:r>
        <w:rPr>
          <w:sz w:val="22"/>
        </w:rPr>
        <w:t>in</w:t>
      </w:r>
      <w:r>
        <w:rPr>
          <w:spacing w:val="13"/>
          <w:sz w:val="22"/>
        </w:rPr>
        <w:t> </w:t>
      </w:r>
      <w:r>
        <w:rPr>
          <w:sz w:val="22"/>
        </w:rPr>
        <w:t>different</w:t>
      </w:r>
      <w:r>
        <w:rPr>
          <w:spacing w:val="13"/>
          <w:sz w:val="22"/>
        </w:rPr>
        <w:t> </w:t>
      </w:r>
      <w:r>
        <w:rPr>
          <w:sz w:val="22"/>
        </w:rPr>
        <w:t>cultures.</w:t>
      </w:r>
      <w:r>
        <w:rPr>
          <w:spacing w:val="13"/>
          <w:sz w:val="22"/>
        </w:rPr>
        <w:t> </w:t>
      </w:r>
      <w:r>
        <w:rPr>
          <w:i/>
          <w:sz w:val="22"/>
        </w:rPr>
        <w:t>J</w:t>
      </w:r>
      <w:r>
        <w:rPr>
          <w:i/>
          <w:spacing w:val="14"/>
          <w:sz w:val="22"/>
        </w:rPr>
        <w:t> </w:t>
      </w:r>
      <w:r>
        <w:rPr>
          <w:i/>
          <w:sz w:val="22"/>
        </w:rPr>
        <w:t>Psychosom</w:t>
      </w:r>
      <w:r>
        <w:rPr>
          <w:i/>
          <w:spacing w:val="13"/>
          <w:sz w:val="22"/>
        </w:rPr>
        <w:t> </w:t>
      </w:r>
      <w:r>
        <w:rPr>
          <w:i/>
          <w:sz w:val="22"/>
        </w:rPr>
        <w:t>Obstet</w:t>
      </w:r>
      <w:r>
        <w:rPr>
          <w:i/>
          <w:spacing w:val="13"/>
          <w:sz w:val="22"/>
        </w:rPr>
        <w:t> </w:t>
      </w:r>
      <w:r>
        <w:rPr>
          <w:i/>
          <w:sz w:val="22"/>
        </w:rPr>
        <w:t>Gynecol</w:t>
      </w:r>
      <w:r>
        <w:rPr>
          <w:sz w:val="22"/>
        </w:rPr>
        <w:t>.</w:t>
      </w:r>
      <w:r>
        <w:rPr>
          <w:spacing w:val="13"/>
          <w:sz w:val="22"/>
        </w:rPr>
        <w:t> </w:t>
      </w:r>
      <w:r>
        <w:rPr>
          <w:spacing w:val="-2"/>
          <w:sz w:val="22"/>
        </w:rPr>
        <w:t>1997;18:73.</w:t>
      </w:r>
    </w:p>
    <w:p>
      <w:pPr>
        <w:pStyle w:val="ListParagraph"/>
        <w:numPr>
          <w:ilvl w:val="0"/>
          <w:numId w:val="9"/>
        </w:numPr>
        <w:tabs>
          <w:tab w:pos="709" w:val="left" w:leader="none"/>
          <w:tab w:pos="718" w:val="left" w:leader="none"/>
        </w:tabs>
        <w:spacing w:line="256" w:lineRule="auto" w:before="17" w:after="0"/>
        <w:ind w:left="718" w:right="110" w:hanging="507"/>
        <w:jc w:val="both"/>
        <w:rPr>
          <w:sz w:val="22"/>
        </w:rPr>
      </w:pPr>
      <w:r>
        <w:rPr>
          <w:sz w:val="22"/>
        </w:rPr>
        <w:t>Gold EB, Sternfeld B, Kelsey JL, et al. Relation of demographic and lifestyle factors to symptoms in a multi-racial/ethnic population of women 40-55 years of age. </w:t>
      </w:r>
      <w:r>
        <w:rPr>
          <w:i/>
          <w:sz w:val="22"/>
        </w:rPr>
        <w:t>Am J Epidemiol</w:t>
      </w:r>
      <w:r>
        <w:rPr>
          <w:sz w:val="22"/>
        </w:rPr>
        <w:t>. </w:t>
      </w:r>
      <w:r>
        <w:rPr>
          <w:spacing w:val="-2"/>
          <w:sz w:val="22"/>
        </w:rPr>
        <w:t>2000;152:463.</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03" w:hanging="507"/>
        <w:jc w:val="both"/>
        <w:rPr>
          <w:sz w:val="22"/>
        </w:rPr>
      </w:pPr>
      <w:r>
        <w:rPr>
          <w:sz w:val="22"/>
        </w:rPr>
        <w:t>Obermeyer</w:t>
      </w:r>
      <w:r>
        <w:rPr>
          <w:spacing w:val="40"/>
          <w:sz w:val="22"/>
        </w:rPr>
        <w:t> </w:t>
      </w:r>
      <w:r>
        <w:rPr>
          <w:sz w:val="22"/>
        </w:rPr>
        <w:t>CM.</w:t>
      </w:r>
      <w:r>
        <w:rPr>
          <w:spacing w:val="40"/>
          <w:sz w:val="22"/>
        </w:rPr>
        <w:t> </w:t>
      </w:r>
      <w:r>
        <w:rPr>
          <w:sz w:val="22"/>
        </w:rPr>
        <w:t>Menopause</w:t>
      </w:r>
      <w:r>
        <w:rPr>
          <w:spacing w:val="40"/>
          <w:sz w:val="22"/>
        </w:rPr>
        <w:t> </w:t>
      </w:r>
      <w:r>
        <w:rPr>
          <w:sz w:val="22"/>
        </w:rPr>
        <w:t>across</w:t>
      </w:r>
      <w:r>
        <w:rPr>
          <w:spacing w:val="40"/>
          <w:sz w:val="22"/>
        </w:rPr>
        <w:t> </w:t>
      </w:r>
      <w:r>
        <w:rPr>
          <w:sz w:val="22"/>
        </w:rPr>
        <w:t>cultures:</w:t>
      </w:r>
      <w:r>
        <w:rPr>
          <w:spacing w:val="40"/>
          <w:sz w:val="22"/>
        </w:rPr>
        <w:t> </w:t>
      </w:r>
      <w:r>
        <w:rPr>
          <w:sz w:val="22"/>
        </w:rPr>
        <w:t>a</w:t>
      </w:r>
      <w:r>
        <w:rPr>
          <w:spacing w:val="40"/>
          <w:sz w:val="22"/>
        </w:rPr>
        <w:t> </w:t>
      </w:r>
      <w:r>
        <w:rPr>
          <w:sz w:val="22"/>
        </w:rPr>
        <w:t>review</w:t>
      </w:r>
      <w:r>
        <w:rPr>
          <w:spacing w:val="40"/>
          <w:sz w:val="22"/>
        </w:rPr>
        <w:t> </w:t>
      </w:r>
      <w:r>
        <w:rPr>
          <w:sz w:val="22"/>
        </w:rPr>
        <w:t>of</w:t>
      </w:r>
      <w:r>
        <w:rPr>
          <w:spacing w:val="40"/>
          <w:sz w:val="22"/>
        </w:rPr>
        <w:t> </w:t>
      </w:r>
      <w:r>
        <w:rPr>
          <w:sz w:val="22"/>
        </w:rPr>
        <w:t>the</w:t>
      </w:r>
      <w:r>
        <w:rPr>
          <w:spacing w:val="40"/>
          <w:sz w:val="22"/>
        </w:rPr>
        <w:t> </w:t>
      </w:r>
      <w:r>
        <w:rPr>
          <w:sz w:val="22"/>
        </w:rPr>
        <w:t>evidence.</w:t>
      </w:r>
      <w:r>
        <w:rPr>
          <w:spacing w:val="40"/>
          <w:sz w:val="22"/>
        </w:rPr>
        <w:t> </w:t>
      </w:r>
      <w:r>
        <w:rPr>
          <w:i/>
          <w:sz w:val="22"/>
        </w:rPr>
        <w:t>Menopause</w:t>
      </w:r>
      <w:r>
        <w:rPr>
          <w:sz w:val="22"/>
        </w:rPr>
        <w:t>. </w:t>
      </w:r>
      <w:r>
        <w:rPr>
          <w:spacing w:val="-2"/>
          <w:sz w:val="22"/>
        </w:rPr>
        <w:t>2000;7:184.</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Randolph JF Jr, Sowers M, Gold EB, et al. Reproductive hormones in the early menopausal transition:</w:t>
      </w:r>
      <w:r>
        <w:rPr>
          <w:spacing w:val="40"/>
          <w:sz w:val="22"/>
        </w:rPr>
        <w:t> </w:t>
      </w:r>
      <w:r>
        <w:rPr>
          <w:sz w:val="22"/>
        </w:rPr>
        <w:t>relationship</w:t>
      </w:r>
      <w:r>
        <w:rPr>
          <w:spacing w:val="40"/>
          <w:sz w:val="22"/>
        </w:rPr>
        <w:t> </w:t>
      </w:r>
      <w:r>
        <w:rPr>
          <w:sz w:val="22"/>
        </w:rPr>
        <w:t>to</w:t>
      </w:r>
      <w:r>
        <w:rPr>
          <w:spacing w:val="40"/>
          <w:sz w:val="22"/>
        </w:rPr>
        <w:t> </w:t>
      </w:r>
      <w:r>
        <w:rPr>
          <w:sz w:val="22"/>
        </w:rPr>
        <w:t>ethnicity,</w:t>
      </w:r>
      <w:r>
        <w:rPr>
          <w:spacing w:val="40"/>
          <w:sz w:val="22"/>
        </w:rPr>
        <w:t> </w:t>
      </w:r>
      <w:r>
        <w:rPr>
          <w:sz w:val="22"/>
        </w:rPr>
        <w:t>body</w:t>
      </w:r>
      <w:r>
        <w:rPr>
          <w:spacing w:val="40"/>
          <w:sz w:val="22"/>
        </w:rPr>
        <w:t> </w:t>
      </w:r>
      <w:r>
        <w:rPr>
          <w:sz w:val="22"/>
        </w:rPr>
        <w:t>size,</w:t>
      </w:r>
      <w:r>
        <w:rPr>
          <w:spacing w:val="40"/>
          <w:sz w:val="22"/>
        </w:rPr>
        <w:t> </w:t>
      </w:r>
      <w:r>
        <w:rPr>
          <w:sz w:val="22"/>
        </w:rPr>
        <w:t>and</w:t>
      </w:r>
      <w:r>
        <w:rPr>
          <w:spacing w:val="40"/>
          <w:sz w:val="22"/>
        </w:rPr>
        <w:t> </w:t>
      </w:r>
      <w:r>
        <w:rPr>
          <w:sz w:val="22"/>
        </w:rPr>
        <w:t>menopausal</w:t>
      </w:r>
      <w:r>
        <w:rPr>
          <w:spacing w:val="40"/>
          <w:sz w:val="22"/>
        </w:rPr>
        <w:t> </w:t>
      </w:r>
      <w:r>
        <w:rPr>
          <w:sz w:val="22"/>
        </w:rPr>
        <w:t>status.</w:t>
      </w:r>
      <w:r>
        <w:rPr>
          <w:spacing w:val="40"/>
          <w:sz w:val="22"/>
        </w:rPr>
        <w:t> </w:t>
      </w:r>
      <w:r>
        <w:rPr>
          <w:i/>
          <w:sz w:val="22"/>
        </w:rPr>
        <w:t>J</w:t>
      </w:r>
      <w:r>
        <w:rPr>
          <w:i/>
          <w:spacing w:val="40"/>
          <w:sz w:val="22"/>
        </w:rPr>
        <w:t> </w:t>
      </w:r>
      <w:r>
        <w:rPr>
          <w:i/>
          <w:sz w:val="22"/>
        </w:rPr>
        <w:t>Clin</w:t>
      </w:r>
      <w:r>
        <w:rPr>
          <w:i/>
          <w:spacing w:val="40"/>
          <w:sz w:val="22"/>
        </w:rPr>
        <w:t> </w:t>
      </w:r>
      <w:r>
        <w:rPr>
          <w:i/>
          <w:sz w:val="22"/>
        </w:rPr>
        <w:t>Endocrinol</w:t>
      </w:r>
      <w:r>
        <w:rPr>
          <w:i/>
          <w:sz w:val="22"/>
        </w:rPr>
        <w:t> Metab</w:t>
      </w:r>
      <w:r>
        <w:rPr>
          <w:sz w:val="22"/>
        </w:rPr>
        <w:t>. 2003;88:1516.</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Van Voorhis BJ, Santoro N, Harlow S, Crawford SL, Randolph J. The relationship of </w:t>
      </w:r>
      <w:r>
        <w:rPr>
          <w:sz w:val="22"/>
        </w:rPr>
        <w:t>bleeding patterns to daily reproductive hormones in women approaching menopause. </w:t>
      </w:r>
      <w:r>
        <w:rPr>
          <w:i/>
          <w:sz w:val="22"/>
        </w:rPr>
        <w:t>Obstet Gynecol</w:t>
      </w:r>
      <w:r>
        <w:rPr>
          <w:sz w:val="22"/>
        </w:rPr>
        <w:t>. </w:t>
      </w:r>
      <w:r>
        <w:rPr>
          <w:spacing w:val="-2"/>
          <w:sz w:val="22"/>
        </w:rPr>
        <w:t>2008;112:101.</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Goldstein</w:t>
      </w:r>
      <w:r>
        <w:rPr>
          <w:spacing w:val="40"/>
          <w:sz w:val="22"/>
        </w:rPr>
        <w:t> </w:t>
      </w:r>
      <w:r>
        <w:rPr>
          <w:sz w:val="22"/>
        </w:rPr>
        <w:t>SR,</w:t>
      </w:r>
      <w:r>
        <w:rPr>
          <w:spacing w:val="40"/>
          <w:sz w:val="22"/>
        </w:rPr>
        <w:t> </w:t>
      </w:r>
      <w:r>
        <w:rPr>
          <w:sz w:val="22"/>
        </w:rPr>
        <w:t>Zeltser</w:t>
      </w:r>
      <w:r>
        <w:rPr>
          <w:spacing w:val="40"/>
          <w:sz w:val="22"/>
        </w:rPr>
        <w:t> </w:t>
      </w:r>
      <w:r>
        <w:rPr>
          <w:sz w:val="22"/>
        </w:rPr>
        <w:t>I,</w:t>
      </w:r>
      <w:r>
        <w:rPr>
          <w:spacing w:val="40"/>
          <w:sz w:val="22"/>
        </w:rPr>
        <w:t> </w:t>
      </w:r>
      <w:r>
        <w:rPr>
          <w:sz w:val="22"/>
        </w:rPr>
        <w:t>Horan</w:t>
      </w:r>
      <w:r>
        <w:rPr>
          <w:spacing w:val="40"/>
          <w:sz w:val="22"/>
        </w:rPr>
        <w:t> </w:t>
      </w:r>
      <w:r>
        <w:rPr>
          <w:sz w:val="22"/>
        </w:rPr>
        <w:t>CK,</w:t>
      </w:r>
      <w:r>
        <w:rPr>
          <w:spacing w:val="40"/>
          <w:sz w:val="22"/>
        </w:rPr>
        <w:t> </w:t>
      </w:r>
      <w:r>
        <w:rPr>
          <w:sz w:val="22"/>
        </w:rPr>
        <w:t>Snyder</w:t>
      </w:r>
      <w:r>
        <w:rPr>
          <w:spacing w:val="40"/>
          <w:sz w:val="22"/>
        </w:rPr>
        <w:t> </w:t>
      </w:r>
      <w:r>
        <w:rPr>
          <w:sz w:val="22"/>
        </w:rPr>
        <w:t>JR,</w:t>
      </w:r>
      <w:r>
        <w:rPr>
          <w:spacing w:val="40"/>
          <w:sz w:val="22"/>
        </w:rPr>
        <w:t> </w:t>
      </w:r>
      <w:r>
        <w:rPr>
          <w:sz w:val="22"/>
        </w:rPr>
        <w:t>Schwartz</w:t>
      </w:r>
      <w:r>
        <w:rPr>
          <w:spacing w:val="40"/>
          <w:sz w:val="22"/>
        </w:rPr>
        <w:t> </w:t>
      </w:r>
      <w:r>
        <w:rPr>
          <w:sz w:val="22"/>
        </w:rPr>
        <w:t>LB.</w:t>
      </w:r>
      <w:r>
        <w:rPr>
          <w:spacing w:val="40"/>
          <w:sz w:val="22"/>
        </w:rPr>
        <w:t> </w:t>
      </w:r>
      <w:r>
        <w:rPr>
          <w:sz w:val="22"/>
        </w:rPr>
        <w:t>Ultrasonography-based</w:t>
      </w:r>
      <w:r>
        <w:rPr>
          <w:spacing w:val="40"/>
          <w:sz w:val="22"/>
        </w:rPr>
        <w:t> </w:t>
      </w:r>
      <w:r>
        <w:rPr>
          <w:sz w:val="22"/>
        </w:rPr>
        <w:t>triage for perimenopausal patients with abnormal uterine bleeding. </w:t>
      </w:r>
      <w:r>
        <w:rPr>
          <w:i/>
          <w:sz w:val="22"/>
        </w:rPr>
        <w:t>Am J Obstet Gynecol</w:t>
      </w:r>
      <w:r>
        <w:rPr>
          <w:sz w:val="22"/>
        </w:rPr>
        <w:t>. </w:t>
      </w:r>
      <w:r>
        <w:rPr>
          <w:spacing w:val="-2"/>
          <w:sz w:val="22"/>
        </w:rPr>
        <w:t>1997;177:102.</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Smith-Bindman R, Kerlikowske K, Feldstein VA, et al. Endovaginal ultrasound to exclude endometrial cancer and other endometrial abnormalities. </w:t>
      </w:r>
      <w:r>
        <w:rPr>
          <w:i/>
          <w:sz w:val="22"/>
        </w:rPr>
        <w:t>JAMA</w:t>
      </w:r>
      <w:r>
        <w:rPr>
          <w:sz w:val="22"/>
        </w:rPr>
        <w:t>. 1998;280:1510.</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Gull B, Karlsson B, Milsom I, Granberg S. Can ultrasound replace dilation and curettage? A longitudinal</w:t>
      </w:r>
      <w:r>
        <w:rPr>
          <w:spacing w:val="40"/>
          <w:sz w:val="22"/>
        </w:rPr>
        <w:t> </w:t>
      </w:r>
      <w:r>
        <w:rPr>
          <w:sz w:val="22"/>
        </w:rPr>
        <w:t>evaluation</w:t>
      </w:r>
      <w:r>
        <w:rPr>
          <w:spacing w:val="40"/>
          <w:sz w:val="22"/>
        </w:rPr>
        <w:t> </w:t>
      </w:r>
      <w:r>
        <w:rPr>
          <w:sz w:val="22"/>
        </w:rPr>
        <w:t>of</w:t>
      </w:r>
      <w:r>
        <w:rPr>
          <w:spacing w:val="40"/>
          <w:sz w:val="22"/>
        </w:rPr>
        <w:t> </w:t>
      </w:r>
      <w:r>
        <w:rPr>
          <w:sz w:val="22"/>
        </w:rPr>
        <w:t>postmenopausal</w:t>
      </w:r>
      <w:r>
        <w:rPr>
          <w:spacing w:val="40"/>
          <w:sz w:val="22"/>
        </w:rPr>
        <w:t> </w:t>
      </w:r>
      <w:r>
        <w:rPr>
          <w:sz w:val="22"/>
        </w:rPr>
        <w:t>bleeding</w:t>
      </w:r>
      <w:r>
        <w:rPr>
          <w:spacing w:val="40"/>
          <w:sz w:val="22"/>
        </w:rPr>
        <w:t> </w:t>
      </w:r>
      <w:r>
        <w:rPr>
          <w:sz w:val="22"/>
        </w:rPr>
        <w:t>and</w:t>
      </w:r>
      <w:r>
        <w:rPr>
          <w:spacing w:val="40"/>
          <w:sz w:val="22"/>
        </w:rPr>
        <w:t> </w:t>
      </w:r>
      <w:r>
        <w:rPr>
          <w:sz w:val="22"/>
        </w:rPr>
        <w:t>transvaginal</w:t>
      </w:r>
      <w:r>
        <w:rPr>
          <w:spacing w:val="40"/>
          <w:sz w:val="22"/>
        </w:rPr>
        <w:t> </w:t>
      </w:r>
      <w:r>
        <w:rPr>
          <w:sz w:val="22"/>
        </w:rPr>
        <w:t>sonographic measurement of the endometrium as predictors of endometrial cancer. </w:t>
      </w:r>
      <w:r>
        <w:rPr>
          <w:i/>
          <w:sz w:val="22"/>
        </w:rPr>
        <w:t>Am J Obstet Gynecol</w:t>
      </w:r>
      <w:r>
        <w:rPr>
          <w:sz w:val="22"/>
        </w:rPr>
        <w:t>. </w:t>
      </w:r>
      <w:r>
        <w:rPr>
          <w:spacing w:val="-2"/>
          <w:sz w:val="22"/>
        </w:rPr>
        <w:t>2003;188:401.</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Gupta JK, Chien PF, Voit D, Clark TJ, Khan KS. Ultrasonographic endometrial thickness </w:t>
      </w:r>
      <w:r>
        <w:rPr>
          <w:sz w:val="22"/>
        </w:rPr>
        <w:t>for diagnosing endometrial pathology in women with postmenopausal bleeding: a meta-analysis. </w:t>
      </w:r>
      <w:r>
        <w:rPr>
          <w:i/>
          <w:sz w:val="22"/>
        </w:rPr>
        <w:t>Acta Obstet Gynecol Scand</w:t>
      </w:r>
      <w:r>
        <w:rPr>
          <w:sz w:val="22"/>
        </w:rPr>
        <w:t>. 2002;81:799.</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American College of Obstetricians and Gynecologists. Committee Opinion No. </w:t>
      </w:r>
      <w:r>
        <w:rPr>
          <w:sz w:val="22"/>
        </w:rPr>
        <w:t>631:</w:t>
      </w:r>
      <w:r>
        <w:rPr>
          <w:spacing w:val="40"/>
          <w:sz w:val="22"/>
        </w:rPr>
        <w:t> </w:t>
      </w:r>
      <w:r>
        <w:rPr>
          <w:sz w:val="22"/>
        </w:rPr>
        <w:t>endometrial intraepithelial neoplasia. </w:t>
      </w:r>
      <w:r>
        <w:rPr>
          <w:i/>
          <w:sz w:val="22"/>
        </w:rPr>
        <w:t>Obstet Gynecol</w:t>
      </w:r>
      <w:r>
        <w:rPr>
          <w:sz w:val="22"/>
        </w:rPr>
        <w:t>. 2015;125: 1272-1278.</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Practice</w:t>
      </w:r>
      <w:r>
        <w:rPr>
          <w:spacing w:val="40"/>
          <w:sz w:val="22"/>
        </w:rPr>
        <w:t> </w:t>
      </w:r>
      <w:r>
        <w:rPr>
          <w:sz w:val="22"/>
        </w:rPr>
        <w:t>Bulletin</w:t>
      </w:r>
      <w:r>
        <w:rPr>
          <w:spacing w:val="40"/>
          <w:sz w:val="22"/>
        </w:rPr>
        <w:t> </w:t>
      </w:r>
      <w:r>
        <w:rPr>
          <w:sz w:val="22"/>
        </w:rPr>
        <w:t>No.</w:t>
      </w:r>
      <w:r>
        <w:rPr>
          <w:spacing w:val="40"/>
          <w:sz w:val="22"/>
        </w:rPr>
        <w:t> </w:t>
      </w:r>
      <w:r>
        <w:rPr>
          <w:sz w:val="22"/>
        </w:rPr>
        <w:t>136:</w:t>
      </w:r>
      <w:r>
        <w:rPr>
          <w:spacing w:val="40"/>
          <w:sz w:val="22"/>
        </w:rPr>
        <w:t> </w:t>
      </w:r>
      <w:r>
        <w:rPr>
          <w:sz w:val="22"/>
        </w:rPr>
        <w:t>management</w:t>
      </w:r>
      <w:r>
        <w:rPr>
          <w:spacing w:val="40"/>
          <w:sz w:val="22"/>
        </w:rPr>
        <w:t> </w:t>
      </w:r>
      <w:r>
        <w:rPr>
          <w:sz w:val="22"/>
        </w:rPr>
        <w:t>of</w:t>
      </w:r>
      <w:r>
        <w:rPr>
          <w:spacing w:val="40"/>
          <w:sz w:val="22"/>
        </w:rPr>
        <w:t> </w:t>
      </w:r>
      <w:r>
        <w:rPr>
          <w:sz w:val="22"/>
        </w:rPr>
        <w:t>abnormal</w:t>
      </w:r>
      <w:r>
        <w:rPr>
          <w:spacing w:val="40"/>
          <w:sz w:val="22"/>
        </w:rPr>
        <w:t> </w:t>
      </w:r>
      <w:r>
        <w:rPr>
          <w:sz w:val="22"/>
        </w:rPr>
        <w:t>uterine</w:t>
      </w:r>
      <w:r>
        <w:rPr>
          <w:spacing w:val="40"/>
          <w:sz w:val="22"/>
        </w:rPr>
        <w:t> </w:t>
      </w:r>
      <w:r>
        <w:rPr>
          <w:sz w:val="22"/>
        </w:rPr>
        <w:t>bleeding</w:t>
      </w:r>
      <w:r>
        <w:rPr>
          <w:spacing w:val="40"/>
          <w:sz w:val="22"/>
        </w:rPr>
        <w:t> </w:t>
      </w:r>
      <w:r>
        <w:rPr>
          <w:sz w:val="22"/>
        </w:rPr>
        <w:t>associated</w:t>
      </w:r>
      <w:r>
        <w:rPr>
          <w:spacing w:val="40"/>
          <w:sz w:val="22"/>
        </w:rPr>
        <w:t> </w:t>
      </w:r>
      <w:r>
        <w:rPr>
          <w:sz w:val="22"/>
        </w:rPr>
        <w:t>with ovulatory dysfunction. </w:t>
      </w:r>
      <w:r>
        <w:rPr>
          <w:i/>
          <w:sz w:val="22"/>
        </w:rPr>
        <w:t>Obstet Gynecol</w:t>
      </w:r>
      <w:r>
        <w:rPr>
          <w:sz w:val="22"/>
        </w:rPr>
        <w:t>. 2013;122(1):176.</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Practice</w:t>
      </w:r>
      <w:r>
        <w:rPr>
          <w:spacing w:val="40"/>
          <w:sz w:val="22"/>
        </w:rPr>
        <w:t> </w:t>
      </w:r>
      <w:r>
        <w:rPr>
          <w:sz w:val="22"/>
        </w:rPr>
        <w:t>Bulletin</w:t>
      </w:r>
      <w:r>
        <w:rPr>
          <w:spacing w:val="40"/>
          <w:sz w:val="22"/>
        </w:rPr>
        <w:t> </w:t>
      </w:r>
      <w:r>
        <w:rPr>
          <w:sz w:val="22"/>
        </w:rPr>
        <w:t>No.</w:t>
      </w:r>
      <w:r>
        <w:rPr>
          <w:spacing w:val="40"/>
          <w:sz w:val="22"/>
        </w:rPr>
        <w:t> </w:t>
      </w:r>
      <w:r>
        <w:rPr>
          <w:sz w:val="22"/>
        </w:rPr>
        <w:t>128:</w:t>
      </w:r>
      <w:r>
        <w:rPr>
          <w:spacing w:val="40"/>
          <w:sz w:val="22"/>
        </w:rPr>
        <w:t> </w:t>
      </w:r>
      <w:r>
        <w:rPr>
          <w:sz w:val="22"/>
        </w:rPr>
        <w:t>diagnosis</w:t>
      </w:r>
      <w:r>
        <w:rPr>
          <w:spacing w:val="40"/>
          <w:sz w:val="22"/>
        </w:rPr>
        <w:t> </w:t>
      </w:r>
      <w:r>
        <w:rPr>
          <w:sz w:val="22"/>
        </w:rPr>
        <w:t>of</w:t>
      </w:r>
      <w:r>
        <w:rPr>
          <w:spacing w:val="40"/>
          <w:sz w:val="22"/>
        </w:rPr>
        <w:t> </w:t>
      </w:r>
      <w:r>
        <w:rPr>
          <w:sz w:val="22"/>
        </w:rPr>
        <w:t>abnormal</w:t>
      </w:r>
      <w:r>
        <w:rPr>
          <w:spacing w:val="40"/>
          <w:sz w:val="22"/>
        </w:rPr>
        <w:t> </w:t>
      </w:r>
      <w:r>
        <w:rPr>
          <w:sz w:val="22"/>
        </w:rPr>
        <w:t>uterine</w:t>
      </w:r>
      <w:r>
        <w:rPr>
          <w:spacing w:val="40"/>
          <w:sz w:val="22"/>
        </w:rPr>
        <w:t> </w:t>
      </w:r>
      <w:r>
        <w:rPr>
          <w:sz w:val="22"/>
        </w:rPr>
        <w:t>bleeding</w:t>
      </w:r>
      <w:r>
        <w:rPr>
          <w:spacing w:val="40"/>
          <w:sz w:val="22"/>
        </w:rPr>
        <w:t> </w:t>
      </w:r>
      <w:r>
        <w:rPr>
          <w:sz w:val="22"/>
        </w:rPr>
        <w:t>in</w:t>
      </w:r>
      <w:r>
        <w:rPr>
          <w:spacing w:val="40"/>
          <w:sz w:val="22"/>
        </w:rPr>
        <w:t> </w:t>
      </w:r>
      <w:r>
        <w:rPr>
          <w:sz w:val="22"/>
        </w:rPr>
        <w:t>reproductive-aged women. </w:t>
      </w:r>
      <w:r>
        <w:rPr>
          <w:i/>
          <w:sz w:val="22"/>
        </w:rPr>
        <w:t>Obstet Gynecol</w:t>
      </w:r>
      <w:r>
        <w:rPr>
          <w:sz w:val="22"/>
        </w:rPr>
        <w:t>. 2012;120(1):197..</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Einerth Y. Vacuum curettage by the Vabra method: a simple procedure for </w:t>
      </w:r>
      <w:r>
        <w:rPr>
          <w:sz w:val="22"/>
        </w:rPr>
        <w:t>endometrial diagnosis. </w:t>
      </w:r>
      <w:r>
        <w:rPr>
          <w:i/>
          <w:sz w:val="22"/>
        </w:rPr>
        <w:t>Acta Obstet Gynecol Scand</w:t>
      </w:r>
      <w:r>
        <w:rPr>
          <w:sz w:val="22"/>
        </w:rPr>
        <w:t>. 1982;61:373.</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Feldman S, Shapter A, Welch WR, Berkowitz RS. Two-year follow-up of 263 patients with post/perimenopausal vaginal bleeding and negative initial biopsy. </w:t>
      </w:r>
      <w:r>
        <w:rPr>
          <w:i/>
          <w:sz w:val="22"/>
        </w:rPr>
        <w:t>Gynecol Oncol</w:t>
      </w:r>
      <w:r>
        <w:rPr>
          <w:sz w:val="22"/>
        </w:rPr>
        <w:t>. 1994;55:56.</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Lin</w:t>
      </w:r>
      <w:r>
        <w:rPr>
          <w:spacing w:val="40"/>
          <w:sz w:val="22"/>
        </w:rPr>
        <w:t> </w:t>
      </w:r>
      <w:r>
        <w:rPr>
          <w:sz w:val="22"/>
        </w:rPr>
        <w:t>HH,</w:t>
      </w:r>
      <w:r>
        <w:rPr>
          <w:spacing w:val="40"/>
          <w:sz w:val="22"/>
        </w:rPr>
        <w:t> </w:t>
      </w:r>
      <w:r>
        <w:rPr>
          <w:sz w:val="22"/>
        </w:rPr>
        <w:t>Wu</w:t>
      </w:r>
      <w:r>
        <w:rPr>
          <w:spacing w:val="40"/>
          <w:sz w:val="22"/>
        </w:rPr>
        <w:t> </w:t>
      </w:r>
      <w:r>
        <w:rPr>
          <w:sz w:val="22"/>
        </w:rPr>
        <w:t>MY,</w:t>
      </w:r>
      <w:r>
        <w:rPr>
          <w:spacing w:val="40"/>
          <w:sz w:val="22"/>
        </w:rPr>
        <w:t> </w:t>
      </w:r>
      <w:r>
        <w:rPr>
          <w:sz w:val="22"/>
        </w:rPr>
        <w:t>Shyu</w:t>
      </w:r>
      <w:r>
        <w:rPr>
          <w:spacing w:val="40"/>
          <w:sz w:val="22"/>
        </w:rPr>
        <w:t> </w:t>
      </w:r>
      <w:r>
        <w:rPr>
          <w:sz w:val="22"/>
        </w:rPr>
        <w:t>MK,</w:t>
      </w:r>
      <w:r>
        <w:rPr>
          <w:spacing w:val="40"/>
          <w:sz w:val="22"/>
        </w:rPr>
        <w:t> </w:t>
      </w:r>
      <w:r>
        <w:rPr>
          <w:sz w:val="22"/>
        </w:rPr>
        <w:t>Chen</w:t>
      </w:r>
      <w:r>
        <w:rPr>
          <w:spacing w:val="40"/>
          <w:sz w:val="22"/>
        </w:rPr>
        <w:t> </w:t>
      </w:r>
      <w:r>
        <w:rPr>
          <w:sz w:val="22"/>
        </w:rPr>
        <w:t>D,</w:t>
      </w:r>
      <w:r>
        <w:rPr>
          <w:spacing w:val="40"/>
          <w:sz w:val="22"/>
        </w:rPr>
        <w:t> </w:t>
      </w:r>
      <w:r>
        <w:rPr>
          <w:sz w:val="22"/>
        </w:rPr>
        <w:t>Tsai</w:t>
      </w:r>
      <w:r>
        <w:rPr>
          <w:spacing w:val="40"/>
          <w:sz w:val="22"/>
        </w:rPr>
        <w:t> </w:t>
      </w:r>
      <w:r>
        <w:rPr>
          <w:sz w:val="22"/>
        </w:rPr>
        <w:t>JL,</w:t>
      </w:r>
      <w:r>
        <w:rPr>
          <w:spacing w:val="40"/>
          <w:sz w:val="22"/>
        </w:rPr>
        <w:t> </w:t>
      </w:r>
      <w:r>
        <w:rPr>
          <w:sz w:val="22"/>
        </w:rPr>
        <w:t>Hsieh</w:t>
      </w:r>
      <w:r>
        <w:rPr>
          <w:spacing w:val="40"/>
          <w:sz w:val="22"/>
        </w:rPr>
        <w:t> </w:t>
      </w:r>
      <w:r>
        <w:rPr>
          <w:sz w:val="22"/>
        </w:rPr>
        <w:t>CY.</w:t>
      </w:r>
      <w:r>
        <w:rPr>
          <w:spacing w:val="40"/>
          <w:sz w:val="22"/>
        </w:rPr>
        <w:t> </w:t>
      </w:r>
      <w:r>
        <w:rPr>
          <w:sz w:val="22"/>
        </w:rPr>
        <w:t>Clinical</w:t>
      </w:r>
      <w:r>
        <w:rPr>
          <w:spacing w:val="40"/>
          <w:sz w:val="22"/>
        </w:rPr>
        <w:t> </w:t>
      </w:r>
      <w:r>
        <w:rPr>
          <w:sz w:val="22"/>
        </w:rPr>
        <w:t>study</w:t>
      </w:r>
      <w:r>
        <w:rPr>
          <w:spacing w:val="40"/>
          <w:sz w:val="22"/>
        </w:rPr>
        <w:t> </w:t>
      </w:r>
      <w:r>
        <w:rPr>
          <w:sz w:val="22"/>
        </w:rPr>
        <w:t>of</w:t>
      </w:r>
      <w:r>
        <w:rPr>
          <w:spacing w:val="40"/>
          <w:sz w:val="22"/>
        </w:rPr>
        <w:t> </w:t>
      </w:r>
      <w:r>
        <w:rPr>
          <w:sz w:val="22"/>
        </w:rPr>
        <w:t>381 postmenopausal bleeding patients. </w:t>
      </w:r>
      <w:r>
        <w:rPr>
          <w:i/>
          <w:sz w:val="22"/>
        </w:rPr>
        <w:t>J Formos Med Assoc</w:t>
      </w:r>
      <w:r>
        <w:rPr>
          <w:sz w:val="22"/>
        </w:rPr>
        <w:t>. 1993;92:241.</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Practice Bulletin No. 168: cervical cancer screening and prevention. </w:t>
      </w:r>
      <w:r>
        <w:rPr>
          <w:i/>
          <w:sz w:val="22"/>
        </w:rPr>
        <w:t>Obstet </w:t>
      </w:r>
      <w:r>
        <w:rPr>
          <w:i/>
          <w:sz w:val="22"/>
        </w:rPr>
        <w:t>Gynecol</w:t>
      </w:r>
      <w:r>
        <w:rPr>
          <w:sz w:val="22"/>
        </w:rPr>
        <w:t>. </w:t>
      </w:r>
      <w:r>
        <w:rPr>
          <w:spacing w:val="-2"/>
          <w:sz w:val="22"/>
        </w:rPr>
        <w:t>2016;128(4):e111.</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Royal College of Obstetricians and Gynaecologists, British Society for Gynaecological Endoscopy. Management of endometrial hyperplasia: green-top Guideline No. 67.</w:t>
      </w:r>
      <w:r>
        <w:rPr>
          <w:spacing w:val="80"/>
          <w:sz w:val="22"/>
        </w:rPr>
        <w:t> </w:t>
      </w:r>
      <w:r>
        <w:rPr>
          <w:sz w:val="22"/>
        </w:rPr>
        <w:t>RCOG/BSGE Joint Guideline; 2016.</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Reed SD, Voigt LF, Newton KM, et al. Progestin therapy of complex endometrial hyperplasia with and without atypia. </w:t>
      </w:r>
      <w:r>
        <w:rPr>
          <w:i/>
          <w:sz w:val="22"/>
        </w:rPr>
        <w:t>Obstet Gynecol</w:t>
      </w:r>
      <w:r>
        <w:rPr>
          <w:sz w:val="22"/>
        </w:rPr>
        <w:t>. 2009;113:655.</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Gebbie AE, Glasier A, Sweeting V. Incidence of ovulation in perimenopausal women before</w:t>
      </w:r>
      <w:r>
        <w:rPr>
          <w:spacing w:val="40"/>
          <w:sz w:val="22"/>
        </w:rPr>
        <w:t> </w:t>
      </w:r>
      <w:r>
        <w:rPr>
          <w:sz w:val="22"/>
        </w:rPr>
        <w:t>and during hormone replacement therapy. </w:t>
      </w:r>
      <w:r>
        <w:rPr>
          <w:i/>
          <w:sz w:val="22"/>
        </w:rPr>
        <w:t>Contraception</w:t>
      </w:r>
      <w:r>
        <w:rPr>
          <w:sz w:val="22"/>
        </w:rPr>
        <w:t>. 1995;52:221.</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Casper RF, Dodin S, Reid RL; Study Investigators. The effect of 20 μg ethinyl estradiol/1 mg norethindrone acetate (Minestrin), a low-dose oral contraceptive, on vaginal bleeding </w:t>
      </w:r>
      <w:r>
        <w:rPr>
          <w:sz w:val="22"/>
        </w:rPr>
        <w:t>patterns, hot</w:t>
      </w:r>
      <w:r>
        <w:rPr>
          <w:spacing w:val="40"/>
          <w:sz w:val="22"/>
        </w:rPr>
        <w:t> </w:t>
      </w:r>
      <w:r>
        <w:rPr>
          <w:sz w:val="22"/>
        </w:rPr>
        <w:t>flashes,</w:t>
      </w:r>
      <w:r>
        <w:rPr>
          <w:spacing w:val="40"/>
          <w:sz w:val="22"/>
        </w:rPr>
        <w:t> </w:t>
      </w:r>
      <w:r>
        <w:rPr>
          <w:sz w:val="22"/>
        </w:rPr>
        <w:t>and</w:t>
      </w:r>
      <w:r>
        <w:rPr>
          <w:spacing w:val="40"/>
          <w:sz w:val="22"/>
        </w:rPr>
        <w:t> </w:t>
      </w:r>
      <w:r>
        <w:rPr>
          <w:sz w:val="22"/>
        </w:rPr>
        <w:t>quality</w:t>
      </w:r>
      <w:r>
        <w:rPr>
          <w:spacing w:val="40"/>
          <w:sz w:val="22"/>
        </w:rPr>
        <w:t> </w:t>
      </w:r>
      <w:r>
        <w:rPr>
          <w:sz w:val="22"/>
        </w:rPr>
        <w:t>of</w:t>
      </w:r>
      <w:r>
        <w:rPr>
          <w:spacing w:val="40"/>
          <w:sz w:val="22"/>
        </w:rPr>
        <w:t> </w:t>
      </w:r>
      <w:r>
        <w:rPr>
          <w:sz w:val="22"/>
        </w:rPr>
        <w:t>life</w:t>
      </w:r>
      <w:r>
        <w:rPr>
          <w:spacing w:val="40"/>
          <w:sz w:val="22"/>
        </w:rPr>
        <w:t> </w:t>
      </w:r>
      <w:r>
        <w:rPr>
          <w:sz w:val="22"/>
        </w:rPr>
        <w:t>in</w:t>
      </w:r>
      <w:r>
        <w:rPr>
          <w:spacing w:val="40"/>
          <w:sz w:val="22"/>
        </w:rPr>
        <w:t> </w:t>
      </w:r>
      <w:r>
        <w:rPr>
          <w:sz w:val="22"/>
        </w:rPr>
        <w:t>symptomatic</w:t>
      </w:r>
      <w:r>
        <w:rPr>
          <w:spacing w:val="40"/>
          <w:sz w:val="22"/>
        </w:rPr>
        <w:t> </w:t>
      </w:r>
      <w:r>
        <w:rPr>
          <w:sz w:val="22"/>
        </w:rPr>
        <w:t>perimenopausal</w:t>
      </w:r>
      <w:r>
        <w:rPr>
          <w:spacing w:val="40"/>
          <w:sz w:val="22"/>
        </w:rPr>
        <w:t> </w:t>
      </w:r>
      <w:r>
        <w:rPr>
          <w:sz w:val="22"/>
        </w:rPr>
        <w:t>women.</w:t>
      </w:r>
      <w:r>
        <w:rPr>
          <w:spacing w:val="40"/>
          <w:sz w:val="22"/>
        </w:rPr>
        <w:t> </w:t>
      </w:r>
      <w:r>
        <w:rPr>
          <w:i/>
          <w:sz w:val="22"/>
        </w:rPr>
        <w:t>Menopause</w:t>
      </w:r>
      <w:r>
        <w:rPr>
          <w:sz w:val="22"/>
        </w:rPr>
        <w:t>. </w:t>
      </w:r>
      <w:r>
        <w:rPr>
          <w:spacing w:val="-2"/>
          <w:sz w:val="22"/>
        </w:rPr>
        <w:t>1997;4:139.</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Castracane</w:t>
      </w:r>
      <w:r>
        <w:rPr>
          <w:spacing w:val="20"/>
          <w:sz w:val="22"/>
        </w:rPr>
        <w:t> </w:t>
      </w:r>
      <w:r>
        <w:rPr>
          <w:sz w:val="22"/>
        </w:rPr>
        <w:t>VD,</w:t>
      </w:r>
      <w:r>
        <w:rPr>
          <w:spacing w:val="20"/>
          <w:sz w:val="22"/>
        </w:rPr>
        <w:t> </w:t>
      </w:r>
      <w:r>
        <w:rPr>
          <w:sz w:val="22"/>
        </w:rPr>
        <w:t>Gimpel</w:t>
      </w:r>
      <w:r>
        <w:rPr>
          <w:spacing w:val="20"/>
          <w:sz w:val="22"/>
        </w:rPr>
        <w:t> </w:t>
      </w:r>
      <w:r>
        <w:rPr>
          <w:sz w:val="22"/>
        </w:rPr>
        <w:t>T,</w:t>
      </w:r>
      <w:r>
        <w:rPr>
          <w:spacing w:val="20"/>
          <w:sz w:val="22"/>
        </w:rPr>
        <w:t> </w:t>
      </w:r>
      <w:r>
        <w:rPr>
          <w:sz w:val="22"/>
        </w:rPr>
        <w:t>Goldzieher</w:t>
      </w:r>
      <w:r>
        <w:rPr>
          <w:spacing w:val="20"/>
          <w:sz w:val="22"/>
        </w:rPr>
        <w:t> </w:t>
      </w:r>
      <w:r>
        <w:rPr>
          <w:sz w:val="22"/>
        </w:rPr>
        <w:t>JW.</w:t>
      </w:r>
      <w:r>
        <w:rPr>
          <w:spacing w:val="20"/>
          <w:sz w:val="22"/>
        </w:rPr>
        <w:t> </w:t>
      </w:r>
      <w:r>
        <w:rPr>
          <w:sz w:val="22"/>
        </w:rPr>
        <w:t>When</w:t>
      </w:r>
      <w:r>
        <w:rPr>
          <w:spacing w:val="21"/>
          <w:sz w:val="22"/>
        </w:rPr>
        <w:t> </w:t>
      </w:r>
      <w:r>
        <w:rPr>
          <w:sz w:val="22"/>
        </w:rPr>
        <w:t>is</w:t>
      </w:r>
      <w:r>
        <w:rPr>
          <w:spacing w:val="21"/>
          <w:sz w:val="22"/>
        </w:rPr>
        <w:t> </w:t>
      </w:r>
      <w:r>
        <w:rPr>
          <w:sz w:val="22"/>
        </w:rPr>
        <w:t>it</w:t>
      </w:r>
      <w:r>
        <w:rPr>
          <w:spacing w:val="21"/>
          <w:sz w:val="22"/>
        </w:rPr>
        <w:t> </w:t>
      </w:r>
      <w:r>
        <w:rPr>
          <w:sz w:val="22"/>
        </w:rPr>
        <w:t>safe</w:t>
      </w:r>
      <w:r>
        <w:rPr>
          <w:spacing w:val="21"/>
          <w:sz w:val="22"/>
        </w:rPr>
        <w:t> </w:t>
      </w:r>
      <w:r>
        <w:rPr>
          <w:sz w:val="22"/>
        </w:rPr>
        <w:t>to</w:t>
      </w:r>
      <w:r>
        <w:rPr>
          <w:spacing w:val="21"/>
          <w:sz w:val="22"/>
        </w:rPr>
        <w:t> </w:t>
      </w:r>
      <w:r>
        <w:rPr>
          <w:sz w:val="22"/>
        </w:rPr>
        <w:t>switch</w:t>
      </w:r>
      <w:r>
        <w:rPr>
          <w:spacing w:val="21"/>
          <w:sz w:val="22"/>
        </w:rPr>
        <w:t> </w:t>
      </w:r>
      <w:r>
        <w:rPr>
          <w:sz w:val="22"/>
        </w:rPr>
        <w:t>from</w:t>
      </w:r>
      <w:r>
        <w:rPr>
          <w:spacing w:val="21"/>
          <w:sz w:val="22"/>
        </w:rPr>
        <w:t> </w:t>
      </w:r>
      <w:r>
        <w:rPr>
          <w:sz w:val="22"/>
        </w:rPr>
        <w:t>oral</w:t>
      </w:r>
      <w:r>
        <w:rPr>
          <w:spacing w:val="21"/>
          <w:sz w:val="22"/>
        </w:rPr>
        <w:t> </w:t>
      </w:r>
      <w:r>
        <w:rPr>
          <w:sz w:val="22"/>
        </w:rPr>
        <w:t>contraceptives to hormonal replacement therapy? </w:t>
      </w:r>
      <w:r>
        <w:rPr>
          <w:i/>
          <w:sz w:val="22"/>
        </w:rPr>
        <w:t>Contraception</w:t>
      </w:r>
      <w:r>
        <w:rPr>
          <w:sz w:val="22"/>
        </w:rPr>
        <w:t>. 1995;52:371.</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05" w:hanging="507"/>
        <w:jc w:val="both"/>
        <w:rPr>
          <w:sz w:val="22"/>
        </w:rPr>
      </w:pPr>
      <w:r>
        <w:rPr>
          <w:sz w:val="22"/>
        </w:rPr>
        <w:t>Creinin MD. Laboratory criteria for menopause in women using oral contraceptives. </w:t>
      </w:r>
      <w:r>
        <w:rPr>
          <w:i/>
          <w:sz w:val="22"/>
        </w:rPr>
        <w:t>Fertil</w:t>
      </w:r>
      <w:r>
        <w:rPr>
          <w:i/>
          <w:spacing w:val="40"/>
          <w:sz w:val="22"/>
        </w:rPr>
        <w:t> </w:t>
      </w:r>
      <w:r>
        <w:rPr>
          <w:i/>
          <w:sz w:val="22"/>
        </w:rPr>
        <w:t>Steril</w:t>
      </w:r>
      <w:r>
        <w:rPr>
          <w:sz w:val="22"/>
        </w:rPr>
        <w:t>. 1996;66:101.</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Crosignani PG, Vercellini P, Mosconi P, Oldani S, Cortesi I, De Giorgi O. Levonorgestrel-releasing intrauterine device versus hysteroscopic endometrial resection in the treatment of dysfunctional uterine bleeding. </w:t>
      </w:r>
      <w:r>
        <w:rPr>
          <w:i/>
          <w:sz w:val="22"/>
        </w:rPr>
        <w:t>Obstet Gynecol</w:t>
      </w:r>
      <w:r>
        <w:rPr>
          <w:sz w:val="22"/>
        </w:rPr>
        <w:t>. 1997;90:257.</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Kaunitz AM, Meredith S, Inki P, Kubba A, Sanchez-Ramos L. Levonorgestrel-releasing intrauterine system and endometrial ablation in heavy menstrual bleeding: a systematic review and meta-analysis. </w:t>
      </w:r>
      <w:r>
        <w:rPr>
          <w:i/>
          <w:sz w:val="22"/>
        </w:rPr>
        <w:t>Obstet Gynecol</w:t>
      </w:r>
      <w:r>
        <w:rPr>
          <w:sz w:val="22"/>
        </w:rPr>
        <w:t>. 2009;113:1104.</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Irvine GA, Campbell-Brown MB, Lumsden MA, Heikkila A, Walker JJ, Cameron IT. Randomised comparative trial of the levonorgestrel intrauterine system and norethisterone for treatment of idiopathic menorrhagia. </w:t>
      </w:r>
      <w:r>
        <w:rPr>
          <w:i/>
          <w:sz w:val="22"/>
        </w:rPr>
        <w:t>Br J Obstet Gynaecol</w:t>
      </w:r>
      <w:r>
        <w:rPr>
          <w:sz w:val="22"/>
        </w:rPr>
        <w:t>. 1998;105:592.</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Istre O, Trolle B. Treatment of menorrhagia with the levonorgestrel intrauterine system versus endometrial resection. </w:t>
      </w:r>
      <w:r>
        <w:rPr>
          <w:i/>
          <w:sz w:val="22"/>
        </w:rPr>
        <w:t>Fertil Steril</w:t>
      </w:r>
      <w:r>
        <w:rPr>
          <w:sz w:val="22"/>
        </w:rPr>
        <w:t>. 2001;76:304.</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Romer T. Prospective comparison study of levonorgestrel IUD versus Roller-Ball endometrial ablation in the management of refractory recurrent hypermenorrhea. </w:t>
      </w:r>
      <w:r>
        <w:rPr>
          <w:i/>
          <w:sz w:val="22"/>
        </w:rPr>
        <w:t>Eur J Obstet Gynecol</w:t>
      </w:r>
      <w:r>
        <w:rPr>
          <w:i/>
          <w:sz w:val="22"/>
        </w:rPr>
        <w:t> Reprod Biol</w:t>
      </w:r>
      <w:r>
        <w:rPr>
          <w:sz w:val="22"/>
        </w:rPr>
        <w:t>. 2000;90:27.</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Bahamondes</w:t>
      </w:r>
      <w:r>
        <w:rPr>
          <w:spacing w:val="40"/>
          <w:sz w:val="22"/>
        </w:rPr>
        <w:t> </w:t>
      </w:r>
      <w:r>
        <w:rPr>
          <w:sz w:val="22"/>
        </w:rPr>
        <w:t>L,</w:t>
      </w:r>
      <w:r>
        <w:rPr>
          <w:spacing w:val="40"/>
          <w:sz w:val="22"/>
        </w:rPr>
        <w:t> </w:t>
      </w:r>
      <w:r>
        <w:rPr>
          <w:sz w:val="22"/>
        </w:rPr>
        <w:t>Ribeiro-Huguet</w:t>
      </w:r>
      <w:r>
        <w:rPr>
          <w:spacing w:val="40"/>
          <w:sz w:val="22"/>
        </w:rPr>
        <w:t> </w:t>
      </w:r>
      <w:r>
        <w:rPr>
          <w:sz w:val="22"/>
        </w:rPr>
        <w:t>P,</w:t>
      </w:r>
      <w:r>
        <w:rPr>
          <w:spacing w:val="40"/>
          <w:sz w:val="22"/>
        </w:rPr>
        <w:t> </w:t>
      </w:r>
      <w:r>
        <w:rPr>
          <w:sz w:val="22"/>
        </w:rPr>
        <w:t>de</w:t>
      </w:r>
      <w:r>
        <w:rPr>
          <w:spacing w:val="40"/>
          <w:sz w:val="22"/>
        </w:rPr>
        <w:t> </w:t>
      </w:r>
      <w:r>
        <w:rPr>
          <w:sz w:val="22"/>
        </w:rPr>
        <w:t>Andrade</w:t>
      </w:r>
      <w:r>
        <w:rPr>
          <w:spacing w:val="40"/>
          <w:sz w:val="22"/>
        </w:rPr>
        <w:t> </w:t>
      </w:r>
      <w:r>
        <w:rPr>
          <w:sz w:val="22"/>
        </w:rPr>
        <w:t>KC,</w:t>
      </w:r>
      <w:r>
        <w:rPr>
          <w:spacing w:val="40"/>
          <w:sz w:val="22"/>
        </w:rPr>
        <w:t> </w:t>
      </w:r>
      <w:r>
        <w:rPr>
          <w:sz w:val="22"/>
        </w:rPr>
        <w:t>Leon-Martins</w:t>
      </w:r>
      <w:r>
        <w:rPr>
          <w:spacing w:val="40"/>
          <w:sz w:val="22"/>
        </w:rPr>
        <w:t> </w:t>
      </w:r>
      <w:r>
        <w:rPr>
          <w:sz w:val="22"/>
        </w:rPr>
        <w:t>O,</w:t>
      </w:r>
      <w:r>
        <w:rPr>
          <w:spacing w:val="40"/>
          <w:sz w:val="22"/>
        </w:rPr>
        <w:t> </w:t>
      </w:r>
      <w:r>
        <w:rPr>
          <w:sz w:val="22"/>
        </w:rPr>
        <w:t>Petta</w:t>
      </w:r>
      <w:r>
        <w:rPr>
          <w:spacing w:val="40"/>
          <w:sz w:val="22"/>
        </w:rPr>
        <w:t> </w:t>
      </w:r>
      <w:r>
        <w:rPr>
          <w:sz w:val="22"/>
        </w:rPr>
        <w:t>CA. Levonorgestrel-releasing</w:t>
      </w:r>
      <w:r>
        <w:rPr>
          <w:spacing w:val="40"/>
          <w:sz w:val="22"/>
        </w:rPr>
        <w:t> </w:t>
      </w:r>
      <w:r>
        <w:rPr>
          <w:sz w:val="22"/>
        </w:rPr>
        <w:t>intrauterine</w:t>
      </w:r>
      <w:r>
        <w:rPr>
          <w:spacing w:val="40"/>
          <w:sz w:val="22"/>
        </w:rPr>
        <w:t> </w:t>
      </w:r>
      <w:r>
        <w:rPr>
          <w:sz w:val="22"/>
        </w:rPr>
        <w:t>system</w:t>
      </w:r>
      <w:r>
        <w:rPr>
          <w:spacing w:val="40"/>
          <w:sz w:val="22"/>
        </w:rPr>
        <w:t> </w:t>
      </w:r>
      <w:r>
        <w:rPr>
          <w:sz w:val="22"/>
        </w:rPr>
        <w:t>(Mirena)</w:t>
      </w:r>
      <w:r>
        <w:rPr>
          <w:spacing w:val="40"/>
          <w:sz w:val="22"/>
        </w:rPr>
        <w:t> </w:t>
      </w:r>
      <w:r>
        <w:rPr>
          <w:sz w:val="22"/>
        </w:rPr>
        <w:t>as</w:t>
      </w:r>
      <w:r>
        <w:rPr>
          <w:spacing w:val="40"/>
          <w:sz w:val="22"/>
        </w:rPr>
        <w:t> </w:t>
      </w:r>
      <w:r>
        <w:rPr>
          <w:sz w:val="22"/>
        </w:rPr>
        <w:t>a</w:t>
      </w:r>
      <w:r>
        <w:rPr>
          <w:spacing w:val="40"/>
          <w:sz w:val="22"/>
        </w:rPr>
        <w:t> </w:t>
      </w:r>
      <w:r>
        <w:rPr>
          <w:sz w:val="22"/>
        </w:rPr>
        <w:t>therapy</w:t>
      </w:r>
      <w:r>
        <w:rPr>
          <w:spacing w:val="40"/>
          <w:sz w:val="22"/>
        </w:rPr>
        <w:t> </w:t>
      </w:r>
      <w:r>
        <w:rPr>
          <w:sz w:val="22"/>
        </w:rPr>
        <w:t>for</w:t>
      </w:r>
      <w:r>
        <w:rPr>
          <w:spacing w:val="40"/>
          <w:sz w:val="22"/>
        </w:rPr>
        <w:t> </w:t>
      </w:r>
      <w:r>
        <w:rPr>
          <w:sz w:val="22"/>
        </w:rPr>
        <w:t>endometrial hyperplasia and carcinoma. </w:t>
      </w:r>
      <w:r>
        <w:rPr>
          <w:i/>
          <w:sz w:val="22"/>
        </w:rPr>
        <w:t>Acta Obstet Gynecol Scand</w:t>
      </w:r>
      <w:r>
        <w:rPr>
          <w:sz w:val="22"/>
        </w:rPr>
        <w:t>. 2003;82:580.</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Vereide AB, Kaino T, Sager G, Arnes M, Ørbo A. Effect of levonorgestrel IUD and oral medroxyprogesterone</w:t>
      </w:r>
      <w:r>
        <w:rPr>
          <w:spacing w:val="40"/>
          <w:sz w:val="22"/>
        </w:rPr>
        <w:t> </w:t>
      </w:r>
      <w:r>
        <w:rPr>
          <w:sz w:val="22"/>
        </w:rPr>
        <w:t>acetate</w:t>
      </w:r>
      <w:r>
        <w:rPr>
          <w:spacing w:val="40"/>
          <w:sz w:val="22"/>
        </w:rPr>
        <w:t> </w:t>
      </w:r>
      <w:r>
        <w:rPr>
          <w:sz w:val="22"/>
        </w:rPr>
        <w:t>on</w:t>
      </w:r>
      <w:r>
        <w:rPr>
          <w:spacing w:val="40"/>
          <w:sz w:val="22"/>
        </w:rPr>
        <w:t> </w:t>
      </w:r>
      <w:r>
        <w:rPr>
          <w:sz w:val="22"/>
        </w:rPr>
        <w:t>glandular</w:t>
      </w:r>
      <w:r>
        <w:rPr>
          <w:spacing w:val="40"/>
          <w:sz w:val="22"/>
        </w:rPr>
        <w:t> </w:t>
      </w:r>
      <w:r>
        <w:rPr>
          <w:sz w:val="22"/>
        </w:rPr>
        <w:t>and</w:t>
      </w:r>
      <w:r>
        <w:rPr>
          <w:spacing w:val="40"/>
          <w:sz w:val="22"/>
        </w:rPr>
        <w:t> </w:t>
      </w:r>
      <w:r>
        <w:rPr>
          <w:sz w:val="22"/>
        </w:rPr>
        <w:t>stromal</w:t>
      </w:r>
      <w:r>
        <w:rPr>
          <w:spacing w:val="40"/>
          <w:sz w:val="22"/>
        </w:rPr>
        <w:t> </w:t>
      </w:r>
      <w:r>
        <w:rPr>
          <w:sz w:val="22"/>
        </w:rPr>
        <w:t>progesterone</w:t>
      </w:r>
      <w:r>
        <w:rPr>
          <w:spacing w:val="40"/>
          <w:sz w:val="22"/>
        </w:rPr>
        <w:t> </w:t>
      </w:r>
      <w:r>
        <w:rPr>
          <w:sz w:val="22"/>
        </w:rPr>
        <w:t>receptors</w:t>
      </w:r>
      <w:r>
        <w:rPr>
          <w:spacing w:val="40"/>
          <w:sz w:val="22"/>
        </w:rPr>
        <w:t> </w:t>
      </w:r>
      <w:r>
        <w:rPr>
          <w:sz w:val="22"/>
        </w:rPr>
        <w:t>(PRA</w:t>
      </w:r>
      <w:r>
        <w:rPr>
          <w:spacing w:val="40"/>
          <w:sz w:val="22"/>
        </w:rPr>
        <w:t> </w:t>
      </w:r>
      <w:r>
        <w:rPr>
          <w:sz w:val="22"/>
        </w:rPr>
        <w:t>and PRB), and estrogen receptors (ER-alpha and ER-beta) in human endometrial hyperplasia. </w:t>
      </w:r>
      <w:r>
        <w:rPr>
          <w:i/>
          <w:sz w:val="22"/>
        </w:rPr>
        <w:t>Gynecol Oncol</w:t>
      </w:r>
      <w:r>
        <w:rPr>
          <w:sz w:val="22"/>
        </w:rPr>
        <w:t>. 2006;101:214.</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Wildemeersch D, Pylyser K, De Wever N, Dhont M. Treatment of non-atypical and atypical endometrial hyperplasia with a levonorgestrel-releasing intrauterine system: long-term </w:t>
      </w:r>
      <w:r>
        <w:rPr>
          <w:sz w:val="22"/>
        </w:rPr>
        <w:t>follow-up. </w:t>
      </w:r>
      <w:r>
        <w:rPr>
          <w:i/>
          <w:sz w:val="22"/>
        </w:rPr>
        <w:t>Maturitas</w:t>
      </w:r>
      <w:r>
        <w:rPr>
          <w:sz w:val="22"/>
        </w:rPr>
        <w:t>. 2007;57:210.</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Wheeler DT, Bristow RE, Kurman RJ. Histologic alterations in endometrial hyperplasia </w:t>
      </w:r>
      <w:r>
        <w:rPr>
          <w:sz w:val="22"/>
        </w:rPr>
        <w:t>and well-differentiated carcinoma treated with progestins. </w:t>
      </w:r>
      <w:r>
        <w:rPr>
          <w:i/>
          <w:sz w:val="22"/>
        </w:rPr>
        <w:t>Am J Surg Pathol</w:t>
      </w:r>
      <w:r>
        <w:rPr>
          <w:sz w:val="22"/>
        </w:rPr>
        <w:t>. 2007;31:988.</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Varma</w:t>
      </w:r>
      <w:r>
        <w:rPr>
          <w:spacing w:val="40"/>
          <w:sz w:val="22"/>
        </w:rPr>
        <w:t> </w:t>
      </w:r>
      <w:r>
        <w:rPr>
          <w:sz w:val="22"/>
        </w:rPr>
        <w:t>R,</w:t>
      </w:r>
      <w:r>
        <w:rPr>
          <w:spacing w:val="40"/>
          <w:sz w:val="22"/>
        </w:rPr>
        <w:t> </w:t>
      </w:r>
      <w:r>
        <w:rPr>
          <w:sz w:val="22"/>
        </w:rPr>
        <w:t>Soneja</w:t>
      </w:r>
      <w:r>
        <w:rPr>
          <w:spacing w:val="40"/>
          <w:sz w:val="22"/>
        </w:rPr>
        <w:t> </w:t>
      </w:r>
      <w:r>
        <w:rPr>
          <w:sz w:val="22"/>
        </w:rPr>
        <w:t>H,</w:t>
      </w:r>
      <w:r>
        <w:rPr>
          <w:spacing w:val="40"/>
          <w:sz w:val="22"/>
        </w:rPr>
        <w:t> </w:t>
      </w:r>
      <w:r>
        <w:rPr>
          <w:sz w:val="22"/>
        </w:rPr>
        <w:t>Bhatia</w:t>
      </w:r>
      <w:r>
        <w:rPr>
          <w:spacing w:val="40"/>
          <w:sz w:val="22"/>
        </w:rPr>
        <w:t> </w:t>
      </w:r>
      <w:r>
        <w:rPr>
          <w:sz w:val="22"/>
        </w:rPr>
        <w:t>K,</w:t>
      </w:r>
      <w:r>
        <w:rPr>
          <w:spacing w:val="40"/>
          <w:sz w:val="22"/>
        </w:rPr>
        <w:t> </w:t>
      </w:r>
      <w:r>
        <w:rPr>
          <w:sz w:val="22"/>
        </w:rPr>
        <w:t>et</w:t>
      </w:r>
      <w:r>
        <w:rPr>
          <w:spacing w:val="40"/>
          <w:sz w:val="22"/>
        </w:rPr>
        <w:t> </w:t>
      </w:r>
      <w:r>
        <w:rPr>
          <w:sz w:val="22"/>
        </w:rPr>
        <w:t>al.</w:t>
      </w:r>
      <w:r>
        <w:rPr>
          <w:spacing w:val="40"/>
          <w:sz w:val="22"/>
        </w:rPr>
        <w:t> </w:t>
      </w:r>
      <w:r>
        <w:rPr>
          <w:sz w:val="22"/>
        </w:rPr>
        <w:t>The</w:t>
      </w:r>
      <w:r>
        <w:rPr>
          <w:spacing w:val="40"/>
          <w:sz w:val="22"/>
        </w:rPr>
        <w:t> </w:t>
      </w:r>
      <w:r>
        <w:rPr>
          <w:sz w:val="22"/>
        </w:rPr>
        <w:t>effectiveness</w:t>
      </w:r>
      <w:r>
        <w:rPr>
          <w:spacing w:val="40"/>
          <w:sz w:val="22"/>
        </w:rPr>
        <w:t> </w:t>
      </w:r>
      <w:r>
        <w:rPr>
          <w:sz w:val="22"/>
        </w:rPr>
        <w:t>of</w:t>
      </w:r>
      <w:r>
        <w:rPr>
          <w:spacing w:val="40"/>
          <w:sz w:val="22"/>
        </w:rPr>
        <w:t> </w:t>
      </w:r>
      <w:r>
        <w:rPr>
          <w:sz w:val="22"/>
        </w:rPr>
        <w:t>a</w:t>
      </w:r>
      <w:r>
        <w:rPr>
          <w:spacing w:val="40"/>
          <w:sz w:val="22"/>
        </w:rPr>
        <w:t> </w:t>
      </w:r>
      <w:r>
        <w:rPr>
          <w:sz w:val="22"/>
        </w:rPr>
        <w:t>levonorgestrel-releasing intrauterine system (LNG-IUS) in the treatment of endometrial hyperplasia—a long-term</w:t>
      </w:r>
      <w:r>
        <w:rPr>
          <w:spacing w:val="40"/>
          <w:sz w:val="22"/>
        </w:rPr>
        <w:t> </w:t>
      </w:r>
      <w:r>
        <w:rPr>
          <w:sz w:val="22"/>
        </w:rPr>
        <w:t>follow-up study. </w:t>
      </w:r>
      <w:r>
        <w:rPr>
          <w:i/>
          <w:sz w:val="22"/>
        </w:rPr>
        <w:t>Eur J Obstet Gynecol Reprod Biol</w:t>
      </w:r>
      <w:r>
        <w:rPr>
          <w:sz w:val="22"/>
        </w:rPr>
        <w:t>. 2008;139:169.</w:t>
      </w:r>
    </w:p>
    <w:p>
      <w:pPr>
        <w:pStyle w:val="ListParagraph"/>
        <w:numPr>
          <w:ilvl w:val="0"/>
          <w:numId w:val="9"/>
        </w:numPr>
        <w:tabs>
          <w:tab w:pos="699" w:val="left" w:leader="none"/>
          <w:tab w:pos="718" w:val="left" w:leader="none"/>
        </w:tabs>
        <w:spacing w:line="256" w:lineRule="auto" w:before="0" w:after="0"/>
        <w:ind w:left="718" w:right="97" w:hanging="507"/>
        <w:jc w:val="both"/>
        <w:rPr>
          <w:sz w:val="22"/>
        </w:rPr>
      </w:pPr>
      <w:r>
        <w:rPr>
          <w:sz w:val="22"/>
        </w:rPr>
        <w:t>Haimovich S, Checa MA, Mancebo G, Fusté P, Carreras R. Treatment of endometrial hyperplasia without atypia in peri- and postmenopausal women with a levonorgestrel</w:t>
      </w:r>
      <w:r>
        <w:rPr>
          <w:spacing w:val="40"/>
          <w:sz w:val="22"/>
        </w:rPr>
        <w:t> </w:t>
      </w:r>
      <w:r>
        <w:rPr>
          <w:sz w:val="22"/>
        </w:rPr>
        <w:t>intrauterine device. </w:t>
      </w:r>
      <w:r>
        <w:rPr>
          <w:i/>
          <w:sz w:val="22"/>
        </w:rPr>
        <w:t>Menopause</w:t>
      </w:r>
      <w:r>
        <w:rPr>
          <w:sz w:val="22"/>
        </w:rPr>
        <w:t>. 2008;15:1002.</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Ørbo A, Arnes M, Hancke C, Vereide AB, Pettersen I, Larsen K. Treatment results of endometrial hyperplasia after prospective </w:t>
      </w:r>
      <w:r>
        <w:rPr>
          <w:i/>
          <w:sz w:val="22"/>
        </w:rPr>
        <w:t>D</w:t>
      </w:r>
      <w:r>
        <w:rPr>
          <w:sz w:val="22"/>
        </w:rPr>
        <w:t>-score classification: a follow-up study </w:t>
      </w:r>
      <w:r>
        <w:rPr>
          <w:sz w:val="22"/>
        </w:rPr>
        <w:t>comparing effect of LNG-IUD and oral progestins versus observation only. </w:t>
      </w:r>
      <w:r>
        <w:rPr>
          <w:i/>
          <w:sz w:val="22"/>
        </w:rPr>
        <w:t>Gynecol Oncol</w:t>
      </w:r>
      <w:r>
        <w:rPr>
          <w:sz w:val="22"/>
        </w:rPr>
        <w:t>. 2008;111:68.</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Vereide AB, Arnes M, Straume B, Maltau JM, Ørbo A. Nuclear morphometric changes and therapy monitoring in patients with endometrial hyperplasia: a study comparing effects </w:t>
      </w:r>
      <w:r>
        <w:rPr>
          <w:sz w:val="22"/>
        </w:rPr>
        <w:t>of intrauterine levonorgestrel and systemic medroxyprogesterone. </w:t>
      </w:r>
      <w:r>
        <w:rPr>
          <w:i/>
          <w:sz w:val="22"/>
        </w:rPr>
        <w:t>Gynecol Oncol</w:t>
      </w:r>
      <w:r>
        <w:rPr>
          <w:sz w:val="22"/>
        </w:rPr>
        <w:t>. 2003;91:526.</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Gallos ID, Krishan P, Shehmar M, Ganesan R, Gupta JK. LNG-IUS versus oral </w:t>
      </w:r>
      <w:r>
        <w:rPr>
          <w:sz w:val="22"/>
        </w:rPr>
        <w:t>progestogen treatment for endometrial hyperplasia: a long-term comparative cohort study. </w:t>
      </w:r>
      <w:r>
        <w:rPr>
          <w:i/>
          <w:sz w:val="22"/>
        </w:rPr>
        <w:t>Hum Reprod</w:t>
      </w:r>
      <w:r>
        <w:rPr>
          <w:sz w:val="22"/>
        </w:rPr>
        <w:t>. </w:t>
      </w:r>
      <w:r>
        <w:rPr>
          <w:spacing w:val="-2"/>
          <w:sz w:val="22"/>
        </w:rPr>
        <w:t>2013;28(11):2966.</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Inki P, Hurskainen R, Palo P, et al. Comparison of ovarian cyst formation in women using the levonorgestrel-releasing intrauterine system vs. hysterectomy. </w:t>
      </w:r>
      <w:r>
        <w:rPr>
          <w:i/>
          <w:sz w:val="22"/>
        </w:rPr>
        <w:t>Ultrasound Obstet Gynecol</w:t>
      </w:r>
      <w:r>
        <w:rPr>
          <w:sz w:val="22"/>
        </w:rPr>
        <w:t>. </w:t>
      </w:r>
      <w:r>
        <w:rPr>
          <w:spacing w:val="-2"/>
          <w:sz w:val="22"/>
        </w:rPr>
        <w:t>2002;20:381.</w:t>
      </w:r>
    </w:p>
    <w:p>
      <w:pPr>
        <w:pStyle w:val="ListParagraph"/>
        <w:numPr>
          <w:ilvl w:val="0"/>
          <w:numId w:val="9"/>
        </w:numPr>
        <w:tabs>
          <w:tab w:pos="710" w:val="left" w:leader="none"/>
        </w:tabs>
        <w:spacing w:line="251" w:lineRule="exact" w:before="0" w:after="0"/>
        <w:ind w:left="710" w:right="0" w:hanging="498"/>
        <w:jc w:val="both"/>
        <w:rPr>
          <w:sz w:val="22"/>
        </w:rPr>
      </w:pPr>
      <w:r>
        <w:rPr>
          <w:sz w:val="22"/>
        </w:rPr>
        <w:t>Kronnenberg</w:t>
      </w:r>
      <w:r>
        <w:rPr>
          <w:spacing w:val="21"/>
          <w:sz w:val="22"/>
        </w:rPr>
        <w:t> </w:t>
      </w:r>
      <w:r>
        <w:rPr>
          <w:sz w:val="22"/>
        </w:rPr>
        <w:t>F,</w:t>
      </w:r>
      <w:r>
        <w:rPr>
          <w:spacing w:val="22"/>
          <w:sz w:val="22"/>
        </w:rPr>
        <w:t> </w:t>
      </w:r>
      <w:r>
        <w:rPr>
          <w:sz w:val="22"/>
        </w:rPr>
        <w:t>Barnard</w:t>
      </w:r>
      <w:r>
        <w:rPr>
          <w:spacing w:val="21"/>
          <w:sz w:val="22"/>
        </w:rPr>
        <w:t> </w:t>
      </w:r>
      <w:r>
        <w:rPr>
          <w:sz w:val="22"/>
        </w:rPr>
        <w:t>RM.</w:t>
      </w:r>
      <w:r>
        <w:rPr>
          <w:spacing w:val="22"/>
          <w:sz w:val="22"/>
        </w:rPr>
        <w:t> </w:t>
      </w:r>
      <w:r>
        <w:rPr>
          <w:sz w:val="22"/>
        </w:rPr>
        <w:t>Modulation</w:t>
      </w:r>
      <w:r>
        <w:rPr>
          <w:spacing w:val="23"/>
          <w:sz w:val="22"/>
        </w:rPr>
        <w:t> </w:t>
      </w:r>
      <w:r>
        <w:rPr>
          <w:sz w:val="22"/>
        </w:rPr>
        <w:t>of</w:t>
      </w:r>
      <w:r>
        <w:rPr>
          <w:spacing w:val="24"/>
          <w:sz w:val="22"/>
        </w:rPr>
        <w:t> </w:t>
      </w:r>
      <w:r>
        <w:rPr>
          <w:sz w:val="22"/>
        </w:rPr>
        <w:t>menopausal</w:t>
      </w:r>
      <w:r>
        <w:rPr>
          <w:spacing w:val="24"/>
          <w:sz w:val="22"/>
        </w:rPr>
        <w:t> </w:t>
      </w:r>
      <w:r>
        <w:rPr>
          <w:sz w:val="22"/>
        </w:rPr>
        <w:t>hot</w:t>
      </w:r>
      <w:r>
        <w:rPr>
          <w:spacing w:val="24"/>
          <w:sz w:val="22"/>
        </w:rPr>
        <w:t> </w:t>
      </w:r>
      <w:r>
        <w:rPr>
          <w:sz w:val="22"/>
        </w:rPr>
        <w:t>flashes</w:t>
      </w:r>
      <w:r>
        <w:rPr>
          <w:spacing w:val="23"/>
          <w:sz w:val="22"/>
        </w:rPr>
        <w:t> </w:t>
      </w:r>
      <w:r>
        <w:rPr>
          <w:sz w:val="22"/>
        </w:rPr>
        <w:t>by</w:t>
      </w:r>
      <w:r>
        <w:rPr>
          <w:spacing w:val="24"/>
          <w:sz w:val="22"/>
        </w:rPr>
        <w:t> </w:t>
      </w:r>
      <w:r>
        <w:rPr>
          <w:sz w:val="22"/>
        </w:rPr>
        <w:t>ambient</w:t>
      </w:r>
      <w:r>
        <w:rPr>
          <w:spacing w:val="24"/>
          <w:sz w:val="22"/>
        </w:rPr>
        <w:t> </w:t>
      </w:r>
      <w:r>
        <w:rPr>
          <w:spacing w:val="-2"/>
          <w:sz w:val="22"/>
        </w:rPr>
        <w:t>temperature.</w:t>
      </w:r>
    </w:p>
    <w:p>
      <w:pPr>
        <w:spacing w:before="0"/>
        <w:ind w:left="718" w:right="0" w:firstLine="0"/>
        <w:jc w:val="both"/>
        <w:rPr>
          <w:sz w:val="22"/>
        </w:rPr>
      </w:pPr>
      <w:r>
        <w:rPr>
          <w:i/>
          <w:sz w:val="22"/>
        </w:rPr>
        <w:t>J</w:t>
      </w:r>
      <w:r>
        <w:rPr>
          <w:i/>
          <w:spacing w:val="7"/>
          <w:sz w:val="22"/>
        </w:rPr>
        <w:t> </w:t>
      </w:r>
      <w:r>
        <w:rPr>
          <w:i/>
          <w:sz w:val="22"/>
        </w:rPr>
        <w:t>Therm</w:t>
      </w:r>
      <w:r>
        <w:rPr>
          <w:i/>
          <w:spacing w:val="8"/>
          <w:sz w:val="22"/>
        </w:rPr>
        <w:t> </w:t>
      </w:r>
      <w:r>
        <w:rPr>
          <w:i/>
          <w:sz w:val="22"/>
        </w:rPr>
        <w:t>Biol</w:t>
      </w:r>
      <w:r>
        <w:rPr>
          <w:sz w:val="22"/>
        </w:rPr>
        <w:t>.</w:t>
      </w:r>
      <w:r>
        <w:rPr>
          <w:spacing w:val="8"/>
          <w:sz w:val="22"/>
        </w:rPr>
        <w:t> </w:t>
      </w:r>
      <w:r>
        <w:rPr>
          <w:spacing w:val="-2"/>
          <w:sz w:val="22"/>
        </w:rPr>
        <w:t>1992;17:43.</w:t>
      </w:r>
    </w:p>
    <w:p>
      <w:pPr>
        <w:spacing w:after="0"/>
        <w:jc w:val="both"/>
        <w:rPr>
          <w:sz w:val="22"/>
        </w:rPr>
        <w:sectPr>
          <w:pgSz w:w="12240" w:h="15840"/>
          <w:pgMar w:top="1360" w:bottom="280" w:left="1440" w:right="1440"/>
        </w:sectPr>
      </w:pPr>
    </w:p>
    <w:p>
      <w:pPr>
        <w:pStyle w:val="ListParagraph"/>
        <w:numPr>
          <w:ilvl w:val="0"/>
          <w:numId w:val="9"/>
        </w:numPr>
        <w:tabs>
          <w:tab w:pos="710" w:val="left" w:leader="none"/>
        </w:tabs>
        <w:spacing w:line="240" w:lineRule="auto" w:before="84" w:after="0"/>
        <w:ind w:left="710" w:right="0" w:hanging="498"/>
        <w:jc w:val="both"/>
        <w:rPr>
          <w:sz w:val="22"/>
        </w:rPr>
      </w:pPr>
      <w:r>
        <w:rPr>
          <w:sz w:val="22"/>
        </w:rPr>
        <w:t>Hunter</w:t>
      </w:r>
      <w:r>
        <w:rPr>
          <w:spacing w:val="18"/>
          <w:sz w:val="22"/>
        </w:rPr>
        <w:t> </w:t>
      </w:r>
      <w:r>
        <w:rPr>
          <w:sz w:val="22"/>
        </w:rPr>
        <w:t>M.</w:t>
      </w:r>
      <w:r>
        <w:rPr>
          <w:spacing w:val="18"/>
          <w:sz w:val="22"/>
        </w:rPr>
        <w:t> </w:t>
      </w:r>
      <w:r>
        <w:rPr>
          <w:sz w:val="22"/>
        </w:rPr>
        <w:t>The</w:t>
      </w:r>
      <w:r>
        <w:rPr>
          <w:spacing w:val="27"/>
          <w:sz w:val="22"/>
        </w:rPr>
        <w:t> </w:t>
      </w:r>
      <w:r>
        <w:rPr>
          <w:sz w:val="22"/>
        </w:rPr>
        <w:t>South-East</w:t>
      </w:r>
      <w:r>
        <w:rPr>
          <w:spacing w:val="28"/>
          <w:sz w:val="22"/>
        </w:rPr>
        <w:t> </w:t>
      </w:r>
      <w:r>
        <w:rPr>
          <w:sz w:val="22"/>
        </w:rPr>
        <w:t>England</w:t>
      </w:r>
      <w:r>
        <w:rPr>
          <w:spacing w:val="27"/>
          <w:sz w:val="22"/>
        </w:rPr>
        <w:t> </w:t>
      </w:r>
      <w:r>
        <w:rPr>
          <w:sz w:val="22"/>
        </w:rPr>
        <w:t>longitudinal</w:t>
      </w:r>
      <w:r>
        <w:rPr>
          <w:spacing w:val="28"/>
          <w:sz w:val="22"/>
        </w:rPr>
        <w:t> </w:t>
      </w:r>
      <w:r>
        <w:rPr>
          <w:sz w:val="22"/>
        </w:rPr>
        <w:t>study</w:t>
      </w:r>
      <w:r>
        <w:rPr>
          <w:spacing w:val="27"/>
          <w:sz w:val="22"/>
        </w:rPr>
        <w:t> </w:t>
      </w:r>
      <w:r>
        <w:rPr>
          <w:sz w:val="22"/>
        </w:rPr>
        <w:t>of</w:t>
      </w:r>
      <w:r>
        <w:rPr>
          <w:spacing w:val="28"/>
          <w:sz w:val="22"/>
        </w:rPr>
        <w:t> </w:t>
      </w:r>
      <w:r>
        <w:rPr>
          <w:sz w:val="22"/>
        </w:rPr>
        <w:t>the</w:t>
      </w:r>
      <w:r>
        <w:rPr>
          <w:spacing w:val="27"/>
          <w:sz w:val="22"/>
        </w:rPr>
        <w:t> </w:t>
      </w:r>
      <w:r>
        <w:rPr>
          <w:sz w:val="22"/>
        </w:rPr>
        <w:t>climacteric</w:t>
      </w:r>
      <w:r>
        <w:rPr>
          <w:spacing w:val="28"/>
          <w:sz w:val="22"/>
        </w:rPr>
        <w:t> </w:t>
      </w:r>
      <w:r>
        <w:rPr>
          <w:sz w:val="22"/>
        </w:rPr>
        <w:t>and</w:t>
      </w:r>
      <w:r>
        <w:rPr>
          <w:spacing w:val="27"/>
          <w:sz w:val="22"/>
        </w:rPr>
        <w:t> </w:t>
      </w:r>
      <w:r>
        <w:rPr>
          <w:spacing w:val="-2"/>
          <w:sz w:val="22"/>
        </w:rPr>
        <w:t>postmenopause.</w:t>
      </w:r>
    </w:p>
    <w:p>
      <w:pPr>
        <w:spacing w:before="17"/>
        <w:ind w:left="718" w:right="0" w:firstLine="0"/>
        <w:jc w:val="both"/>
        <w:rPr>
          <w:sz w:val="22"/>
        </w:rPr>
      </w:pPr>
      <w:r>
        <w:rPr>
          <w:i/>
          <w:sz w:val="22"/>
        </w:rPr>
        <w:t>Maturitas</w:t>
      </w:r>
      <w:r>
        <w:rPr>
          <w:sz w:val="22"/>
        </w:rPr>
        <w:t>.</w:t>
      </w:r>
      <w:r>
        <w:rPr>
          <w:spacing w:val="19"/>
          <w:sz w:val="22"/>
        </w:rPr>
        <w:t> </w:t>
      </w:r>
      <w:r>
        <w:rPr>
          <w:spacing w:val="-2"/>
          <w:sz w:val="22"/>
        </w:rPr>
        <w:t>1992;14:17.</w:t>
      </w:r>
    </w:p>
    <w:p>
      <w:pPr>
        <w:pStyle w:val="ListParagraph"/>
        <w:numPr>
          <w:ilvl w:val="0"/>
          <w:numId w:val="9"/>
        </w:numPr>
        <w:tabs>
          <w:tab w:pos="709" w:val="left" w:leader="none"/>
          <w:tab w:pos="718" w:val="left" w:leader="none"/>
        </w:tabs>
        <w:spacing w:line="256" w:lineRule="auto" w:before="17" w:after="0"/>
        <w:ind w:left="718" w:right="107" w:hanging="507"/>
        <w:jc w:val="both"/>
        <w:rPr>
          <w:sz w:val="22"/>
        </w:rPr>
      </w:pPr>
      <w:r>
        <w:rPr>
          <w:sz w:val="22"/>
        </w:rPr>
        <w:t>Oldenhave A, Jaszmann LJB, Haspels AA, Everaerd WTAM. Impact of climacteric on </w:t>
      </w:r>
      <w:r>
        <w:rPr>
          <w:sz w:val="22"/>
        </w:rPr>
        <w:t>well-being. </w:t>
      </w:r>
      <w:r>
        <w:rPr>
          <w:i/>
          <w:sz w:val="22"/>
        </w:rPr>
        <w:t>Am J Obstet Gynecol</w:t>
      </w:r>
      <w:r>
        <w:rPr>
          <w:sz w:val="22"/>
        </w:rPr>
        <w:t>. 1993;168:772.</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Hahn PM, Wong J, Reid RL. Menopausal-like hot flashes reported in women of reproductive age. </w:t>
      </w:r>
      <w:r>
        <w:rPr>
          <w:i/>
          <w:sz w:val="22"/>
        </w:rPr>
        <w:t>Fertil Steril</w:t>
      </w:r>
      <w:r>
        <w:rPr>
          <w:sz w:val="22"/>
        </w:rPr>
        <w:t>. 1998;70:913.</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Guthrie</w:t>
      </w:r>
      <w:r>
        <w:rPr>
          <w:spacing w:val="40"/>
          <w:sz w:val="22"/>
        </w:rPr>
        <w:t> </w:t>
      </w:r>
      <w:r>
        <w:rPr>
          <w:sz w:val="22"/>
        </w:rPr>
        <w:t>JR,</w:t>
      </w:r>
      <w:r>
        <w:rPr>
          <w:spacing w:val="40"/>
          <w:sz w:val="22"/>
        </w:rPr>
        <w:t> </w:t>
      </w:r>
      <w:r>
        <w:rPr>
          <w:sz w:val="22"/>
        </w:rPr>
        <w:t>Dennerstein</w:t>
      </w:r>
      <w:r>
        <w:rPr>
          <w:spacing w:val="40"/>
          <w:sz w:val="22"/>
        </w:rPr>
        <w:t> </w:t>
      </w:r>
      <w:r>
        <w:rPr>
          <w:sz w:val="22"/>
        </w:rPr>
        <w:t>L,</w:t>
      </w:r>
      <w:r>
        <w:rPr>
          <w:spacing w:val="40"/>
          <w:sz w:val="22"/>
        </w:rPr>
        <w:t> </w:t>
      </w:r>
      <w:r>
        <w:rPr>
          <w:sz w:val="22"/>
        </w:rPr>
        <w:t>Hopper</w:t>
      </w:r>
      <w:r>
        <w:rPr>
          <w:spacing w:val="40"/>
          <w:sz w:val="22"/>
        </w:rPr>
        <w:t> </w:t>
      </w:r>
      <w:r>
        <w:rPr>
          <w:sz w:val="22"/>
        </w:rPr>
        <w:t>JL,</w:t>
      </w:r>
      <w:r>
        <w:rPr>
          <w:spacing w:val="40"/>
          <w:sz w:val="22"/>
        </w:rPr>
        <w:t> </w:t>
      </w:r>
      <w:r>
        <w:rPr>
          <w:sz w:val="22"/>
        </w:rPr>
        <w:t>Burger</w:t>
      </w:r>
      <w:r>
        <w:rPr>
          <w:spacing w:val="40"/>
          <w:sz w:val="22"/>
        </w:rPr>
        <w:t> </w:t>
      </w:r>
      <w:r>
        <w:rPr>
          <w:sz w:val="22"/>
        </w:rPr>
        <w:t>HG.</w:t>
      </w:r>
      <w:r>
        <w:rPr>
          <w:spacing w:val="40"/>
          <w:sz w:val="22"/>
        </w:rPr>
        <w:t> </w:t>
      </w:r>
      <w:r>
        <w:rPr>
          <w:sz w:val="22"/>
        </w:rPr>
        <w:t>Hot</w:t>
      </w:r>
      <w:r>
        <w:rPr>
          <w:spacing w:val="40"/>
          <w:sz w:val="22"/>
        </w:rPr>
        <w:t> </w:t>
      </w:r>
      <w:r>
        <w:rPr>
          <w:sz w:val="22"/>
        </w:rPr>
        <w:t>flushes,</w:t>
      </w:r>
      <w:r>
        <w:rPr>
          <w:spacing w:val="40"/>
          <w:sz w:val="22"/>
        </w:rPr>
        <w:t> </w:t>
      </w:r>
      <w:r>
        <w:rPr>
          <w:sz w:val="22"/>
        </w:rPr>
        <w:t>menstrual</w:t>
      </w:r>
      <w:r>
        <w:rPr>
          <w:spacing w:val="40"/>
          <w:sz w:val="22"/>
        </w:rPr>
        <w:t> </w:t>
      </w:r>
      <w:r>
        <w:rPr>
          <w:sz w:val="22"/>
        </w:rPr>
        <w:t>status,</w:t>
      </w:r>
      <w:r>
        <w:rPr>
          <w:spacing w:val="40"/>
          <w:sz w:val="22"/>
        </w:rPr>
        <w:t> </w:t>
      </w:r>
      <w:r>
        <w:rPr>
          <w:sz w:val="22"/>
        </w:rPr>
        <w:t>and hormone</w:t>
      </w:r>
      <w:r>
        <w:rPr>
          <w:spacing w:val="40"/>
          <w:sz w:val="22"/>
        </w:rPr>
        <w:t> </w:t>
      </w:r>
      <w:r>
        <w:rPr>
          <w:sz w:val="22"/>
        </w:rPr>
        <w:t>levels</w:t>
      </w:r>
      <w:r>
        <w:rPr>
          <w:spacing w:val="40"/>
          <w:sz w:val="22"/>
        </w:rPr>
        <w:t> </w:t>
      </w:r>
      <w:r>
        <w:rPr>
          <w:sz w:val="22"/>
        </w:rPr>
        <w:t>in</w:t>
      </w:r>
      <w:r>
        <w:rPr>
          <w:spacing w:val="40"/>
          <w:sz w:val="22"/>
        </w:rPr>
        <w:t> </w:t>
      </w:r>
      <w:r>
        <w:rPr>
          <w:sz w:val="22"/>
        </w:rPr>
        <w:t>a</w:t>
      </w:r>
      <w:r>
        <w:rPr>
          <w:spacing w:val="40"/>
          <w:sz w:val="22"/>
        </w:rPr>
        <w:t> </w:t>
      </w:r>
      <w:r>
        <w:rPr>
          <w:sz w:val="22"/>
        </w:rPr>
        <w:t>population-based</w:t>
      </w:r>
      <w:r>
        <w:rPr>
          <w:spacing w:val="40"/>
          <w:sz w:val="22"/>
        </w:rPr>
        <w:t> </w:t>
      </w:r>
      <w:r>
        <w:rPr>
          <w:sz w:val="22"/>
        </w:rPr>
        <w:t>sample</w:t>
      </w:r>
      <w:r>
        <w:rPr>
          <w:spacing w:val="40"/>
          <w:sz w:val="22"/>
        </w:rPr>
        <w:t> </w:t>
      </w:r>
      <w:r>
        <w:rPr>
          <w:sz w:val="22"/>
        </w:rPr>
        <w:t>of</w:t>
      </w:r>
      <w:r>
        <w:rPr>
          <w:spacing w:val="40"/>
          <w:sz w:val="22"/>
        </w:rPr>
        <w:t> </w:t>
      </w:r>
      <w:r>
        <w:rPr>
          <w:sz w:val="22"/>
        </w:rPr>
        <w:t>midlife</w:t>
      </w:r>
      <w:r>
        <w:rPr>
          <w:spacing w:val="40"/>
          <w:sz w:val="22"/>
        </w:rPr>
        <w:t> </w:t>
      </w:r>
      <w:r>
        <w:rPr>
          <w:sz w:val="22"/>
        </w:rPr>
        <w:t>women.</w:t>
      </w:r>
      <w:r>
        <w:rPr>
          <w:spacing w:val="40"/>
          <w:sz w:val="22"/>
        </w:rPr>
        <w:t> </w:t>
      </w:r>
      <w:r>
        <w:rPr>
          <w:i/>
          <w:sz w:val="22"/>
        </w:rPr>
        <w:t>Obstet</w:t>
      </w:r>
      <w:r>
        <w:rPr>
          <w:i/>
          <w:spacing w:val="40"/>
          <w:sz w:val="22"/>
        </w:rPr>
        <w:t> </w:t>
      </w:r>
      <w:r>
        <w:rPr>
          <w:i/>
          <w:sz w:val="22"/>
        </w:rPr>
        <w:t>Gynecol</w:t>
      </w:r>
      <w:r>
        <w:rPr>
          <w:sz w:val="22"/>
        </w:rPr>
        <w:t>. </w:t>
      </w:r>
      <w:r>
        <w:rPr>
          <w:spacing w:val="-2"/>
          <w:sz w:val="22"/>
        </w:rPr>
        <w:t>1996;88:437.</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Williams RE, Kalilani L, DiBenedetti DB, et al. Frequency and severity of vasomotor</w:t>
      </w:r>
      <w:r>
        <w:rPr>
          <w:spacing w:val="80"/>
          <w:sz w:val="22"/>
        </w:rPr>
        <w:t> </w:t>
      </w:r>
      <w:r>
        <w:rPr>
          <w:sz w:val="22"/>
        </w:rPr>
        <w:t>symptoms among peri- and postmenopausal women in the United States. </w:t>
      </w:r>
      <w:r>
        <w:rPr>
          <w:i/>
          <w:sz w:val="22"/>
        </w:rPr>
        <w:t>Climacteric</w:t>
      </w:r>
      <w:r>
        <w:rPr>
          <w:sz w:val="22"/>
        </w:rPr>
        <w:t>. </w:t>
      </w:r>
      <w:r>
        <w:rPr>
          <w:spacing w:val="-2"/>
          <w:sz w:val="22"/>
        </w:rPr>
        <w:t>2008;11:32.</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Rödström K, Bengtsson C, Lissner L, Milsom I, Sundh V, Bjorkelund C. A longitudinal study</w:t>
      </w:r>
      <w:r>
        <w:rPr>
          <w:spacing w:val="80"/>
          <w:sz w:val="22"/>
        </w:rPr>
        <w:t> </w:t>
      </w:r>
      <w:r>
        <w:rPr>
          <w:sz w:val="22"/>
        </w:rPr>
        <w:t>of the treatment of hot flushes: the population study of women in Gothenburg during a </w:t>
      </w:r>
      <w:r>
        <w:rPr>
          <w:sz w:val="22"/>
        </w:rPr>
        <w:t>quarter</w:t>
      </w:r>
      <w:r>
        <w:rPr>
          <w:spacing w:val="80"/>
          <w:sz w:val="22"/>
        </w:rPr>
        <w:t> </w:t>
      </w:r>
      <w:r>
        <w:rPr>
          <w:sz w:val="22"/>
        </w:rPr>
        <w:t>of a century. </w:t>
      </w:r>
      <w:r>
        <w:rPr>
          <w:i/>
          <w:sz w:val="22"/>
        </w:rPr>
        <w:t>Menopause</w:t>
      </w:r>
      <w:r>
        <w:rPr>
          <w:sz w:val="22"/>
        </w:rPr>
        <w:t>. 2002;9:156.</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Avis</w:t>
      </w:r>
      <w:r>
        <w:rPr>
          <w:spacing w:val="29"/>
          <w:sz w:val="22"/>
        </w:rPr>
        <w:t> </w:t>
      </w:r>
      <w:r>
        <w:rPr>
          <w:sz w:val="22"/>
        </w:rPr>
        <w:t>NE,</w:t>
      </w:r>
      <w:r>
        <w:rPr>
          <w:spacing w:val="29"/>
          <w:sz w:val="22"/>
        </w:rPr>
        <w:t> </w:t>
      </w:r>
      <w:r>
        <w:rPr>
          <w:sz w:val="22"/>
        </w:rPr>
        <w:t>Stellato</w:t>
      </w:r>
      <w:r>
        <w:rPr>
          <w:spacing w:val="29"/>
          <w:sz w:val="22"/>
        </w:rPr>
        <w:t> </w:t>
      </w:r>
      <w:r>
        <w:rPr>
          <w:sz w:val="22"/>
        </w:rPr>
        <w:t>R,</w:t>
      </w:r>
      <w:r>
        <w:rPr>
          <w:spacing w:val="29"/>
          <w:sz w:val="22"/>
        </w:rPr>
        <w:t> </w:t>
      </w:r>
      <w:r>
        <w:rPr>
          <w:sz w:val="22"/>
        </w:rPr>
        <w:t>Crawford</w:t>
      </w:r>
      <w:r>
        <w:rPr>
          <w:spacing w:val="29"/>
          <w:sz w:val="22"/>
        </w:rPr>
        <w:t> </w:t>
      </w:r>
      <w:r>
        <w:rPr>
          <w:sz w:val="22"/>
        </w:rPr>
        <w:t>S,</w:t>
      </w:r>
      <w:r>
        <w:rPr>
          <w:spacing w:val="29"/>
          <w:sz w:val="22"/>
        </w:rPr>
        <w:t> </w:t>
      </w:r>
      <w:r>
        <w:rPr>
          <w:sz w:val="22"/>
        </w:rPr>
        <w:t>et</w:t>
      </w:r>
      <w:r>
        <w:rPr>
          <w:spacing w:val="29"/>
          <w:sz w:val="22"/>
        </w:rPr>
        <w:t> </w:t>
      </w:r>
      <w:r>
        <w:rPr>
          <w:sz w:val="22"/>
        </w:rPr>
        <w:t>al.</w:t>
      </w:r>
      <w:r>
        <w:rPr>
          <w:spacing w:val="29"/>
          <w:sz w:val="22"/>
        </w:rPr>
        <w:t> </w:t>
      </w:r>
      <w:r>
        <w:rPr>
          <w:sz w:val="22"/>
        </w:rPr>
        <w:t>Is</w:t>
      </w:r>
      <w:r>
        <w:rPr>
          <w:spacing w:val="30"/>
          <w:sz w:val="22"/>
        </w:rPr>
        <w:t> </w:t>
      </w:r>
      <w:r>
        <w:rPr>
          <w:sz w:val="22"/>
        </w:rPr>
        <w:t>there</w:t>
      </w:r>
      <w:r>
        <w:rPr>
          <w:spacing w:val="30"/>
          <w:sz w:val="22"/>
        </w:rPr>
        <w:t> </w:t>
      </w:r>
      <w:r>
        <w:rPr>
          <w:sz w:val="22"/>
        </w:rPr>
        <w:t>a</w:t>
      </w:r>
      <w:r>
        <w:rPr>
          <w:spacing w:val="30"/>
          <w:sz w:val="22"/>
        </w:rPr>
        <w:t> </w:t>
      </w:r>
      <w:r>
        <w:rPr>
          <w:sz w:val="22"/>
        </w:rPr>
        <w:t>menopausal</w:t>
      </w:r>
      <w:r>
        <w:rPr>
          <w:spacing w:val="30"/>
          <w:sz w:val="22"/>
        </w:rPr>
        <w:t> </w:t>
      </w:r>
      <w:r>
        <w:rPr>
          <w:sz w:val="22"/>
        </w:rPr>
        <w:t>syndrome?</w:t>
      </w:r>
      <w:r>
        <w:rPr>
          <w:spacing w:val="30"/>
          <w:sz w:val="22"/>
        </w:rPr>
        <w:t> </w:t>
      </w:r>
      <w:r>
        <w:rPr>
          <w:sz w:val="22"/>
        </w:rPr>
        <w:t>Menopausal status and symptoms across racial/ethnic groups. </w:t>
      </w:r>
      <w:r>
        <w:rPr>
          <w:i/>
          <w:sz w:val="22"/>
        </w:rPr>
        <w:t>Soc Sci Med</w:t>
      </w:r>
      <w:r>
        <w:rPr>
          <w:sz w:val="22"/>
        </w:rPr>
        <w:t>. 2001;52:345.</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Schwingl PJ, Hulka BS, Harlow SD. Risk factors for menopausal hot flashes. </w:t>
      </w:r>
      <w:r>
        <w:rPr>
          <w:i/>
          <w:sz w:val="22"/>
        </w:rPr>
        <w:t>Obstet </w:t>
      </w:r>
      <w:r>
        <w:rPr>
          <w:i/>
          <w:sz w:val="22"/>
        </w:rPr>
        <w:t>Gynecol</w:t>
      </w:r>
      <w:r>
        <w:rPr>
          <w:sz w:val="22"/>
        </w:rPr>
        <w:t>. </w:t>
      </w:r>
      <w:r>
        <w:rPr>
          <w:spacing w:val="-2"/>
          <w:sz w:val="22"/>
        </w:rPr>
        <w:t>1994;84:29.</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Pham</w:t>
      </w:r>
      <w:r>
        <w:rPr>
          <w:spacing w:val="40"/>
          <w:sz w:val="22"/>
        </w:rPr>
        <w:t> </w:t>
      </w:r>
      <w:r>
        <w:rPr>
          <w:sz w:val="22"/>
        </w:rPr>
        <w:t>KT,</w:t>
      </w:r>
      <w:r>
        <w:rPr>
          <w:spacing w:val="40"/>
          <w:sz w:val="22"/>
        </w:rPr>
        <w:t> </w:t>
      </w:r>
      <w:r>
        <w:rPr>
          <w:sz w:val="22"/>
        </w:rPr>
        <w:t>Grisso</w:t>
      </w:r>
      <w:r>
        <w:rPr>
          <w:spacing w:val="40"/>
          <w:sz w:val="22"/>
        </w:rPr>
        <w:t> </w:t>
      </w:r>
      <w:r>
        <w:rPr>
          <w:sz w:val="22"/>
        </w:rPr>
        <w:t>JA,</w:t>
      </w:r>
      <w:r>
        <w:rPr>
          <w:spacing w:val="40"/>
          <w:sz w:val="22"/>
        </w:rPr>
        <w:t> </w:t>
      </w:r>
      <w:r>
        <w:rPr>
          <w:sz w:val="22"/>
        </w:rPr>
        <w:t>Freeman</w:t>
      </w:r>
      <w:r>
        <w:rPr>
          <w:spacing w:val="40"/>
          <w:sz w:val="22"/>
        </w:rPr>
        <w:t> </w:t>
      </w:r>
      <w:r>
        <w:rPr>
          <w:sz w:val="22"/>
        </w:rPr>
        <w:t>EW.</w:t>
      </w:r>
      <w:r>
        <w:rPr>
          <w:spacing w:val="40"/>
          <w:sz w:val="22"/>
        </w:rPr>
        <w:t> </w:t>
      </w:r>
      <w:r>
        <w:rPr>
          <w:sz w:val="22"/>
        </w:rPr>
        <w:t>Ovarian</w:t>
      </w:r>
      <w:r>
        <w:rPr>
          <w:spacing w:val="40"/>
          <w:sz w:val="22"/>
        </w:rPr>
        <w:t> </w:t>
      </w:r>
      <w:r>
        <w:rPr>
          <w:sz w:val="22"/>
        </w:rPr>
        <w:t>aging</w:t>
      </w:r>
      <w:r>
        <w:rPr>
          <w:spacing w:val="40"/>
          <w:sz w:val="22"/>
        </w:rPr>
        <w:t> </w:t>
      </w:r>
      <w:r>
        <w:rPr>
          <w:sz w:val="22"/>
        </w:rPr>
        <w:t>and</w:t>
      </w:r>
      <w:r>
        <w:rPr>
          <w:spacing w:val="40"/>
          <w:sz w:val="22"/>
        </w:rPr>
        <w:t> </w:t>
      </w:r>
      <w:r>
        <w:rPr>
          <w:sz w:val="22"/>
        </w:rPr>
        <w:t>hormone</w:t>
      </w:r>
      <w:r>
        <w:rPr>
          <w:spacing w:val="40"/>
          <w:sz w:val="22"/>
        </w:rPr>
        <w:t> </w:t>
      </w:r>
      <w:r>
        <w:rPr>
          <w:sz w:val="22"/>
        </w:rPr>
        <w:t>replacement</w:t>
      </w:r>
      <w:r>
        <w:rPr>
          <w:spacing w:val="40"/>
          <w:sz w:val="22"/>
        </w:rPr>
        <w:t> </w:t>
      </w:r>
      <w:r>
        <w:rPr>
          <w:sz w:val="22"/>
        </w:rPr>
        <w:t>therapy: hormonal</w:t>
      </w:r>
      <w:r>
        <w:rPr>
          <w:spacing w:val="40"/>
          <w:sz w:val="22"/>
        </w:rPr>
        <w:t> </w:t>
      </w:r>
      <w:r>
        <w:rPr>
          <w:sz w:val="22"/>
        </w:rPr>
        <w:t>levels,</w:t>
      </w:r>
      <w:r>
        <w:rPr>
          <w:spacing w:val="40"/>
          <w:sz w:val="22"/>
        </w:rPr>
        <w:t> </w:t>
      </w:r>
      <w:r>
        <w:rPr>
          <w:sz w:val="22"/>
        </w:rPr>
        <w:t>symptoms,</w:t>
      </w:r>
      <w:r>
        <w:rPr>
          <w:spacing w:val="40"/>
          <w:sz w:val="22"/>
        </w:rPr>
        <w:t> </w:t>
      </w:r>
      <w:r>
        <w:rPr>
          <w:sz w:val="22"/>
        </w:rPr>
        <w:t>and</w:t>
      </w:r>
      <w:r>
        <w:rPr>
          <w:spacing w:val="40"/>
          <w:sz w:val="22"/>
        </w:rPr>
        <w:t> </w:t>
      </w:r>
      <w:r>
        <w:rPr>
          <w:sz w:val="22"/>
        </w:rPr>
        <w:t>attitudes</w:t>
      </w:r>
      <w:r>
        <w:rPr>
          <w:spacing w:val="40"/>
          <w:sz w:val="22"/>
        </w:rPr>
        <w:t> </w:t>
      </w:r>
      <w:r>
        <w:rPr>
          <w:sz w:val="22"/>
        </w:rPr>
        <w:t>of</w:t>
      </w:r>
      <w:r>
        <w:rPr>
          <w:spacing w:val="40"/>
          <w:sz w:val="22"/>
        </w:rPr>
        <w:t> </w:t>
      </w:r>
      <w:r>
        <w:rPr>
          <w:sz w:val="22"/>
        </w:rPr>
        <w:t>African-American</w:t>
      </w:r>
      <w:r>
        <w:rPr>
          <w:spacing w:val="40"/>
          <w:sz w:val="22"/>
        </w:rPr>
        <w:t> </w:t>
      </w:r>
      <w:r>
        <w:rPr>
          <w:sz w:val="22"/>
        </w:rPr>
        <w:t>and</w:t>
      </w:r>
      <w:r>
        <w:rPr>
          <w:spacing w:val="40"/>
          <w:sz w:val="22"/>
        </w:rPr>
        <w:t> </w:t>
      </w:r>
      <w:r>
        <w:rPr>
          <w:sz w:val="22"/>
        </w:rPr>
        <w:t>white</w:t>
      </w:r>
      <w:r>
        <w:rPr>
          <w:spacing w:val="40"/>
          <w:sz w:val="22"/>
        </w:rPr>
        <w:t> </w:t>
      </w:r>
      <w:r>
        <w:rPr>
          <w:sz w:val="22"/>
        </w:rPr>
        <w:t>women.</w:t>
      </w:r>
      <w:r>
        <w:rPr>
          <w:spacing w:val="40"/>
          <w:sz w:val="22"/>
        </w:rPr>
        <w:t> </w:t>
      </w:r>
      <w:r>
        <w:rPr>
          <w:i/>
          <w:sz w:val="22"/>
        </w:rPr>
        <w:t>J</w:t>
      </w:r>
      <w:r>
        <w:rPr>
          <w:i/>
          <w:spacing w:val="40"/>
          <w:sz w:val="22"/>
        </w:rPr>
        <w:t> </w:t>
      </w:r>
      <w:r>
        <w:rPr>
          <w:i/>
          <w:sz w:val="22"/>
        </w:rPr>
        <w:t>Gen</w:t>
      </w:r>
      <w:r>
        <w:rPr>
          <w:i/>
          <w:sz w:val="22"/>
        </w:rPr>
        <w:t> Intern Med</w:t>
      </w:r>
      <w:r>
        <w:rPr>
          <w:sz w:val="22"/>
        </w:rPr>
        <w:t>. 1997;12:230.</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Thurston RC, Sowers MR, Chang Y, et al. Adiposity and reporting of vasomotor </w:t>
      </w:r>
      <w:r>
        <w:rPr>
          <w:sz w:val="22"/>
        </w:rPr>
        <w:t>symptoms among midlife women: the Study of Women’s Health Across the Nation. </w:t>
      </w:r>
      <w:r>
        <w:rPr>
          <w:i/>
          <w:sz w:val="22"/>
        </w:rPr>
        <w:t>Am J Epidemiol</w:t>
      </w:r>
      <w:r>
        <w:rPr>
          <w:sz w:val="22"/>
        </w:rPr>
        <w:t>. </w:t>
      </w:r>
      <w:r>
        <w:rPr>
          <w:spacing w:val="-2"/>
          <w:sz w:val="22"/>
        </w:rPr>
        <w:t>2008;167:78.</w:t>
      </w:r>
    </w:p>
    <w:p>
      <w:pPr>
        <w:pStyle w:val="ListParagraph"/>
        <w:numPr>
          <w:ilvl w:val="0"/>
          <w:numId w:val="9"/>
        </w:numPr>
        <w:tabs>
          <w:tab w:pos="710" w:val="left" w:leader="none"/>
        </w:tabs>
        <w:spacing w:line="251" w:lineRule="exact" w:before="0" w:after="0"/>
        <w:ind w:left="710" w:right="0" w:hanging="498"/>
        <w:jc w:val="both"/>
        <w:rPr>
          <w:sz w:val="22"/>
        </w:rPr>
      </w:pPr>
      <w:r>
        <w:rPr>
          <w:sz w:val="22"/>
        </w:rPr>
        <w:t>Kronnenberg</w:t>
      </w:r>
      <w:r>
        <w:rPr>
          <w:spacing w:val="6"/>
          <w:sz w:val="22"/>
        </w:rPr>
        <w:t> </w:t>
      </w:r>
      <w:r>
        <w:rPr>
          <w:sz w:val="22"/>
        </w:rPr>
        <w:t>F.</w:t>
      </w:r>
      <w:r>
        <w:rPr>
          <w:spacing w:val="8"/>
          <w:sz w:val="22"/>
        </w:rPr>
        <w:t> </w:t>
      </w:r>
      <w:r>
        <w:rPr>
          <w:sz w:val="22"/>
        </w:rPr>
        <w:t>Hot</w:t>
      </w:r>
      <w:r>
        <w:rPr>
          <w:spacing w:val="8"/>
          <w:sz w:val="22"/>
        </w:rPr>
        <w:t> </w:t>
      </w:r>
      <w:r>
        <w:rPr>
          <w:sz w:val="22"/>
        </w:rPr>
        <w:t>flashes:</w:t>
      </w:r>
      <w:r>
        <w:rPr>
          <w:spacing w:val="8"/>
          <w:sz w:val="22"/>
        </w:rPr>
        <w:t> </w:t>
      </w:r>
      <w:r>
        <w:rPr>
          <w:sz w:val="22"/>
        </w:rPr>
        <w:t>epidemiology</w:t>
      </w:r>
      <w:r>
        <w:rPr>
          <w:spacing w:val="8"/>
          <w:sz w:val="22"/>
        </w:rPr>
        <w:t> </w:t>
      </w:r>
      <w:r>
        <w:rPr>
          <w:sz w:val="22"/>
        </w:rPr>
        <w:t>and</w:t>
      </w:r>
      <w:r>
        <w:rPr>
          <w:spacing w:val="9"/>
          <w:sz w:val="22"/>
        </w:rPr>
        <w:t> </w:t>
      </w:r>
      <w:r>
        <w:rPr>
          <w:sz w:val="22"/>
        </w:rPr>
        <w:t>physiology.</w:t>
      </w:r>
      <w:r>
        <w:rPr>
          <w:spacing w:val="8"/>
          <w:sz w:val="22"/>
        </w:rPr>
        <w:t> </w:t>
      </w:r>
      <w:r>
        <w:rPr>
          <w:i/>
          <w:sz w:val="22"/>
        </w:rPr>
        <w:t>Ann</w:t>
      </w:r>
      <w:r>
        <w:rPr>
          <w:i/>
          <w:spacing w:val="8"/>
          <w:sz w:val="22"/>
        </w:rPr>
        <w:t> </w:t>
      </w:r>
      <w:r>
        <w:rPr>
          <w:i/>
          <w:sz w:val="22"/>
        </w:rPr>
        <w:t>N</w:t>
      </w:r>
      <w:r>
        <w:rPr>
          <w:i/>
          <w:spacing w:val="8"/>
          <w:sz w:val="22"/>
        </w:rPr>
        <w:t> </w:t>
      </w:r>
      <w:r>
        <w:rPr>
          <w:i/>
          <w:sz w:val="22"/>
        </w:rPr>
        <w:t>Y</w:t>
      </w:r>
      <w:r>
        <w:rPr>
          <w:i/>
          <w:spacing w:val="8"/>
          <w:sz w:val="22"/>
        </w:rPr>
        <w:t> </w:t>
      </w:r>
      <w:r>
        <w:rPr>
          <w:i/>
          <w:sz w:val="22"/>
        </w:rPr>
        <w:t>Acad</w:t>
      </w:r>
      <w:r>
        <w:rPr>
          <w:i/>
          <w:spacing w:val="8"/>
          <w:sz w:val="22"/>
        </w:rPr>
        <w:t> </w:t>
      </w:r>
      <w:r>
        <w:rPr>
          <w:i/>
          <w:sz w:val="22"/>
        </w:rPr>
        <w:t>Sci</w:t>
      </w:r>
      <w:r>
        <w:rPr>
          <w:sz w:val="22"/>
        </w:rPr>
        <w:t>.</w:t>
      </w:r>
      <w:r>
        <w:rPr>
          <w:spacing w:val="9"/>
          <w:sz w:val="22"/>
        </w:rPr>
        <w:t> </w:t>
      </w:r>
      <w:r>
        <w:rPr>
          <w:spacing w:val="-2"/>
          <w:sz w:val="22"/>
        </w:rPr>
        <w:t>1990;592:52.</w:t>
      </w:r>
    </w:p>
    <w:p>
      <w:pPr>
        <w:pStyle w:val="ListParagraph"/>
        <w:numPr>
          <w:ilvl w:val="0"/>
          <w:numId w:val="9"/>
        </w:numPr>
        <w:tabs>
          <w:tab w:pos="709" w:val="left" w:leader="none"/>
          <w:tab w:pos="718" w:val="left" w:leader="none"/>
        </w:tabs>
        <w:spacing w:line="256" w:lineRule="auto" w:before="4" w:after="0"/>
        <w:ind w:left="718" w:right="109" w:hanging="507"/>
        <w:jc w:val="both"/>
        <w:rPr>
          <w:sz w:val="22"/>
        </w:rPr>
      </w:pPr>
      <w:r>
        <w:rPr>
          <w:sz w:val="22"/>
        </w:rPr>
        <w:t>Freeman EW, Sherif K. Prevalence of hot flushes and night sweats around the world: a systematic review. </w:t>
      </w:r>
      <w:r>
        <w:rPr>
          <w:i/>
          <w:sz w:val="22"/>
        </w:rPr>
        <w:t>Climacteric</w:t>
      </w:r>
      <w:r>
        <w:rPr>
          <w:sz w:val="22"/>
        </w:rPr>
        <w:t>. 2007;10:197.</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Brown DE, Sievert LL, Morrison LA, Reza AM, Mills PS. Do Japanese American women</w:t>
      </w:r>
      <w:r>
        <w:rPr>
          <w:spacing w:val="80"/>
          <w:w w:val="150"/>
          <w:sz w:val="22"/>
        </w:rPr>
        <w:t> </w:t>
      </w:r>
      <w:r>
        <w:rPr>
          <w:sz w:val="22"/>
        </w:rPr>
        <w:t>really have fewer hot flashes than European Americans? The Hilo Women’s Health </w:t>
      </w:r>
      <w:r>
        <w:rPr>
          <w:sz w:val="22"/>
        </w:rPr>
        <w:t>Study. </w:t>
      </w:r>
      <w:r>
        <w:rPr>
          <w:i/>
          <w:sz w:val="22"/>
        </w:rPr>
        <w:t>Menopause</w:t>
      </w:r>
      <w:r>
        <w:rPr>
          <w:sz w:val="22"/>
        </w:rPr>
        <w:t>. 2009;16:870.</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Politi MC, Schleinitz MD, Col NF. Revisiting the duration of vasomotor symptoms of menopause: a meta-analysis. </w:t>
      </w:r>
      <w:r>
        <w:rPr>
          <w:i/>
          <w:sz w:val="22"/>
        </w:rPr>
        <w:t>J Gen Intern Med</w:t>
      </w:r>
      <w:r>
        <w:rPr>
          <w:sz w:val="22"/>
        </w:rPr>
        <w:t>. 2008;23:1507.</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Col</w:t>
      </w:r>
      <w:r>
        <w:rPr>
          <w:spacing w:val="40"/>
          <w:sz w:val="22"/>
        </w:rPr>
        <w:t> </w:t>
      </w:r>
      <w:r>
        <w:rPr>
          <w:sz w:val="22"/>
        </w:rPr>
        <w:t>NF,</w:t>
      </w:r>
      <w:r>
        <w:rPr>
          <w:spacing w:val="40"/>
          <w:sz w:val="22"/>
        </w:rPr>
        <w:t> </w:t>
      </w:r>
      <w:r>
        <w:rPr>
          <w:sz w:val="22"/>
        </w:rPr>
        <w:t>Guthrie</w:t>
      </w:r>
      <w:r>
        <w:rPr>
          <w:spacing w:val="40"/>
          <w:sz w:val="22"/>
        </w:rPr>
        <w:t> </w:t>
      </w:r>
      <w:r>
        <w:rPr>
          <w:sz w:val="22"/>
        </w:rPr>
        <w:t>JR,</w:t>
      </w:r>
      <w:r>
        <w:rPr>
          <w:spacing w:val="40"/>
          <w:sz w:val="22"/>
        </w:rPr>
        <w:t> </w:t>
      </w:r>
      <w:r>
        <w:rPr>
          <w:sz w:val="22"/>
        </w:rPr>
        <w:t>Politi</w:t>
      </w:r>
      <w:r>
        <w:rPr>
          <w:spacing w:val="40"/>
          <w:sz w:val="22"/>
        </w:rPr>
        <w:t> </w:t>
      </w:r>
      <w:r>
        <w:rPr>
          <w:sz w:val="22"/>
        </w:rPr>
        <w:t>M,</w:t>
      </w:r>
      <w:r>
        <w:rPr>
          <w:spacing w:val="40"/>
          <w:sz w:val="22"/>
        </w:rPr>
        <w:t> </w:t>
      </w:r>
      <w:r>
        <w:rPr>
          <w:sz w:val="22"/>
        </w:rPr>
        <w:t>Dennerstein</w:t>
      </w:r>
      <w:r>
        <w:rPr>
          <w:spacing w:val="40"/>
          <w:sz w:val="22"/>
        </w:rPr>
        <w:t> </w:t>
      </w:r>
      <w:r>
        <w:rPr>
          <w:sz w:val="22"/>
        </w:rPr>
        <w:t>L.</w:t>
      </w:r>
      <w:r>
        <w:rPr>
          <w:spacing w:val="40"/>
          <w:sz w:val="22"/>
        </w:rPr>
        <w:t> </w:t>
      </w:r>
      <w:r>
        <w:rPr>
          <w:sz w:val="22"/>
        </w:rPr>
        <w:t>Duration</w:t>
      </w:r>
      <w:r>
        <w:rPr>
          <w:spacing w:val="40"/>
          <w:sz w:val="22"/>
        </w:rPr>
        <w:t> </w:t>
      </w:r>
      <w:r>
        <w:rPr>
          <w:sz w:val="22"/>
        </w:rPr>
        <w:t>of</w:t>
      </w:r>
      <w:r>
        <w:rPr>
          <w:spacing w:val="40"/>
          <w:sz w:val="22"/>
        </w:rPr>
        <w:t> </w:t>
      </w:r>
      <w:r>
        <w:rPr>
          <w:sz w:val="22"/>
        </w:rPr>
        <w:t>vasomotor</w:t>
      </w:r>
      <w:r>
        <w:rPr>
          <w:spacing w:val="40"/>
          <w:sz w:val="22"/>
        </w:rPr>
        <w:t> </w:t>
      </w:r>
      <w:r>
        <w:rPr>
          <w:sz w:val="22"/>
        </w:rPr>
        <w:t>symptoms</w:t>
      </w:r>
      <w:r>
        <w:rPr>
          <w:spacing w:val="40"/>
          <w:sz w:val="22"/>
        </w:rPr>
        <w:t> </w:t>
      </w:r>
      <w:r>
        <w:rPr>
          <w:sz w:val="22"/>
        </w:rPr>
        <w:t>in</w:t>
      </w:r>
      <w:r>
        <w:rPr>
          <w:spacing w:val="40"/>
          <w:sz w:val="22"/>
        </w:rPr>
        <w:t> </w:t>
      </w:r>
      <w:r>
        <w:rPr>
          <w:sz w:val="22"/>
        </w:rPr>
        <w:t>middle-aged women: a longitudinal study. </w:t>
      </w:r>
      <w:r>
        <w:rPr>
          <w:i/>
          <w:sz w:val="22"/>
        </w:rPr>
        <w:t>Menopause</w:t>
      </w:r>
      <w:r>
        <w:rPr>
          <w:sz w:val="22"/>
        </w:rPr>
        <w:t>. 2009;16:453.</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Avis NE, Crawford SL, Greendale G, et al; Study of Women’s Health Across the Nation. Duration of menopausal vasomotor symptoms over the menopause transition. </w:t>
      </w:r>
      <w:r>
        <w:rPr>
          <w:i/>
          <w:sz w:val="22"/>
        </w:rPr>
        <w:t>JAMA </w:t>
      </w:r>
      <w:r>
        <w:rPr>
          <w:i/>
          <w:sz w:val="22"/>
        </w:rPr>
        <w:t>Intern</w:t>
      </w:r>
      <w:r>
        <w:rPr>
          <w:i/>
          <w:spacing w:val="80"/>
          <w:sz w:val="22"/>
        </w:rPr>
        <w:t> </w:t>
      </w:r>
      <w:r>
        <w:rPr>
          <w:i/>
          <w:sz w:val="22"/>
        </w:rPr>
        <w:t>Med</w:t>
      </w:r>
      <w:r>
        <w:rPr>
          <w:sz w:val="22"/>
        </w:rPr>
        <w:t>. 2015;175(4):531.</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Mittelman-Smith MA, Williams H, Krajewski-Hall SJ, McMullen NT, Rance NE. Role </w:t>
      </w:r>
      <w:r>
        <w:rPr>
          <w:sz w:val="22"/>
        </w:rPr>
        <w:t>for kisspeptin/neurokinin B/dynorphin (KNDy) neurons in cutaneous vasodilatation and the</w:t>
      </w:r>
      <w:r>
        <w:rPr>
          <w:spacing w:val="40"/>
          <w:sz w:val="22"/>
        </w:rPr>
        <w:t> </w:t>
      </w:r>
      <w:r>
        <w:rPr>
          <w:sz w:val="22"/>
        </w:rPr>
        <w:t>estrogen modulation of body temperature. </w:t>
      </w:r>
      <w:r>
        <w:rPr>
          <w:i/>
          <w:sz w:val="22"/>
        </w:rPr>
        <w:t>Proc Natl Acad Sci U S A</w:t>
      </w:r>
      <w:r>
        <w:rPr>
          <w:sz w:val="22"/>
        </w:rPr>
        <w:t>. 2012;109(48):19846-</w:t>
      </w:r>
      <w:r>
        <w:rPr>
          <w:spacing w:val="-2"/>
          <w:sz w:val="22"/>
        </w:rPr>
        <w:t>19851.</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Szeliga</w:t>
      </w:r>
      <w:r>
        <w:rPr>
          <w:spacing w:val="20"/>
          <w:sz w:val="22"/>
        </w:rPr>
        <w:t> </w:t>
      </w:r>
      <w:r>
        <w:rPr>
          <w:sz w:val="22"/>
        </w:rPr>
        <w:t>A,</w:t>
      </w:r>
      <w:r>
        <w:rPr>
          <w:spacing w:val="20"/>
          <w:sz w:val="22"/>
        </w:rPr>
        <w:t> </w:t>
      </w:r>
      <w:r>
        <w:rPr>
          <w:sz w:val="22"/>
        </w:rPr>
        <w:t>Czyzyk</w:t>
      </w:r>
      <w:r>
        <w:rPr>
          <w:spacing w:val="20"/>
          <w:sz w:val="22"/>
        </w:rPr>
        <w:t> </w:t>
      </w:r>
      <w:r>
        <w:rPr>
          <w:sz w:val="22"/>
        </w:rPr>
        <w:t>A,</w:t>
      </w:r>
      <w:r>
        <w:rPr>
          <w:spacing w:val="20"/>
          <w:sz w:val="22"/>
        </w:rPr>
        <w:t> </w:t>
      </w:r>
      <w:r>
        <w:rPr>
          <w:sz w:val="22"/>
        </w:rPr>
        <w:t>Podfigurna</w:t>
      </w:r>
      <w:r>
        <w:rPr>
          <w:spacing w:val="20"/>
          <w:sz w:val="22"/>
        </w:rPr>
        <w:t> </w:t>
      </w:r>
      <w:r>
        <w:rPr>
          <w:sz w:val="22"/>
        </w:rPr>
        <w:t>A,</w:t>
      </w:r>
      <w:r>
        <w:rPr>
          <w:spacing w:val="20"/>
          <w:sz w:val="22"/>
        </w:rPr>
        <w:t> </w:t>
      </w:r>
      <w:r>
        <w:rPr>
          <w:sz w:val="22"/>
        </w:rPr>
        <w:t>Genazzani</w:t>
      </w:r>
      <w:r>
        <w:rPr>
          <w:spacing w:val="20"/>
          <w:sz w:val="22"/>
        </w:rPr>
        <w:t> </w:t>
      </w:r>
      <w:r>
        <w:rPr>
          <w:sz w:val="22"/>
        </w:rPr>
        <w:t>AR,</w:t>
      </w:r>
      <w:r>
        <w:rPr>
          <w:spacing w:val="20"/>
          <w:sz w:val="22"/>
        </w:rPr>
        <w:t> </w:t>
      </w:r>
      <w:r>
        <w:rPr>
          <w:sz w:val="22"/>
        </w:rPr>
        <w:t>Genazzani</w:t>
      </w:r>
      <w:r>
        <w:rPr>
          <w:spacing w:val="20"/>
          <w:sz w:val="22"/>
        </w:rPr>
        <w:t> </w:t>
      </w:r>
      <w:r>
        <w:rPr>
          <w:sz w:val="22"/>
        </w:rPr>
        <w:t>AD,</w:t>
      </w:r>
      <w:r>
        <w:rPr>
          <w:spacing w:val="20"/>
          <w:sz w:val="22"/>
        </w:rPr>
        <w:t> </w:t>
      </w:r>
      <w:r>
        <w:rPr>
          <w:sz w:val="22"/>
        </w:rPr>
        <w:t>Meczekalski</w:t>
      </w:r>
      <w:r>
        <w:rPr>
          <w:spacing w:val="20"/>
          <w:sz w:val="22"/>
        </w:rPr>
        <w:t> </w:t>
      </w:r>
      <w:r>
        <w:rPr>
          <w:sz w:val="22"/>
        </w:rPr>
        <w:t>B.</w:t>
      </w:r>
      <w:r>
        <w:rPr>
          <w:spacing w:val="19"/>
          <w:sz w:val="22"/>
        </w:rPr>
        <w:t> </w:t>
      </w:r>
      <w:r>
        <w:rPr>
          <w:sz w:val="22"/>
        </w:rPr>
        <w:t>The</w:t>
      </w:r>
      <w:r>
        <w:rPr>
          <w:spacing w:val="27"/>
          <w:sz w:val="22"/>
        </w:rPr>
        <w:t> </w:t>
      </w:r>
      <w:r>
        <w:rPr>
          <w:sz w:val="22"/>
        </w:rPr>
        <w:t>role of kisspeptin/neurokinin B/dynorphin neurons in pathomechanism of vasomotor symptoms in postmenopausal women: from physiology to potential therapeutic applications. </w:t>
      </w:r>
      <w:r>
        <w:rPr>
          <w:i/>
          <w:sz w:val="22"/>
        </w:rPr>
        <w:t>Gynecol</w:t>
      </w:r>
      <w:r>
        <w:rPr>
          <w:i/>
          <w:sz w:val="22"/>
        </w:rPr>
        <w:t> Endocrinol</w:t>
      </w:r>
      <w:r>
        <w:rPr>
          <w:sz w:val="22"/>
        </w:rPr>
        <w:t>. 2018;34(11):913-919.</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Freedman RR. Hot flashes: behavioral treatments, mechanisms, and relation to sleep. </w:t>
      </w:r>
      <w:r>
        <w:rPr>
          <w:i/>
          <w:sz w:val="22"/>
        </w:rPr>
        <w:t>Am</w:t>
      </w:r>
      <w:r>
        <w:rPr>
          <w:i/>
          <w:spacing w:val="40"/>
          <w:sz w:val="22"/>
        </w:rPr>
        <w:t> </w:t>
      </w:r>
      <w:r>
        <w:rPr>
          <w:i/>
          <w:sz w:val="22"/>
        </w:rPr>
        <w:t>J</w:t>
      </w:r>
      <w:r>
        <w:rPr>
          <w:i/>
          <w:spacing w:val="80"/>
          <w:sz w:val="22"/>
        </w:rPr>
        <w:t> </w:t>
      </w:r>
      <w:r>
        <w:rPr>
          <w:i/>
          <w:sz w:val="22"/>
        </w:rPr>
        <w:t>Med</w:t>
      </w:r>
      <w:r>
        <w:rPr>
          <w:sz w:val="22"/>
        </w:rPr>
        <w:t>. 2005;118(suppl 12B):124.</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98" w:hanging="507"/>
        <w:jc w:val="left"/>
        <w:rPr>
          <w:sz w:val="22"/>
        </w:rPr>
      </w:pPr>
      <w:r>
        <w:rPr>
          <w:sz w:val="22"/>
        </w:rPr>
        <w:t>Freedman</w:t>
      </w:r>
      <w:r>
        <w:rPr>
          <w:spacing w:val="23"/>
          <w:sz w:val="22"/>
        </w:rPr>
        <w:t> </w:t>
      </w:r>
      <w:r>
        <w:rPr>
          <w:sz w:val="22"/>
        </w:rPr>
        <w:t>RR,</w:t>
      </w:r>
      <w:r>
        <w:rPr>
          <w:spacing w:val="23"/>
          <w:sz w:val="22"/>
        </w:rPr>
        <w:t> </w:t>
      </w:r>
      <w:r>
        <w:rPr>
          <w:sz w:val="22"/>
        </w:rPr>
        <w:t>Benton</w:t>
      </w:r>
      <w:r>
        <w:rPr>
          <w:spacing w:val="23"/>
          <w:sz w:val="22"/>
        </w:rPr>
        <w:t> </w:t>
      </w:r>
      <w:r>
        <w:rPr>
          <w:sz w:val="22"/>
        </w:rPr>
        <w:t>MD,</w:t>
      </w:r>
      <w:r>
        <w:rPr>
          <w:spacing w:val="23"/>
          <w:sz w:val="22"/>
        </w:rPr>
        <w:t> </w:t>
      </w:r>
      <w:r>
        <w:rPr>
          <w:sz w:val="22"/>
        </w:rPr>
        <w:t>Genik</w:t>
      </w:r>
      <w:r>
        <w:rPr>
          <w:spacing w:val="23"/>
          <w:sz w:val="22"/>
        </w:rPr>
        <w:t> </w:t>
      </w:r>
      <w:r>
        <w:rPr>
          <w:sz w:val="22"/>
        </w:rPr>
        <w:t>RJ</w:t>
      </w:r>
      <w:r>
        <w:rPr>
          <w:spacing w:val="23"/>
          <w:sz w:val="22"/>
        </w:rPr>
        <w:t> </w:t>
      </w:r>
      <w:r>
        <w:rPr>
          <w:sz w:val="22"/>
        </w:rPr>
        <w:t>II,</w:t>
      </w:r>
      <w:r>
        <w:rPr>
          <w:spacing w:val="23"/>
          <w:sz w:val="22"/>
        </w:rPr>
        <w:t> </w:t>
      </w:r>
      <w:r>
        <w:rPr>
          <w:sz w:val="22"/>
        </w:rPr>
        <w:t>Graydon</w:t>
      </w:r>
      <w:r>
        <w:rPr>
          <w:spacing w:val="23"/>
          <w:sz w:val="22"/>
        </w:rPr>
        <w:t> </w:t>
      </w:r>
      <w:r>
        <w:rPr>
          <w:sz w:val="22"/>
        </w:rPr>
        <w:t>FX.</w:t>
      </w:r>
      <w:r>
        <w:rPr>
          <w:spacing w:val="23"/>
          <w:sz w:val="22"/>
        </w:rPr>
        <w:t> </w:t>
      </w:r>
      <w:r>
        <w:rPr>
          <w:sz w:val="22"/>
        </w:rPr>
        <w:t>Cortical</w:t>
      </w:r>
      <w:r>
        <w:rPr>
          <w:spacing w:val="28"/>
          <w:sz w:val="22"/>
        </w:rPr>
        <w:t> </w:t>
      </w:r>
      <w:r>
        <w:rPr>
          <w:sz w:val="22"/>
        </w:rPr>
        <w:t>activation</w:t>
      </w:r>
      <w:r>
        <w:rPr>
          <w:spacing w:val="28"/>
          <w:sz w:val="22"/>
        </w:rPr>
        <w:t> </w:t>
      </w:r>
      <w:r>
        <w:rPr>
          <w:sz w:val="22"/>
        </w:rPr>
        <w:t>during</w:t>
      </w:r>
      <w:r>
        <w:rPr>
          <w:spacing w:val="28"/>
          <w:sz w:val="22"/>
        </w:rPr>
        <w:t> </w:t>
      </w:r>
      <w:r>
        <w:rPr>
          <w:sz w:val="22"/>
        </w:rPr>
        <w:t>menopausal hot flashes. </w:t>
      </w:r>
      <w:r>
        <w:rPr>
          <w:i/>
          <w:sz w:val="22"/>
        </w:rPr>
        <w:t>Fertil Steril</w:t>
      </w:r>
      <w:r>
        <w:rPr>
          <w:sz w:val="22"/>
        </w:rPr>
        <w:t>. 2006;85:674.</w:t>
      </w:r>
    </w:p>
    <w:p>
      <w:pPr>
        <w:pStyle w:val="ListParagraph"/>
        <w:numPr>
          <w:ilvl w:val="0"/>
          <w:numId w:val="9"/>
        </w:numPr>
        <w:tabs>
          <w:tab w:pos="710" w:val="left" w:leader="none"/>
        </w:tabs>
        <w:spacing w:line="252" w:lineRule="exact" w:before="0" w:after="0"/>
        <w:ind w:left="710" w:right="0" w:hanging="498"/>
        <w:jc w:val="left"/>
        <w:rPr>
          <w:sz w:val="22"/>
        </w:rPr>
      </w:pPr>
      <w:r>
        <w:rPr>
          <w:sz w:val="22"/>
        </w:rPr>
        <w:t>Wilkin</w:t>
      </w:r>
      <w:r>
        <w:rPr>
          <w:spacing w:val="13"/>
          <w:sz w:val="22"/>
        </w:rPr>
        <w:t> </w:t>
      </w:r>
      <w:r>
        <w:rPr>
          <w:sz w:val="22"/>
        </w:rPr>
        <w:t>JR.</w:t>
      </w:r>
      <w:r>
        <w:rPr>
          <w:spacing w:val="13"/>
          <w:sz w:val="22"/>
        </w:rPr>
        <w:t> </w:t>
      </w:r>
      <w:r>
        <w:rPr>
          <w:sz w:val="22"/>
        </w:rPr>
        <w:t>Flushing</w:t>
      </w:r>
      <w:r>
        <w:rPr>
          <w:spacing w:val="13"/>
          <w:sz w:val="22"/>
        </w:rPr>
        <w:t> </w:t>
      </w:r>
      <w:r>
        <w:rPr>
          <w:sz w:val="22"/>
        </w:rPr>
        <w:t>reactions:</w:t>
      </w:r>
      <w:r>
        <w:rPr>
          <w:spacing w:val="13"/>
          <w:sz w:val="22"/>
        </w:rPr>
        <w:t> </w:t>
      </w:r>
      <w:r>
        <w:rPr>
          <w:sz w:val="22"/>
        </w:rPr>
        <w:t>consequences</w:t>
      </w:r>
      <w:r>
        <w:rPr>
          <w:spacing w:val="13"/>
          <w:sz w:val="22"/>
        </w:rPr>
        <w:t> </w:t>
      </w:r>
      <w:r>
        <w:rPr>
          <w:sz w:val="22"/>
        </w:rPr>
        <w:t>and</w:t>
      </w:r>
      <w:r>
        <w:rPr>
          <w:spacing w:val="13"/>
          <w:sz w:val="22"/>
        </w:rPr>
        <w:t> </w:t>
      </w:r>
      <w:r>
        <w:rPr>
          <w:sz w:val="22"/>
        </w:rPr>
        <w:t>mechanisms.</w:t>
      </w:r>
      <w:r>
        <w:rPr>
          <w:spacing w:val="13"/>
          <w:sz w:val="22"/>
        </w:rPr>
        <w:t> </w:t>
      </w:r>
      <w:r>
        <w:rPr>
          <w:i/>
          <w:sz w:val="22"/>
        </w:rPr>
        <w:t>Ann</w:t>
      </w:r>
      <w:r>
        <w:rPr>
          <w:i/>
          <w:spacing w:val="13"/>
          <w:sz w:val="22"/>
        </w:rPr>
        <w:t> </w:t>
      </w:r>
      <w:r>
        <w:rPr>
          <w:i/>
          <w:sz w:val="22"/>
        </w:rPr>
        <w:t>Intern</w:t>
      </w:r>
      <w:r>
        <w:rPr>
          <w:i/>
          <w:spacing w:val="13"/>
          <w:sz w:val="22"/>
        </w:rPr>
        <w:t> </w:t>
      </w:r>
      <w:r>
        <w:rPr>
          <w:i/>
          <w:sz w:val="22"/>
        </w:rPr>
        <w:t>Med</w:t>
      </w:r>
      <w:r>
        <w:rPr>
          <w:sz w:val="22"/>
        </w:rPr>
        <w:t>.</w:t>
      </w:r>
      <w:r>
        <w:rPr>
          <w:spacing w:val="13"/>
          <w:sz w:val="22"/>
        </w:rPr>
        <w:t> </w:t>
      </w:r>
      <w:r>
        <w:rPr>
          <w:spacing w:val="-2"/>
          <w:sz w:val="22"/>
        </w:rPr>
        <w:t>1981;95:468.</w:t>
      </w:r>
    </w:p>
    <w:p>
      <w:pPr>
        <w:pStyle w:val="ListParagraph"/>
        <w:numPr>
          <w:ilvl w:val="0"/>
          <w:numId w:val="9"/>
        </w:numPr>
        <w:tabs>
          <w:tab w:pos="709" w:val="left" w:leader="none"/>
          <w:tab w:pos="718" w:val="left" w:leader="none"/>
        </w:tabs>
        <w:spacing w:line="256" w:lineRule="auto" w:before="17" w:after="0"/>
        <w:ind w:left="718" w:right="102" w:hanging="507"/>
        <w:jc w:val="left"/>
        <w:rPr>
          <w:sz w:val="22"/>
        </w:rPr>
      </w:pPr>
      <w:r>
        <w:rPr>
          <w:sz w:val="22"/>
        </w:rPr>
        <w:t>Aksel S, Schomberg DW, Tyrey L, Hammond CB. Vasomotor symptoms, serum estrogens </w:t>
      </w:r>
      <w:r>
        <w:rPr>
          <w:sz w:val="22"/>
        </w:rPr>
        <w:t>and gonadotropin levels in surgical menopause. </w:t>
      </w:r>
      <w:r>
        <w:rPr>
          <w:i/>
          <w:sz w:val="22"/>
        </w:rPr>
        <w:t>Am J Obstet Gynecol</w:t>
      </w:r>
      <w:r>
        <w:rPr>
          <w:sz w:val="22"/>
        </w:rPr>
        <w:t>. 1976;126:165.</w:t>
      </w:r>
    </w:p>
    <w:p>
      <w:pPr>
        <w:pStyle w:val="ListParagraph"/>
        <w:numPr>
          <w:ilvl w:val="0"/>
          <w:numId w:val="9"/>
        </w:numPr>
        <w:tabs>
          <w:tab w:pos="710" w:val="left" w:leader="none"/>
        </w:tabs>
        <w:spacing w:line="252" w:lineRule="exact" w:before="0" w:after="0"/>
        <w:ind w:left="710" w:right="0" w:hanging="498"/>
        <w:jc w:val="left"/>
        <w:rPr>
          <w:sz w:val="22"/>
        </w:rPr>
      </w:pPr>
      <w:r>
        <w:rPr>
          <w:sz w:val="22"/>
        </w:rPr>
        <w:t>Freedman</w:t>
      </w:r>
      <w:r>
        <w:rPr>
          <w:spacing w:val="10"/>
          <w:sz w:val="22"/>
        </w:rPr>
        <w:t> </w:t>
      </w:r>
      <w:r>
        <w:rPr>
          <w:sz w:val="22"/>
        </w:rPr>
        <w:t>RR.</w:t>
      </w:r>
      <w:r>
        <w:rPr>
          <w:spacing w:val="10"/>
          <w:sz w:val="22"/>
        </w:rPr>
        <w:t> </w:t>
      </w:r>
      <w:r>
        <w:rPr>
          <w:sz w:val="22"/>
        </w:rPr>
        <w:t>Physiology</w:t>
      </w:r>
      <w:r>
        <w:rPr>
          <w:spacing w:val="10"/>
          <w:sz w:val="22"/>
        </w:rPr>
        <w:t> </w:t>
      </w:r>
      <w:r>
        <w:rPr>
          <w:sz w:val="22"/>
        </w:rPr>
        <w:t>of</w:t>
      </w:r>
      <w:r>
        <w:rPr>
          <w:spacing w:val="10"/>
          <w:sz w:val="22"/>
        </w:rPr>
        <w:t> </w:t>
      </w:r>
      <w:r>
        <w:rPr>
          <w:sz w:val="22"/>
        </w:rPr>
        <w:t>hot</w:t>
      </w:r>
      <w:r>
        <w:rPr>
          <w:spacing w:val="10"/>
          <w:sz w:val="22"/>
        </w:rPr>
        <w:t> </w:t>
      </w:r>
      <w:r>
        <w:rPr>
          <w:sz w:val="22"/>
        </w:rPr>
        <w:t>flashes.</w:t>
      </w:r>
      <w:r>
        <w:rPr>
          <w:spacing w:val="10"/>
          <w:sz w:val="22"/>
        </w:rPr>
        <w:t> </w:t>
      </w:r>
      <w:r>
        <w:rPr>
          <w:i/>
          <w:sz w:val="22"/>
        </w:rPr>
        <w:t>Am</w:t>
      </w:r>
      <w:r>
        <w:rPr>
          <w:i/>
          <w:spacing w:val="10"/>
          <w:sz w:val="22"/>
        </w:rPr>
        <w:t> </w:t>
      </w:r>
      <w:r>
        <w:rPr>
          <w:i/>
          <w:sz w:val="22"/>
        </w:rPr>
        <w:t>J</w:t>
      </w:r>
      <w:r>
        <w:rPr>
          <w:i/>
          <w:spacing w:val="10"/>
          <w:sz w:val="22"/>
        </w:rPr>
        <w:t> </w:t>
      </w:r>
      <w:r>
        <w:rPr>
          <w:i/>
          <w:sz w:val="22"/>
        </w:rPr>
        <w:t>Hum</w:t>
      </w:r>
      <w:r>
        <w:rPr>
          <w:i/>
          <w:spacing w:val="10"/>
          <w:sz w:val="22"/>
        </w:rPr>
        <w:t> </w:t>
      </w:r>
      <w:r>
        <w:rPr>
          <w:i/>
          <w:sz w:val="22"/>
        </w:rPr>
        <w:t>Biol</w:t>
      </w:r>
      <w:r>
        <w:rPr>
          <w:sz w:val="22"/>
        </w:rPr>
        <w:t>.</w:t>
      </w:r>
      <w:r>
        <w:rPr>
          <w:spacing w:val="10"/>
          <w:sz w:val="22"/>
        </w:rPr>
        <w:t> </w:t>
      </w:r>
      <w:r>
        <w:rPr>
          <w:spacing w:val="-2"/>
          <w:sz w:val="22"/>
        </w:rPr>
        <w:t>2001;13:453.</w:t>
      </w:r>
    </w:p>
    <w:p>
      <w:pPr>
        <w:pStyle w:val="ListParagraph"/>
        <w:numPr>
          <w:ilvl w:val="0"/>
          <w:numId w:val="9"/>
        </w:numPr>
        <w:tabs>
          <w:tab w:pos="710" w:val="left" w:leader="none"/>
        </w:tabs>
        <w:spacing w:line="240" w:lineRule="auto" w:before="17" w:after="0"/>
        <w:ind w:left="710" w:right="0" w:hanging="498"/>
        <w:jc w:val="left"/>
        <w:rPr>
          <w:sz w:val="22"/>
        </w:rPr>
      </w:pPr>
      <w:r>
        <w:rPr>
          <w:sz w:val="22"/>
        </w:rPr>
        <w:t>Freedman</w:t>
      </w:r>
      <w:r>
        <w:rPr>
          <w:spacing w:val="29"/>
          <w:sz w:val="22"/>
        </w:rPr>
        <w:t> </w:t>
      </w:r>
      <w:r>
        <w:rPr>
          <w:sz w:val="22"/>
        </w:rPr>
        <w:t>RR.</w:t>
      </w:r>
      <w:r>
        <w:rPr>
          <w:spacing w:val="29"/>
          <w:sz w:val="22"/>
        </w:rPr>
        <w:t> </w:t>
      </w:r>
      <w:r>
        <w:rPr>
          <w:sz w:val="22"/>
        </w:rPr>
        <w:t>Biochemical,</w:t>
      </w:r>
      <w:r>
        <w:rPr>
          <w:spacing w:val="34"/>
          <w:sz w:val="22"/>
        </w:rPr>
        <w:t> </w:t>
      </w:r>
      <w:r>
        <w:rPr>
          <w:sz w:val="22"/>
        </w:rPr>
        <w:t>metabolic,</w:t>
      </w:r>
      <w:r>
        <w:rPr>
          <w:spacing w:val="34"/>
          <w:sz w:val="22"/>
        </w:rPr>
        <w:t> </w:t>
      </w:r>
      <w:r>
        <w:rPr>
          <w:sz w:val="22"/>
        </w:rPr>
        <w:t>and</w:t>
      </w:r>
      <w:r>
        <w:rPr>
          <w:spacing w:val="34"/>
          <w:sz w:val="22"/>
        </w:rPr>
        <w:t> </w:t>
      </w:r>
      <w:r>
        <w:rPr>
          <w:sz w:val="22"/>
        </w:rPr>
        <w:t>vascular</w:t>
      </w:r>
      <w:r>
        <w:rPr>
          <w:spacing w:val="34"/>
          <w:sz w:val="22"/>
        </w:rPr>
        <w:t> </w:t>
      </w:r>
      <w:r>
        <w:rPr>
          <w:sz w:val="22"/>
        </w:rPr>
        <w:t>mechanisms</w:t>
      </w:r>
      <w:r>
        <w:rPr>
          <w:spacing w:val="34"/>
          <w:sz w:val="22"/>
        </w:rPr>
        <w:t> </w:t>
      </w:r>
      <w:r>
        <w:rPr>
          <w:sz w:val="22"/>
        </w:rPr>
        <w:t>in</w:t>
      </w:r>
      <w:r>
        <w:rPr>
          <w:spacing w:val="35"/>
          <w:sz w:val="22"/>
        </w:rPr>
        <w:t> </w:t>
      </w:r>
      <w:r>
        <w:rPr>
          <w:sz w:val="22"/>
        </w:rPr>
        <w:t>menopausal</w:t>
      </w:r>
      <w:r>
        <w:rPr>
          <w:spacing w:val="34"/>
          <w:sz w:val="22"/>
        </w:rPr>
        <w:t> </w:t>
      </w:r>
      <w:r>
        <w:rPr>
          <w:sz w:val="22"/>
        </w:rPr>
        <w:t>hot</w:t>
      </w:r>
      <w:r>
        <w:rPr>
          <w:spacing w:val="34"/>
          <w:sz w:val="22"/>
        </w:rPr>
        <w:t> </w:t>
      </w:r>
      <w:r>
        <w:rPr>
          <w:spacing w:val="-2"/>
          <w:sz w:val="22"/>
        </w:rPr>
        <w:t>flashes.</w:t>
      </w:r>
    </w:p>
    <w:p>
      <w:pPr>
        <w:spacing w:before="17"/>
        <w:ind w:left="718" w:right="0" w:firstLine="0"/>
        <w:jc w:val="left"/>
        <w:rPr>
          <w:sz w:val="22"/>
        </w:rPr>
      </w:pPr>
      <w:r>
        <w:rPr>
          <w:i/>
          <w:sz w:val="22"/>
        </w:rPr>
        <w:t>Fertil</w:t>
      </w:r>
      <w:r>
        <w:rPr>
          <w:i/>
          <w:spacing w:val="10"/>
          <w:sz w:val="22"/>
        </w:rPr>
        <w:t> </w:t>
      </w:r>
      <w:r>
        <w:rPr>
          <w:i/>
          <w:sz w:val="22"/>
        </w:rPr>
        <w:t>Steril</w:t>
      </w:r>
      <w:r>
        <w:rPr>
          <w:sz w:val="22"/>
        </w:rPr>
        <w:t>.</w:t>
      </w:r>
      <w:r>
        <w:rPr>
          <w:spacing w:val="11"/>
          <w:sz w:val="22"/>
        </w:rPr>
        <w:t> </w:t>
      </w:r>
      <w:r>
        <w:rPr>
          <w:spacing w:val="-2"/>
          <w:sz w:val="22"/>
        </w:rPr>
        <w:t>1998;70:332.</w:t>
      </w:r>
    </w:p>
    <w:p>
      <w:pPr>
        <w:pStyle w:val="ListParagraph"/>
        <w:numPr>
          <w:ilvl w:val="0"/>
          <w:numId w:val="9"/>
        </w:numPr>
        <w:tabs>
          <w:tab w:pos="710" w:val="left" w:leader="none"/>
        </w:tabs>
        <w:spacing w:line="240" w:lineRule="auto" w:before="17" w:after="0"/>
        <w:ind w:left="710" w:right="0" w:hanging="498"/>
        <w:jc w:val="both"/>
        <w:rPr>
          <w:sz w:val="22"/>
        </w:rPr>
      </w:pPr>
      <w:r>
        <w:rPr>
          <w:sz w:val="22"/>
        </w:rPr>
        <w:t>Mohyi</w:t>
      </w:r>
      <w:r>
        <w:rPr>
          <w:spacing w:val="9"/>
          <w:sz w:val="22"/>
        </w:rPr>
        <w:t> </w:t>
      </w:r>
      <w:r>
        <w:rPr>
          <w:sz w:val="22"/>
        </w:rPr>
        <w:t>D,</w:t>
      </w:r>
      <w:r>
        <w:rPr>
          <w:spacing w:val="10"/>
          <w:sz w:val="22"/>
        </w:rPr>
        <w:t> </w:t>
      </w:r>
      <w:r>
        <w:rPr>
          <w:sz w:val="22"/>
        </w:rPr>
        <w:t>Tabassi</w:t>
      </w:r>
      <w:r>
        <w:rPr>
          <w:spacing w:val="10"/>
          <w:sz w:val="22"/>
        </w:rPr>
        <w:t> </w:t>
      </w:r>
      <w:r>
        <w:rPr>
          <w:sz w:val="22"/>
        </w:rPr>
        <w:t>K,</w:t>
      </w:r>
      <w:r>
        <w:rPr>
          <w:spacing w:val="10"/>
          <w:sz w:val="22"/>
        </w:rPr>
        <w:t> </w:t>
      </w:r>
      <w:r>
        <w:rPr>
          <w:sz w:val="22"/>
        </w:rPr>
        <w:t>Simon</w:t>
      </w:r>
      <w:r>
        <w:rPr>
          <w:spacing w:val="9"/>
          <w:sz w:val="22"/>
        </w:rPr>
        <w:t> </w:t>
      </w:r>
      <w:r>
        <w:rPr>
          <w:sz w:val="22"/>
        </w:rPr>
        <w:t>J.</w:t>
      </w:r>
      <w:r>
        <w:rPr>
          <w:spacing w:val="10"/>
          <w:sz w:val="22"/>
        </w:rPr>
        <w:t> </w:t>
      </w:r>
      <w:r>
        <w:rPr>
          <w:sz w:val="22"/>
        </w:rPr>
        <w:t>Differential</w:t>
      </w:r>
      <w:r>
        <w:rPr>
          <w:spacing w:val="10"/>
          <w:sz w:val="22"/>
        </w:rPr>
        <w:t> </w:t>
      </w:r>
      <w:r>
        <w:rPr>
          <w:sz w:val="22"/>
        </w:rPr>
        <w:t>diagnosis</w:t>
      </w:r>
      <w:r>
        <w:rPr>
          <w:spacing w:val="10"/>
          <w:sz w:val="22"/>
        </w:rPr>
        <w:t> </w:t>
      </w:r>
      <w:r>
        <w:rPr>
          <w:sz w:val="22"/>
        </w:rPr>
        <w:t>of</w:t>
      </w:r>
      <w:r>
        <w:rPr>
          <w:spacing w:val="9"/>
          <w:sz w:val="22"/>
        </w:rPr>
        <w:t> </w:t>
      </w:r>
      <w:r>
        <w:rPr>
          <w:sz w:val="22"/>
        </w:rPr>
        <w:t>hot</w:t>
      </w:r>
      <w:r>
        <w:rPr>
          <w:spacing w:val="10"/>
          <w:sz w:val="22"/>
        </w:rPr>
        <w:t> </w:t>
      </w:r>
      <w:r>
        <w:rPr>
          <w:sz w:val="22"/>
        </w:rPr>
        <w:t>flashes.</w:t>
      </w:r>
      <w:r>
        <w:rPr>
          <w:spacing w:val="10"/>
          <w:sz w:val="22"/>
        </w:rPr>
        <w:t> </w:t>
      </w:r>
      <w:r>
        <w:rPr>
          <w:i/>
          <w:sz w:val="22"/>
        </w:rPr>
        <w:t>Maturitas</w:t>
      </w:r>
      <w:r>
        <w:rPr>
          <w:sz w:val="22"/>
        </w:rPr>
        <w:t>.</w:t>
      </w:r>
      <w:r>
        <w:rPr>
          <w:spacing w:val="10"/>
          <w:sz w:val="22"/>
        </w:rPr>
        <w:t> </w:t>
      </w:r>
      <w:r>
        <w:rPr>
          <w:spacing w:val="-2"/>
          <w:sz w:val="22"/>
        </w:rPr>
        <w:t>1997;27:203.</w:t>
      </w:r>
    </w:p>
    <w:p>
      <w:pPr>
        <w:pStyle w:val="ListParagraph"/>
        <w:numPr>
          <w:ilvl w:val="0"/>
          <w:numId w:val="9"/>
        </w:numPr>
        <w:tabs>
          <w:tab w:pos="709" w:val="left" w:leader="none"/>
          <w:tab w:pos="718" w:val="left" w:leader="none"/>
        </w:tabs>
        <w:spacing w:line="256" w:lineRule="auto" w:before="18" w:after="0"/>
        <w:ind w:left="718" w:right="111" w:hanging="507"/>
        <w:jc w:val="both"/>
        <w:rPr>
          <w:sz w:val="22"/>
        </w:rPr>
      </w:pPr>
      <w:r>
        <w:rPr>
          <w:sz w:val="22"/>
        </w:rPr>
        <w:t>MacLennan A, Lester S, Moore V. Oral oestrogen replacement therapy versus placebo for hot flushes. </w:t>
      </w:r>
      <w:r>
        <w:rPr>
          <w:i/>
          <w:sz w:val="22"/>
        </w:rPr>
        <w:t>Cochrane Database Syst Rev</w:t>
      </w:r>
      <w:r>
        <w:rPr>
          <w:sz w:val="22"/>
        </w:rPr>
        <w:t>. 2001;(1):CD002978.</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Pearce</w:t>
      </w:r>
      <w:r>
        <w:rPr>
          <w:spacing w:val="40"/>
          <w:sz w:val="22"/>
        </w:rPr>
        <w:t> </w:t>
      </w:r>
      <w:r>
        <w:rPr>
          <w:sz w:val="22"/>
        </w:rPr>
        <w:t>J,</w:t>
      </w:r>
      <w:r>
        <w:rPr>
          <w:spacing w:val="40"/>
          <w:sz w:val="22"/>
        </w:rPr>
        <w:t> </w:t>
      </w:r>
      <w:r>
        <w:rPr>
          <w:sz w:val="22"/>
        </w:rPr>
        <w:t>Hawton</w:t>
      </w:r>
      <w:r>
        <w:rPr>
          <w:spacing w:val="40"/>
          <w:sz w:val="22"/>
        </w:rPr>
        <w:t> </w:t>
      </w:r>
      <w:r>
        <w:rPr>
          <w:sz w:val="22"/>
        </w:rPr>
        <w:t>K,</w:t>
      </w:r>
      <w:r>
        <w:rPr>
          <w:spacing w:val="40"/>
          <w:sz w:val="22"/>
        </w:rPr>
        <w:t> </w:t>
      </w:r>
      <w:r>
        <w:rPr>
          <w:sz w:val="22"/>
        </w:rPr>
        <w:t>Blake</w:t>
      </w:r>
      <w:r>
        <w:rPr>
          <w:spacing w:val="40"/>
          <w:sz w:val="22"/>
        </w:rPr>
        <w:t> </w:t>
      </w:r>
      <w:r>
        <w:rPr>
          <w:sz w:val="22"/>
        </w:rPr>
        <w:t>F,</w:t>
      </w:r>
      <w:r>
        <w:rPr>
          <w:spacing w:val="40"/>
          <w:sz w:val="22"/>
        </w:rPr>
        <w:t> </w:t>
      </w:r>
      <w:r>
        <w:rPr>
          <w:sz w:val="22"/>
        </w:rPr>
        <w:t>et</w:t>
      </w:r>
      <w:r>
        <w:rPr>
          <w:spacing w:val="40"/>
          <w:sz w:val="22"/>
        </w:rPr>
        <w:t> </w:t>
      </w:r>
      <w:r>
        <w:rPr>
          <w:sz w:val="22"/>
        </w:rPr>
        <w:t>al.</w:t>
      </w:r>
      <w:r>
        <w:rPr>
          <w:spacing w:val="40"/>
          <w:sz w:val="22"/>
        </w:rPr>
        <w:t> </w:t>
      </w:r>
      <w:r>
        <w:rPr>
          <w:sz w:val="22"/>
        </w:rPr>
        <w:t>Psychological</w:t>
      </w:r>
      <w:r>
        <w:rPr>
          <w:spacing w:val="40"/>
          <w:sz w:val="22"/>
        </w:rPr>
        <w:t> </w:t>
      </w:r>
      <w:r>
        <w:rPr>
          <w:sz w:val="22"/>
        </w:rPr>
        <w:t>effects</w:t>
      </w:r>
      <w:r>
        <w:rPr>
          <w:spacing w:val="40"/>
          <w:sz w:val="22"/>
        </w:rPr>
        <w:t> </w:t>
      </w:r>
      <w:r>
        <w:rPr>
          <w:sz w:val="22"/>
        </w:rPr>
        <w:t>of</w:t>
      </w:r>
      <w:r>
        <w:rPr>
          <w:spacing w:val="40"/>
          <w:sz w:val="22"/>
        </w:rPr>
        <w:t> </w:t>
      </w:r>
      <w:r>
        <w:rPr>
          <w:sz w:val="22"/>
        </w:rPr>
        <w:t>continuation</w:t>
      </w:r>
      <w:r>
        <w:rPr>
          <w:spacing w:val="40"/>
          <w:sz w:val="22"/>
        </w:rPr>
        <w:t> </w:t>
      </w:r>
      <w:r>
        <w:rPr>
          <w:sz w:val="22"/>
        </w:rPr>
        <w:t>versus discontinuation of hormone replacement therapy by estrogen implants: a placebo-</w:t>
      </w:r>
      <w:r>
        <w:rPr>
          <w:sz w:val="22"/>
        </w:rPr>
        <w:t>controlled study. </w:t>
      </w:r>
      <w:r>
        <w:rPr>
          <w:i/>
          <w:sz w:val="22"/>
        </w:rPr>
        <w:t>J Psychosom Res</w:t>
      </w:r>
      <w:r>
        <w:rPr>
          <w:sz w:val="22"/>
        </w:rPr>
        <w:t>. 1997;42:177.</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The</w:t>
      </w:r>
      <w:r>
        <w:rPr>
          <w:spacing w:val="23"/>
          <w:sz w:val="22"/>
        </w:rPr>
        <w:t> </w:t>
      </w:r>
      <w:r>
        <w:rPr>
          <w:sz w:val="22"/>
        </w:rPr>
        <w:t>NAMS</w:t>
      </w:r>
      <w:r>
        <w:rPr>
          <w:spacing w:val="23"/>
          <w:sz w:val="22"/>
        </w:rPr>
        <w:t> </w:t>
      </w:r>
      <w:r>
        <w:rPr>
          <w:sz w:val="22"/>
        </w:rPr>
        <w:t>2020</w:t>
      </w:r>
      <w:r>
        <w:rPr>
          <w:spacing w:val="23"/>
          <w:sz w:val="22"/>
        </w:rPr>
        <w:t> </w:t>
      </w:r>
      <w:r>
        <w:rPr>
          <w:sz w:val="22"/>
        </w:rPr>
        <w:t>GSM</w:t>
      </w:r>
      <w:r>
        <w:rPr>
          <w:spacing w:val="23"/>
          <w:sz w:val="22"/>
        </w:rPr>
        <w:t> </w:t>
      </w:r>
      <w:r>
        <w:rPr>
          <w:sz w:val="22"/>
        </w:rPr>
        <w:t>Position</w:t>
      </w:r>
      <w:r>
        <w:rPr>
          <w:spacing w:val="23"/>
          <w:sz w:val="22"/>
        </w:rPr>
        <w:t> </w:t>
      </w:r>
      <w:r>
        <w:rPr>
          <w:sz w:val="22"/>
        </w:rPr>
        <w:t>Statement</w:t>
      </w:r>
      <w:r>
        <w:rPr>
          <w:spacing w:val="23"/>
          <w:sz w:val="22"/>
        </w:rPr>
        <w:t> </w:t>
      </w:r>
      <w:r>
        <w:rPr>
          <w:sz w:val="22"/>
        </w:rPr>
        <w:t>Editorial</w:t>
      </w:r>
      <w:r>
        <w:rPr>
          <w:spacing w:val="23"/>
          <w:sz w:val="22"/>
        </w:rPr>
        <w:t> </w:t>
      </w:r>
      <w:r>
        <w:rPr>
          <w:sz w:val="22"/>
        </w:rPr>
        <w:t>Panel.</w:t>
      </w:r>
      <w:r>
        <w:rPr>
          <w:spacing w:val="23"/>
          <w:sz w:val="22"/>
        </w:rPr>
        <w:t> </w:t>
      </w:r>
      <w:r>
        <w:rPr>
          <w:sz w:val="22"/>
        </w:rPr>
        <w:t>The</w:t>
      </w:r>
      <w:r>
        <w:rPr>
          <w:spacing w:val="24"/>
          <w:sz w:val="22"/>
        </w:rPr>
        <w:t> </w:t>
      </w:r>
      <w:r>
        <w:rPr>
          <w:sz w:val="22"/>
        </w:rPr>
        <w:t>2020</w:t>
      </w:r>
      <w:r>
        <w:rPr>
          <w:spacing w:val="24"/>
          <w:sz w:val="22"/>
        </w:rPr>
        <w:t> </w:t>
      </w:r>
      <w:r>
        <w:rPr>
          <w:sz w:val="22"/>
        </w:rPr>
        <w:t>genitourinary</w:t>
      </w:r>
      <w:r>
        <w:rPr>
          <w:spacing w:val="24"/>
          <w:sz w:val="22"/>
        </w:rPr>
        <w:t> </w:t>
      </w:r>
      <w:r>
        <w:rPr>
          <w:sz w:val="22"/>
        </w:rPr>
        <w:t>syndrome of menopause position statement of The North American Menopause Society. </w:t>
      </w:r>
      <w:r>
        <w:rPr>
          <w:i/>
          <w:sz w:val="22"/>
        </w:rPr>
        <w:t>Menopause</w:t>
      </w:r>
      <w:r>
        <w:rPr>
          <w:sz w:val="22"/>
        </w:rPr>
        <w:t>. </w:t>
      </w:r>
      <w:r>
        <w:rPr>
          <w:spacing w:val="-2"/>
          <w:sz w:val="22"/>
        </w:rPr>
        <w:t>2020;27(9):976-992.</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Raz R, Stamm WE. A controlled trial of intravaginal estriol in postmenopausal women </w:t>
      </w:r>
      <w:r>
        <w:rPr>
          <w:sz w:val="22"/>
        </w:rPr>
        <w:t>with recurrent urinary tract infection. </w:t>
      </w:r>
      <w:r>
        <w:rPr>
          <w:i/>
          <w:sz w:val="22"/>
        </w:rPr>
        <w:t>N Engl J Med</w:t>
      </w:r>
      <w:r>
        <w:rPr>
          <w:sz w:val="22"/>
        </w:rPr>
        <w:t>. 1993;329:753.</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Caillouette JC, Sharp CF, Zimmerman GJ, Roy S. Vaginal pH as a marker for bacterial pathogens and menopausal status. </w:t>
      </w:r>
      <w:r>
        <w:rPr>
          <w:i/>
          <w:sz w:val="22"/>
        </w:rPr>
        <w:t>Am J Obstet Gynecol</w:t>
      </w:r>
      <w:r>
        <w:rPr>
          <w:sz w:val="22"/>
        </w:rPr>
        <w:t>. 1997;176:1270.</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Roy</w:t>
      </w:r>
      <w:r>
        <w:rPr>
          <w:spacing w:val="40"/>
          <w:sz w:val="22"/>
        </w:rPr>
        <w:t> </w:t>
      </w:r>
      <w:r>
        <w:rPr>
          <w:sz w:val="22"/>
        </w:rPr>
        <w:t>S,</w:t>
      </w:r>
      <w:r>
        <w:rPr>
          <w:spacing w:val="40"/>
          <w:sz w:val="22"/>
        </w:rPr>
        <w:t> </w:t>
      </w:r>
      <w:r>
        <w:rPr>
          <w:sz w:val="22"/>
        </w:rPr>
        <w:t>Caillouette</w:t>
      </w:r>
      <w:r>
        <w:rPr>
          <w:spacing w:val="40"/>
          <w:sz w:val="22"/>
        </w:rPr>
        <w:t> </w:t>
      </w:r>
      <w:r>
        <w:rPr>
          <w:sz w:val="22"/>
        </w:rPr>
        <w:t>JC,</w:t>
      </w:r>
      <w:r>
        <w:rPr>
          <w:spacing w:val="40"/>
          <w:sz w:val="22"/>
        </w:rPr>
        <w:t> </w:t>
      </w:r>
      <w:r>
        <w:rPr>
          <w:sz w:val="22"/>
        </w:rPr>
        <w:t>Roy</w:t>
      </w:r>
      <w:r>
        <w:rPr>
          <w:spacing w:val="40"/>
          <w:sz w:val="22"/>
        </w:rPr>
        <w:t> </w:t>
      </w:r>
      <w:r>
        <w:rPr>
          <w:sz w:val="22"/>
        </w:rPr>
        <w:t>T,</w:t>
      </w:r>
      <w:r>
        <w:rPr>
          <w:spacing w:val="40"/>
          <w:sz w:val="22"/>
        </w:rPr>
        <w:t> </w:t>
      </w:r>
      <w:r>
        <w:rPr>
          <w:sz w:val="22"/>
        </w:rPr>
        <w:t>Faden</w:t>
      </w:r>
      <w:r>
        <w:rPr>
          <w:spacing w:val="40"/>
          <w:sz w:val="22"/>
        </w:rPr>
        <w:t> </w:t>
      </w:r>
      <w:r>
        <w:rPr>
          <w:sz w:val="22"/>
        </w:rPr>
        <w:t>JS.</w:t>
      </w:r>
      <w:r>
        <w:rPr>
          <w:spacing w:val="40"/>
          <w:sz w:val="22"/>
        </w:rPr>
        <w:t> </w:t>
      </w:r>
      <w:r>
        <w:rPr>
          <w:sz w:val="22"/>
        </w:rPr>
        <w:t>Vaginal</w:t>
      </w:r>
      <w:r>
        <w:rPr>
          <w:spacing w:val="40"/>
          <w:sz w:val="22"/>
        </w:rPr>
        <w:t> </w:t>
      </w:r>
      <w:r>
        <w:rPr>
          <w:sz w:val="22"/>
        </w:rPr>
        <w:t>pH</w:t>
      </w:r>
      <w:r>
        <w:rPr>
          <w:spacing w:val="40"/>
          <w:sz w:val="22"/>
        </w:rPr>
        <w:t> </w:t>
      </w:r>
      <w:r>
        <w:rPr>
          <w:sz w:val="22"/>
        </w:rPr>
        <w:t>is</w:t>
      </w:r>
      <w:r>
        <w:rPr>
          <w:spacing w:val="40"/>
          <w:sz w:val="22"/>
        </w:rPr>
        <w:t> </w:t>
      </w:r>
      <w:r>
        <w:rPr>
          <w:sz w:val="22"/>
        </w:rPr>
        <w:t>similar</w:t>
      </w:r>
      <w:r>
        <w:rPr>
          <w:spacing w:val="40"/>
          <w:sz w:val="22"/>
        </w:rPr>
        <w:t> </w:t>
      </w:r>
      <w:r>
        <w:rPr>
          <w:sz w:val="22"/>
        </w:rPr>
        <w:t>to</w:t>
      </w:r>
      <w:r>
        <w:rPr>
          <w:spacing w:val="40"/>
          <w:sz w:val="22"/>
        </w:rPr>
        <w:t> </w:t>
      </w:r>
      <w:r>
        <w:rPr>
          <w:sz w:val="22"/>
        </w:rPr>
        <w:t>FSH</w:t>
      </w:r>
      <w:r>
        <w:rPr>
          <w:spacing w:val="40"/>
          <w:sz w:val="22"/>
        </w:rPr>
        <w:t> </w:t>
      </w:r>
      <w:r>
        <w:rPr>
          <w:sz w:val="22"/>
        </w:rPr>
        <w:t>for</w:t>
      </w:r>
      <w:r>
        <w:rPr>
          <w:spacing w:val="40"/>
          <w:sz w:val="22"/>
        </w:rPr>
        <w:t> </w:t>
      </w:r>
      <w:r>
        <w:rPr>
          <w:sz w:val="22"/>
        </w:rPr>
        <w:t>menopause diagnosis. </w:t>
      </w:r>
      <w:r>
        <w:rPr>
          <w:i/>
          <w:sz w:val="22"/>
        </w:rPr>
        <w:t>Am J Obstet Gynecol</w:t>
      </w:r>
      <w:r>
        <w:rPr>
          <w:sz w:val="22"/>
        </w:rPr>
        <w:t>. 2004;190:1272.</w:t>
      </w:r>
    </w:p>
    <w:p>
      <w:pPr>
        <w:pStyle w:val="ListParagraph"/>
        <w:numPr>
          <w:ilvl w:val="0"/>
          <w:numId w:val="9"/>
        </w:numPr>
        <w:tabs>
          <w:tab w:pos="710" w:val="left" w:leader="none"/>
        </w:tabs>
        <w:spacing w:line="252" w:lineRule="exact" w:before="0" w:after="0"/>
        <w:ind w:left="710" w:right="0" w:hanging="498"/>
        <w:jc w:val="both"/>
        <w:rPr>
          <w:sz w:val="22"/>
        </w:rPr>
      </w:pPr>
      <w:r>
        <w:rPr>
          <w:sz w:val="22"/>
        </w:rPr>
        <w:t>Semmens</w:t>
      </w:r>
      <w:r>
        <w:rPr>
          <w:spacing w:val="7"/>
          <w:sz w:val="22"/>
        </w:rPr>
        <w:t> </w:t>
      </w:r>
      <w:r>
        <w:rPr>
          <w:sz w:val="22"/>
        </w:rPr>
        <w:t>JP,</w:t>
      </w:r>
      <w:r>
        <w:rPr>
          <w:spacing w:val="8"/>
          <w:sz w:val="22"/>
        </w:rPr>
        <w:t> </w:t>
      </w:r>
      <w:r>
        <w:rPr>
          <w:sz w:val="22"/>
        </w:rPr>
        <w:t>Wagner</w:t>
      </w:r>
      <w:r>
        <w:rPr>
          <w:spacing w:val="8"/>
          <w:sz w:val="22"/>
        </w:rPr>
        <w:t> </w:t>
      </w:r>
      <w:r>
        <w:rPr>
          <w:sz w:val="22"/>
        </w:rPr>
        <w:t>G.</w:t>
      </w:r>
      <w:r>
        <w:rPr>
          <w:spacing w:val="7"/>
          <w:sz w:val="22"/>
        </w:rPr>
        <w:t> </w:t>
      </w:r>
      <w:r>
        <w:rPr>
          <w:sz w:val="22"/>
        </w:rPr>
        <w:t>Effects</w:t>
      </w:r>
      <w:r>
        <w:rPr>
          <w:spacing w:val="12"/>
          <w:sz w:val="22"/>
        </w:rPr>
        <w:t> </w:t>
      </w:r>
      <w:r>
        <w:rPr>
          <w:sz w:val="22"/>
        </w:rPr>
        <w:t>of</w:t>
      </w:r>
      <w:r>
        <w:rPr>
          <w:spacing w:val="13"/>
          <w:sz w:val="22"/>
        </w:rPr>
        <w:t> </w:t>
      </w:r>
      <w:r>
        <w:rPr>
          <w:sz w:val="22"/>
        </w:rPr>
        <w:t>estrogen</w:t>
      </w:r>
      <w:r>
        <w:rPr>
          <w:spacing w:val="12"/>
          <w:sz w:val="22"/>
        </w:rPr>
        <w:t> </w:t>
      </w:r>
      <w:r>
        <w:rPr>
          <w:sz w:val="22"/>
        </w:rPr>
        <w:t>therapy</w:t>
      </w:r>
      <w:r>
        <w:rPr>
          <w:spacing w:val="12"/>
          <w:sz w:val="22"/>
        </w:rPr>
        <w:t> </w:t>
      </w:r>
      <w:r>
        <w:rPr>
          <w:sz w:val="22"/>
        </w:rPr>
        <w:t>on</w:t>
      </w:r>
      <w:r>
        <w:rPr>
          <w:spacing w:val="12"/>
          <w:sz w:val="22"/>
        </w:rPr>
        <w:t> </w:t>
      </w:r>
      <w:r>
        <w:rPr>
          <w:sz w:val="22"/>
        </w:rPr>
        <w:t>vaginal</w:t>
      </w:r>
      <w:r>
        <w:rPr>
          <w:spacing w:val="12"/>
          <w:sz w:val="22"/>
        </w:rPr>
        <w:t> </w:t>
      </w:r>
      <w:r>
        <w:rPr>
          <w:sz w:val="22"/>
        </w:rPr>
        <w:t>physiology</w:t>
      </w:r>
      <w:r>
        <w:rPr>
          <w:spacing w:val="13"/>
          <w:sz w:val="22"/>
        </w:rPr>
        <w:t> </w:t>
      </w:r>
      <w:r>
        <w:rPr>
          <w:sz w:val="22"/>
        </w:rPr>
        <w:t>during</w:t>
      </w:r>
      <w:r>
        <w:rPr>
          <w:spacing w:val="12"/>
          <w:sz w:val="22"/>
        </w:rPr>
        <w:t> </w:t>
      </w:r>
      <w:r>
        <w:rPr>
          <w:spacing w:val="-2"/>
          <w:sz w:val="22"/>
        </w:rPr>
        <w:t>menopause.</w:t>
      </w:r>
    </w:p>
    <w:p>
      <w:pPr>
        <w:spacing w:before="8"/>
        <w:ind w:left="718" w:right="0" w:firstLine="0"/>
        <w:jc w:val="both"/>
        <w:rPr>
          <w:sz w:val="22"/>
        </w:rPr>
      </w:pPr>
      <w:r>
        <w:rPr>
          <w:i/>
          <w:sz w:val="22"/>
        </w:rPr>
        <w:t>Obstet</w:t>
      </w:r>
      <w:r>
        <w:rPr>
          <w:i/>
          <w:spacing w:val="14"/>
          <w:sz w:val="22"/>
        </w:rPr>
        <w:t> </w:t>
      </w:r>
      <w:r>
        <w:rPr>
          <w:i/>
          <w:sz w:val="22"/>
        </w:rPr>
        <w:t>Gynecol</w:t>
      </w:r>
      <w:r>
        <w:rPr>
          <w:sz w:val="22"/>
        </w:rPr>
        <w:t>.</w:t>
      </w:r>
      <w:r>
        <w:rPr>
          <w:spacing w:val="14"/>
          <w:sz w:val="22"/>
        </w:rPr>
        <w:t> </w:t>
      </w:r>
      <w:r>
        <w:rPr>
          <w:spacing w:val="-2"/>
          <w:sz w:val="22"/>
        </w:rPr>
        <w:t>1985;66:15.</w:t>
      </w:r>
    </w:p>
    <w:p>
      <w:pPr>
        <w:pStyle w:val="ListParagraph"/>
        <w:numPr>
          <w:ilvl w:val="0"/>
          <w:numId w:val="9"/>
        </w:numPr>
        <w:tabs>
          <w:tab w:pos="709" w:val="left" w:leader="none"/>
          <w:tab w:pos="718" w:val="left" w:leader="none"/>
        </w:tabs>
        <w:spacing w:line="256" w:lineRule="auto" w:before="17" w:after="0"/>
        <w:ind w:left="718" w:right="99" w:hanging="507"/>
        <w:jc w:val="both"/>
        <w:rPr>
          <w:sz w:val="22"/>
        </w:rPr>
      </w:pPr>
      <w:r>
        <w:rPr>
          <w:sz w:val="22"/>
        </w:rPr>
        <w:t>Wilson PD, Faragher B, Butler B, Bullock D, Robinson EL, Brown ADG. Treatment with oral piperazine oestrone sulphate for genuine stress incontinence in postmenopausal women. </w:t>
      </w:r>
      <w:r>
        <w:rPr>
          <w:i/>
          <w:sz w:val="22"/>
        </w:rPr>
        <w:t>Br J</w:t>
      </w:r>
      <w:r>
        <w:rPr>
          <w:i/>
          <w:sz w:val="22"/>
        </w:rPr>
        <w:t> Obstet Gynaecol</w:t>
      </w:r>
      <w:r>
        <w:rPr>
          <w:sz w:val="22"/>
        </w:rPr>
        <w:t>. 1987;94:568.</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Bhatia NN, Bergman A, Karram MM. Effects of estrogen on urethral function in women with urinary incontinence. </w:t>
      </w:r>
      <w:r>
        <w:rPr>
          <w:i/>
          <w:sz w:val="22"/>
        </w:rPr>
        <w:t>Obstet Gynecol</w:t>
      </w:r>
      <w:r>
        <w:rPr>
          <w:sz w:val="22"/>
        </w:rPr>
        <w:t>. 1989;160:176.</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Goes VR, Sartori MG, Baracat EC, Rodrigues de Lima G, Girao MJ. Urodynamic and clinical evaluation of postmenopausal women with stress urinary incontinence before and after </w:t>
      </w:r>
      <w:r>
        <w:rPr>
          <w:sz w:val="22"/>
        </w:rPr>
        <w:t>cyclic estrogen therapy. </w:t>
      </w:r>
      <w:r>
        <w:rPr>
          <w:i/>
          <w:sz w:val="22"/>
        </w:rPr>
        <w:t>Clin Exp Obstet Gynecol</w:t>
      </w:r>
      <w:r>
        <w:rPr>
          <w:sz w:val="22"/>
        </w:rPr>
        <w:t>. 2003;30:103.</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Al-Badr A, Ross S, Soroka D, Drutz HP. What is the available evidence for hormone replacement therapy in women with stress urinary incontinence? </w:t>
      </w:r>
      <w:r>
        <w:rPr>
          <w:i/>
          <w:sz w:val="22"/>
        </w:rPr>
        <w:t>J Obstet Gynaecol </w:t>
      </w:r>
      <w:r>
        <w:rPr>
          <w:i/>
          <w:sz w:val="22"/>
        </w:rPr>
        <w:t>Can</w:t>
      </w:r>
      <w:r>
        <w:rPr>
          <w:sz w:val="22"/>
        </w:rPr>
        <w:t>. </w:t>
      </w:r>
      <w:r>
        <w:rPr>
          <w:spacing w:val="-2"/>
          <w:sz w:val="22"/>
        </w:rPr>
        <w:t>2003;25:567.</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Fantl JA, Bump RC, Robinson D, McLish DK, Wyman JF. Efficacy of </w:t>
      </w:r>
      <w:r>
        <w:rPr>
          <w:sz w:val="22"/>
        </w:rPr>
        <w:t>estrogen</w:t>
      </w:r>
      <w:r>
        <w:rPr>
          <w:spacing w:val="40"/>
          <w:sz w:val="22"/>
        </w:rPr>
        <w:t> </w:t>
      </w:r>
      <w:r>
        <w:rPr>
          <w:sz w:val="22"/>
        </w:rPr>
        <w:t>supplementation in the treatment of urinary incontinence. </w:t>
      </w:r>
      <w:r>
        <w:rPr>
          <w:i/>
          <w:sz w:val="22"/>
        </w:rPr>
        <w:t>Obstet Gynecol</w:t>
      </w:r>
      <w:r>
        <w:rPr>
          <w:sz w:val="22"/>
        </w:rPr>
        <w:t>. 1996;88:745.</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Jackson</w:t>
      </w:r>
      <w:r>
        <w:rPr>
          <w:spacing w:val="40"/>
          <w:sz w:val="22"/>
        </w:rPr>
        <w:t> </w:t>
      </w:r>
      <w:r>
        <w:rPr>
          <w:sz w:val="22"/>
        </w:rPr>
        <w:t>S,</w:t>
      </w:r>
      <w:r>
        <w:rPr>
          <w:spacing w:val="40"/>
          <w:sz w:val="22"/>
        </w:rPr>
        <w:t> </w:t>
      </w:r>
      <w:r>
        <w:rPr>
          <w:sz w:val="22"/>
        </w:rPr>
        <w:t>Shepherd</w:t>
      </w:r>
      <w:r>
        <w:rPr>
          <w:spacing w:val="40"/>
          <w:sz w:val="22"/>
        </w:rPr>
        <w:t> </w:t>
      </w:r>
      <w:r>
        <w:rPr>
          <w:sz w:val="22"/>
        </w:rPr>
        <w:t>A,</w:t>
      </w:r>
      <w:r>
        <w:rPr>
          <w:spacing w:val="40"/>
          <w:sz w:val="22"/>
        </w:rPr>
        <w:t> </w:t>
      </w:r>
      <w:r>
        <w:rPr>
          <w:sz w:val="22"/>
        </w:rPr>
        <w:t>Brookes</w:t>
      </w:r>
      <w:r>
        <w:rPr>
          <w:spacing w:val="40"/>
          <w:sz w:val="22"/>
        </w:rPr>
        <w:t> </w:t>
      </w:r>
      <w:r>
        <w:rPr>
          <w:sz w:val="22"/>
        </w:rPr>
        <w:t>S,</w:t>
      </w:r>
      <w:r>
        <w:rPr>
          <w:spacing w:val="40"/>
          <w:sz w:val="22"/>
        </w:rPr>
        <w:t> </w:t>
      </w:r>
      <w:r>
        <w:rPr>
          <w:sz w:val="22"/>
        </w:rPr>
        <w:t>Abrams</w:t>
      </w:r>
      <w:r>
        <w:rPr>
          <w:spacing w:val="40"/>
          <w:sz w:val="22"/>
        </w:rPr>
        <w:t> </w:t>
      </w:r>
      <w:r>
        <w:rPr>
          <w:sz w:val="22"/>
        </w:rPr>
        <w:t>P.</w:t>
      </w:r>
      <w:r>
        <w:rPr>
          <w:spacing w:val="39"/>
          <w:sz w:val="22"/>
        </w:rPr>
        <w:t> </w:t>
      </w:r>
      <w:r>
        <w:rPr>
          <w:sz w:val="22"/>
        </w:rPr>
        <w:t>The</w:t>
      </w:r>
      <w:r>
        <w:rPr>
          <w:spacing w:val="40"/>
          <w:sz w:val="22"/>
        </w:rPr>
        <w:t> </w:t>
      </w:r>
      <w:r>
        <w:rPr>
          <w:sz w:val="22"/>
        </w:rPr>
        <w:t>effect</w:t>
      </w:r>
      <w:r>
        <w:rPr>
          <w:spacing w:val="40"/>
          <w:sz w:val="22"/>
        </w:rPr>
        <w:t> </w:t>
      </w:r>
      <w:r>
        <w:rPr>
          <w:sz w:val="22"/>
        </w:rPr>
        <w:t>of</w:t>
      </w:r>
      <w:r>
        <w:rPr>
          <w:spacing w:val="40"/>
          <w:sz w:val="22"/>
        </w:rPr>
        <w:t> </w:t>
      </w:r>
      <w:r>
        <w:rPr>
          <w:sz w:val="22"/>
        </w:rPr>
        <w:t>oestrogen</w:t>
      </w:r>
      <w:r>
        <w:rPr>
          <w:spacing w:val="40"/>
          <w:sz w:val="22"/>
        </w:rPr>
        <w:t> </w:t>
      </w:r>
      <w:r>
        <w:rPr>
          <w:sz w:val="22"/>
        </w:rPr>
        <w:t>supplementation</w:t>
      </w:r>
      <w:r>
        <w:rPr>
          <w:spacing w:val="40"/>
          <w:sz w:val="22"/>
        </w:rPr>
        <w:t> </w:t>
      </w:r>
      <w:r>
        <w:rPr>
          <w:sz w:val="22"/>
        </w:rPr>
        <w:t>on post-menopausal urinary stress incontinence: a double-blind placebo-controlled trial. </w:t>
      </w:r>
      <w:r>
        <w:rPr>
          <w:i/>
          <w:sz w:val="22"/>
        </w:rPr>
        <w:t>Br</w:t>
      </w:r>
      <w:r>
        <w:rPr>
          <w:i/>
          <w:spacing w:val="40"/>
          <w:sz w:val="22"/>
        </w:rPr>
        <w:t> </w:t>
      </w:r>
      <w:r>
        <w:rPr>
          <w:i/>
          <w:sz w:val="22"/>
        </w:rPr>
        <w:t>J</w:t>
      </w:r>
      <w:r>
        <w:rPr>
          <w:i/>
          <w:spacing w:val="40"/>
          <w:sz w:val="22"/>
        </w:rPr>
        <w:t> </w:t>
      </w:r>
      <w:r>
        <w:rPr>
          <w:i/>
          <w:sz w:val="22"/>
        </w:rPr>
        <w:t>Obstet Gynaecol</w:t>
      </w:r>
      <w:r>
        <w:rPr>
          <w:sz w:val="22"/>
        </w:rPr>
        <w:t>. 1999;106:711.</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Steinauer JE, Waetjen LE, Vittinghoff E, et al; Heart and Estrogen/Progestin Replacement</w:t>
      </w:r>
      <w:r>
        <w:rPr>
          <w:spacing w:val="80"/>
          <w:sz w:val="22"/>
        </w:rPr>
        <w:t> </w:t>
      </w:r>
      <w:r>
        <w:rPr>
          <w:sz w:val="22"/>
        </w:rPr>
        <w:t>Study Research Group. Postmenopausal hormone therapy: does it cause incontinence? </w:t>
      </w:r>
      <w:r>
        <w:rPr>
          <w:i/>
          <w:sz w:val="22"/>
        </w:rPr>
        <w:t>Obstet</w:t>
      </w:r>
      <w:r>
        <w:rPr>
          <w:i/>
          <w:sz w:val="22"/>
        </w:rPr>
        <w:t> Gynecol</w:t>
      </w:r>
      <w:r>
        <w:rPr>
          <w:sz w:val="22"/>
        </w:rPr>
        <w:t>. 2005;106:940.</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Townsend</w:t>
      </w:r>
      <w:r>
        <w:rPr>
          <w:spacing w:val="40"/>
          <w:sz w:val="22"/>
        </w:rPr>
        <w:t> </w:t>
      </w:r>
      <w:r>
        <w:rPr>
          <w:sz w:val="22"/>
        </w:rPr>
        <w:t>MK,</w:t>
      </w:r>
      <w:r>
        <w:rPr>
          <w:spacing w:val="40"/>
          <w:sz w:val="22"/>
        </w:rPr>
        <w:t> </w:t>
      </w:r>
      <w:r>
        <w:rPr>
          <w:sz w:val="22"/>
        </w:rPr>
        <w:t>GCurhan</w:t>
      </w:r>
      <w:r>
        <w:rPr>
          <w:spacing w:val="40"/>
          <w:sz w:val="22"/>
        </w:rPr>
        <w:t> </w:t>
      </w:r>
      <w:r>
        <w:rPr>
          <w:sz w:val="22"/>
        </w:rPr>
        <w:t>GC,</w:t>
      </w:r>
      <w:r>
        <w:rPr>
          <w:spacing w:val="40"/>
          <w:sz w:val="22"/>
        </w:rPr>
        <w:t> </w:t>
      </w:r>
      <w:r>
        <w:rPr>
          <w:sz w:val="22"/>
        </w:rPr>
        <w:t>Resnick</w:t>
      </w:r>
      <w:r>
        <w:rPr>
          <w:spacing w:val="40"/>
          <w:sz w:val="22"/>
        </w:rPr>
        <w:t> </w:t>
      </w:r>
      <w:r>
        <w:rPr>
          <w:sz w:val="22"/>
        </w:rPr>
        <w:t>NM,</w:t>
      </w:r>
      <w:r>
        <w:rPr>
          <w:spacing w:val="40"/>
          <w:sz w:val="22"/>
        </w:rPr>
        <w:t> </w:t>
      </w:r>
      <w:r>
        <w:rPr>
          <w:sz w:val="22"/>
        </w:rPr>
        <w:t>Grodstein</w:t>
      </w:r>
      <w:r>
        <w:rPr>
          <w:spacing w:val="40"/>
          <w:sz w:val="22"/>
        </w:rPr>
        <w:t> </w:t>
      </w:r>
      <w:r>
        <w:rPr>
          <w:sz w:val="22"/>
        </w:rPr>
        <w:t>F.</w:t>
      </w:r>
      <w:r>
        <w:rPr>
          <w:spacing w:val="40"/>
          <w:sz w:val="22"/>
        </w:rPr>
        <w:t> </w:t>
      </w:r>
      <w:r>
        <w:rPr>
          <w:sz w:val="22"/>
        </w:rPr>
        <w:t>Postmenopausal</w:t>
      </w:r>
      <w:r>
        <w:rPr>
          <w:spacing w:val="40"/>
          <w:sz w:val="22"/>
        </w:rPr>
        <w:t> </w:t>
      </w:r>
      <w:r>
        <w:rPr>
          <w:sz w:val="22"/>
        </w:rPr>
        <w:t>hormone</w:t>
      </w:r>
      <w:r>
        <w:rPr>
          <w:spacing w:val="40"/>
          <w:sz w:val="22"/>
        </w:rPr>
        <w:t> </w:t>
      </w:r>
      <w:r>
        <w:rPr>
          <w:sz w:val="22"/>
        </w:rPr>
        <w:t>therapy and incident urinary incontinence in middle-aged women. </w:t>
      </w:r>
      <w:r>
        <w:rPr>
          <w:i/>
          <w:sz w:val="22"/>
        </w:rPr>
        <w:t>Am J Obstet Gynecol</w:t>
      </w:r>
      <w:r>
        <w:rPr>
          <w:sz w:val="22"/>
        </w:rPr>
        <w:t>.</w:t>
      </w:r>
      <w:r>
        <w:rPr>
          <w:spacing w:val="80"/>
          <w:sz w:val="22"/>
        </w:rPr>
        <w:t> </w:t>
      </w:r>
      <w:r>
        <w:rPr>
          <w:spacing w:val="-2"/>
          <w:sz w:val="22"/>
        </w:rPr>
        <w:t>2009;200:86.e1.</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97" w:hanging="507"/>
        <w:jc w:val="both"/>
        <w:rPr>
          <w:sz w:val="22"/>
        </w:rPr>
      </w:pPr>
      <w:r>
        <w:rPr>
          <w:sz w:val="22"/>
        </w:rPr>
        <w:t>Waetjen LE, Feng W-Y, Ye J, et al; Study of Women’s Health Across the Nation. Factors associated with worsening and improving urinary incontinence across the menopausal</w:t>
      </w:r>
      <w:r>
        <w:rPr>
          <w:spacing w:val="80"/>
          <w:sz w:val="22"/>
        </w:rPr>
        <w:t> </w:t>
      </w:r>
      <w:r>
        <w:rPr>
          <w:sz w:val="22"/>
        </w:rPr>
        <w:t>transition. </w:t>
      </w:r>
      <w:r>
        <w:rPr>
          <w:i/>
          <w:sz w:val="22"/>
        </w:rPr>
        <w:t>Obstet Gynecol</w:t>
      </w:r>
      <w:r>
        <w:rPr>
          <w:sz w:val="22"/>
        </w:rPr>
        <w:t>. 2008;111:667.</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Waetjen LE, Ye J, Feng W-Y, et al; Study of Women’s Health Across the Nation. Association between menopausal transition stages and developing urinary incontinence. </w:t>
      </w:r>
      <w:r>
        <w:rPr>
          <w:i/>
          <w:sz w:val="22"/>
        </w:rPr>
        <w:t>Obstet Gynecol</w:t>
      </w:r>
      <w:r>
        <w:rPr>
          <w:sz w:val="22"/>
        </w:rPr>
        <w:t>. </w:t>
      </w:r>
      <w:r>
        <w:rPr>
          <w:spacing w:val="-2"/>
          <w:sz w:val="22"/>
        </w:rPr>
        <w:t>2009;114:989.</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Cody JD, Jacobs ML, Richardson K, Moehrer B, Hextall A. Oestrogen therapy for urinary incontinence in post-menopausal women. </w:t>
      </w:r>
      <w:r>
        <w:rPr>
          <w:i/>
          <w:sz w:val="22"/>
        </w:rPr>
        <w:t>Cochrane Database Syst Rev</w:t>
      </w:r>
      <w:r>
        <w:rPr>
          <w:sz w:val="22"/>
        </w:rPr>
        <w:t>. 2012;10:CD001405.</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Tzur T, Yohai D, Weintraub AY. The role of local estrogen therapy in the management of</w:t>
      </w:r>
      <w:r>
        <w:rPr>
          <w:spacing w:val="80"/>
          <w:sz w:val="22"/>
        </w:rPr>
        <w:t> </w:t>
      </w:r>
      <w:r>
        <w:rPr>
          <w:sz w:val="22"/>
        </w:rPr>
        <w:t>pelvic floor disorders. </w:t>
      </w:r>
      <w:r>
        <w:rPr>
          <w:i/>
          <w:sz w:val="22"/>
        </w:rPr>
        <w:t>Climacteric</w:t>
      </w:r>
      <w:r>
        <w:rPr>
          <w:sz w:val="22"/>
        </w:rPr>
        <w:t>. 2016;19(2):162.</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Castelo-Branco C, Duran M, Gonzalez-Merlo J. Skin collagen changes related to age and hormone replacement therapy. </w:t>
      </w:r>
      <w:r>
        <w:rPr>
          <w:i/>
          <w:sz w:val="22"/>
        </w:rPr>
        <w:t>Maturitas</w:t>
      </w:r>
      <w:r>
        <w:rPr>
          <w:sz w:val="22"/>
        </w:rPr>
        <w:t>. 1992;15:113.</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Savvas M, Lausrent GB. Type III collagen content in the skin of postmenopausal women receiving oestradiol and testosterone implants. </w:t>
      </w:r>
      <w:r>
        <w:rPr>
          <w:i/>
          <w:sz w:val="22"/>
        </w:rPr>
        <w:t>Br J Obstet Gynaecol</w:t>
      </w:r>
      <w:r>
        <w:rPr>
          <w:sz w:val="22"/>
        </w:rPr>
        <w:t>. 1993;100:154.</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Maheux R, Naud F, Rioux M, et al. A randomized, double-blind, placebo-controlled study on</w:t>
      </w:r>
      <w:r>
        <w:rPr>
          <w:spacing w:val="80"/>
          <w:sz w:val="22"/>
        </w:rPr>
        <w:t> </w:t>
      </w:r>
      <w:r>
        <w:rPr>
          <w:sz w:val="22"/>
        </w:rPr>
        <w:t>the effect of conjugated estrogens on skin thickness. </w:t>
      </w:r>
      <w:r>
        <w:rPr>
          <w:i/>
          <w:sz w:val="22"/>
        </w:rPr>
        <w:t>Am J Obstet Gynecol</w:t>
      </w:r>
      <w:r>
        <w:rPr>
          <w:sz w:val="22"/>
        </w:rPr>
        <w:t>. 1994;170:642.</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Callens A, Vaillant L, Lecomte P, Berson M, Gall Y, Lorette G. Does hormonal skin </w:t>
      </w:r>
      <w:r>
        <w:rPr>
          <w:sz w:val="22"/>
        </w:rPr>
        <w:t>aging</w:t>
      </w:r>
      <w:r>
        <w:rPr>
          <w:spacing w:val="40"/>
          <w:sz w:val="22"/>
        </w:rPr>
        <w:t> </w:t>
      </w:r>
      <w:r>
        <w:rPr>
          <w:sz w:val="22"/>
        </w:rPr>
        <w:t>exist? A study of the influence of different hormone therapy regimens on the skin of postmenopausal women using non-invasive measurement techniques. </w:t>
      </w:r>
      <w:r>
        <w:rPr>
          <w:i/>
          <w:sz w:val="22"/>
        </w:rPr>
        <w:t>Dermatology</w:t>
      </w:r>
      <w:r>
        <w:rPr>
          <w:sz w:val="22"/>
        </w:rPr>
        <w:t>. </w:t>
      </w:r>
      <w:r>
        <w:rPr>
          <w:spacing w:val="-2"/>
          <w:sz w:val="22"/>
        </w:rPr>
        <w:t>1996;193:289.</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Sator P-G, Schmidt JB, Sator MO, Huber JC, Hönigsmann H. The influence of </w:t>
      </w:r>
      <w:r>
        <w:rPr>
          <w:sz w:val="22"/>
        </w:rPr>
        <w:t>hormone replacement therapy on skin ageing: a pilot study. </w:t>
      </w:r>
      <w:r>
        <w:rPr>
          <w:i/>
          <w:sz w:val="22"/>
        </w:rPr>
        <w:t>Maturitas</w:t>
      </w:r>
      <w:r>
        <w:rPr>
          <w:sz w:val="22"/>
        </w:rPr>
        <w:t>. 2001;39:43.</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Holland EFN, Studd JWW, Mansell JP, Leather AT, Bailey AJ. Changes in collagen composition and cross-links in bone and skin of osteoporotic postmenopausal women </w:t>
      </w:r>
      <w:r>
        <w:rPr>
          <w:sz w:val="22"/>
        </w:rPr>
        <w:t>treated with percutaneous estradiol implants. </w:t>
      </w:r>
      <w:r>
        <w:rPr>
          <w:i/>
          <w:sz w:val="22"/>
        </w:rPr>
        <w:t>Obstet Gynecol</w:t>
      </w:r>
      <w:r>
        <w:rPr>
          <w:sz w:val="22"/>
        </w:rPr>
        <w:t>. 1994;83:180.</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Castelo-Branco C, Pons F, Gratacøs E, Fortuny A, Vanrell JA, Gonzalez-Merlo J. Relationship between skin collagen and bone changes during aging. </w:t>
      </w:r>
      <w:r>
        <w:rPr>
          <w:i/>
          <w:sz w:val="22"/>
        </w:rPr>
        <w:t>Maturitas</w:t>
      </w:r>
      <w:r>
        <w:rPr>
          <w:sz w:val="22"/>
        </w:rPr>
        <w:t>. 1994;18:199.</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Creidi P, Faivre B, Agache P, Richard E, Haudiquet V, Sauvanet JP. Effect of a </w:t>
      </w:r>
      <w:r>
        <w:rPr>
          <w:sz w:val="22"/>
        </w:rPr>
        <w:t>conjugated oestrogen (Premarin) cream on aging facial skin: a comparative study with a placebo cream. </w:t>
      </w:r>
      <w:r>
        <w:rPr>
          <w:i/>
          <w:sz w:val="22"/>
        </w:rPr>
        <w:t>Maturitas</w:t>
      </w:r>
      <w:r>
        <w:rPr>
          <w:sz w:val="22"/>
        </w:rPr>
        <w:t>. 1994;19:211.</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Sator PG, Sator MO, Schmidt JB, et al. A prospective, randomized, double-blind, </w:t>
      </w:r>
      <w:r>
        <w:rPr>
          <w:sz w:val="22"/>
        </w:rPr>
        <w:t>placebo-controlled study on the influence of hormone replacement therapy on skin aging in postmenopausal women. </w:t>
      </w:r>
      <w:r>
        <w:rPr>
          <w:i/>
          <w:sz w:val="22"/>
        </w:rPr>
        <w:t>Climacteric</w:t>
      </w:r>
      <w:r>
        <w:rPr>
          <w:sz w:val="22"/>
        </w:rPr>
        <w:t>. 2007;10:320.</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Dunn LB, Damesyn M, Moore AA, Reuben DB, Greendale GA. Does estrogen prevent </w:t>
      </w:r>
      <w:r>
        <w:rPr>
          <w:sz w:val="22"/>
        </w:rPr>
        <w:t>skin aging?</w:t>
      </w:r>
      <w:r>
        <w:rPr>
          <w:spacing w:val="27"/>
          <w:sz w:val="22"/>
        </w:rPr>
        <w:t> </w:t>
      </w:r>
      <w:r>
        <w:rPr>
          <w:sz w:val="22"/>
        </w:rPr>
        <w:t>Results</w:t>
      </w:r>
      <w:r>
        <w:rPr>
          <w:spacing w:val="34"/>
          <w:sz w:val="22"/>
        </w:rPr>
        <w:t> </w:t>
      </w:r>
      <w:r>
        <w:rPr>
          <w:sz w:val="22"/>
        </w:rPr>
        <w:t>from</w:t>
      </w:r>
      <w:r>
        <w:rPr>
          <w:spacing w:val="34"/>
          <w:sz w:val="22"/>
        </w:rPr>
        <w:t> </w:t>
      </w:r>
      <w:r>
        <w:rPr>
          <w:sz w:val="22"/>
        </w:rPr>
        <w:t>the</w:t>
      </w:r>
      <w:r>
        <w:rPr>
          <w:spacing w:val="34"/>
          <w:sz w:val="22"/>
        </w:rPr>
        <w:t> </w:t>
      </w:r>
      <w:r>
        <w:rPr>
          <w:sz w:val="22"/>
        </w:rPr>
        <w:t>First</w:t>
      </w:r>
      <w:r>
        <w:rPr>
          <w:spacing w:val="34"/>
          <w:sz w:val="22"/>
        </w:rPr>
        <w:t> </w:t>
      </w:r>
      <w:r>
        <w:rPr>
          <w:sz w:val="22"/>
        </w:rPr>
        <w:t>National</w:t>
      </w:r>
      <w:r>
        <w:rPr>
          <w:spacing w:val="34"/>
          <w:sz w:val="22"/>
        </w:rPr>
        <w:t> </w:t>
      </w:r>
      <w:r>
        <w:rPr>
          <w:sz w:val="22"/>
        </w:rPr>
        <w:t>Health</w:t>
      </w:r>
      <w:r>
        <w:rPr>
          <w:spacing w:val="34"/>
          <w:sz w:val="22"/>
        </w:rPr>
        <w:t> </w:t>
      </w:r>
      <w:r>
        <w:rPr>
          <w:sz w:val="22"/>
        </w:rPr>
        <w:t>and</w:t>
      </w:r>
      <w:r>
        <w:rPr>
          <w:spacing w:val="34"/>
          <w:sz w:val="22"/>
        </w:rPr>
        <w:t> </w:t>
      </w:r>
      <w:r>
        <w:rPr>
          <w:sz w:val="22"/>
        </w:rPr>
        <w:t>Nutrition</w:t>
      </w:r>
      <w:r>
        <w:rPr>
          <w:spacing w:val="34"/>
          <w:sz w:val="22"/>
        </w:rPr>
        <w:t> </w:t>
      </w:r>
      <w:r>
        <w:rPr>
          <w:sz w:val="22"/>
        </w:rPr>
        <w:t>Examination</w:t>
      </w:r>
      <w:r>
        <w:rPr>
          <w:spacing w:val="34"/>
          <w:sz w:val="22"/>
        </w:rPr>
        <w:t> </w:t>
      </w:r>
      <w:r>
        <w:rPr>
          <w:sz w:val="22"/>
        </w:rPr>
        <w:t>Survey</w:t>
      </w:r>
      <w:r>
        <w:rPr>
          <w:spacing w:val="34"/>
          <w:sz w:val="22"/>
        </w:rPr>
        <w:t> </w:t>
      </w:r>
      <w:r>
        <w:rPr>
          <w:sz w:val="22"/>
        </w:rPr>
        <w:t>(NHANES I). </w:t>
      </w:r>
      <w:r>
        <w:rPr>
          <w:i/>
          <w:sz w:val="22"/>
        </w:rPr>
        <w:t>Arch Dermatol</w:t>
      </w:r>
      <w:r>
        <w:rPr>
          <w:sz w:val="22"/>
        </w:rPr>
        <w:t>. 1997;133:339.</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Phillips TJ, Symons J, Menon S; HT Study Group. Does hormone therapy improve age-related skin changes in postmenopausal women? A randomized, double-blind, double-dummy,</w:t>
      </w:r>
      <w:r>
        <w:rPr>
          <w:spacing w:val="80"/>
          <w:w w:val="150"/>
          <w:sz w:val="22"/>
        </w:rPr>
        <w:t> </w:t>
      </w:r>
      <w:r>
        <w:rPr>
          <w:sz w:val="22"/>
        </w:rPr>
        <w:t>placebo-controlled multicenter study assessing the effects of norethindrone acetate and ethinyl estradiol in the improvement of mild to moderate age-related skin changes in </w:t>
      </w:r>
      <w:r>
        <w:rPr>
          <w:sz w:val="22"/>
        </w:rPr>
        <w:t>postmenopausal women. </w:t>
      </w:r>
      <w:r>
        <w:rPr>
          <w:i/>
          <w:sz w:val="22"/>
        </w:rPr>
        <w:t>J Am Acad Dermatol</w:t>
      </w:r>
      <w:r>
        <w:rPr>
          <w:sz w:val="22"/>
        </w:rPr>
        <w:t>. 2008;59:397.</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Castelo-Branco C, Figueras F, Martínez de Osaba MJ, Vanrell JA. Facial wrinkling </w:t>
      </w:r>
      <w:r>
        <w:rPr>
          <w:sz w:val="22"/>
        </w:rPr>
        <w:t>in postmenopausal women. Effects of smoking status and hormone replacement therapy.</w:t>
      </w:r>
      <w:r>
        <w:rPr>
          <w:spacing w:val="40"/>
          <w:sz w:val="22"/>
        </w:rPr>
        <w:t> </w:t>
      </w:r>
      <w:r>
        <w:rPr>
          <w:i/>
          <w:sz w:val="22"/>
        </w:rPr>
        <w:t>Maturitas</w:t>
      </w:r>
      <w:r>
        <w:rPr>
          <w:sz w:val="22"/>
        </w:rPr>
        <w:t>. 1998;29:75.</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Cauley JA, Petrini AM, LaPorte RE, et al. The decline of grip strength in the menopause: relationship to physical activity, estrogen use and anthropometric factors. </w:t>
      </w:r>
      <w:r>
        <w:rPr>
          <w:i/>
          <w:sz w:val="22"/>
        </w:rPr>
        <w:t>J Chronic Dis</w:t>
      </w:r>
      <w:r>
        <w:rPr>
          <w:sz w:val="22"/>
        </w:rPr>
        <w:t>. </w:t>
      </w:r>
      <w:r>
        <w:rPr>
          <w:spacing w:val="-2"/>
          <w:sz w:val="22"/>
        </w:rPr>
        <w:t>1987;40:115.</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00" w:hanging="507"/>
        <w:jc w:val="both"/>
        <w:rPr>
          <w:sz w:val="22"/>
        </w:rPr>
      </w:pPr>
      <w:r>
        <w:rPr>
          <w:sz w:val="22"/>
        </w:rPr>
        <w:t>Phillips</w:t>
      </w:r>
      <w:r>
        <w:rPr>
          <w:spacing w:val="40"/>
          <w:sz w:val="22"/>
        </w:rPr>
        <w:t> </w:t>
      </w:r>
      <w:r>
        <w:rPr>
          <w:sz w:val="22"/>
        </w:rPr>
        <w:t>SK,</w:t>
      </w:r>
      <w:r>
        <w:rPr>
          <w:spacing w:val="40"/>
          <w:sz w:val="22"/>
        </w:rPr>
        <w:t> </w:t>
      </w:r>
      <w:r>
        <w:rPr>
          <w:sz w:val="22"/>
        </w:rPr>
        <w:t>Rook</w:t>
      </w:r>
      <w:r>
        <w:rPr>
          <w:spacing w:val="40"/>
          <w:sz w:val="22"/>
        </w:rPr>
        <w:t> </w:t>
      </w:r>
      <w:r>
        <w:rPr>
          <w:sz w:val="22"/>
        </w:rPr>
        <w:t>KM,</w:t>
      </w:r>
      <w:r>
        <w:rPr>
          <w:spacing w:val="40"/>
          <w:sz w:val="22"/>
        </w:rPr>
        <w:t> </w:t>
      </w:r>
      <w:r>
        <w:rPr>
          <w:sz w:val="22"/>
        </w:rPr>
        <w:t>Siddle</w:t>
      </w:r>
      <w:r>
        <w:rPr>
          <w:spacing w:val="40"/>
          <w:sz w:val="22"/>
        </w:rPr>
        <w:t> </w:t>
      </w:r>
      <w:r>
        <w:rPr>
          <w:sz w:val="22"/>
        </w:rPr>
        <w:t>NC,</w:t>
      </w:r>
      <w:r>
        <w:rPr>
          <w:spacing w:val="40"/>
          <w:sz w:val="22"/>
        </w:rPr>
        <w:t> </w:t>
      </w:r>
      <w:r>
        <w:rPr>
          <w:sz w:val="22"/>
        </w:rPr>
        <w:t>Bruce</w:t>
      </w:r>
      <w:r>
        <w:rPr>
          <w:spacing w:val="40"/>
          <w:sz w:val="22"/>
        </w:rPr>
        <w:t> </w:t>
      </w:r>
      <w:r>
        <w:rPr>
          <w:sz w:val="22"/>
        </w:rPr>
        <w:t>SA,</w:t>
      </w:r>
      <w:r>
        <w:rPr>
          <w:spacing w:val="40"/>
          <w:sz w:val="22"/>
        </w:rPr>
        <w:t> </w:t>
      </w:r>
      <w:r>
        <w:rPr>
          <w:sz w:val="22"/>
        </w:rPr>
        <w:t>Woldege</w:t>
      </w:r>
      <w:r>
        <w:rPr>
          <w:spacing w:val="40"/>
          <w:sz w:val="22"/>
        </w:rPr>
        <w:t> </w:t>
      </w:r>
      <w:r>
        <w:rPr>
          <w:sz w:val="22"/>
        </w:rPr>
        <w:t>RC.</w:t>
      </w:r>
      <w:r>
        <w:rPr>
          <w:spacing w:val="40"/>
          <w:sz w:val="22"/>
        </w:rPr>
        <w:t> </w:t>
      </w:r>
      <w:r>
        <w:rPr>
          <w:sz w:val="22"/>
        </w:rPr>
        <w:t>Muscle</w:t>
      </w:r>
      <w:r>
        <w:rPr>
          <w:spacing w:val="40"/>
          <w:sz w:val="22"/>
        </w:rPr>
        <w:t> </w:t>
      </w:r>
      <w:r>
        <w:rPr>
          <w:sz w:val="22"/>
        </w:rPr>
        <w:t>weakness</w:t>
      </w:r>
      <w:r>
        <w:rPr>
          <w:spacing w:val="40"/>
          <w:sz w:val="22"/>
        </w:rPr>
        <w:t> </w:t>
      </w:r>
      <w:r>
        <w:rPr>
          <w:sz w:val="22"/>
        </w:rPr>
        <w:t>in</w:t>
      </w:r>
      <w:r>
        <w:rPr>
          <w:spacing w:val="40"/>
          <w:sz w:val="22"/>
        </w:rPr>
        <w:t> </w:t>
      </w:r>
      <w:r>
        <w:rPr>
          <w:sz w:val="22"/>
        </w:rPr>
        <w:t>women occurs at an earlier age than in men but strength is preserved by hormone replacement therapy. </w:t>
      </w:r>
      <w:r>
        <w:rPr>
          <w:i/>
          <w:sz w:val="22"/>
        </w:rPr>
        <w:t>Clin Sci (Lond</w:t>
      </w:r>
      <w:r>
        <w:rPr>
          <w:sz w:val="22"/>
        </w:rPr>
        <w:t>). 1993;84:95.</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Preisinger E, Alacamlioglu Y, Saradeth T, Resch KL, Holzer G, Metka M. Forearm bone</w:t>
      </w:r>
      <w:r>
        <w:rPr>
          <w:spacing w:val="80"/>
          <w:sz w:val="22"/>
        </w:rPr>
        <w:t> </w:t>
      </w:r>
      <w:r>
        <w:rPr>
          <w:sz w:val="22"/>
        </w:rPr>
        <w:t>density and grip strength in women after menopause with and without estrogen replacement therapy. </w:t>
      </w:r>
      <w:r>
        <w:rPr>
          <w:i/>
          <w:sz w:val="22"/>
        </w:rPr>
        <w:t>Maturitas</w:t>
      </w:r>
      <w:r>
        <w:rPr>
          <w:sz w:val="22"/>
        </w:rPr>
        <w:t>. 1995;21:57.</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Hammar ML, Lindgren R, Berg GE, Möller CG, Niklasson MK. Effects of hormonal replacement therapy on postural balance among postmenopausal women. </w:t>
      </w:r>
      <w:r>
        <w:rPr>
          <w:i/>
          <w:sz w:val="22"/>
        </w:rPr>
        <w:t>Obstet </w:t>
      </w:r>
      <w:r>
        <w:rPr>
          <w:i/>
          <w:sz w:val="22"/>
        </w:rPr>
        <w:t>Gynecol</w:t>
      </w:r>
      <w:r>
        <w:rPr>
          <w:sz w:val="22"/>
        </w:rPr>
        <w:t>. </w:t>
      </w:r>
      <w:r>
        <w:rPr>
          <w:spacing w:val="-2"/>
          <w:sz w:val="22"/>
        </w:rPr>
        <w:t>1996;88:955.</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Naessen T, Lindmark B, Larsen H-C. Better postural balance in elderly women </w:t>
      </w:r>
      <w:r>
        <w:rPr>
          <w:sz w:val="22"/>
        </w:rPr>
        <w:t>receiving estrogens. </w:t>
      </w:r>
      <w:r>
        <w:rPr>
          <w:i/>
          <w:sz w:val="22"/>
        </w:rPr>
        <w:t>Am J Obstet Gynecol</w:t>
      </w:r>
      <w:r>
        <w:rPr>
          <w:sz w:val="22"/>
        </w:rPr>
        <w:t>. 1997;177:412.</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Ronkainen PHA, Kovanen V, Alen M, et al. Postmenopausal hormone replacement </w:t>
      </w:r>
      <w:r>
        <w:rPr>
          <w:sz w:val="22"/>
        </w:rPr>
        <w:t>therapy modifies</w:t>
      </w:r>
      <w:r>
        <w:rPr>
          <w:spacing w:val="40"/>
          <w:sz w:val="22"/>
        </w:rPr>
        <w:t> </w:t>
      </w:r>
      <w:r>
        <w:rPr>
          <w:sz w:val="22"/>
        </w:rPr>
        <w:t>skeletal</w:t>
      </w:r>
      <w:r>
        <w:rPr>
          <w:spacing w:val="40"/>
          <w:sz w:val="22"/>
        </w:rPr>
        <w:t> </w:t>
      </w:r>
      <w:r>
        <w:rPr>
          <w:sz w:val="22"/>
        </w:rPr>
        <w:t>muscle</w:t>
      </w:r>
      <w:r>
        <w:rPr>
          <w:spacing w:val="40"/>
          <w:sz w:val="22"/>
        </w:rPr>
        <w:t> </w:t>
      </w:r>
      <w:r>
        <w:rPr>
          <w:sz w:val="22"/>
        </w:rPr>
        <w:t>composition</w:t>
      </w:r>
      <w:r>
        <w:rPr>
          <w:spacing w:val="40"/>
          <w:sz w:val="22"/>
        </w:rPr>
        <w:t> </w:t>
      </w:r>
      <w:r>
        <w:rPr>
          <w:sz w:val="22"/>
        </w:rPr>
        <w:t>and</w:t>
      </w:r>
      <w:r>
        <w:rPr>
          <w:spacing w:val="40"/>
          <w:sz w:val="22"/>
        </w:rPr>
        <w:t> </w:t>
      </w:r>
      <w:r>
        <w:rPr>
          <w:sz w:val="22"/>
        </w:rPr>
        <w:t>function:</w:t>
      </w:r>
      <w:r>
        <w:rPr>
          <w:spacing w:val="40"/>
          <w:sz w:val="22"/>
        </w:rPr>
        <w:t> </w:t>
      </w:r>
      <w:r>
        <w:rPr>
          <w:sz w:val="22"/>
        </w:rPr>
        <w:t>a</w:t>
      </w:r>
      <w:r>
        <w:rPr>
          <w:spacing w:val="40"/>
          <w:sz w:val="22"/>
        </w:rPr>
        <w:t> </w:t>
      </w:r>
      <w:r>
        <w:rPr>
          <w:sz w:val="22"/>
        </w:rPr>
        <w:t>study</w:t>
      </w:r>
      <w:r>
        <w:rPr>
          <w:spacing w:val="40"/>
          <w:sz w:val="22"/>
        </w:rPr>
        <w:t> </w:t>
      </w:r>
      <w:r>
        <w:rPr>
          <w:sz w:val="22"/>
        </w:rPr>
        <w:t>with</w:t>
      </w:r>
      <w:r>
        <w:rPr>
          <w:spacing w:val="40"/>
          <w:sz w:val="22"/>
        </w:rPr>
        <w:t> </w:t>
      </w:r>
      <w:r>
        <w:rPr>
          <w:sz w:val="22"/>
        </w:rPr>
        <w:t>monozygotic</w:t>
      </w:r>
      <w:r>
        <w:rPr>
          <w:spacing w:val="40"/>
          <w:sz w:val="22"/>
        </w:rPr>
        <w:t> </w:t>
      </w:r>
      <w:r>
        <w:rPr>
          <w:sz w:val="22"/>
        </w:rPr>
        <w:t>twin</w:t>
      </w:r>
      <w:r>
        <w:rPr>
          <w:spacing w:val="40"/>
          <w:sz w:val="22"/>
        </w:rPr>
        <w:t> </w:t>
      </w:r>
      <w:r>
        <w:rPr>
          <w:sz w:val="22"/>
        </w:rPr>
        <w:t>pairs. </w:t>
      </w:r>
      <w:r>
        <w:rPr>
          <w:i/>
          <w:sz w:val="22"/>
        </w:rPr>
        <w:t>J</w:t>
      </w:r>
      <w:r>
        <w:rPr>
          <w:i/>
          <w:sz w:val="22"/>
        </w:rPr>
        <w:t> Appl Physiol</w:t>
      </w:r>
      <w:r>
        <w:rPr>
          <w:sz w:val="22"/>
        </w:rPr>
        <w:t>. 2009;107:25.</w:t>
      </w:r>
    </w:p>
    <w:p>
      <w:pPr>
        <w:pStyle w:val="ListParagraph"/>
        <w:numPr>
          <w:ilvl w:val="0"/>
          <w:numId w:val="9"/>
        </w:numPr>
        <w:tabs>
          <w:tab w:pos="710" w:val="left" w:leader="none"/>
        </w:tabs>
        <w:spacing w:line="251" w:lineRule="exact" w:before="0" w:after="0"/>
        <w:ind w:left="710" w:right="0" w:hanging="498"/>
        <w:jc w:val="both"/>
        <w:rPr>
          <w:sz w:val="22"/>
        </w:rPr>
      </w:pPr>
      <w:r>
        <w:rPr>
          <w:sz w:val="22"/>
        </w:rPr>
        <w:t>Ballinger</w:t>
      </w:r>
      <w:r>
        <w:rPr>
          <w:spacing w:val="11"/>
          <w:sz w:val="22"/>
        </w:rPr>
        <w:t> </w:t>
      </w:r>
      <w:r>
        <w:rPr>
          <w:sz w:val="22"/>
        </w:rPr>
        <w:t>CB.</w:t>
      </w:r>
      <w:r>
        <w:rPr>
          <w:spacing w:val="12"/>
          <w:sz w:val="22"/>
        </w:rPr>
        <w:t> </w:t>
      </w:r>
      <w:r>
        <w:rPr>
          <w:sz w:val="22"/>
        </w:rPr>
        <w:t>Psychiatric</w:t>
      </w:r>
      <w:r>
        <w:rPr>
          <w:spacing w:val="12"/>
          <w:sz w:val="22"/>
        </w:rPr>
        <w:t> </w:t>
      </w:r>
      <w:r>
        <w:rPr>
          <w:sz w:val="22"/>
        </w:rPr>
        <w:t>aspects</w:t>
      </w:r>
      <w:r>
        <w:rPr>
          <w:spacing w:val="12"/>
          <w:sz w:val="22"/>
        </w:rPr>
        <w:t> </w:t>
      </w:r>
      <w:r>
        <w:rPr>
          <w:sz w:val="22"/>
        </w:rPr>
        <w:t>of</w:t>
      </w:r>
      <w:r>
        <w:rPr>
          <w:spacing w:val="12"/>
          <w:sz w:val="22"/>
        </w:rPr>
        <w:t> </w:t>
      </w:r>
      <w:r>
        <w:rPr>
          <w:sz w:val="22"/>
        </w:rPr>
        <w:t>the</w:t>
      </w:r>
      <w:r>
        <w:rPr>
          <w:spacing w:val="12"/>
          <w:sz w:val="22"/>
        </w:rPr>
        <w:t> </w:t>
      </w:r>
      <w:r>
        <w:rPr>
          <w:sz w:val="22"/>
        </w:rPr>
        <w:t>menopause.</w:t>
      </w:r>
      <w:r>
        <w:rPr>
          <w:spacing w:val="12"/>
          <w:sz w:val="22"/>
        </w:rPr>
        <w:t> </w:t>
      </w:r>
      <w:r>
        <w:rPr>
          <w:i/>
          <w:sz w:val="22"/>
        </w:rPr>
        <w:t>Br</w:t>
      </w:r>
      <w:r>
        <w:rPr>
          <w:i/>
          <w:spacing w:val="12"/>
          <w:sz w:val="22"/>
        </w:rPr>
        <w:t> </w:t>
      </w:r>
      <w:r>
        <w:rPr>
          <w:i/>
          <w:sz w:val="22"/>
        </w:rPr>
        <w:t>J</w:t>
      </w:r>
      <w:r>
        <w:rPr>
          <w:i/>
          <w:spacing w:val="11"/>
          <w:sz w:val="22"/>
        </w:rPr>
        <w:t> </w:t>
      </w:r>
      <w:r>
        <w:rPr>
          <w:i/>
          <w:sz w:val="22"/>
        </w:rPr>
        <w:t>Psychiatr</w:t>
      </w:r>
      <w:r>
        <w:rPr>
          <w:sz w:val="22"/>
        </w:rPr>
        <w:t>.</w:t>
      </w:r>
      <w:r>
        <w:rPr>
          <w:spacing w:val="12"/>
          <w:sz w:val="22"/>
        </w:rPr>
        <w:t> </w:t>
      </w:r>
      <w:r>
        <w:rPr>
          <w:spacing w:val="-2"/>
          <w:sz w:val="22"/>
        </w:rPr>
        <w:t>1990;156:773.</w:t>
      </w:r>
    </w:p>
    <w:p>
      <w:pPr>
        <w:pStyle w:val="ListParagraph"/>
        <w:numPr>
          <w:ilvl w:val="0"/>
          <w:numId w:val="9"/>
        </w:numPr>
        <w:tabs>
          <w:tab w:pos="709" w:val="left" w:leader="none"/>
          <w:tab w:pos="718" w:val="left" w:leader="none"/>
        </w:tabs>
        <w:spacing w:line="256" w:lineRule="auto" w:before="10" w:after="0"/>
        <w:ind w:left="718" w:right="98" w:hanging="507"/>
        <w:jc w:val="both"/>
        <w:rPr>
          <w:sz w:val="22"/>
        </w:rPr>
      </w:pPr>
      <w:r>
        <w:rPr>
          <w:sz w:val="22"/>
        </w:rPr>
        <w:t>Schmidt PJ, Rubinow DR. Menopause-related affective disorders: a justification for </w:t>
      </w:r>
      <w:r>
        <w:rPr>
          <w:sz w:val="22"/>
        </w:rPr>
        <w:t>further study. </w:t>
      </w:r>
      <w:r>
        <w:rPr>
          <w:i/>
          <w:sz w:val="22"/>
        </w:rPr>
        <w:t>Am J Psychiatr</w:t>
      </w:r>
      <w:r>
        <w:rPr>
          <w:sz w:val="22"/>
        </w:rPr>
        <w:t>. 1991;148:844.</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Gath D, Osborn M, Bungay G, et al. Psychiatric disorder and gynaecological symptoms </w:t>
      </w:r>
      <w:r>
        <w:rPr>
          <w:sz w:val="22"/>
        </w:rPr>
        <w:t>in middle aged women: a community survey. </w:t>
      </w:r>
      <w:r>
        <w:rPr>
          <w:i/>
          <w:sz w:val="22"/>
        </w:rPr>
        <w:t>Br Med J</w:t>
      </w:r>
      <w:r>
        <w:rPr>
          <w:sz w:val="22"/>
        </w:rPr>
        <w:t>. 1987;294:213.</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Avis NE, Brambilla D, McKinlay SM, Vass K. A longitudinal analysis of the </w:t>
      </w:r>
      <w:r>
        <w:rPr>
          <w:sz w:val="22"/>
        </w:rPr>
        <w:t>association between menopause and depression: results from the Massachusetts Women’s Health Study.</w:t>
      </w:r>
      <w:r>
        <w:rPr>
          <w:spacing w:val="40"/>
          <w:sz w:val="22"/>
        </w:rPr>
        <w:t> </w:t>
      </w:r>
      <w:r>
        <w:rPr>
          <w:i/>
          <w:sz w:val="22"/>
        </w:rPr>
        <w:t>Ann Epidemiol</w:t>
      </w:r>
      <w:r>
        <w:rPr>
          <w:sz w:val="22"/>
        </w:rPr>
        <w:t>. 1994;4:214.</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Everson</w:t>
      </w:r>
      <w:r>
        <w:rPr>
          <w:spacing w:val="40"/>
          <w:sz w:val="22"/>
        </w:rPr>
        <w:t> </w:t>
      </w:r>
      <w:r>
        <w:rPr>
          <w:sz w:val="22"/>
        </w:rPr>
        <w:t>SA,</w:t>
      </w:r>
      <w:r>
        <w:rPr>
          <w:spacing w:val="40"/>
          <w:sz w:val="22"/>
        </w:rPr>
        <w:t> </w:t>
      </w:r>
      <w:r>
        <w:rPr>
          <w:sz w:val="22"/>
        </w:rPr>
        <w:t>Matthews</w:t>
      </w:r>
      <w:r>
        <w:rPr>
          <w:spacing w:val="40"/>
          <w:sz w:val="22"/>
        </w:rPr>
        <w:t> </w:t>
      </w:r>
      <w:r>
        <w:rPr>
          <w:sz w:val="22"/>
        </w:rPr>
        <w:t>KA,</w:t>
      </w:r>
      <w:r>
        <w:rPr>
          <w:spacing w:val="40"/>
          <w:sz w:val="22"/>
        </w:rPr>
        <w:t> </w:t>
      </w:r>
      <w:r>
        <w:rPr>
          <w:sz w:val="22"/>
        </w:rPr>
        <w:t>Guzick</w:t>
      </w:r>
      <w:r>
        <w:rPr>
          <w:spacing w:val="40"/>
          <w:sz w:val="22"/>
        </w:rPr>
        <w:t> </w:t>
      </w:r>
      <w:r>
        <w:rPr>
          <w:sz w:val="22"/>
        </w:rPr>
        <w:t>DS,</w:t>
      </w:r>
      <w:r>
        <w:rPr>
          <w:spacing w:val="40"/>
          <w:sz w:val="22"/>
        </w:rPr>
        <w:t> </w:t>
      </w:r>
      <w:r>
        <w:rPr>
          <w:sz w:val="22"/>
        </w:rPr>
        <w:t>Meilahn</w:t>
      </w:r>
      <w:r>
        <w:rPr>
          <w:spacing w:val="40"/>
          <w:sz w:val="22"/>
        </w:rPr>
        <w:t> </w:t>
      </w:r>
      <w:r>
        <w:rPr>
          <w:sz w:val="22"/>
        </w:rPr>
        <w:t>EN,</w:t>
      </w:r>
      <w:r>
        <w:rPr>
          <w:spacing w:val="40"/>
          <w:sz w:val="22"/>
        </w:rPr>
        <w:t> </w:t>
      </w:r>
      <w:r>
        <w:rPr>
          <w:sz w:val="22"/>
        </w:rPr>
        <w:t>Wing</w:t>
      </w:r>
      <w:r>
        <w:rPr>
          <w:spacing w:val="40"/>
          <w:sz w:val="22"/>
        </w:rPr>
        <w:t> </w:t>
      </w:r>
      <w:r>
        <w:rPr>
          <w:sz w:val="22"/>
        </w:rPr>
        <w:t>RR,</w:t>
      </w:r>
      <w:r>
        <w:rPr>
          <w:spacing w:val="40"/>
          <w:sz w:val="22"/>
        </w:rPr>
        <w:t> </w:t>
      </w:r>
      <w:r>
        <w:rPr>
          <w:sz w:val="22"/>
        </w:rPr>
        <w:t>Kuller</w:t>
      </w:r>
      <w:r>
        <w:rPr>
          <w:spacing w:val="40"/>
          <w:sz w:val="22"/>
        </w:rPr>
        <w:t> </w:t>
      </w:r>
      <w:r>
        <w:rPr>
          <w:sz w:val="22"/>
        </w:rPr>
        <w:t>LH.</w:t>
      </w:r>
      <w:r>
        <w:rPr>
          <w:spacing w:val="40"/>
          <w:sz w:val="22"/>
        </w:rPr>
        <w:t> </w:t>
      </w:r>
      <w:r>
        <w:rPr>
          <w:sz w:val="22"/>
        </w:rPr>
        <w:t>Effects</w:t>
      </w:r>
      <w:r>
        <w:rPr>
          <w:spacing w:val="40"/>
          <w:sz w:val="22"/>
        </w:rPr>
        <w:t> </w:t>
      </w:r>
      <w:r>
        <w:rPr>
          <w:sz w:val="22"/>
        </w:rPr>
        <w:t>of surgical</w:t>
      </w:r>
      <w:r>
        <w:rPr>
          <w:spacing w:val="40"/>
          <w:sz w:val="22"/>
        </w:rPr>
        <w:t> </w:t>
      </w:r>
      <w:r>
        <w:rPr>
          <w:sz w:val="22"/>
        </w:rPr>
        <w:t>menopause</w:t>
      </w:r>
      <w:r>
        <w:rPr>
          <w:spacing w:val="40"/>
          <w:sz w:val="22"/>
        </w:rPr>
        <w:t> </w:t>
      </w:r>
      <w:r>
        <w:rPr>
          <w:sz w:val="22"/>
        </w:rPr>
        <w:t>on</w:t>
      </w:r>
      <w:r>
        <w:rPr>
          <w:spacing w:val="40"/>
          <w:sz w:val="22"/>
        </w:rPr>
        <w:t> </w:t>
      </w:r>
      <w:r>
        <w:rPr>
          <w:sz w:val="22"/>
        </w:rPr>
        <w:t>lipid</w:t>
      </w:r>
      <w:r>
        <w:rPr>
          <w:spacing w:val="40"/>
          <w:sz w:val="22"/>
        </w:rPr>
        <w:t> </w:t>
      </w:r>
      <w:r>
        <w:rPr>
          <w:sz w:val="22"/>
        </w:rPr>
        <w:t>levels</w:t>
      </w:r>
      <w:r>
        <w:rPr>
          <w:spacing w:val="40"/>
          <w:sz w:val="22"/>
        </w:rPr>
        <w:t> </w:t>
      </w:r>
      <w:r>
        <w:rPr>
          <w:sz w:val="22"/>
        </w:rPr>
        <w:t>and</w:t>
      </w:r>
      <w:r>
        <w:rPr>
          <w:spacing w:val="40"/>
          <w:sz w:val="22"/>
        </w:rPr>
        <w:t> </w:t>
      </w:r>
      <w:r>
        <w:rPr>
          <w:sz w:val="22"/>
        </w:rPr>
        <w:t>psychosocial</w:t>
      </w:r>
      <w:r>
        <w:rPr>
          <w:spacing w:val="40"/>
          <w:sz w:val="22"/>
        </w:rPr>
        <w:t> </w:t>
      </w:r>
      <w:r>
        <w:rPr>
          <w:sz w:val="22"/>
        </w:rPr>
        <w:t>characteristics:</w:t>
      </w:r>
      <w:r>
        <w:rPr>
          <w:spacing w:val="40"/>
          <w:sz w:val="22"/>
        </w:rPr>
        <w:t> </w:t>
      </w:r>
      <w:r>
        <w:rPr>
          <w:sz w:val="22"/>
        </w:rPr>
        <w:t>the</w:t>
      </w:r>
      <w:r>
        <w:rPr>
          <w:spacing w:val="40"/>
          <w:sz w:val="22"/>
        </w:rPr>
        <w:t> </w:t>
      </w:r>
      <w:r>
        <w:rPr>
          <w:sz w:val="22"/>
        </w:rPr>
        <w:t>Healthy</w:t>
      </w:r>
      <w:r>
        <w:rPr>
          <w:spacing w:val="40"/>
          <w:sz w:val="22"/>
        </w:rPr>
        <w:t> </w:t>
      </w:r>
      <w:r>
        <w:rPr>
          <w:sz w:val="22"/>
        </w:rPr>
        <w:t>Women Study. </w:t>
      </w:r>
      <w:r>
        <w:rPr>
          <w:i/>
          <w:sz w:val="22"/>
        </w:rPr>
        <w:t>Health Psychol</w:t>
      </w:r>
      <w:r>
        <w:rPr>
          <w:sz w:val="22"/>
        </w:rPr>
        <w:t>. 1995;14:435.</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Busch</w:t>
      </w:r>
      <w:r>
        <w:rPr>
          <w:spacing w:val="22"/>
          <w:sz w:val="22"/>
        </w:rPr>
        <w:t> </w:t>
      </w:r>
      <w:r>
        <w:rPr>
          <w:sz w:val="22"/>
        </w:rPr>
        <w:t>CM,</w:t>
      </w:r>
      <w:r>
        <w:rPr>
          <w:spacing w:val="22"/>
          <w:sz w:val="22"/>
        </w:rPr>
        <w:t> </w:t>
      </w:r>
      <w:r>
        <w:rPr>
          <w:sz w:val="22"/>
        </w:rPr>
        <w:t>Zonderman</w:t>
      </w:r>
      <w:r>
        <w:rPr>
          <w:spacing w:val="22"/>
          <w:sz w:val="22"/>
        </w:rPr>
        <w:t> </w:t>
      </w:r>
      <w:r>
        <w:rPr>
          <w:sz w:val="22"/>
        </w:rPr>
        <w:t>AB,</w:t>
      </w:r>
      <w:r>
        <w:rPr>
          <w:spacing w:val="22"/>
          <w:sz w:val="22"/>
        </w:rPr>
        <w:t> </w:t>
      </w:r>
      <w:r>
        <w:rPr>
          <w:sz w:val="22"/>
        </w:rPr>
        <w:t>Costa</w:t>
      </w:r>
      <w:r>
        <w:rPr>
          <w:spacing w:val="22"/>
          <w:sz w:val="22"/>
        </w:rPr>
        <w:t> </w:t>
      </w:r>
      <w:r>
        <w:rPr>
          <w:sz w:val="22"/>
        </w:rPr>
        <w:t>PT</w:t>
      </w:r>
      <w:r>
        <w:rPr>
          <w:spacing w:val="22"/>
          <w:sz w:val="22"/>
        </w:rPr>
        <w:t> </w:t>
      </w:r>
      <w:r>
        <w:rPr>
          <w:sz w:val="22"/>
        </w:rPr>
        <w:t>Jr.</w:t>
      </w:r>
      <w:r>
        <w:rPr>
          <w:spacing w:val="22"/>
          <w:sz w:val="22"/>
        </w:rPr>
        <w:t> </w:t>
      </w:r>
      <w:r>
        <w:rPr>
          <w:sz w:val="22"/>
        </w:rPr>
        <w:t>Menopausal</w:t>
      </w:r>
      <w:r>
        <w:rPr>
          <w:spacing w:val="24"/>
          <w:sz w:val="22"/>
        </w:rPr>
        <w:t> </w:t>
      </w:r>
      <w:r>
        <w:rPr>
          <w:sz w:val="22"/>
        </w:rPr>
        <w:t>transition</w:t>
      </w:r>
      <w:r>
        <w:rPr>
          <w:spacing w:val="24"/>
          <w:sz w:val="22"/>
        </w:rPr>
        <w:t> </w:t>
      </w:r>
      <w:r>
        <w:rPr>
          <w:sz w:val="22"/>
        </w:rPr>
        <w:t>and</w:t>
      </w:r>
      <w:r>
        <w:rPr>
          <w:spacing w:val="24"/>
          <w:sz w:val="22"/>
        </w:rPr>
        <w:t> </w:t>
      </w:r>
      <w:r>
        <w:rPr>
          <w:sz w:val="22"/>
        </w:rPr>
        <w:t>psychological</w:t>
      </w:r>
      <w:r>
        <w:rPr>
          <w:spacing w:val="24"/>
          <w:sz w:val="22"/>
        </w:rPr>
        <w:t> </w:t>
      </w:r>
      <w:r>
        <w:rPr>
          <w:sz w:val="22"/>
        </w:rPr>
        <w:t>distress</w:t>
      </w:r>
      <w:r>
        <w:rPr>
          <w:spacing w:val="24"/>
          <w:sz w:val="22"/>
        </w:rPr>
        <w:t> </w:t>
      </w:r>
      <w:r>
        <w:rPr>
          <w:sz w:val="22"/>
        </w:rPr>
        <w:t>in a nationally representative sample: is menopause associated with psychological distress? </w:t>
      </w:r>
      <w:r>
        <w:rPr>
          <w:i/>
          <w:sz w:val="22"/>
        </w:rPr>
        <w:t>J</w:t>
      </w:r>
      <w:r>
        <w:rPr>
          <w:i/>
          <w:spacing w:val="80"/>
          <w:sz w:val="22"/>
        </w:rPr>
        <w:t> </w:t>
      </w:r>
      <w:r>
        <w:rPr>
          <w:i/>
          <w:sz w:val="22"/>
        </w:rPr>
        <w:t>Aging Health</w:t>
      </w:r>
      <w:r>
        <w:rPr>
          <w:sz w:val="22"/>
        </w:rPr>
        <w:t>. 1994;6:209.</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Kessler RC, McGonagle KA, Swartz M, Blazer DG, Nelson CB. Sex and depression in the National</w:t>
      </w:r>
      <w:r>
        <w:rPr>
          <w:spacing w:val="40"/>
          <w:sz w:val="22"/>
        </w:rPr>
        <w:t> </w:t>
      </w:r>
      <w:r>
        <w:rPr>
          <w:sz w:val="22"/>
        </w:rPr>
        <w:t>Comorbidity</w:t>
      </w:r>
      <w:r>
        <w:rPr>
          <w:spacing w:val="40"/>
          <w:sz w:val="22"/>
        </w:rPr>
        <w:t> </w:t>
      </w:r>
      <w:r>
        <w:rPr>
          <w:sz w:val="22"/>
        </w:rPr>
        <w:t>Survey</w:t>
      </w:r>
      <w:r>
        <w:rPr>
          <w:spacing w:val="40"/>
          <w:sz w:val="22"/>
        </w:rPr>
        <w:t> </w:t>
      </w:r>
      <w:r>
        <w:rPr>
          <w:sz w:val="22"/>
        </w:rPr>
        <w:t>I:</w:t>
      </w:r>
      <w:r>
        <w:rPr>
          <w:spacing w:val="40"/>
          <w:sz w:val="22"/>
        </w:rPr>
        <w:t> </w:t>
      </w:r>
      <w:r>
        <w:rPr>
          <w:sz w:val="22"/>
        </w:rPr>
        <w:t>lifetime</w:t>
      </w:r>
      <w:r>
        <w:rPr>
          <w:spacing w:val="40"/>
          <w:sz w:val="22"/>
        </w:rPr>
        <w:t> </w:t>
      </w:r>
      <w:r>
        <w:rPr>
          <w:sz w:val="22"/>
        </w:rPr>
        <w:t>prevalence,</w:t>
      </w:r>
      <w:r>
        <w:rPr>
          <w:spacing w:val="40"/>
          <w:sz w:val="22"/>
        </w:rPr>
        <w:t> </w:t>
      </w:r>
      <w:r>
        <w:rPr>
          <w:sz w:val="22"/>
        </w:rPr>
        <w:t>chronicity</w:t>
      </w:r>
      <w:r>
        <w:rPr>
          <w:spacing w:val="40"/>
          <w:sz w:val="22"/>
        </w:rPr>
        <w:t> </w:t>
      </w:r>
      <w:r>
        <w:rPr>
          <w:sz w:val="22"/>
        </w:rPr>
        <w:t>and</w:t>
      </w:r>
      <w:r>
        <w:rPr>
          <w:spacing w:val="40"/>
          <w:sz w:val="22"/>
        </w:rPr>
        <w:t> </w:t>
      </w:r>
      <w:r>
        <w:rPr>
          <w:sz w:val="22"/>
        </w:rPr>
        <w:t>recurrence.</w:t>
      </w:r>
      <w:r>
        <w:rPr>
          <w:spacing w:val="40"/>
          <w:sz w:val="22"/>
        </w:rPr>
        <w:t> </w:t>
      </w:r>
      <w:r>
        <w:rPr>
          <w:i/>
          <w:sz w:val="22"/>
        </w:rPr>
        <w:t>J</w:t>
      </w:r>
      <w:r>
        <w:rPr>
          <w:i/>
          <w:spacing w:val="40"/>
          <w:sz w:val="22"/>
        </w:rPr>
        <w:t> </w:t>
      </w:r>
      <w:r>
        <w:rPr>
          <w:i/>
          <w:sz w:val="22"/>
        </w:rPr>
        <w:t>Affect</w:t>
      </w:r>
      <w:r>
        <w:rPr>
          <w:i/>
          <w:sz w:val="22"/>
        </w:rPr>
        <w:t> Disord</w:t>
      </w:r>
      <w:r>
        <w:rPr>
          <w:sz w:val="22"/>
        </w:rPr>
        <w:t>. 1993;29:85.</w:t>
      </w:r>
    </w:p>
    <w:p>
      <w:pPr>
        <w:pStyle w:val="ListParagraph"/>
        <w:numPr>
          <w:ilvl w:val="0"/>
          <w:numId w:val="9"/>
        </w:numPr>
        <w:tabs>
          <w:tab w:pos="710" w:val="left" w:leader="none"/>
        </w:tabs>
        <w:spacing w:line="251" w:lineRule="exact" w:before="0" w:after="0"/>
        <w:ind w:left="710" w:right="0" w:hanging="498"/>
        <w:jc w:val="both"/>
        <w:rPr>
          <w:sz w:val="22"/>
        </w:rPr>
      </w:pPr>
      <w:r>
        <w:rPr>
          <w:sz w:val="22"/>
        </w:rPr>
        <w:t>Dennerstein</w:t>
      </w:r>
      <w:r>
        <w:rPr>
          <w:spacing w:val="17"/>
          <w:sz w:val="22"/>
        </w:rPr>
        <w:t> </w:t>
      </w:r>
      <w:r>
        <w:rPr>
          <w:sz w:val="22"/>
        </w:rPr>
        <w:t>L,</w:t>
      </w:r>
      <w:r>
        <w:rPr>
          <w:spacing w:val="18"/>
          <w:sz w:val="22"/>
        </w:rPr>
        <w:t> </w:t>
      </w:r>
      <w:r>
        <w:rPr>
          <w:sz w:val="22"/>
        </w:rPr>
        <w:t>Smith</w:t>
      </w:r>
      <w:r>
        <w:rPr>
          <w:spacing w:val="18"/>
          <w:sz w:val="22"/>
        </w:rPr>
        <w:t> </w:t>
      </w:r>
      <w:r>
        <w:rPr>
          <w:sz w:val="22"/>
        </w:rPr>
        <w:t>AMA,</w:t>
      </w:r>
      <w:r>
        <w:rPr>
          <w:spacing w:val="17"/>
          <w:sz w:val="22"/>
        </w:rPr>
        <w:t> </w:t>
      </w:r>
      <w:r>
        <w:rPr>
          <w:sz w:val="22"/>
        </w:rPr>
        <w:t>Morse</w:t>
      </w:r>
      <w:r>
        <w:rPr>
          <w:spacing w:val="18"/>
          <w:sz w:val="22"/>
        </w:rPr>
        <w:t> </w:t>
      </w:r>
      <w:r>
        <w:rPr>
          <w:sz w:val="22"/>
        </w:rPr>
        <w:t>C.</w:t>
      </w:r>
      <w:r>
        <w:rPr>
          <w:spacing w:val="18"/>
          <w:sz w:val="22"/>
        </w:rPr>
        <w:t> </w:t>
      </w:r>
      <w:r>
        <w:rPr>
          <w:sz w:val="22"/>
        </w:rPr>
        <w:t>Psychological</w:t>
      </w:r>
      <w:r>
        <w:rPr>
          <w:spacing w:val="22"/>
          <w:sz w:val="22"/>
        </w:rPr>
        <w:t> </w:t>
      </w:r>
      <w:r>
        <w:rPr>
          <w:sz w:val="22"/>
        </w:rPr>
        <w:t>well-being,</w:t>
      </w:r>
      <w:r>
        <w:rPr>
          <w:spacing w:val="23"/>
          <w:sz w:val="22"/>
        </w:rPr>
        <w:t> </w:t>
      </w:r>
      <w:r>
        <w:rPr>
          <w:sz w:val="22"/>
        </w:rPr>
        <w:t>mid-life</w:t>
      </w:r>
      <w:r>
        <w:rPr>
          <w:spacing w:val="22"/>
          <w:sz w:val="22"/>
        </w:rPr>
        <w:t> </w:t>
      </w:r>
      <w:r>
        <w:rPr>
          <w:sz w:val="22"/>
        </w:rPr>
        <w:t>and</w:t>
      </w:r>
      <w:r>
        <w:rPr>
          <w:spacing w:val="23"/>
          <w:sz w:val="22"/>
        </w:rPr>
        <w:t> </w:t>
      </w:r>
      <w:r>
        <w:rPr>
          <w:sz w:val="22"/>
        </w:rPr>
        <w:t>the</w:t>
      </w:r>
      <w:r>
        <w:rPr>
          <w:spacing w:val="22"/>
          <w:sz w:val="22"/>
        </w:rPr>
        <w:t> </w:t>
      </w:r>
      <w:r>
        <w:rPr>
          <w:spacing w:val="-2"/>
          <w:sz w:val="22"/>
        </w:rPr>
        <w:t>menopause.</w:t>
      </w:r>
    </w:p>
    <w:p>
      <w:pPr>
        <w:spacing w:before="8"/>
        <w:ind w:left="718" w:right="0" w:firstLine="0"/>
        <w:jc w:val="both"/>
        <w:rPr>
          <w:sz w:val="22"/>
        </w:rPr>
      </w:pPr>
      <w:r>
        <w:rPr>
          <w:i/>
          <w:sz w:val="22"/>
        </w:rPr>
        <w:t>Maturitas</w:t>
      </w:r>
      <w:r>
        <w:rPr>
          <w:sz w:val="22"/>
        </w:rPr>
        <w:t>.</w:t>
      </w:r>
      <w:r>
        <w:rPr>
          <w:spacing w:val="19"/>
          <w:sz w:val="22"/>
        </w:rPr>
        <w:t> </w:t>
      </w:r>
      <w:r>
        <w:rPr>
          <w:spacing w:val="-2"/>
          <w:sz w:val="22"/>
        </w:rPr>
        <w:t>1994;20:1.</w:t>
      </w:r>
    </w:p>
    <w:p>
      <w:pPr>
        <w:pStyle w:val="ListParagraph"/>
        <w:numPr>
          <w:ilvl w:val="0"/>
          <w:numId w:val="9"/>
        </w:numPr>
        <w:tabs>
          <w:tab w:pos="709" w:val="left" w:leader="none"/>
          <w:tab w:pos="718" w:val="left" w:leader="none"/>
        </w:tabs>
        <w:spacing w:line="256" w:lineRule="auto" w:before="17" w:after="0"/>
        <w:ind w:left="718" w:right="98" w:hanging="507"/>
        <w:jc w:val="left"/>
        <w:rPr>
          <w:sz w:val="22"/>
        </w:rPr>
      </w:pPr>
      <w:r>
        <w:rPr>
          <w:sz w:val="22"/>
        </w:rPr>
        <w:t>Mitchell</w:t>
      </w:r>
      <w:r>
        <w:rPr>
          <w:spacing w:val="40"/>
          <w:sz w:val="22"/>
        </w:rPr>
        <w:t> </w:t>
      </w:r>
      <w:r>
        <w:rPr>
          <w:sz w:val="22"/>
        </w:rPr>
        <w:t>ES,</w:t>
      </w:r>
      <w:r>
        <w:rPr>
          <w:spacing w:val="40"/>
          <w:sz w:val="22"/>
        </w:rPr>
        <w:t> </w:t>
      </w:r>
      <w:r>
        <w:rPr>
          <w:sz w:val="22"/>
        </w:rPr>
        <w:t>Woods</w:t>
      </w:r>
      <w:r>
        <w:rPr>
          <w:spacing w:val="40"/>
          <w:sz w:val="22"/>
        </w:rPr>
        <w:t> </w:t>
      </w:r>
      <w:r>
        <w:rPr>
          <w:sz w:val="22"/>
        </w:rPr>
        <w:t>NF.</w:t>
      </w:r>
      <w:r>
        <w:rPr>
          <w:spacing w:val="40"/>
          <w:sz w:val="22"/>
        </w:rPr>
        <w:t> </w:t>
      </w:r>
      <w:r>
        <w:rPr>
          <w:sz w:val="22"/>
        </w:rPr>
        <w:t>Symptom</w:t>
      </w:r>
      <w:r>
        <w:rPr>
          <w:spacing w:val="40"/>
          <w:sz w:val="22"/>
        </w:rPr>
        <w:t> </w:t>
      </w:r>
      <w:r>
        <w:rPr>
          <w:sz w:val="22"/>
        </w:rPr>
        <w:t>experiences</w:t>
      </w:r>
      <w:r>
        <w:rPr>
          <w:spacing w:val="40"/>
          <w:sz w:val="22"/>
        </w:rPr>
        <w:t> </w:t>
      </w:r>
      <w:r>
        <w:rPr>
          <w:sz w:val="22"/>
        </w:rPr>
        <w:t>of</w:t>
      </w:r>
      <w:r>
        <w:rPr>
          <w:spacing w:val="40"/>
          <w:sz w:val="22"/>
        </w:rPr>
        <w:t> </w:t>
      </w:r>
      <w:r>
        <w:rPr>
          <w:sz w:val="22"/>
        </w:rPr>
        <w:t>midlife</w:t>
      </w:r>
      <w:r>
        <w:rPr>
          <w:spacing w:val="40"/>
          <w:sz w:val="22"/>
        </w:rPr>
        <w:t> </w:t>
      </w:r>
      <w:r>
        <w:rPr>
          <w:sz w:val="22"/>
        </w:rPr>
        <w:t>women:</w:t>
      </w:r>
      <w:r>
        <w:rPr>
          <w:spacing w:val="40"/>
          <w:sz w:val="22"/>
        </w:rPr>
        <w:t> </w:t>
      </w:r>
      <w:r>
        <w:rPr>
          <w:sz w:val="22"/>
        </w:rPr>
        <w:t>observations</w:t>
      </w:r>
      <w:r>
        <w:rPr>
          <w:spacing w:val="40"/>
          <w:sz w:val="22"/>
        </w:rPr>
        <w:t> </w:t>
      </w:r>
      <w:r>
        <w:rPr>
          <w:sz w:val="22"/>
        </w:rPr>
        <w:t>from</w:t>
      </w:r>
      <w:r>
        <w:rPr>
          <w:spacing w:val="40"/>
          <w:sz w:val="22"/>
        </w:rPr>
        <w:t> </w:t>
      </w:r>
      <w:r>
        <w:rPr>
          <w:sz w:val="22"/>
        </w:rPr>
        <w:t>the</w:t>
      </w:r>
      <w:r>
        <w:rPr>
          <w:spacing w:val="40"/>
          <w:sz w:val="22"/>
        </w:rPr>
        <w:t> </w:t>
      </w:r>
      <w:r>
        <w:rPr>
          <w:sz w:val="22"/>
        </w:rPr>
        <w:t>Seattle midlife Women’s Health Study. </w:t>
      </w:r>
      <w:r>
        <w:rPr>
          <w:i/>
          <w:sz w:val="22"/>
        </w:rPr>
        <w:t>Maturitas</w:t>
      </w:r>
      <w:r>
        <w:rPr>
          <w:sz w:val="22"/>
        </w:rPr>
        <w:t>. 1996;25:1.</w:t>
      </w:r>
    </w:p>
    <w:p>
      <w:pPr>
        <w:pStyle w:val="ListParagraph"/>
        <w:numPr>
          <w:ilvl w:val="0"/>
          <w:numId w:val="9"/>
        </w:numPr>
        <w:tabs>
          <w:tab w:pos="709" w:val="left" w:leader="none"/>
          <w:tab w:pos="718" w:val="left" w:leader="none"/>
        </w:tabs>
        <w:spacing w:line="256" w:lineRule="auto" w:before="0" w:after="0"/>
        <w:ind w:left="718" w:right="109" w:hanging="507"/>
        <w:jc w:val="left"/>
        <w:rPr>
          <w:sz w:val="22"/>
        </w:rPr>
      </w:pPr>
      <w:r>
        <w:rPr>
          <w:sz w:val="22"/>
        </w:rPr>
        <w:t>Van Hall EV, Verdel M, Van Der Velden J. “Perimenopausal”</w:t>
      </w:r>
      <w:r>
        <w:rPr>
          <w:spacing w:val="13"/>
          <w:sz w:val="22"/>
        </w:rPr>
        <w:t> </w:t>
      </w:r>
      <w:r>
        <w:rPr>
          <w:sz w:val="22"/>
        </w:rPr>
        <w:t>complaints</w:t>
      </w:r>
      <w:r>
        <w:rPr>
          <w:spacing w:val="13"/>
          <w:sz w:val="22"/>
        </w:rPr>
        <w:t> </w:t>
      </w:r>
      <w:r>
        <w:rPr>
          <w:sz w:val="22"/>
        </w:rPr>
        <w:t>in</w:t>
      </w:r>
      <w:r>
        <w:rPr>
          <w:spacing w:val="13"/>
          <w:sz w:val="22"/>
        </w:rPr>
        <w:t> </w:t>
      </w:r>
      <w:r>
        <w:rPr>
          <w:sz w:val="22"/>
        </w:rPr>
        <w:t>women</w:t>
      </w:r>
      <w:r>
        <w:rPr>
          <w:spacing w:val="13"/>
          <w:sz w:val="22"/>
        </w:rPr>
        <w:t> </w:t>
      </w:r>
      <w:r>
        <w:rPr>
          <w:sz w:val="22"/>
        </w:rPr>
        <w:t>and</w:t>
      </w:r>
      <w:r>
        <w:rPr>
          <w:spacing w:val="13"/>
          <w:sz w:val="22"/>
        </w:rPr>
        <w:t> </w:t>
      </w:r>
      <w:r>
        <w:rPr>
          <w:sz w:val="22"/>
        </w:rPr>
        <w:t>men:</w:t>
      </w:r>
      <w:r>
        <w:rPr>
          <w:spacing w:val="40"/>
          <w:sz w:val="22"/>
        </w:rPr>
        <w:t> </w:t>
      </w:r>
      <w:r>
        <w:rPr>
          <w:sz w:val="22"/>
        </w:rPr>
        <w:t>a comparative study. </w:t>
      </w:r>
      <w:r>
        <w:rPr>
          <w:i/>
          <w:sz w:val="22"/>
        </w:rPr>
        <w:t>J Womens Health</w:t>
      </w:r>
      <w:r>
        <w:rPr>
          <w:sz w:val="22"/>
        </w:rPr>
        <w:t>. 1994;3:45.</w:t>
      </w:r>
    </w:p>
    <w:p>
      <w:pPr>
        <w:pStyle w:val="ListParagraph"/>
        <w:numPr>
          <w:ilvl w:val="0"/>
          <w:numId w:val="9"/>
        </w:numPr>
        <w:tabs>
          <w:tab w:pos="710" w:val="left" w:leader="none"/>
        </w:tabs>
        <w:spacing w:line="252" w:lineRule="exact" w:before="0" w:after="0"/>
        <w:ind w:left="710" w:right="0" w:hanging="498"/>
        <w:jc w:val="left"/>
        <w:rPr>
          <w:sz w:val="22"/>
        </w:rPr>
      </w:pPr>
      <w:r>
        <w:rPr>
          <w:sz w:val="22"/>
        </w:rPr>
        <w:t>Calvaresi</w:t>
      </w:r>
      <w:r>
        <w:rPr>
          <w:spacing w:val="58"/>
          <w:w w:val="150"/>
          <w:sz w:val="22"/>
        </w:rPr>
        <w:t> </w:t>
      </w:r>
      <w:r>
        <w:rPr>
          <w:sz w:val="22"/>
        </w:rPr>
        <w:t>E,</w:t>
      </w:r>
      <w:r>
        <w:rPr>
          <w:spacing w:val="59"/>
          <w:w w:val="150"/>
          <w:sz w:val="22"/>
        </w:rPr>
        <w:t> </w:t>
      </w:r>
      <w:r>
        <w:rPr>
          <w:sz w:val="22"/>
        </w:rPr>
        <w:t>Bryan</w:t>
      </w:r>
      <w:r>
        <w:rPr>
          <w:spacing w:val="58"/>
          <w:w w:val="150"/>
          <w:sz w:val="22"/>
        </w:rPr>
        <w:t> </w:t>
      </w:r>
      <w:r>
        <w:rPr>
          <w:sz w:val="22"/>
        </w:rPr>
        <w:t>J.</w:t>
      </w:r>
      <w:r>
        <w:rPr>
          <w:spacing w:val="59"/>
          <w:w w:val="150"/>
          <w:sz w:val="22"/>
        </w:rPr>
        <w:t> </w:t>
      </w:r>
      <w:r>
        <w:rPr>
          <w:sz w:val="22"/>
        </w:rPr>
        <w:t>Symptom</w:t>
      </w:r>
      <w:r>
        <w:rPr>
          <w:spacing w:val="61"/>
          <w:w w:val="150"/>
          <w:sz w:val="22"/>
        </w:rPr>
        <w:t> </w:t>
      </w:r>
      <w:r>
        <w:rPr>
          <w:sz w:val="22"/>
        </w:rPr>
        <w:t>experience</w:t>
      </w:r>
      <w:r>
        <w:rPr>
          <w:spacing w:val="60"/>
          <w:w w:val="150"/>
          <w:sz w:val="22"/>
        </w:rPr>
        <w:t> </w:t>
      </w:r>
      <w:r>
        <w:rPr>
          <w:sz w:val="22"/>
        </w:rPr>
        <w:t>in</w:t>
      </w:r>
      <w:r>
        <w:rPr>
          <w:spacing w:val="61"/>
          <w:w w:val="150"/>
          <w:sz w:val="22"/>
        </w:rPr>
        <w:t> </w:t>
      </w:r>
      <w:r>
        <w:rPr>
          <w:sz w:val="22"/>
        </w:rPr>
        <w:t>Australian</w:t>
      </w:r>
      <w:r>
        <w:rPr>
          <w:spacing w:val="61"/>
          <w:w w:val="150"/>
          <w:sz w:val="22"/>
        </w:rPr>
        <w:t> </w:t>
      </w:r>
      <w:r>
        <w:rPr>
          <w:sz w:val="22"/>
        </w:rPr>
        <w:t>men</w:t>
      </w:r>
      <w:r>
        <w:rPr>
          <w:spacing w:val="60"/>
          <w:w w:val="150"/>
          <w:sz w:val="22"/>
        </w:rPr>
        <w:t> </w:t>
      </w:r>
      <w:r>
        <w:rPr>
          <w:sz w:val="22"/>
        </w:rPr>
        <w:t>and</w:t>
      </w:r>
      <w:r>
        <w:rPr>
          <w:spacing w:val="61"/>
          <w:w w:val="150"/>
          <w:sz w:val="22"/>
        </w:rPr>
        <w:t> </w:t>
      </w:r>
      <w:r>
        <w:rPr>
          <w:sz w:val="22"/>
        </w:rPr>
        <w:t>women</w:t>
      </w:r>
      <w:r>
        <w:rPr>
          <w:spacing w:val="61"/>
          <w:w w:val="150"/>
          <w:sz w:val="22"/>
        </w:rPr>
        <w:t> </w:t>
      </w:r>
      <w:r>
        <w:rPr>
          <w:sz w:val="22"/>
        </w:rPr>
        <w:t>in</w:t>
      </w:r>
      <w:r>
        <w:rPr>
          <w:spacing w:val="61"/>
          <w:w w:val="150"/>
          <w:sz w:val="22"/>
        </w:rPr>
        <w:t> </w:t>
      </w:r>
      <w:r>
        <w:rPr>
          <w:spacing w:val="-2"/>
          <w:sz w:val="22"/>
        </w:rPr>
        <w:t>midlife.</w:t>
      </w:r>
    </w:p>
    <w:p>
      <w:pPr>
        <w:spacing w:before="16"/>
        <w:ind w:left="718" w:right="0" w:firstLine="0"/>
        <w:jc w:val="left"/>
        <w:rPr>
          <w:sz w:val="22"/>
        </w:rPr>
      </w:pPr>
      <w:r>
        <w:rPr>
          <w:i/>
          <w:sz w:val="22"/>
        </w:rPr>
        <w:t>Maturitas</w:t>
      </w:r>
      <w:r>
        <w:rPr>
          <w:sz w:val="22"/>
        </w:rPr>
        <w:t>.</w:t>
      </w:r>
      <w:r>
        <w:rPr>
          <w:spacing w:val="19"/>
          <w:sz w:val="22"/>
        </w:rPr>
        <w:t> </w:t>
      </w:r>
      <w:r>
        <w:rPr>
          <w:spacing w:val="-2"/>
          <w:sz w:val="22"/>
        </w:rPr>
        <w:t>2003;44:225.</w:t>
      </w:r>
    </w:p>
    <w:p>
      <w:pPr>
        <w:pStyle w:val="ListParagraph"/>
        <w:numPr>
          <w:ilvl w:val="0"/>
          <w:numId w:val="9"/>
        </w:numPr>
        <w:tabs>
          <w:tab w:pos="709" w:val="left" w:leader="none"/>
          <w:tab w:pos="718" w:val="left" w:leader="none"/>
        </w:tabs>
        <w:spacing w:line="256" w:lineRule="auto" w:before="17" w:after="0"/>
        <w:ind w:left="718" w:right="107" w:hanging="507"/>
        <w:jc w:val="left"/>
        <w:rPr>
          <w:sz w:val="22"/>
        </w:rPr>
      </w:pPr>
      <w:r>
        <w:rPr>
          <w:sz w:val="22"/>
        </w:rPr>
        <w:t>Kim MJ, Yim G, Park HY. Vasomotor and physical menopausal symptoms are associated with sleep quality. </w:t>
      </w:r>
      <w:r>
        <w:rPr>
          <w:i/>
          <w:sz w:val="22"/>
        </w:rPr>
        <w:t>PLoS One. </w:t>
      </w:r>
      <w:r>
        <w:rPr>
          <w:sz w:val="22"/>
        </w:rPr>
        <w:t>2018;13(2):e0192934.</w:t>
      </w:r>
    </w:p>
    <w:p>
      <w:pPr>
        <w:pStyle w:val="ListParagraph"/>
        <w:numPr>
          <w:ilvl w:val="0"/>
          <w:numId w:val="9"/>
        </w:numPr>
        <w:tabs>
          <w:tab w:pos="710" w:val="left" w:leader="none"/>
        </w:tabs>
        <w:spacing w:line="252" w:lineRule="exact" w:before="0" w:after="0"/>
        <w:ind w:left="710" w:right="0" w:hanging="498"/>
        <w:jc w:val="left"/>
        <w:rPr>
          <w:sz w:val="22"/>
        </w:rPr>
      </w:pPr>
      <w:r>
        <w:rPr>
          <w:sz w:val="22"/>
        </w:rPr>
        <w:t>Shaver</w:t>
      </w:r>
      <w:r>
        <w:rPr>
          <w:spacing w:val="7"/>
          <w:sz w:val="22"/>
        </w:rPr>
        <w:t> </w:t>
      </w:r>
      <w:r>
        <w:rPr>
          <w:sz w:val="22"/>
        </w:rPr>
        <w:t>JL,</w:t>
      </w:r>
      <w:r>
        <w:rPr>
          <w:spacing w:val="8"/>
          <w:sz w:val="22"/>
        </w:rPr>
        <w:t> </w:t>
      </w:r>
      <w:r>
        <w:rPr>
          <w:sz w:val="22"/>
        </w:rPr>
        <w:t>Woods</w:t>
      </w:r>
      <w:r>
        <w:rPr>
          <w:spacing w:val="7"/>
          <w:sz w:val="22"/>
        </w:rPr>
        <w:t> </w:t>
      </w:r>
      <w:r>
        <w:rPr>
          <w:sz w:val="22"/>
        </w:rPr>
        <w:t>NF.</w:t>
      </w:r>
      <w:r>
        <w:rPr>
          <w:spacing w:val="8"/>
          <w:sz w:val="22"/>
        </w:rPr>
        <w:t> </w:t>
      </w:r>
      <w:r>
        <w:rPr>
          <w:sz w:val="22"/>
        </w:rPr>
        <w:t>Sleep</w:t>
      </w:r>
      <w:r>
        <w:rPr>
          <w:spacing w:val="7"/>
          <w:sz w:val="22"/>
        </w:rPr>
        <w:t> </w:t>
      </w:r>
      <w:r>
        <w:rPr>
          <w:sz w:val="22"/>
        </w:rPr>
        <w:t>and</w:t>
      </w:r>
      <w:r>
        <w:rPr>
          <w:spacing w:val="8"/>
          <w:sz w:val="22"/>
        </w:rPr>
        <w:t> </w:t>
      </w:r>
      <w:r>
        <w:rPr>
          <w:sz w:val="22"/>
        </w:rPr>
        <w:t>menopause:</w:t>
      </w:r>
      <w:r>
        <w:rPr>
          <w:spacing w:val="7"/>
          <w:sz w:val="22"/>
        </w:rPr>
        <w:t> </w:t>
      </w:r>
      <w:r>
        <w:rPr>
          <w:sz w:val="22"/>
        </w:rPr>
        <w:t>a</w:t>
      </w:r>
      <w:r>
        <w:rPr>
          <w:spacing w:val="8"/>
          <w:sz w:val="22"/>
        </w:rPr>
        <w:t> </w:t>
      </w:r>
      <w:r>
        <w:rPr>
          <w:sz w:val="22"/>
        </w:rPr>
        <w:t>narrative</w:t>
      </w:r>
      <w:r>
        <w:rPr>
          <w:spacing w:val="7"/>
          <w:sz w:val="22"/>
        </w:rPr>
        <w:t> </w:t>
      </w:r>
      <w:r>
        <w:rPr>
          <w:sz w:val="22"/>
        </w:rPr>
        <w:t>review.</w:t>
      </w:r>
      <w:r>
        <w:rPr>
          <w:spacing w:val="8"/>
          <w:sz w:val="22"/>
        </w:rPr>
        <w:t> </w:t>
      </w:r>
      <w:r>
        <w:rPr>
          <w:i/>
          <w:sz w:val="22"/>
        </w:rPr>
        <w:t>Menopause</w:t>
      </w:r>
      <w:r>
        <w:rPr>
          <w:sz w:val="22"/>
        </w:rPr>
        <w:t>.</w:t>
      </w:r>
      <w:r>
        <w:rPr>
          <w:spacing w:val="8"/>
          <w:sz w:val="22"/>
        </w:rPr>
        <w:t> </w:t>
      </w:r>
      <w:r>
        <w:rPr>
          <w:spacing w:val="-2"/>
          <w:sz w:val="22"/>
        </w:rPr>
        <w:t>2015;22(8):899.</w:t>
      </w:r>
    </w:p>
    <w:p>
      <w:pPr>
        <w:pStyle w:val="ListParagraph"/>
        <w:numPr>
          <w:ilvl w:val="0"/>
          <w:numId w:val="9"/>
        </w:numPr>
        <w:tabs>
          <w:tab w:pos="709" w:val="left" w:leader="none"/>
          <w:tab w:pos="718" w:val="left" w:leader="none"/>
        </w:tabs>
        <w:spacing w:line="256" w:lineRule="auto" w:before="17" w:after="0"/>
        <w:ind w:left="718" w:right="103" w:hanging="507"/>
        <w:jc w:val="both"/>
        <w:rPr>
          <w:sz w:val="22"/>
        </w:rPr>
      </w:pPr>
      <w:r>
        <w:rPr>
          <w:sz w:val="22"/>
        </w:rPr>
        <w:t>Bromberger JT, Schott LL, Avis NE, et al. Psychosocial and health-related risk factors for depressive symptom trajectories among midlife women over 15 years: Study of Women’s</w:t>
      </w:r>
      <w:r>
        <w:rPr>
          <w:spacing w:val="40"/>
          <w:sz w:val="22"/>
        </w:rPr>
        <w:t> </w:t>
      </w:r>
      <w:r>
        <w:rPr>
          <w:sz w:val="22"/>
        </w:rPr>
        <w:t>Health Across the Nation (SWAN). </w:t>
      </w:r>
      <w:r>
        <w:rPr>
          <w:i/>
          <w:sz w:val="22"/>
        </w:rPr>
        <w:t>Psychol Med</w:t>
      </w:r>
      <w:r>
        <w:rPr>
          <w:sz w:val="22"/>
        </w:rPr>
        <w:t>. 2018;49(2):250.</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Chung HF, Pandeya N, Dobson AJ, et al. The role of sleep difficulties in the vasomotor menopausal symptoms and depressed mood relationships: an international pooled analysis of eight studies in the InterLACE consortium. </w:t>
      </w:r>
      <w:r>
        <w:rPr>
          <w:i/>
          <w:sz w:val="22"/>
        </w:rPr>
        <w:t>Psychol Med</w:t>
      </w:r>
      <w:r>
        <w:rPr>
          <w:sz w:val="22"/>
        </w:rPr>
        <w:t>. 2018;48(15):2550.</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06" w:hanging="507"/>
        <w:jc w:val="both"/>
        <w:rPr>
          <w:sz w:val="22"/>
        </w:rPr>
      </w:pPr>
      <w:r>
        <w:rPr>
          <w:sz w:val="22"/>
        </w:rPr>
        <w:t>Guthrie KA, Larson JC, Ensrud KE, et al. Effects of pharmacologic and nonpharmacologic interventions</w:t>
      </w:r>
      <w:r>
        <w:rPr>
          <w:spacing w:val="40"/>
          <w:sz w:val="22"/>
        </w:rPr>
        <w:t> </w:t>
      </w:r>
      <w:r>
        <w:rPr>
          <w:sz w:val="22"/>
        </w:rPr>
        <w:t>on</w:t>
      </w:r>
      <w:r>
        <w:rPr>
          <w:spacing w:val="40"/>
          <w:sz w:val="22"/>
        </w:rPr>
        <w:t> </w:t>
      </w:r>
      <w:r>
        <w:rPr>
          <w:sz w:val="22"/>
        </w:rPr>
        <w:t>insomnia</w:t>
      </w:r>
      <w:r>
        <w:rPr>
          <w:spacing w:val="40"/>
          <w:sz w:val="22"/>
        </w:rPr>
        <w:t> </w:t>
      </w:r>
      <w:r>
        <w:rPr>
          <w:sz w:val="22"/>
        </w:rPr>
        <w:t>symptoms</w:t>
      </w:r>
      <w:r>
        <w:rPr>
          <w:spacing w:val="40"/>
          <w:sz w:val="22"/>
        </w:rPr>
        <w:t> </w:t>
      </w:r>
      <w:r>
        <w:rPr>
          <w:sz w:val="22"/>
        </w:rPr>
        <w:t>and</w:t>
      </w:r>
      <w:r>
        <w:rPr>
          <w:spacing w:val="40"/>
          <w:sz w:val="22"/>
        </w:rPr>
        <w:t> </w:t>
      </w:r>
      <w:r>
        <w:rPr>
          <w:sz w:val="22"/>
        </w:rPr>
        <w:t>self-reported</w:t>
      </w:r>
      <w:r>
        <w:rPr>
          <w:spacing w:val="40"/>
          <w:sz w:val="22"/>
        </w:rPr>
        <w:t> </w:t>
      </w:r>
      <w:r>
        <w:rPr>
          <w:sz w:val="22"/>
        </w:rPr>
        <w:t>sleep</w:t>
      </w:r>
      <w:r>
        <w:rPr>
          <w:spacing w:val="40"/>
          <w:sz w:val="22"/>
        </w:rPr>
        <w:t> </w:t>
      </w:r>
      <w:r>
        <w:rPr>
          <w:sz w:val="22"/>
        </w:rPr>
        <w:t>quality</w:t>
      </w:r>
      <w:r>
        <w:rPr>
          <w:spacing w:val="40"/>
          <w:sz w:val="22"/>
        </w:rPr>
        <w:t> </w:t>
      </w:r>
      <w:r>
        <w:rPr>
          <w:sz w:val="22"/>
        </w:rPr>
        <w:t>in</w:t>
      </w:r>
      <w:r>
        <w:rPr>
          <w:spacing w:val="40"/>
          <w:sz w:val="22"/>
        </w:rPr>
        <w:t> </w:t>
      </w:r>
      <w:r>
        <w:rPr>
          <w:sz w:val="22"/>
        </w:rPr>
        <w:t>women</w:t>
      </w:r>
      <w:r>
        <w:rPr>
          <w:spacing w:val="40"/>
          <w:sz w:val="22"/>
        </w:rPr>
        <w:t> </w:t>
      </w:r>
      <w:r>
        <w:rPr>
          <w:sz w:val="22"/>
        </w:rPr>
        <w:t>with</w:t>
      </w:r>
      <w:r>
        <w:rPr>
          <w:spacing w:val="40"/>
          <w:sz w:val="22"/>
        </w:rPr>
        <w:t> </w:t>
      </w:r>
      <w:r>
        <w:rPr>
          <w:sz w:val="22"/>
        </w:rPr>
        <w:t>hot flashes: a pooled analysis of individual participant data from four MsFLASH trials. </w:t>
      </w:r>
      <w:r>
        <w:rPr>
          <w:i/>
          <w:sz w:val="22"/>
        </w:rPr>
        <w:t>Sleep</w:t>
      </w:r>
      <w:r>
        <w:rPr>
          <w:sz w:val="22"/>
        </w:rPr>
        <w:t>. </w:t>
      </w:r>
      <w:r>
        <w:rPr>
          <w:spacing w:val="-2"/>
          <w:sz w:val="22"/>
        </w:rPr>
        <w:t>2018;41(1):zsx190.</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Freeman EW, Sammel MD, Lin HM, Nelson DB. Associations of hormones and </w:t>
      </w:r>
      <w:r>
        <w:rPr>
          <w:sz w:val="22"/>
        </w:rPr>
        <w:t>menopausal status with depressed mood in women with no history of depression. </w:t>
      </w:r>
      <w:r>
        <w:rPr>
          <w:i/>
          <w:sz w:val="22"/>
        </w:rPr>
        <w:t>Arch Gen Psychiatry</w:t>
      </w:r>
      <w:r>
        <w:rPr>
          <w:sz w:val="22"/>
        </w:rPr>
        <w:t>. </w:t>
      </w:r>
      <w:r>
        <w:rPr>
          <w:spacing w:val="-2"/>
          <w:sz w:val="22"/>
        </w:rPr>
        <w:t>2006;63:375.</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Cohen LS, Soares CN, Vitonis AF, Otto MW, Harlow BL. Risk for new onset of depression during the menopausal transition: the Harvard Study of Moods and Cycles. </w:t>
      </w:r>
      <w:r>
        <w:rPr>
          <w:i/>
          <w:sz w:val="22"/>
        </w:rPr>
        <w:t>Arch </w:t>
      </w:r>
      <w:r>
        <w:rPr>
          <w:i/>
          <w:sz w:val="22"/>
        </w:rPr>
        <w:t>Gen</w:t>
      </w:r>
      <w:r>
        <w:rPr>
          <w:i/>
          <w:spacing w:val="40"/>
          <w:sz w:val="22"/>
        </w:rPr>
        <w:t> </w:t>
      </w:r>
      <w:r>
        <w:rPr>
          <w:i/>
          <w:sz w:val="22"/>
        </w:rPr>
        <w:t>Psychiatry</w:t>
      </w:r>
      <w:r>
        <w:rPr>
          <w:sz w:val="22"/>
        </w:rPr>
        <w:t>. 2006;63:385.</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Bromberger JT, Kravits HM, Matthews K, Youk A, Brown C, Feng W. Predictors of </w:t>
      </w:r>
      <w:r>
        <w:rPr>
          <w:sz w:val="22"/>
        </w:rPr>
        <w:t>first lifetime episodes of major depression in midlife women. </w:t>
      </w:r>
      <w:r>
        <w:rPr>
          <w:i/>
          <w:sz w:val="22"/>
        </w:rPr>
        <w:t>Psychol Med</w:t>
      </w:r>
      <w:r>
        <w:rPr>
          <w:sz w:val="22"/>
        </w:rPr>
        <w:t>. 2009;39:55.</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Kravitz HM, Janssen I, Bromberger JT, et al. Sleep trajectories before and after the final menstrual period in the Study of Women’s Health Across the Nation (SWAN). </w:t>
      </w:r>
      <w:r>
        <w:rPr>
          <w:i/>
          <w:sz w:val="22"/>
        </w:rPr>
        <w:t>Curr Sleep </w:t>
      </w:r>
      <w:r>
        <w:rPr>
          <w:i/>
          <w:sz w:val="22"/>
        </w:rPr>
        <w:t>Med</w:t>
      </w:r>
      <w:r>
        <w:rPr>
          <w:i/>
          <w:sz w:val="22"/>
        </w:rPr>
        <w:t> Rep</w:t>
      </w:r>
      <w:r>
        <w:rPr>
          <w:sz w:val="22"/>
        </w:rPr>
        <w:t>. 2017;3(3):235.</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Prairie</w:t>
      </w:r>
      <w:r>
        <w:rPr>
          <w:spacing w:val="38"/>
          <w:sz w:val="22"/>
        </w:rPr>
        <w:t> </w:t>
      </w:r>
      <w:r>
        <w:rPr>
          <w:sz w:val="22"/>
        </w:rPr>
        <w:t>BA,</w:t>
      </w:r>
      <w:r>
        <w:rPr>
          <w:spacing w:val="38"/>
          <w:sz w:val="22"/>
        </w:rPr>
        <w:t> </w:t>
      </w:r>
      <w:r>
        <w:rPr>
          <w:sz w:val="22"/>
        </w:rPr>
        <w:t>Wisniewski</w:t>
      </w:r>
      <w:r>
        <w:rPr>
          <w:spacing w:val="38"/>
          <w:sz w:val="22"/>
        </w:rPr>
        <w:t> </w:t>
      </w:r>
      <w:r>
        <w:rPr>
          <w:sz w:val="22"/>
        </w:rPr>
        <w:t>SR,</w:t>
      </w:r>
      <w:r>
        <w:rPr>
          <w:spacing w:val="38"/>
          <w:sz w:val="22"/>
        </w:rPr>
        <w:t> </w:t>
      </w:r>
      <w:r>
        <w:rPr>
          <w:sz w:val="22"/>
        </w:rPr>
        <w:t>Luther</w:t>
      </w:r>
      <w:r>
        <w:rPr>
          <w:spacing w:val="38"/>
          <w:sz w:val="22"/>
        </w:rPr>
        <w:t> </w:t>
      </w:r>
      <w:r>
        <w:rPr>
          <w:sz w:val="22"/>
        </w:rPr>
        <w:t>J,</w:t>
      </w:r>
      <w:r>
        <w:rPr>
          <w:spacing w:val="38"/>
          <w:sz w:val="22"/>
        </w:rPr>
        <w:t> </w:t>
      </w:r>
      <w:r>
        <w:rPr>
          <w:sz w:val="22"/>
        </w:rPr>
        <w:t>et</w:t>
      </w:r>
      <w:r>
        <w:rPr>
          <w:spacing w:val="38"/>
          <w:sz w:val="22"/>
        </w:rPr>
        <w:t> </w:t>
      </w:r>
      <w:r>
        <w:rPr>
          <w:sz w:val="22"/>
        </w:rPr>
        <w:t>al.</w:t>
      </w:r>
      <w:r>
        <w:rPr>
          <w:spacing w:val="38"/>
          <w:sz w:val="22"/>
        </w:rPr>
        <w:t> </w:t>
      </w:r>
      <w:r>
        <w:rPr>
          <w:sz w:val="22"/>
        </w:rPr>
        <w:t>Symptoms</w:t>
      </w:r>
      <w:r>
        <w:rPr>
          <w:spacing w:val="40"/>
          <w:sz w:val="22"/>
        </w:rPr>
        <w:t> </w:t>
      </w:r>
      <w:r>
        <w:rPr>
          <w:sz w:val="22"/>
        </w:rPr>
        <w:t>of</w:t>
      </w:r>
      <w:r>
        <w:rPr>
          <w:spacing w:val="40"/>
          <w:sz w:val="22"/>
        </w:rPr>
        <w:t> </w:t>
      </w:r>
      <w:r>
        <w:rPr>
          <w:sz w:val="22"/>
        </w:rPr>
        <w:t>depressed</w:t>
      </w:r>
      <w:r>
        <w:rPr>
          <w:spacing w:val="40"/>
          <w:sz w:val="22"/>
        </w:rPr>
        <w:t> </w:t>
      </w:r>
      <w:r>
        <w:rPr>
          <w:sz w:val="22"/>
        </w:rPr>
        <w:t>mood,</w:t>
      </w:r>
      <w:r>
        <w:rPr>
          <w:spacing w:val="40"/>
          <w:sz w:val="22"/>
        </w:rPr>
        <w:t> </w:t>
      </w:r>
      <w:r>
        <w:rPr>
          <w:sz w:val="22"/>
        </w:rPr>
        <w:t>disturbed</w:t>
      </w:r>
      <w:r>
        <w:rPr>
          <w:spacing w:val="40"/>
          <w:sz w:val="22"/>
        </w:rPr>
        <w:t> </w:t>
      </w:r>
      <w:r>
        <w:rPr>
          <w:sz w:val="22"/>
        </w:rPr>
        <w:t>sleep, and</w:t>
      </w:r>
      <w:r>
        <w:rPr>
          <w:spacing w:val="40"/>
          <w:sz w:val="22"/>
        </w:rPr>
        <w:t> </w:t>
      </w:r>
      <w:r>
        <w:rPr>
          <w:sz w:val="22"/>
        </w:rPr>
        <w:t>sexual</w:t>
      </w:r>
      <w:r>
        <w:rPr>
          <w:spacing w:val="40"/>
          <w:sz w:val="22"/>
        </w:rPr>
        <w:t> </w:t>
      </w:r>
      <w:r>
        <w:rPr>
          <w:sz w:val="22"/>
        </w:rPr>
        <w:t>problems</w:t>
      </w:r>
      <w:r>
        <w:rPr>
          <w:spacing w:val="40"/>
          <w:sz w:val="22"/>
        </w:rPr>
        <w:t> </w:t>
      </w:r>
      <w:r>
        <w:rPr>
          <w:sz w:val="22"/>
        </w:rPr>
        <w:t>in</w:t>
      </w:r>
      <w:r>
        <w:rPr>
          <w:spacing w:val="40"/>
          <w:sz w:val="22"/>
        </w:rPr>
        <w:t> </w:t>
      </w:r>
      <w:r>
        <w:rPr>
          <w:sz w:val="22"/>
        </w:rPr>
        <w:t>midlife</w:t>
      </w:r>
      <w:r>
        <w:rPr>
          <w:spacing w:val="40"/>
          <w:sz w:val="22"/>
        </w:rPr>
        <w:t> </w:t>
      </w:r>
      <w:r>
        <w:rPr>
          <w:sz w:val="22"/>
        </w:rPr>
        <w:t>women:</w:t>
      </w:r>
      <w:r>
        <w:rPr>
          <w:spacing w:val="40"/>
          <w:sz w:val="22"/>
        </w:rPr>
        <w:t> </w:t>
      </w:r>
      <w:r>
        <w:rPr>
          <w:sz w:val="22"/>
        </w:rPr>
        <w:t>cross-sectional</w:t>
      </w:r>
      <w:r>
        <w:rPr>
          <w:spacing w:val="40"/>
          <w:sz w:val="22"/>
        </w:rPr>
        <w:t> </w:t>
      </w:r>
      <w:r>
        <w:rPr>
          <w:sz w:val="22"/>
        </w:rPr>
        <w:t>data</w:t>
      </w:r>
      <w:r>
        <w:rPr>
          <w:spacing w:val="40"/>
          <w:sz w:val="22"/>
        </w:rPr>
        <w:t> </w:t>
      </w:r>
      <w:r>
        <w:rPr>
          <w:sz w:val="22"/>
        </w:rPr>
        <w:t>from</w:t>
      </w:r>
      <w:r>
        <w:rPr>
          <w:spacing w:val="40"/>
          <w:sz w:val="22"/>
        </w:rPr>
        <w:t> </w:t>
      </w:r>
      <w:r>
        <w:rPr>
          <w:sz w:val="22"/>
        </w:rPr>
        <w:t>the</w:t>
      </w:r>
      <w:r>
        <w:rPr>
          <w:spacing w:val="40"/>
          <w:sz w:val="22"/>
        </w:rPr>
        <w:t> </w:t>
      </w:r>
      <w:r>
        <w:rPr>
          <w:sz w:val="22"/>
        </w:rPr>
        <w:t>Study</w:t>
      </w:r>
      <w:r>
        <w:rPr>
          <w:spacing w:val="40"/>
          <w:sz w:val="22"/>
        </w:rPr>
        <w:t> </w:t>
      </w:r>
      <w:r>
        <w:rPr>
          <w:sz w:val="22"/>
        </w:rPr>
        <w:t>of</w:t>
      </w:r>
      <w:r>
        <w:rPr>
          <w:spacing w:val="40"/>
          <w:sz w:val="22"/>
        </w:rPr>
        <w:t> </w:t>
      </w:r>
      <w:r>
        <w:rPr>
          <w:sz w:val="22"/>
        </w:rPr>
        <w:t>Women’s Health Across the Nation. </w:t>
      </w:r>
      <w:r>
        <w:rPr>
          <w:i/>
          <w:sz w:val="22"/>
        </w:rPr>
        <w:t>J Womens Health (Larchmt</w:t>
      </w:r>
      <w:r>
        <w:rPr>
          <w:sz w:val="22"/>
        </w:rPr>
        <w:t>). 2015;24(2):119.</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Gordon JL, Rubinow DR, Eisenlohr-Moul TA, Xia K, Schmidt PJ, Girdler SS. Efficacy of transdermal</w:t>
      </w:r>
      <w:r>
        <w:rPr>
          <w:spacing w:val="31"/>
          <w:sz w:val="22"/>
        </w:rPr>
        <w:t> </w:t>
      </w:r>
      <w:r>
        <w:rPr>
          <w:sz w:val="22"/>
        </w:rPr>
        <w:t>estradiol</w:t>
      </w:r>
      <w:r>
        <w:rPr>
          <w:spacing w:val="31"/>
          <w:sz w:val="22"/>
        </w:rPr>
        <w:t> </w:t>
      </w:r>
      <w:r>
        <w:rPr>
          <w:sz w:val="22"/>
        </w:rPr>
        <w:t>and</w:t>
      </w:r>
      <w:r>
        <w:rPr>
          <w:spacing w:val="31"/>
          <w:sz w:val="22"/>
        </w:rPr>
        <w:t> </w:t>
      </w:r>
      <w:r>
        <w:rPr>
          <w:sz w:val="22"/>
        </w:rPr>
        <w:t>micronized</w:t>
      </w:r>
      <w:r>
        <w:rPr>
          <w:spacing w:val="31"/>
          <w:sz w:val="22"/>
        </w:rPr>
        <w:t> </w:t>
      </w:r>
      <w:r>
        <w:rPr>
          <w:sz w:val="22"/>
        </w:rPr>
        <w:t>progesterone</w:t>
      </w:r>
      <w:r>
        <w:rPr>
          <w:spacing w:val="31"/>
          <w:sz w:val="22"/>
        </w:rPr>
        <w:t> </w:t>
      </w:r>
      <w:r>
        <w:rPr>
          <w:sz w:val="22"/>
        </w:rPr>
        <w:t>in</w:t>
      </w:r>
      <w:r>
        <w:rPr>
          <w:spacing w:val="31"/>
          <w:sz w:val="22"/>
        </w:rPr>
        <w:t> </w:t>
      </w:r>
      <w:r>
        <w:rPr>
          <w:sz w:val="22"/>
        </w:rPr>
        <w:t>the</w:t>
      </w:r>
      <w:r>
        <w:rPr>
          <w:spacing w:val="31"/>
          <w:sz w:val="22"/>
        </w:rPr>
        <w:t> </w:t>
      </w:r>
      <w:r>
        <w:rPr>
          <w:sz w:val="22"/>
        </w:rPr>
        <w:t>prevention</w:t>
      </w:r>
      <w:r>
        <w:rPr>
          <w:spacing w:val="31"/>
          <w:sz w:val="22"/>
        </w:rPr>
        <w:t> </w:t>
      </w:r>
      <w:r>
        <w:rPr>
          <w:sz w:val="22"/>
        </w:rPr>
        <w:t>of</w:t>
      </w:r>
      <w:r>
        <w:rPr>
          <w:spacing w:val="31"/>
          <w:sz w:val="22"/>
        </w:rPr>
        <w:t> </w:t>
      </w:r>
      <w:r>
        <w:rPr>
          <w:sz w:val="22"/>
        </w:rPr>
        <w:t>depressive</w:t>
      </w:r>
      <w:r>
        <w:rPr>
          <w:spacing w:val="31"/>
          <w:sz w:val="22"/>
        </w:rPr>
        <w:t> </w:t>
      </w:r>
      <w:r>
        <w:rPr>
          <w:sz w:val="22"/>
        </w:rPr>
        <w:t>symptoms in</w:t>
      </w:r>
      <w:r>
        <w:rPr>
          <w:spacing w:val="40"/>
          <w:sz w:val="22"/>
        </w:rPr>
        <w:t> </w:t>
      </w:r>
      <w:r>
        <w:rPr>
          <w:sz w:val="22"/>
        </w:rPr>
        <w:t>the</w:t>
      </w:r>
      <w:r>
        <w:rPr>
          <w:spacing w:val="40"/>
          <w:sz w:val="22"/>
        </w:rPr>
        <w:t> </w:t>
      </w:r>
      <w:r>
        <w:rPr>
          <w:sz w:val="22"/>
        </w:rPr>
        <w:t>menopause</w:t>
      </w:r>
      <w:r>
        <w:rPr>
          <w:spacing w:val="40"/>
          <w:sz w:val="22"/>
        </w:rPr>
        <w:t> </w:t>
      </w:r>
      <w:r>
        <w:rPr>
          <w:sz w:val="22"/>
        </w:rPr>
        <w:t>transition:</w:t>
      </w:r>
      <w:r>
        <w:rPr>
          <w:spacing w:val="40"/>
          <w:sz w:val="22"/>
        </w:rPr>
        <w:t> </w:t>
      </w:r>
      <w:r>
        <w:rPr>
          <w:sz w:val="22"/>
        </w:rPr>
        <w:t>a</w:t>
      </w:r>
      <w:r>
        <w:rPr>
          <w:spacing w:val="40"/>
          <w:sz w:val="22"/>
        </w:rPr>
        <w:t> </w:t>
      </w:r>
      <w:r>
        <w:rPr>
          <w:sz w:val="22"/>
        </w:rPr>
        <w:t>randomized</w:t>
      </w:r>
      <w:r>
        <w:rPr>
          <w:spacing w:val="40"/>
          <w:sz w:val="22"/>
        </w:rPr>
        <w:t> </w:t>
      </w:r>
      <w:r>
        <w:rPr>
          <w:sz w:val="22"/>
        </w:rPr>
        <w:t>clinical</w:t>
      </w:r>
      <w:r>
        <w:rPr>
          <w:spacing w:val="40"/>
          <w:sz w:val="22"/>
        </w:rPr>
        <w:t> </w:t>
      </w:r>
      <w:r>
        <w:rPr>
          <w:sz w:val="22"/>
        </w:rPr>
        <w:t>trial.</w:t>
      </w:r>
      <w:r>
        <w:rPr>
          <w:spacing w:val="40"/>
          <w:sz w:val="22"/>
        </w:rPr>
        <w:t> </w:t>
      </w:r>
      <w:r>
        <w:rPr>
          <w:i/>
          <w:sz w:val="22"/>
        </w:rPr>
        <w:t>JAMA</w:t>
      </w:r>
      <w:r>
        <w:rPr>
          <w:i/>
          <w:spacing w:val="32"/>
          <w:sz w:val="22"/>
        </w:rPr>
        <w:t> </w:t>
      </w:r>
      <w:r>
        <w:rPr>
          <w:i/>
          <w:sz w:val="22"/>
        </w:rPr>
        <w:t>Psychiatry</w:t>
      </w:r>
      <w:r>
        <w:rPr>
          <w:sz w:val="22"/>
        </w:rPr>
        <w:t>.</w:t>
      </w:r>
      <w:r>
        <w:rPr>
          <w:spacing w:val="40"/>
          <w:sz w:val="22"/>
        </w:rPr>
        <w:t> </w:t>
      </w:r>
      <w:r>
        <w:rPr>
          <w:sz w:val="22"/>
        </w:rPr>
        <w:t>2018;75(2):149-</w:t>
      </w:r>
      <w:r>
        <w:rPr>
          <w:spacing w:val="-4"/>
          <w:sz w:val="22"/>
        </w:rPr>
        <w:t>157.</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Campbell S, Whitehead M. Estrogen therapy and the menopausal syndrome. </w:t>
      </w:r>
      <w:r>
        <w:rPr>
          <w:i/>
          <w:sz w:val="22"/>
        </w:rPr>
        <w:t>Clin </w:t>
      </w:r>
      <w:r>
        <w:rPr>
          <w:i/>
          <w:sz w:val="22"/>
        </w:rPr>
        <w:t>Obstet</w:t>
      </w:r>
      <w:r>
        <w:rPr>
          <w:i/>
          <w:sz w:val="22"/>
        </w:rPr>
        <w:t> Gynecol</w:t>
      </w:r>
      <w:r>
        <w:rPr>
          <w:sz w:val="22"/>
        </w:rPr>
        <w:t>. 1977;4:31.</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Avis NE, Crawford S, Stellato R, Longcope C. Longitudinal study of hormone levels </w:t>
      </w:r>
      <w:r>
        <w:rPr>
          <w:sz w:val="22"/>
        </w:rPr>
        <w:t>and depression among women transitioning through menopause. </w:t>
      </w:r>
      <w:r>
        <w:rPr>
          <w:i/>
          <w:sz w:val="22"/>
        </w:rPr>
        <w:t>Climacteric</w:t>
      </w:r>
      <w:r>
        <w:rPr>
          <w:sz w:val="22"/>
        </w:rPr>
        <w:t>. 2001;4:243.</w:t>
      </w:r>
    </w:p>
    <w:p>
      <w:pPr>
        <w:pStyle w:val="ListParagraph"/>
        <w:numPr>
          <w:ilvl w:val="0"/>
          <w:numId w:val="9"/>
        </w:numPr>
        <w:tabs>
          <w:tab w:pos="710" w:val="left" w:leader="none"/>
        </w:tabs>
        <w:spacing w:line="252" w:lineRule="exact" w:before="0" w:after="0"/>
        <w:ind w:left="710" w:right="0" w:hanging="498"/>
        <w:jc w:val="both"/>
        <w:rPr>
          <w:sz w:val="22"/>
        </w:rPr>
      </w:pPr>
      <w:r>
        <w:rPr>
          <w:sz w:val="22"/>
        </w:rPr>
        <w:t>Woodward</w:t>
      </w:r>
      <w:r>
        <w:rPr>
          <w:spacing w:val="10"/>
          <w:sz w:val="22"/>
        </w:rPr>
        <w:t> </w:t>
      </w:r>
      <w:r>
        <w:rPr>
          <w:sz w:val="22"/>
        </w:rPr>
        <w:t>S,</w:t>
      </w:r>
      <w:r>
        <w:rPr>
          <w:spacing w:val="11"/>
          <w:sz w:val="22"/>
        </w:rPr>
        <w:t> </w:t>
      </w:r>
      <w:r>
        <w:rPr>
          <w:sz w:val="22"/>
        </w:rPr>
        <w:t>Freedman</w:t>
      </w:r>
      <w:r>
        <w:rPr>
          <w:spacing w:val="10"/>
          <w:sz w:val="22"/>
        </w:rPr>
        <w:t> </w:t>
      </w:r>
      <w:r>
        <w:rPr>
          <w:sz w:val="22"/>
        </w:rPr>
        <w:t>RR.</w:t>
      </w:r>
      <w:r>
        <w:rPr>
          <w:spacing w:val="11"/>
          <w:sz w:val="22"/>
        </w:rPr>
        <w:t> </w:t>
      </w:r>
      <w:r>
        <w:rPr>
          <w:sz w:val="22"/>
        </w:rPr>
        <w:t>The</w:t>
      </w:r>
      <w:r>
        <w:rPr>
          <w:spacing w:val="15"/>
          <w:sz w:val="22"/>
        </w:rPr>
        <w:t> </w:t>
      </w:r>
      <w:r>
        <w:rPr>
          <w:sz w:val="22"/>
        </w:rPr>
        <w:t>thermoregulatory</w:t>
      </w:r>
      <w:r>
        <w:rPr>
          <w:spacing w:val="15"/>
          <w:sz w:val="22"/>
        </w:rPr>
        <w:t> </w:t>
      </w:r>
      <w:r>
        <w:rPr>
          <w:sz w:val="22"/>
        </w:rPr>
        <w:t>effects</w:t>
      </w:r>
      <w:r>
        <w:rPr>
          <w:spacing w:val="15"/>
          <w:sz w:val="22"/>
        </w:rPr>
        <w:t> </w:t>
      </w:r>
      <w:r>
        <w:rPr>
          <w:sz w:val="22"/>
        </w:rPr>
        <w:t>of</w:t>
      </w:r>
      <w:r>
        <w:rPr>
          <w:spacing w:val="15"/>
          <w:sz w:val="22"/>
        </w:rPr>
        <w:t> </w:t>
      </w:r>
      <w:r>
        <w:rPr>
          <w:sz w:val="22"/>
        </w:rPr>
        <w:t>menopausal</w:t>
      </w:r>
      <w:r>
        <w:rPr>
          <w:spacing w:val="16"/>
          <w:sz w:val="22"/>
        </w:rPr>
        <w:t> </w:t>
      </w:r>
      <w:r>
        <w:rPr>
          <w:sz w:val="22"/>
        </w:rPr>
        <w:t>hot</w:t>
      </w:r>
      <w:r>
        <w:rPr>
          <w:spacing w:val="15"/>
          <w:sz w:val="22"/>
        </w:rPr>
        <w:t> </w:t>
      </w:r>
      <w:r>
        <w:rPr>
          <w:sz w:val="22"/>
        </w:rPr>
        <w:t>flashes</w:t>
      </w:r>
      <w:r>
        <w:rPr>
          <w:spacing w:val="15"/>
          <w:sz w:val="22"/>
        </w:rPr>
        <w:t> </w:t>
      </w:r>
      <w:r>
        <w:rPr>
          <w:sz w:val="22"/>
        </w:rPr>
        <w:t>on</w:t>
      </w:r>
      <w:r>
        <w:rPr>
          <w:spacing w:val="15"/>
          <w:sz w:val="22"/>
        </w:rPr>
        <w:t> </w:t>
      </w:r>
      <w:r>
        <w:rPr>
          <w:spacing w:val="-2"/>
          <w:sz w:val="22"/>
        </w:rPr>
        <w:t>sleep.</w:t>
      </w:r>
    </w:p>
    <w:p>
      <w:pPr>
        <w:spacing w:before="1"/>
        <w:ind w:left="718" w:right="0" w:firstLine="0"/>
        <w:jc w:val="both"/>
        <w:rPr>
          <w:sz w:val="22"/>
        </w:rPr>
      </w:pPr>
      <w:r>
        <w:rPr>
          <w:i/>
          <w:sz w:val="22"/>
        </w:rPr>
        <w:t>Sleep</w:t>
      </w:r>
      <w:r>
        <w:rPr>
          <w:sz w:val="22"/>
        </w:rPr>
        <w:t>.</w:t>
      </w:r>
      <w:r>
        <w:rPr>
          <w:spacing w:val="10"/>
          <w:sz w:val="22"/>
        </w:rPr>
        <w:t> </w:t>
      </w:r>
      <w:r>
        <w:rPr>
          <w:spacing w:val="-2"/>
          <w:sz w:val="22"/>
        </w:rPr>
        <w:t>1994;17:497.</w:t>
      </w:r>
    </w:p>
    <w:p>
      <w:pPr>
        <w:pStyle w:val="ListParagraph"/>
        <w:numPr>
          <w:ilvl w:val="0"/>
          <w:numId w:val="9"/>
        </w:numPr>
        <w:tabs>
          <w:tab w:pos="709" w:val="left" w:leader="none"/>
          <w:tab w:pos="718" w:val="left" w:leader="none"/>
        </w:tabs>
        <w:spacing w:line="256" w:lineRule="auto" w:before="17" w:after="0"/>
        <w:ind w:left="718" w:right="105" w:hanging="507"/>
        <w:jc w:val="both"/>
        <w:rPr>
          <w:sz w:val="22"/>
        </w:rPr>
      </w:pPr>
      <w:r>
        <w:rPr>
          <w:sz w:val="22"/>
        </w:rPr>
        <w:t>Freedman</w:t>
      </w:r>
      <w:r>
        <w:rPr>
          <w:spacing w:val="40"/>
          <w:sz w:val="22"/>
        </w:rPr>
        <w:t> </w:t>
      </w:r>
      <w:r>
        <w:rPr>
          <w:sz w:val="22"/>
        </w:rPr>
        <w:t>RR,</w:t>
      </w:r>
      <w:r>
        <w:rPr>
          <w:spacing w:val="40"/>
          <w:sz w:val="22"/>
        </w:rPr>
        <w:t> </w:t>
      </w:r>
      <w:r>
        <w:rPr>
          <w:sz w:val="22"/>
        </w:rPr>
        <w:t>Roehrs</w:t>
      </w:r>
      <w:r>
        <w:rPr>
          <w:spacing w:val="40"/>
          <w:sz w:val="22"/>
        </w:rPr>
        <w:t> </w:t>
      </w:r>
      <w:r>
        <w:rPr>
          <w:sz w:val="22"/>
        </w:rPr>
        <w:t>TA.</w:t>
      </w:r>
      <w:r>
        <w:rPr>
          <w:spacing w:val="40"/>
          <w:sz w:val="22"/>
        </w:rPr>
        <w:t> </w:t>
      </w:r>
      <w:r>
        <w:rPr>
          <w:sz w:val="22"/>
        </w:rPr>
        <w:t>Effects</w:t>
      </w:r>
      <w:r>
        <w:rPr>
          <w:spacing w:val="40"/>
          <w:sz w:val="22"/>
        </w:rPr>
        <w:t> </w:t>
      </w:r>
      <w:r>
        <w:rPr>
          <w:sz w:val="22"/>
        </w:rPr>
        <w:t>of</w:t>
      </w:r>
      <w:r>
        <w:rPr>
          <w:spacing w:val="40"/>
          <w:sz w:val="22"/>
        </w:rPr>
        <w:t> </w:t>
      </w:r>
      <w:r>
        <w:rPr>
          <w:sz w:val="22"/>
        </w:rPr>
        <w:t>REM</w:t>
      </w:r>
      <w:r>
        <w:rPr>
          <w:spacing w:val="40"/>
          <w:sz w:val="22"/>
        </w:rPr>
        <w:t> </w:t>
      </w:r>
      <w:r>
        <w:rPr>
          <w:sz w:val="22"/>
        </w:rPr>
        <w:t>sleep</w:t>
      </w:r>
      <w:r>
        <w:rPr>
          <w:spacing w:val="40"/>
          <w:sz w:val="22"/>
        </w:rPr>
        <w:t> </w:t>
      </w:r>
      <w:r>
        <w:rPr>
          <w:sz w:val="22"/>
        </w:rPr>
        <w:t>and</w:t>
      </w:r>
      <w:r>
        <w:rPr>
          <w:spacing w:val="40"/>
          <w:sz w:val="22"/>
        </w:rPr>
        <w:t> </w:t>
      </w:r>
      <w:r>
        <w:rPr>
          <w:sz w:val="22"/>
        </w:rPr>
        <w:t>ambient</w:t>
      </w:r>
      <w:r>
        <w:rPr>
          <w:spacing w:val="40"/>
          <w:sz w:val="22"/>
        </w:rPr>
        <w:t> </w:t>
      </w:r>
      <w:r>
        <w:rPr>
          <w:sz w:val="22"/>
        </w:rPr>
        <w:t>temperature</w:t>
      </w:r>
      <w:r>
        <w:rPr>
          <w:spacing w:val="40"/>
          <w:sz w:val="22"/>
        </w:rPr>
        <w:t> </w:t>
      </w:r>
      <w:r>
        <w:rPr>
          <w:sz w:val="22"/>
        </w:rPr>
        <w:t>on</w:t>
      </w:r>
      <w:r>
        <w:rPr>
          <w:spacing w:val="40"/>
          <w:sz w:val="22"/>
        </w:rPr>
        <w:t> </w:t>
      </w:r>
      <w:r>
        <w:rPr>
          <w:sz w:val="22"/>
        </w:rPr>
        <w:t>hot</w:t>
      </w:r>
      <w:r>
        <w:rPr>
          <w:spacing w:val="40"/>
          <w:sz w:val="22"/>
        </w:rPr>
        <w:t> </w:t>
      </w:r>
      <w:r>
        <w:rPr>
          <w:sz w:val="22"/>
        </w:rPr>
        <w:t>flash-induced sleep disturbance. </w:t>
      </w:r>
      <w:r>
        <w:rPr>
          <w:i/>
          <w:sz w:val="22"/>
        </w:rPr>
        <w:t>Menopause</w:t>
      </w:r>
      <w:r>
        <w:rPr>
          <w:sz w:val="22"/>
        </w:rPr>
        <w:t>. 2006;13:576.</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Ensrud KE, Stone KL, Blackwell TL, et al. Frequency and severity of hot flashes and sleep disturbance in postmenopausal women with hot flashes. </w:t>
      </w:r>
      <w:r>
        <w:rPr>
          <w:i/>
          <w:sz w:val="22"/>
        </w:rPr>
        <w:t>Menopause</w:t>
      </w:r>
      <w:r>
        <w:rPr>
          <w:sz w:val="22"/>
        </w:rPr>
        <w:t>. 2009;16:286.</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Schiff I, Regestein Q, Tulchinsky D, Ryan KJ. Effects of estrogens on sleep and </w:t>
      </w:r>
      <w:r>
        <w:rPr>
          <w:sz w:val="22"/>
        </w:rPr>
        <w:t>psychological state of hypogonadal women. </w:t>
      </w:r>
      <w:r>
        <w:rPr>
          <w:i/>
          <w:sz w:val="22"/>
        </w:rPr>
        <w:t>JAMA</w:t>
      </w:r>
      <w:r>
        <w:rPr>
          <w:sz w:val="22"/>
        </w:rPr>
        <w:t>. 1979;242:2405.</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Polo-Kantola P, Erkkola R, Helenius H, Irjala K, Polo O. When does estrogen replacement therapy improve sleep quality? </w:t>
      </w:r>
      <w:r>
        <w:rPr>
          <w:i/>
          <w:sz w:val="22"/>
        </w:rPr>
        <w:t>Am J Obstet Gynecol</w:t>
      </w:r>
      <w:r>
        <w:rPr>
          <w:sz w:val="22"/>
        </w:rPr>
        <w:t>. 1998;178:1002.</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Kravitz</w:t>
      </w:r>
      <w:r>
        <w:rPr>
          <w:spacing w:val="40"/>
          <w:sz w:val="22"/>
        </w:rPr>
        <w:t> </w:t>
      </w:r>
      <w:r>
        <w:rPr>
          <w:sz w:val="22"/>
        </w:rPr>
        <w:t>HM,</w:t>
      </w:r>
      <w:r>
        <w:rPr>
          <w:spacing w:val="40"/>
          <w:sz w:val="22"/>
        </w:rPr>
        <w:t> </w:t>
      </w:r>
      <w:r>
        <w:rPr>
          <w:sz w:val="22"/>
        </w:rPr>
        <w:t>Ganz</w:t>
      </w:r>
      <w:r>
        <w:rPr>
          <w:spacing w:val="40"/>
          <w:sz w:val="22"/>
        </w:rPr>
        <w:t> </w:t>
      </w:r>
      <w:r>
        <w:rPr>
          <w:sz w:val="22"/>
        </w:rPr>
        <w:t>PA,</w:t>
      </w:r>
      <w:r>
        <w:rPr>
          <w:spacing w:val="40"/>
          <w:sz w:val="22"/>
        </w:rPr>
        <w:t> </w:t>
      </w:r>
      <w:r>
        <w:rPr>
          <w:sz w:val="22"/>
        </w:rPr>
        <w:t>Bromberger</w:t>
      </w:r>
      <w:r>
        <w:rPr>
          <w:spacing w:val="40"/>
          <w:sz w:val="22"/>
        </w:rPr>
        <w:t> </w:t>
      </w:r>
      <w:r>
        <w:rPr>
          <w:sz w:val="22"/>
        </w:rPr>
        <w:t>J,</w:t>
      </w:r>
      <w:r>
        <w:rPr>
          <w:spacing w:val="40"/>
          <w:sz w:val="22"/>
        </w:rPr>
        <w:t> </w:t>
      </w:r>
      <w:r>
        <w:rPr>
          <w:sz w:val="22"/>
        </w:rPr>
        <w:t>Powell</w:t>
      </w:r>
      <w:r>
        <w:rPr>
          <w:spacing w:val="40"/>
          <w:sz w:val="22"/>
        </w:rPr>
        <w:t> </w:t>
      </w:r>
      <w:r>
        <w:rPr>
          <w:sz w:val="22"/>
        </w:rPr>
        <w:t>LH,</w:t>
      </w:r>
      <w:r>
        <w:rPr>
          <w:spacing w:val="40"/>
          <w:sz w:val="22"/>
        </w:rPr>
        <w:t> </w:t>
      </w:r>
      <w:r>
        <w:rPr>
          <w:sz w:val="22"/>
        </w:rPr>
        <w:t>Sutton-Tyrrell</w:t>
      </w:r>
      <w:r>
        <w:rPr>
          <w:spacing w:val="40"/>
          <w:sz w:val="22"/>
        </w:rPr>
        <w:t> </w:t>
      </w:r>
      <w:r>
        <w:rPr>
          <w:sz w:val="22"/>
        </w:rPr>
        <w:t>K,</w:t>
      </w:r>
      <w:r>
        <w:rPr>
          <w:spacing w:val="40"/>
          <w:sz w:val="22"/>
        </w:rPr>
        <w:t> </w:t>
      </w:r>
      <w:r>
        <w:rPr>
          <w:sz w:val="22"/>
        </w:rPr>
        <w:t>Meyer</w:t>
      </w:r>
      <w:r>
        <w:rPr>
          <w:spacing w:val="40"/>
          <w:sz w:val="22"/>
        </w:rPr>
        <w:t> </w:t>
      </w:r>
      <w:r>
        <w:rPr>
          <w:sz w:val="22"/>
        </w:rPr>
        <w:t>PM.</w:t>
      </w:r>
      <w:r>
        <w:rPr>
          <w:spacing w:val="40"/>
          <w:sz w:val="22"/>
        </w:rPr>
        <w:t> </w:t>
      </w:r>
      <w:r>
        <w:rPr>
          <w:sz w:val="22"/>
        </w:rPr>
        <w:t>Sleep difficulty in women at midlife: a community survey of sleep and the menopausal transition. </w:t>
      </w:r>
      <w:r>
        <w:rPr>
          <w:i/>
          <w:sz w:val="22"/>
        </w:rPr>
        <w:t>Menopause</w:t>
      </w:r>
      <w:r>
        <w:rPr>
          <w:sz w:val="22"/>
        </w:rPr>
        <w:t>. 2003;10:19.</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Kravitz</w:t>
      </w:r>
      <w:r>
        <w:rPr>
          <w:spacing w:val="40"/>
          <w:sz w:val="22"/>
        </w:rPr>
        <w:t> </w:t>
      </w:r>
      <w:r>
        <w:rPr>
          <w:sz w:val="22"/>
        </w:rPr>
        <w:t>HM,</w:t>
      </w:r>
      <w:r>
        <w:rPr>
          <w:spacing w:val="40"/>
          <w:sz w:val="22"/>
        </w:rPr>
        <w:t> </w:t>
      </w:r>
      <w:r>
        <w:rPr>
          <w:sz w:val="22"/>
        </w:rPr>
        <w:t>Zhao</w:t>
      </w:r>
      <w:r>
        <w:rPr>
          <w:spacing w:val="40"/>
          <w:sz w:val="22"/>
        </w:rPr>
        <w:t> </w:t>
      </w:r>
      <w:r>
        <w:rPr>
          <w:sz w:val="22"/>
        </w:rPr>
        <w:t>X,</w:t>
      </w:r>
      <w:r>
        <w:rPr>
          <w:spacing w:val="40"/>
          <w:sz w:val="22"/>
        </w:rPr>
        <w:t> </w:t>
      </w:r>
      <w:r>
        <w:rPr>
          <w:sz w:val="22"/>
        </w:rPr>
        <w:t>Bromberger</w:t>
      </w:r>
      <w:r>
        <w:rPr>
          <w:spacing w:val="40"/>
          <w:sz w:val="22"/>
        </w:rPr>
        <w:t> </w:t>
      </w:r>
      <w:r>
        <w:rPr>
          <w:sz w:val="22"/>
        </w:rPr>
        <w:t>JT,</w:t>
      </w:r>
      <w:r>
        <w:rPr>
          <w:spacing w:val="40"/>
          <w:sz w:val="22"/>
        </w:rPr>
        <w:t> </w:t>
      </w:r>
      <w:r>
        <w:rPr>
          <w:sz w:val="22"/>
        </w:rPr>
        <w:t>et</w:t>
      </w:r>
      <w:r>
        <w:rPr>
          <w:spacing w:val="40"/>
          <w:sz w:val="22"/>
        </w:rPr>
        <w:t> </w:t>
      </w:r>
      <w:r>
        <w:rPr>
          <w:sz w:val="22"/>
        </w:rPr>
        <w:t>al.</w:t>
      </w:r>
      <w:r>
        <w:rPr>
          <w:spacing w:val="40"/>
          <w:sz w:val="22"/>
        </w:rPr>
        <w:t> </w:t>
      </w:r>
      <w:r>
        <w:rPr>
          <w:sz w:val="22"/>
        </w:rPr>
        <w:t>Sleep</w:t>
      </w:r>
      <w:r>
        <w:rPr>
          <w:spacing w:val="40"/>
          <w:sz w:val="22"/>
        </w:rPr>
        <w:t> </w:t>
      </w:r>
      <w:r>
        <w:rPr>
          <w:sz w:val="22"/>
        </w:rPr>
        <w:t>disturbance</w:t>
      </w:r>
      <w:r>
        <w:rPr>
          <w:spacing w:val="40"/>
          <w:sz w:val="22"/>
        </w:rPr>
        <w:t> </w:t>
      </w:r>
      <w:r>
        <w:rPr>
          <w:sz w:val="22"/>
        </w:rPr>
        <w:t>during</w:t>
      </w:r>
      <w:r>
        <w:rPr>
          <w:spacing w:val="40"/>
          <w:sz w:val="22"/>
        </w:rPr>
        <w:t> </w:t>
      </w:r>
      <w:r>
        <w:rPr>
          <w:sz w:val="22"/>
        </w:rPr>
        <w:t>the</w:t>
      </w:r>
      <w:r>
        <w:rPr>
          <w:spacing w:val="40"/>
          <w:sz w:val="22"/>
        </w:rPr>
        <w:t> </w:t>
      </w:r>
      <w:r>
        <w:rPr>
          <w:sz w:val="22"/>
        </w:rPr>
        <w:t>menopausal transition in a multi-ethnic community sample of women. </w:t>
      </w:r>
      <w:r>
        <w:rPr>
          <w:i/>
          <w:sz w:val="22"/>
        </w:rPr>
        <w:t>Sleep</w:t>
      </w:r>
      <w:r>
        <w:rPr>
          <w:sz w:val="22"/>
        </w:rPr>
        <w:t>. 2008;31:979.</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Kuh DL, Wadsorth M, Hardy R. Women’s health in midlife: the influence of the </w:t>
      </w:r>
      <w:r>
        <w:rPr>
          <w:sz w:val="22"/>
        </w:rPr>
        <w:t>menopause, social factors and health in earlier life. </w:t>
      </w:r>
      <w:r>
        <w:rPr>
          <w:i/>
          <w:sz w:val="22"/>
        </w:rPr>
        <w:t>Br J Obstet Gynaecol</w:t>
      </w:r>
      <w:r>
        <w:rPr>
          <w:sz w:val="22"/>
        </w:rPr>
        <w:t>. 1997;104:923.</w:t>
      </w:r>
    </w:p>
    <w:p>
      <w:pPr>
        <w:pStyle w:val="ListParagraph"/>
        <w:numPr>
          <w:ilvl w:val="0"/>
          <w:numId w:val="9"/>
        </w:numPr>
        <w:tabs>
          <w:tab w:pos="699" w:val="left" w:leader="none"/>
          <w:tab w:pos="718" w:val="left" w:leader="none"/>
        </w:tabs>
        <w:spacing w:line="256" w:lineRule="auto" w:before="0" w:after="0"/>
        <w:ind w:left="718" w:right="97" w:hanging="507"/>
        <w:jc w:val="both"/>
        <w:rPr>
          <w:sz w:val="22"/>
        </w:rPr>
      </w:pPr>
      <w:r>
        <w:rPr>
          <w:sz w:val="22"/>
        </w:rPr>
        <w:t>Wiklund</w:t>
      </w:r>
      <w:r>
        <w:rPr>
          <w:spacing w:val="20"/>
          <w:sz w:val="22"/>
        </w:rPr>
        <w:t> </w:t>
      </w:r>
      <w:r>
        <w:rPr>
          <w:sz w:val="22"/>
        </w:rPr>
        <w:t>I,</w:t>
      </w:r>
      <w:r>
        <w:rPr>
          <w:spacing w:val="20"/>
          <w:sz w:val="22"/>
        </w:rPr>
        <w:t> </w:t>
      </w:r>
      <w:r>
        <w:rPr>
          <w:sz w:val="22"/>
        </w:rPr>
        <w:t>Karlberg</w:t>
      </w:r>
      <w:r>
        <w:rPr>
          <w:spacing w:val="20"/>
          <w:sz w:val="22"/>
        </w:rPr>
        <w:t> </w:t>
      </w:r>
      <w:r>
        <w:rPr>
          <w:sz w:val="22"/>
        </w:rPr>
        <w:t>J,</w:t>
      </w:r>
      <w:r>
        <w:rPr>
          <w:spacing w:val="20"/>
          <w:sz w:val="22"/>
        </w:rPr>
        <w:t> </w:t>
      </w:r>
      <w:r>
        <w:rPr>
          <w:sz w:val="22"/>
        </w:rPr>
        <w:t>Mattsson</w:t>
      </w:r>
      <w:r>
        <w:rPr>
          <w:spacing w:val="20"/>
          <w:sz w:val="22"/>
        </w:rPr>
        <w:t> </w:t>
      </w:r>
      <w:r>
        <w:rPr>
          <w:sz w:val="22"/>
        </w:rPr>
        <w:t>L-A.</w:t>
      </w:r>
      <w:r>
        <w:rPr>
          <w:spacing w:val="20"/>
          <w:sz w:val="22"/>
        </w:rPr>
        <w:t> </w:t>
      </w:r>
      <w:r>
        <w:rPr>
          <w:sz w:val="22"/>
        </w:rPr>
        <w:t>Quality</w:t>
      </w:r>
      <w:r>
        <w:rPr>
          <w:spacing w:val="19"/>
          <w:sz w:val="22"/>
        </w:rPr>
        <w:t> </w:t>
      </w:r>
      <w:r>
        <w:rPr>
          <w:sz w:val="22"/>
        </w:rPr>
        <w:t>of</w:t>
      </w:r>
      <w:r>
        <w:rPr>
          <w:spacing w:val="19"/>
          <w:sz w:val="22"/>
        </w:rPr>
        <w:t> </w:t>
      </w:r>
      <w:r>
        <w:rPr>
          <w:sz w:val="22"/>
        </w:rPr>
        <w:t>life</w:t>
      </w:r>
      <w:r>
        <w:rPr>
          <w:spacing w:val="19"/>
          <w:sz w:val="22"/>
        </w:rPr>
        <w:t> </w:t>
      </w:r>
      <w:r>
        <w:rPr>
          <w:sz w:val="22"/>
        </w:rPr>
        <w:t>of</w:t>
      </w:r>
      <w:r>
        <w:rPr>
          <w:spacing w:val="19"/>
          <w:sz w:val="22"/>
        </w:rPr>
        <w:t> </w:t>
      </w:r>
      <w:r>
        <w:rPr>
          <w:sz w:val="22"/>
        </w:rPr>
        <w:t>postmenopausal</w:t>
      </w:r>
      <w:r>
        <w:rPr>
          <w:spacing w:val="19"/>
          <w:sz w:val="22"/>
        </w:rPr>
        <w:t> </w:t>
      </w:r>
      <w:r>
        <w:rPr>
          <w:sz w:val="22"/>
        </w:rPr>
        <w:t>women</w:t>
      </w:r>
      <w:r>
        <w:rPr>
          <w:spacing w:val="19"/>
          <w:sz w:val="22"/>
        </w:rPr>
        <w:t> </w:t>
      </w:r>
      <w:r>
        <w:rPr>
          <w:sz w:val="22"/>
        </w:rPr>
        <w:t>on</w:t>
      </w:r>
      <w:r>
        <w:rPr>
          <w:spacing w:val="19"/>
          <w:sz w:val="22"/>
        </w:rPr>
        <w:t> </w:t>
      </w:r>
      <w:r>
        <w:rPr>
          <w:sz w:val="22"/>
        </w:rPr>
        <w:t>a</w:t>
      </w:r>
      <w:r>
        <w:rPr>
          <w:spacing w:val="19"/>
          <w:sz w:val="22"/>
        </w:rPr>
        <w:t> </w:t>
      </w:r>
      <w:r>
        <w:rPr>
          <w:sz w:val="22"/>
        </w:rPr>
        <w:t>regimen of</w:t>
      </w:r>
      <w:r>
        <w:rPr>
          <w:spacing w:val="40"/>
          <w:sz w:val="22"/>
        </w:rPr>
        <w:t> </w:t>
      </w:r>
      <w:r>
        <w:rPr>
          <w:sz w:val="22"/>
        </w:rPr>
        <w:t>transdermal</w:t>
      </w:r>
      <w:r>
        <w:rPr>
          <w:spacing w:val="40"/>
          <w:sz w:val="22"/>
        </w:rPr>
        <w:t> </w:t>
      </w:r>
      <w:r>
        <w:rPr>
          <w:sz w:val="22"/>
        </w:rPr>
        <w:t>estradiol</w:t>
      </w:r>
      <w:r>
        <w:rPr>
          <w:spacing w:val="40"/>
          <w:sz w:val="22"/>
        </w:rPr>
        <w:t> </w:t>
      </w:r>
      <w:r>
        <w:rPr>
          <w:sz w:val="22"/>
        </w:rPr>
        <w:t>therapy:</w:t>
      </w:r>
      <w:r>
        <w:rPr>
          <w:spacing w:val="40"/>
          <w:sz w:val="22"/>
        </w:rPr>
        <w:t> </w:t>
      </w:r>
      <w:r>
        <w:rPr>
          <w:sz w:val="22"/>
        </w:rPr>
        <w:t>a</w:t>
      </w:r>
      <w:r>
        <w:rPr>
          <w:spacing w:val="40"/>
          <w:sz w:val="22"/>
        </w:rPr>
        <w:t> </w:t>
      </w:r>
      <w:r>
        <w:rPr>
          <w:sz w:val="22"/>
        </w:rPr>
        <w:t>double-blind</w:t>
      </w:r>
      <w:r>
        <w:rPr>
          <w:spacing w:val="40"/>
          <w:sz w:val="22"/>
        </w:rPr>
        <w:t> </w:t>
      </w:r>
      <w:r>
        <w:rPr>
          <w:sz w:val="22"/>
        </w:rPr>
        <w:t>placebo-controlled</w:t>
      </w:r>
      <w:r>
        <w:rPr>
          <w:spacing w:val="40"/>
          <w:sz w:val="22"/>
        </w:rPr>
        <w:t> </w:t>
      </w:r>
      <w:r>
        <w:rPr>
          <w:sz w:val="22"/>
        </w:rPr>
        <w:t>study.</w:t>
      </w:r>
      <w:r>
        <w:rPr>
          <w:spacing w:val="40"/>
          <w:sz w:val="22"/>
        </w:rPr>
        <w:t> </w:t>
      </w:r>
      <w:r>
        <w:rPr>
          <w:i/>
          <w:sz w:val="22"/>
        </w:rPr>
        <w:t>Am</w:t>
      </w:r>
      <w:r>
        <w:rPr>
          <w:i/>
          <w:spacing w:val="40"/>
          <w:sz w:val="22"/>
        </w:rPr>
        <w:t> </w:t>
      </w:r>
      <w:r>
        <w:rPr>
          <w:i/>
          <w:sz w:val="22"/>
        </w:rPr>
        <w:t>J</w:t>
      </w:r>
      <w:r>
        <w:rPr>
          <w:i/>
          <w:spacing w:val="40"/>
          <w:sz w:val="22"/>
        </w:rPr>
        <w:t> </w:t>
      </w:r>
      <w:r>
        <w:rPr>
          <w:i/>
          <w:sz w:val="22"/>
        </w:rPr>
        <w:t>Obstet</w:t>
      </w:r>
      <w:r>
        <w:rPr>
          <w:i/>
          <w:sz w:val="22"/>
        </w:rPr>
        <w:t> Gynecol</w:t>
      </w:r>
      <w:r>
        <w:rPr>
          <w:sz w:val="22"/>
        </w:rPr>
        <w:t>. 1993;168:824.</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Daly E, Gray A, Barlow D, McPherson K, Roche M, Vessey M. Measuring the impact </w:t>
      </w:r>
      <w:r>
        <w:rPr>
          <w:sz w:val="22"/>
        </w:rPr>
        <w:t>of menopausal symptoms on quality of life. </w:t>
      </w:r>
      <w:r>
        <w:rPr>
          <w:i/>
          <w:sz w:val="22"/>
        </w:rPr>
        <w:t>Br Med J</w:t>
      </w:r>
      <w:r>
        <w:rPr>
          <w:sz w:val="22"/>
        </w:rPr>
        <w:t>. 1993;307:836.</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98" w:hanging="507"/>
        <w:jc w:val="both"/>
        <w:rPr>
          <w:sz w:val="22"/>
        </w:rPr>
      </w:pPr>
      <w:r>
        <w:rPr>
          <w:sz w:val="22"/>
        </w:rPr>
        <w:t>Hlatky MA, Boothroyd D, Vittinghoff E, Sharp P, Whooley MA; HERS Research Group. Quality-of-life and depressive symptoms in postmenopausal women after receiving hormone therapy:</w:t>
      </w:r>
      <w:r>
        <w:rPr>
          <w:spacing w:val="40"/>
          <w:sz w:val="22"/>
        </w:rPr>
        <w:t> </w:t>
      </w:r>
      <w:r>
        <w:rPr>
          <w:sz w:val="22"/>
        </w:rPr>
        <w:t>results</w:t>
      </w:r>
      <w:r>
        <w:rPr>
          <w:spacing w:val="40"/>
          <w:sz w:val="22"/>
        </w:rPr>
        <w:t> </w:t>
      </w:r>
      <w:r>
        <w:rPr>
          <w:sz w:val="22"/>
        </w:rPr>
        <w:t>from</w:t>
      </w:r>
      <w:r>
        <w:rPr>
          <w:spacing w:val="40"/>
          <w:sz w:val="22"/>
        </w:rPr>
        <w:t> </w:t>
      </w:r>
      <w:r>
        <w:rPr>
          <w:sz w:val="22"/>
        </w:rPr>
        <w:t>the</w:t>
      </w:r>
      <w:r>
        <w:rPr>
          <w:spacing w:val="40"/>
          <w:sz w:val="22"/>
        </w:rPr>
        <w:t> </w:t>
      </w:r>
      <w:r>
        <w:rPr>
          <w:sz w:val="22"/>
        </w:rPr>
        <w:t>Heart</w:t>
      </w:r>
      <w:r>
        <w:rPr>
          <w:spacing w:val="40"/>
          <w:sz w:val="22"/>
        </w:rPr>
        <w:t> </w:t>
      </w:r>
      <w:r>
        <w:rPr>
          <w:sz w:val="22"/>
        </w:rPr>
        <w:t>and</w:t>
      </w:r>
      <w:r>
        <w:rPr>
          <w:spacing w:val="40"/>
          <w:sz w:val="22"/>
        </w:rPr>
        <w:t> </w:t>
      </w:r>
      <w:r>
        <w:rPr>
          <w:sz w:val="22"/>
        </w:rPr>
        <w:t>Estrogen/progestin</w:t>
      </w:r>
      <w:r>
        <w:rPr>
          <w:spacing w:val="40"/>
          <w:sz w:val="22"/>
        </w:rPr>
        <w:t> </w:t>
      </w:r>
      <w:r>
        <w:rPr>
          <w:sz w:val="22"/>
        </w:rPr>
        <w:t>Replacement</w:t>
      </w:r>
      <w:r>
        <w:rPr>
          <w:spacing w:val="40"/>
          <w:sz w:val="22"/>
        </w:rPr>
        <w:t> </w:t>
      </w:r>
      <w:r>
        <w:rPr>
          <w:sz w:val="22"/>
        </w:rPr>
        <w:t>Study</w:t>
      </w:r>
      <w:r>
        <w:rPr>
          <w:spacing w:val="40"/>
          <w:sz w:val="22"/>
        </w:rPr>
        <w:t> </w:t>
      </w:r>
      <w:r>
        <w:rPr>
          <w:sz w:val="22"/>
        </w:rPr>
        <w:t>(HERS)</w:t>
      </w:r>
      <w:r>
        <w:rPr>
          <w:spacing w:val="40"/>
          <w:sz w:val="22"/>
        </w:rPr>
        <w:t> </w:t>
      </w:r>
      <w:r>
        <w:rPr>
          <w:sz w:val="22"/>
        </w:rPr>
        <w:t>trial. </w:t>
      </w:r>
      <w:r>
        <w:rPr>
          <w:i/>
          <w:sz w:val="22"/>
        </w:rPr>
        <w:t>JAMA</w:t>
      </w:r>
      <w:r>
        <w:rPr>
          <w:sz w:val="22"/>
        </w:rPr>
        <w:t>. 2002;287:591.</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Hays J, Ockene JK, Brunner RL, et al; Women’s Health Initiative Investigators. Effects </w:t>
      </w:r>
      <w:r>
        <w:rPr>
          <w:sz w:val="22"/>
        </w:rPr>
        <w:t>of estrogen plus progestin on health-related quality of life. </w:t>
      </w:r>
      <w:r>
        <w:rPr>
          <w:i/>
          <w:sz w:val="22"/>
        </w:rPr>
        <w:t>N Engl J Med</w:t>
      </w:r>
      <w:r>
        <w:rPr>
          <w:sz w:val="22"/>
        </w:rPr>
        <w:t>. 2003;348:1839.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Welton AJ, Vickers MR, Kim JJ, et al; WISDOM Team. Health related quality of life after combined</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randomised</w:t>
      </w:r>
      <w:r>
        <w:rPr>
          <w:spacing w:val="40"/>
          <w:sz w:val="22"/>
        </w:rPr>
        <w:t> </w:t>
      </w:r>
      <w:r>
        <w:rPr>
          <w:sz w:val="22"/>
        </w:rPr>
        <w:t>controlled</w:t>
      </w:r>
      <w:r>
        <w:rPr>
          <w:spacing w:val="40"/>
          <w:sz w:val="22"/>
        </w:rPr>
        <w:t> </w:t>
      </w:r>
      <w:r>
        <w:rPr>
          <w:sz w:val="22"/>
        </w:rPr>
        <w:t>trial.</w:t>
      </w:r>
      <w:r>
        <w:rPr>
          <w:spacing w:val="40"/>
          <w:sz w:val="22"/>
        </w:rPr>
        <w:t> </w:t>
      </w:r>
      <w:r>
        <w:rPr>
          <w:i/>
          <w:sz w:val="22"/>
        </w:rPr>
        <w:t>Br</w:t>
      </w:r>
      <w:r>
        <w:rPr>
          <w:i/>
          <w:spacing w:val="40"/>
          <w:sz w:val="22"/>
        </w:rPr>
        <w:t> </w:t>
      </w:r>
      <w:r>
        <w:rPr>
          <w:i/>
          <w:sz w:val="22"/>
        </w:rPr>
        <w:t>Med</w:t>
      </w:r>
      <w:r>
        <w:rPr>
          <w:i/>
          <w:spacing w:val="40"/>
          <w:sz w:val="22"/>
        </w:rPr>
        <w:t> </w:t>
      </w:r>
      <w:r>
        <w:rPr>
          <w:i/>
          <w:sz w:val="22"/>
        </w:rPr>
        <w:t>J</w:t>
      </w:r>
      <w:r>
        <w:rPr>
          <w:sz w:val="22"/>
        </w:rPr>
        <w:t>. </w:t>
      </w:r>
      <w:r>
        <w:rPr>
          <w:spacing w:val="-2"/>
          <w:sz w:val="22"/>
        </w:rPr>
        <w:t>2008;337:a119.</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Dennerstein L, Burrows GD, Hyman GJ, Wood C. Hormone therapy and affect. </w:t>
      </w:r>
      <w:r>
        <w:rPr>
          <w:i/>
          <w:sz w:val="22"/>
        </w:rPr>
        <w:t>Maturitas</w:t>
      </w:r>
      <w:r>
        <w:rPr>
          <w:sz w:val="22"/>
        </w:rPr>
        <w:t>. </w:t>
      </w:r>
      <w:r>
        <w:rPr>
          <w:spacing w:val="-2"/>
          <w:sz w:val="22"/>
        </w:rPr>
        <w:t>1979;1:247.</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Sherwin BB. Affective changes with estrogen and androgen replacement therapy in surgically menopausal women. </w:t>
      </w:r>
      <w:r>
        <w:rPr>
          <w:i/>
          <w:sz w:val="22"/>
        </w:rPr>
        <w:t>J Affect Disord</w:t>
      </w:r>
      <w:r>
        <w:rPr>
          <w:sz w:val="22"/>
        </w:rPr>
        <w:t>. 1988;14:177.</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Limouzin-Lamothe</w:t>
      </w:r>
      <w:r>
        <w:rPr>
          <w:spacing w:val="40"/>
          <w:sz w:val="22"/>
        </w:rPr>
        <w:t> </w:t>
      </w:r>
      <w:r>
        <w:rPr>
          <w:sz w:val="22"/>
        </w:rPr>
        <w:t>M-A,</w:t>
      </w:r>
      <w:r>
        <w:rPr>
          <w:spacing w:val="40"/>
          <w:sz w:val="22"/>
        </w:rPr>
        <w:t> </w:t>
      </w:r>
      <w:r>
        <w:rPr>
          <w:sz w:val="22"/>
        </w:rPr>
        <w:t>Mairon</w:t>
      </w:r>
      <w:r>
        <w:rPr>
          <w:spacing w:val="40"/>
          <w:sz w:val="22"/>
        </w:rPr>
        <w:t> </w:t>
      </w:r>
      <w:r>
        <w:rPr>
          <w:sz w:val="22"/>
        </w:rPr>
        <w:t>N,</w:t>
      </w:r>
      <w:r>
        <w:rPr>
          <w:spacing w:val="40"/>
          <w:sz w:val="22"/>
        </w:rPr>
        <w:t> </w:t>
      </w:r>
      <w:r>
        <w:rPr>
          <w:sz w:val="22"/>
        </w:rPr>
        <w:t>Joyce</w:t>
      </w:r>
      <w:r>
        <w:rPr>
          <w:spacing w:val="40"/>
          <w:sz w:val="22"/>
        </w:rPr>
        <w:t> </w:t>
      </w:r>
      <w:r>
        <w:rPr>
          <w:sz w:val="22"/>
        </w:rPr>
        <w:t>CRB,</w:t>
      </w:r>
      <w:r>
        <w:rPr>
          <w:spacing w:val="40"/>
          <w:sz w:val="22"/>
        </w:rPr>
        <w:t> </w:t>
      </w:r>
      <w:r>
        <w:rPr>
          <w:sz w:val="22"/>
        </w:rPr>
        <w:t>Le</w:t>
      </w:r>
      <w:r>
        <w:rPr>
          <w:spacing w:val="40"/>
          <w:sz w:val="22"/>
        </w:rPr>
        <w:t> </w:t>
      </w:r>
      <w:r>
        <w:rPr>
          <w:sz w:val="22"/>
        </w:rPr>
        <w:t>Gal</w:t>
      </w:r>
      <w:r>
        <w:rPr>
          <w:spacing w:val="40"/>
          <w:sz w:val="22"/>
        </w:rPr>
        <w:t> </w:t>
      </w:r>
      <w:r>
        <w:rPr>
          <w:sz w:val="22"/>
        </w:rPr>
        <w:t>M.</w:t>
      </w:r>
      <w:r>
        <w:rPr>
          <w:spacing w:val="40"/>
          <w:sz w:val="22"/>
        </w:rPr>
        <w:t> </w:t>
      </w:r>
      <w:r>
        <w:rPr>
          <w:sz w:val="22"/>
        </w:rPr>
        <w:t>Quality</w:t>
      </w:r>
      <w:r>
        <w:rPr>
          <w:spacing w:val="40"/>
          <w:sz w:val="22"/>
        </w:rPr>
        <w:t> </w:t>
      </w:r>
      <w:r>
        <w:rPr>
          <w:sz w:val="22"/>
        </w:rPr>
        <w:t>of</w:t>
      </w:r>
      <w:r>
        <w:rPr>
          <w:spacing w:val="40"/>
          <w:sz w:val="22"/>
        </w:rPr>
        <w:t> </w:t>
      </w:r>
      <w:r>
        <w:rPr>
          <w:sz w:val="22"/>
        </w:rPr>
        <w:t>life</w:t>
      </w:r>
      <w:r>
        <w:rPr>
          <w:spacing w:val="40"/>
          <w:sz w:val="22"/>
        </w:rPr>
        <w:t> </w:t>
      </w:r>
      <w:r>
        <w:rPr>
          <w:sz w:val="22"/>
        </w:rPr>
        <w:t>after</w:t>
      </w:r>
      <w:r>
        <w:rPr>
          <w:spacing w:val="40"/>
          <w:sz w:val="22"/>
        </w:rPr>
        <w:t> </w:t>
      </w:r>
      <w:r>
        <w:rPr>
          <w:sz w:val="22"/>
        </w:rPr>
        <w:t>the menopause: influence of hormonal replacement therapy. </w:t>
      </w:r>
      <w:r>
        <w:rPr>
          <w:i/>
          <w:sz w:val="22"/>
        </w:rPr>
        <w:t>Am J Obstet Gynecol</w:t>
      </w:r>
      <w:r>
        <w:rPr>
          <w:sz w:val="22"/>
        </w:rPr>
        <w:t>. 1994;170:618.</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Tosteson AN, Gabriel SE, Kneeland TS, et al. Has the impact of hormone replacement </w:t>
      </w:r>
      <w:r>
        <w:rPr>
          <w:sz w:val="22"/>
        </w:rPr>
        <w:t>therapy on health-related quality of life been undervalued? </w:t>
      </w:r>
      <w:r>
        <w:rPr>
          <w:i/>
          <w:sz w:val="22"/>
        </w:rPr>
        <w:t>J Womens Health Gend Based Med</w:t>
      </w:r>
      <w:r>
        <w:rPr>
          <w:sz w:val="22"/>
        </w:rPr>
        <w:t>. </w:t>
      </w:r>
      <w:r>
        <w:rPr>
          <w:spacing w:val="-2"/>
          <w:sz w:val="22"/>
        </w:rPr>
        <w:t>2000;9:119.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Schneider LS, Small GW, Hamilton SH, Bystritsky A, Nemeroff CB, Meyers BS; </w:t>
      </w:r>
      <w:r>
        <w:rPr>
          <w:sz w:val="22"/>
        </w:rPr>
        <w:t>Fluoxetine Collaborative Study Group. Estrogen replacement and response to fluoxetine in a multicenter geriatric depression trial. </w:t>
      </w:r>
      <w:r>
        <w:rPr>
          <w:i/>
          <w:sz w:val="22"/>
        </w:rPr>
        <w:t>Am J Geriatr Psychiatry</w:t>
      </w:r>
      <w:r>
        <w:rPr>
          <w:sz w:val="22"/>
        </w:rPr>
        <w:t>. 1997;5:97.</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Schmidt PJ, Nieman LK, Danaceau MA, et al. Estrogen replacement in perimenopause-</w:t>
      </w:r>
      <w:r>
        <w:rPr>
          <w:sz w:val="22"/>
        </w:rPr>
        <w:t>related depression: a preliminary report. </w:t>
      </w:r>
      <w:r>
        <w:rPr>
          <w:i/>
          <w:sz w:val="22"/>
        </w:rPr>
        <w:t>Am J Obstet Gynecol</w:t>
      </w:r>
      <w:r>
        <w:rPr>
          <w:sz w:val="22"/>
        </w:rPr>
        <w:t>. 2000;183:414.</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Palinkas LA, Barrett-Connor E. Estrogen use and depressive symptoms in postmenopausal women. </w:t>
      </w:r>
      <w:r>
        <w:rPr>
          <w:i/>
          <w:sz w:val="22"/>
        </w:rPr>
        <w:t>Obstet Gynecol</w:t>
      </w:r>
      <w:r>
        <w:rPr>
          <w:sz w:val="22"/>
        </w:rPr>
        <w:t>. 1992;80:30.</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de</w:t>
      </w:r>
      <w:r>
        <w:rPr>
          <w:spacing w:val="23"/>
          <w:sz w:val="22"/>
        </w:rPr>
        <w:t> </w:t>
      </w:r>
      <w:r>
        <w:rPr>
          <w:sz w:val="22"/>
        </w:rPr>
        <w:t>Novaes</w:t>
      </w:r>
      <w:r>
        <w:rPr>
          <w:spacing w:val="23"/>
          <w:sz w:val="22"/>
        </w:rPr>
        <w:t> </w:t>
      </w:r>
      <w:r>
        <w:rPr>
          <w:sz w:val="22"/>
        </w:rPr>
        <w:t>Soares</w:t>
      </w:r>
      <w:r>
        <w:rPr>
          <w:spacing w:val="23"/>
          <w:sz w:val="22"/>
        </w:rPr>
        <w:t> </w:t>
      </w:r>
      <w:r>
        <w:rPr>
          <w:sz w:val="22"/>
        </w:rPr>
        <w:t>C,</w:t>
      </w:r>
      <w:r>
        <w:rPr>
          <w:spacing w:val="23"/>
          <w:sz w:val="22"/>
        </w:rPr>
        <w:t> </w:t>
      </w:r>
      <w:r>
        <w:rPr>
          <w:sz w:val="22"/>
        </w:rPr>
        <w:t>Almeida</w:t>
      </w:r>
      <w:r>
        <w:rPr>
          <w:spacing w:val="23"/>
          <w:sz w:val="22"/>
        </w:rPr>
        <w:t> </w:t>
      </w:r>
      <w:r>
        <w:rPr>
          <w:sz w:val="22"/>
        </w:rPr>
        <w:t>OP,</w:t>
      </w:r>
      <w:r>
        <w:rPr>
          <w:spacing w:val="23"/>
          <w:sz w:val="22"/>
        </w:rPr>
        <w:t> </w:t>
      </w:r>
      <w:r>
        <w:rPr>
          <w:sz w:val="22"/>
        </w:rPr>
        <w:t>Joffe</w:t>
      </w:r>
      <w:r>
        <w:rPr>
          <w:spacing w:val="23"/>
          <w:sz w:val="22"/>
        </w:rPr>
        <w:t> </w:t>
      </w:r>
      <w:r>
        <w:rPr>
          <w:sz w:val="22"/>
        </w:rPr>
        <w:t>H,</w:t>
      </w:r>
      <w:r>
        <w:rPr>
          <w:spacing w:val="23"/>
          <w:sz w:val="22"/>
        </w:rPr>
        <w:t> </w:t>
      </w:r>
      <w:r>
        <w:rPr>
          <w:sz w:val="22"/>
        </w:rPr>
        <w:t>Cohen</w:t>
      </w:r>
      <w:r>
        <w:rPr>
          <w:spacing w:val="23"/>
          <w:sz w:val="22"/>
        </w:rPr>
        <w:t> </w:t>
      </w:r>
      <w:r>
        <w:rPr>
          <w:sz w:val="22"/>
        </w:rPr>
        <w:t>LS,</w:t>
      </w:r>
      <w:r>
        <w:rPr>
          <w:spacing w:val="23"/>
          <w:sz w:val="22"/>
        </w:rPr>
        <w:t> </w:t>
      </w:r>
      <w:r>
        <w:rPr>
          <w:sz w:val="22"/>
        </w:rPr>
        <w:t>Efficacy</w:t>
      </w:r>
      <w:r>
        <w:rPr>
          <w:spacing w:val="23"/>
          <w:sz w:val="22"/>
        </w:rPr>
        <w:t> </w:t>
      </w:r>
      <w:r>
        <w:rPr>
          <w:sz w:val="22"/>
        </w:rPr>
        <w:t>of</w:t>
      </w:r>
      <w:r>
        <w:rPr>
          <w:spacing w:val="23"/>
          <w:sz w:val="22"/>
        </w:rPr>
        <w:t> </w:t>
      </w:r>
      <w:r>
        <w:rPr>
          <w:sz w:val="22"/>
        </w:rPr>
        <w:t>estradiol</w:t>
      </w:r>
      <w:r>
        <w:rPr>
          <w:spacing w:val="23"/>
          <w:sz w:val="22"/>
        </w:rPr>
        <w:t> </w:t>
      </w:r>
      <w:r>
        <w:rPr>
          <w:sz w:val="22"/>
        </w:rPr>
        <w:t>for</w:t>
      </w:r>
      <w:r>
        <w:rPr>
          <w:spacing w:val="23"/>
          <w:sz w:val="22"/>
        </w:rPr>
        <w:t> </w:t>
      </w:r>
      <w:r>
        <w:rPr>
          <w:sz w:val="22"/>
        </w:rPr>
        <w:t>the</w:t>
      </w:r>
      <w:r>
        <w:rPr>
          <w:spacing w:val="23"/>
          <w:sz w:val="22"/>
        </w:rPr>
        <w:t> </w:t>
      </w:r>
      <w:r>
        <w:rPr>
          <w:sz w:val="22"/>
        </w:rPr>
        <w:t>treatment of depressive disorders in perimenopausal women: a double-blind, randomized, placebo-controlled trial, </w:t>
      </w:r>
      <w:r>
        <w:rPr>
          <w:i/>
          <w:sz w:val="22"/>
        </w:rPr>
        <w:t>Arch Gen Psychiatry</w:t>
      </w:r>
      <w:r>
        <w:rPr>
          <w:sz w:val="22"/>
        </w:rPr>
        <w:t>. 2001;58:529.</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Gregoire AJ, Kumar R, Everitt B, Henderson AF, Studd JW. Transdermal oestrogen </w:t>
      </w:r>
      <w:r>
        <w:rPr>
          <w:sz w:val="22"/>
        </w:rPr>
        <w:t>for treatment of severe postnatal depression. </w:t>
      </w:r>
      <w:r>
        <w:rPr>
          <w:i/>
          <w:sz w:val="22"/>
        </w:rPr>
        <w:t>Lancet</w:t>
      </w:r>
      <w:r>
        <w:rPr>
          <w:sz w:val="22"/>
        </w:rPr>
        <w:t>. 1996;347:930.</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Ahokas A, Kaukoranta J, Wahlbeck K, Aito M. Estrogen deficiency in severe postpartum depression: successful treatment with sublingual physiologic 17beta-estradiol: a </w:t>
      </w:r>
      <w:r>
        <w:rPr>
          <w:sz w:val="22"/>
        </w:rPr>
        <w:t>preliminary study. </w:t>
      </w:r>
      <w:r>
        <w:rPr>
          <w:i/>
          <w:sz w:val="22"/>
        </w:rPr>
        <w:t>J Clin Psychiatry</w:t>
      </w:r>
      <w:r>
        <w:rPr>
          <w:sz w:val="22"/>
        </w:rPr>
        <w:t>. 2001;62:332.</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Bromberger JT, Assmann SF, Avis NE, Schocken M, Kravitzl HM, Cordal A. Persistent mood symptoms in a multiethnic community cohort of pre- and perimenopausal women. </w:t>
      </w:r>
      <w:r>
        <w:rPr>
          <w:i/>
          <w:sz w:val="22"/>
        </w:rPr>
        <w:t>Am </w:t>
      </w:r>
      <w:r>
        <w:rPr>
          <w:i/>
          <w:sz w:val="22"/>
        </w:rPr>
        <w:t>J</w:t>
      </w:r>
      <w:r>
        <w:rPr>
          <w:i/>
          <w:sz w:val="22"/>
        </w:rPr>
        <w:t> Epidemiol</w:t>
      </w:r>
      <w:r>
        <w:rPr>
          <w:sz w:val="22"/>
        </w:rPr>
        <w:t>. 2003;158:347.</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Maki PM, Kornstein SG, Joffe H, et al. Guidelines for the evaluation and treatment of perimenopausal depression: summary and recommendations. </w:t>
      </w:r>
      <w:r>
        <w:rPr>
          <w:i/>
          <w:sz w:val="22"/>
        </w:rPr>
        <w:t>Menopause</w:t>
      </w:r>
      <w:r>
        <w:rPr>
          <w:sz w:val="22"/>
        </w:rPr>
        <w:t>. </w:t>
      </w:r>
      <w:r>
        <w:rPr>
          <w:sz w:val="22"/>
        </w:rPr>
        <w:t>2018;25(10):1069-</w:t>
      </w:r>
      <w:r>
        <w:rPr>
          <w:spacing w:val="-2"/>
          <w:sz w:val="22"/>
        </w:rPr>
        <w:t>1085.</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Metcalf</w:t>
      </w:r>
      <w:r>
        <w:rPr>
          <w:spacing w:val="40"/>
          <w:sz w:val="22"/>
        </w:rPr>
        <w:t> </w:t>
      </w:r>
      <w:r>
        <w:rPr>
          <w:sz w:val="22"/>
        </w:rPr>
        <w:t>CA,</w:t>
      </w:r>
      <w:r>
        <w:rPr>
          <w:spacing w:val="40"/>
          <w:sz w:val="22"/>
        </w:rPr>
        <w:t> </w:t>
      </w:r>
      <w:r>
        <w:rPr>
          <w:sz w:val="22"/>
        </w:rPr>
        <w:t>Duffy</w:t>
      </w:r>
      <w:r>
        <w:rPr>
          <w:spacing w:val="40"/>
          <w:sz w:val="22"/>
        </w:rPr>
        <w:t> </w:t>
      </w:r>
      <w:r>
        <w:rPr>
          <w:sz w:val="22"/>
        </w:rPr>
        <w:t>KA,</w:t>
      </w:r>
      <w:r>
        <w:rPr>
          <w:spacing w:val="40"/>
          <w:sz w:val="22"/>
        </w:rPr>
        <w:t> </w:t>
      </w:r>
      <w:r>
        <w:rPr>
          <w:sz w:val="22"/>
        </w:rPr>
        <w:t>Page</w:t>
      </w:r>
      <w:r>
        <w:rPr>
          <w:spacing w:val="40"/>
          <w:sz w:val="22"/>
        </w:rPr>
        <w:t> </w:t>
      </w:r>
      <w:r>
        <w:rPr>
          <w:sz w:val="22"/>
        </w:rPr>
        <w:t>CE,</w:t>
      </w:r>
      <w:r>
        <w:rPr>
          <w:spacing w:val="40"/>
          <w:sz w:val="22"/>
        </w:rPr>
        <w:t> </w:t>
      </w:r>
      <w:r>
        <w:rPr>
          <w:sz w:val="22"/>
        </w:rPr>
        <w:t>Novick</w:t>
      </w:r>
      <w:r>
        <w:rPr>
          <w:spacing w:val="40"/>
          <w:sz w:val="22"/>
        </w:rPr>
        <w:t> </w:t>
      </w:r>
      <w:r>
        <w:rPr>
          <w:sz w:val="22"/>
        </w:rPr>
        <w:t>AM.</w:t>
      </w:r>
      <w:r>
        <w:rPr>
          <w:spacing w:val="40"/>
          <w:sz w:val="22"/>
        </w:rPr>
        <w:t> </w:t>
      </w:r>
      <w:r>
        <w:rPr>
          <w:sz w:val="22"/>
        </w:rPr>
        <w:t>Cognitive</w:t>
      </w:r>
      <w:r>
        <w:rPr>
          <w:spacing w:val="40"/>
          <w:sz w:val="22"/>
        </w:rPr>
        <w:t> </w:t>
      </w:r>
      <w:r>
        <w:rPr>
          <w:sz w:val="22"/>
        </w:rPr>
        <w:t>problems</w:t>
      </w:r>
      <w:r>
        <w:rPr>
          <w:spacing w:val="40"/>
          <w:sz w:val="22"/>
        </w:rPr>
        <w:t> </w:t>
      </w:r>
      <w:r>
        <w:rPr>
          <w:sz w:val="22"/>
        </w:rPr>
        <w:t>in</w:t>
      </w:r>
      <w:r>
        <w:rPr>
          <w:spacing w:val="40"/>
          <w:sz w:val="22"/>
        </w:rPr>
        <w:t> </w:t>
      </w:r>
      <w:r>
        <w:rPr>
          <w:sz w:val="22"/>
        </w:rPr>
        <w:t>perimenopause:</w:t>
      </w:r>
      <w:r>
        <w:rPr>
          <w:spacing w:val="40"/>
          <w:sz w:val="22"/>
        </w:rPr>
        <w:t> </w:t>
      </w:r>
      <w:r>
        <w:rPr>
          <w:sz w:val="22"/>
        </w:rPr>
        <w:t>a review of recent evidence. </w:t>
      </w:r>
      <w:r>
        <w:rPr>
          <w:i/>
          <w:sz w:val="22"/>
        </w:rPr>
        <w:t>Curr Psychiatry Rep</w:t>
      </w:r>
      <w:r>
        <w:rPr>
          <w:sz w:val="22"/>
        </w:rPr>
        <w:t>. 2023;25(10):501-511.</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Sherwin BB. Estrogen effects on cognition in menopausal women. </w:t>
      </w:r>
      <w:r>
        <w:rPr>
          <w:i/>
          <w:sz w:val="22"/>
        </w:rPr>
        <w:t>Neurol</w:t>
      </w:r>
      <w:r>
        <w:rPr>
          <w:sz w:val="22"/>
        </w:rPr>
        <w:t>. 1997;48(suppl </w:t>
      </w:r>
      <w:r>
        <w:rPr>
          <w:spacing w:val="-2"/>
          <w:sz w:val="22"/>
        </w:rPr>
        <w:t>7):S21.</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Rice MM, Graves AB, Mcurry SM, Larson EB. Estrogen replacement therapy and </w:t>
      </w:r>
      <w:r>
        <w:rPr>
          <w:sz w:val="22"/>
        </w:rPr>
        <w:t>cognitive function in postmenopausal women without dementia. </w:t>
      </w:r>
      <w:r>
        <w:rPr>
          <w:i/>
          <w:sz w:val="22"/>
        </w:rPr>
        <w:t>Am J Med</w:t>
      </w:r>
      <w:r>
        <w:rPr>
          <w:sz w:val="22"/>
        </w:rPr>
        <w:t>. 1997;103(3A):26S.</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Ditkoff EC, Crary WG, Cristo M, Lobo RA. Estrogen improves psychological function in asymptomatic postmenopausal women. </w:t>
      </w:r>
      <w:r>
        <w:rPr>
          <w:i/>
          <w:sz w:val="22"/>
        </w:rPr>
        <w:t>Obstet Gynecol</w:t>
      </w:r>
      <w:r>
        <w:rPr>
          <w:sz w:val="22"/>
        </w:rPr>
        <w:t>. 1991;78:991.</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99" w:hanging="507"/>
        <w:jc w:val="both"/>
        <w:rPr>
          <w:sz w:val="22"/>
        </w:rPr>
      </w:pPr>
      <w:r>
        <w:rPr>
          <w:sz w:val="22"/>
        </w:rPr>
        <w:t>Polo-Kantola P, Portin R, Polo O, Helenius H, Irjala K, Erkkola R. The effect of short-term estrogen replacement therapy on cognition: a randomized, double-blind, cross-over trial in postmenopausal women. </w:t>
      </w:r>
      <w:r>
        <w:rPr>
          <w:i/>
          <w:sz w:val="22"/>
        </w:rPr>
        <w:t>Obstet Gynecol</w:t>
      </w:r>
      <w:r>
        <w:rPr>
          <w:sz w:val="22"/>
        </w:rPr>
        <w:t>. 1998;91:459.</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Henderson VW, Guthrie JR, Dudley EC, Burger HG, Dennerstein L. Estrogen exposures </w:t>
      </w:r>
      <w:r>
        <w:rPr>
          <w:sz w:val="22"/>
        </w:rPr>
        <w:t>and memory at midlife: a population-based study of women. </w:t>
      </w:r>
      <w:r>
        <w:rPr>
          <w:i/>
          <w:sz w:val="22"/>
        </w:rPr>
        <w:t>Neurology</w:t>
      </w:r>
      <w:r>
        <w:rPr>
          <w:sz w:val="22"/>
        </w:rPr>
        <w:t>. 2003;60:1369.</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Meyer PM, Powell LH, Wilson RS, et al. A population-based longitudinal study of </w:t>
      </w:r>
      <w:r>
        <w:rPr>
          <w:sz w:val="22"/>
        </w:rPr>
        <w:t>cognitive functioning in the menopausal transition. </w:t>
      </w:r>
      <w:r>
        <w:rPr>
          <w:i/>
          <w:sz w:val="22"/>
        </w:rPr>
        <w:t>Neurology</w:t>
      </w:r>
      <w:r>
        <w:rPr>
          <w:sz w:val="22"/>
        </w:rPr>
        <w:t>. 2003;61:801.</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Gleason CE, Dowling NM, Wharton W, et al. Effects of hormone therapy on cognition and</w:t>
      </w:r>
      <w:r>
        <w:rPr>
          <w:spacing w:val="40"/>
          <w:sz w:val="22"/>
        </w:rPr>
        <w:t> </w:t>
      </w:r>
      <w:r>
        <w:rPr>
          <w:sz w:val="22"/>
        </w:rPr>
        <w:t>mood in recently postmenopausal women: findings from the randomized, controlled KEEPS-cognitive and affective study. </w:t>
      </w:r>
      <w:r>
        <w:rPr>
          <w:i/>
          <w:sz w:val="22"/>
        </w:rPr>
        <w:t>PLoS Med</w:t>
      </w:r>
      <w:r>
        <w:rPr>
          <w:sz w:val="22"/>
        </w:rPr>
        <w:t>. 2015;12(6):e1001833.</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Phillips SM, Sherwin BB. Effects of estrogen on memory function in surgically menopausal women. </w:t>
      </w:r>
      <w:r>
        <w:rPr>
          <w:i/>
          <w:sz w:val="22"/>
        </w:rPr>
        <w:t>Psychoneuroendocrinology</w:t>
      </w:r>
      <w:r>
        <w:rPr>
          <w:sz w:val="22"/>
        </w:rPr>
        <w:t>. 1992;17:485.</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Kampen</w:t>
      </w:r>
      <w:r>
        <w:rPr>
          <w:spacing w:val="40"/>
          <w:sz w:val="22"/>
        </w:rPr>
        <w:t> </w:t>
      </w:r>
      <w:r>
        <w:rPr>
          <w:sz w:val="22"/>
        </w:rPr>
        <w:t>DL,</w:t>
      </w:r>
      <w:r>
        <w:rPr>
          <w:spacing w:val="40"/>
          <w:sz w:val="22"/>
        </w:rPr>
        <w:t> </w:t>
      </w:r>
      <w:r>
        <w:rPr>
          <w:sz w:val="22"/>
        </w:rPr>
        <w:t>Sherwin</w:t>
      </w:r>
      <w:r>
        <w:rPr>
          <w:spacing w:val="40"/>
          <w:sz w:val="22"/>
        </w:rPr>
        <w:t> </w:t>
      </w:r>
      <w:r>
        <w:rPr>
          <w:sz w:val="22"/>
        </w:rPr>
        <w:t>BB.</w:t>
      </w:r>
      <w:r>
        <w:rPr>
          <w:spacing w:val="40"/>
          <w:sz w:val="22"/>
        </w:rPr>
        <w:t> </w:t>
      </w:r>
      <w:r>
        <w:rPr>
          <w:sz w:val="22"/>
        </w:rPr>
        <w:t>Estrogen</w:t>
      </w:r>
      <w:r>
        <w:rPr>
          <w:spacing w:val="40"/>
          <w:sz w:val="22"/>
        </w:rPr>
        <w:t> </w:t>
      </w:r>
      <w:r>
        <w:rPr>
          <w:sz w:val="22"/>
        </w:rPr>
        <w:t>use</w:t>
      </w:r>
      <w:r>
        <w:rPr>
          <w:spacing w:val="40"/>
          <w:sz w:val="22"/>
        </w:rPr>
        <w:t> </w:t>
      </w:r>
      <w:r>
        <w:rPr>
          <w:sz w:val="22"/>
        </w:rPr>
        <w:t>and</w:t>
      </w:r>
      <w:r>
        <w:rPr>
          <w:spacing w:val="40"/>
          <w:sz w:val="22"/>
        </w:rPr>
        <w:t> </w:t>
      </w:r>
      <w:r>
        <w:rPr>
          <w:sz w:val="22"/>
        </w:rPr>
        <w:t>verbal</w:t>
      </w:r>
      <w:r>
        <w:rPr>
          <w:spacing w:val="40"/>
          <w:sz w:val="22"/>
        </w:rPr>
        <w:t> </w:t>
      </w:r>
      <w:r>
        <w:rPr>
          <w:sz w:val="22"/>
        </w:rPr>
        <w:t>memory</w:t>
      </w:r>
      <w:r>
        <w:rPr>
          <w:spacing w:val="40"/>
          <w:sz w:val="22"/>
        </w:rPr>
        <w:t> </w:t>
      </w:r>
      <w:r>
        <w:rPr>
          <w:sz w:val="22"/>
        </w:rPr>
        <w:t>in</w:t>
      </w:r>
      <w:r>
        <w:rPr>
          <w:spacing w:val="40"/>
          <w:sz w:val="22"/>
        </w:rPr>
        <w:t> </w:t>
      </w:r>
      <w:r>
        <w:rPr>
          <w:sz w:val="22"/>
        </w:rPr>
        <w:t>healthy</w:t>
      </w:r>
      <w:r>
        <w:rPr>
          <w:spacing w:val="40"/>
          <w:sz w:val="22"/>
        </w:rPr>
        <w:t> </w:t>
      </w:r>
      <w:r>
        <w:rPr>
          <w:sz w:val="22"/>
        </w:rPr>
        <w:t>postmenopausal women. </w:t>
      </w:r>
      <w:r>
        <w:rPr>
          <w:i/>
          <w:sz w:val="22"/>
        </w:rPr>
        <w:t>Obstet Gynecol</w:t>
      </w:r>
      <w:r>
        <w:rPr>
          <w:sz w:val="22"/>
        </w:rPr>
        <w:t>. 1994;83:979.</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Smith YR, Giordani B, Lajiness-O’Neill R, Zubieta J-K. Long-term estrogen replacement is associated with improved nonverbal memory and attentional measures in postmenopausal women. </w:t>
      </w:r>
      <w:r>
        <w:rPr>
          <w:i/>
          <w:sz w:val="22"/>
        </w:rPr>
        <w:t>Fertil Steril</w:t>
      </w:r>
      <w:r>
        <w:rPr>
          <w:sz w:val="22"/>
        </w:rPr>
        <w:t>. 2001;76:1101.</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Robinson D, Friedman L, Marcus R, Tinklenberg J, Yesavage J. Estrogen replacement therapy and memory in older women. </w:t>
      </w:r>
      <w:r>
        <w:rPr>
          <w:i/>
          <w:sz w:val="22"/>
        </w:rPr>
        <w:t>J Am Geriatr Soc</w:t>
      </w:r>
      <w:r>
        <w:rPr>
          <w:sz w:val="22"/>
        </w:rPr>
        <w:t>. 1994;42:919.</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Resnick</w:t>
      </w:r>
      <w:r>
        <w:rPr>
          <w:spacing w:val="40"/>
          <w:sz w:val="22"/>
        </w:rPr>
        <w:t> </w:t>
      </w:r>
      <w:r>
        <w:rPr>
          <w:sz w:val="22"/>
        </w:rPr>
        <w:t>SM,</w:t>
      </w:r>
      <w:r>
        <w:rPr>
          <w:spacing w:val="40"/>
          <w:sz w:val="22"/>
        </w:rPr>
        <w:t> </w:t>
      </w:r>
      <w:r>
        <w:rPr>
          <w:sz w:val="22"/>
        </w:rPr>
        <w:t>Metter</w:t>
      </w:r>
      <w:r>
        <w:rPr>
          <w:spacing w:val="40"/>
          <w:sz w:val="22"/>
        </w:rPr>
        <w:t> </w:t>
      </w:r>
      <w:r>
        <w:rPr>
          <w:sz w:val="22"/>
        </w:rPr>
        <w:t>EJ,</w:t>
      </w:r>
      <w:r>
        <w:rPr>
          <w:spacing w:val="40"/>
          <w:sz w:val="22"/>
        </w:rPr>
        <w:t> </w:t>
      </w:r>
      <w:r>
        <w:rPr>
          <w:sz w:val="22"/>
        </w:rPr>
        <w:t>Zonderman</w:t>
      </w:r>
      <w:r>
        <w:rPr>
          <w:spacing w:val="40"/>
          <w:sz w:val="22"/>
        </w:rPr>
        <w:t> </w:t>
      </w:r>
      <w:r>
        <w:rPr>
          <w:sz w:val="22"/>
        </w:rPr>
        <w:t>AB.</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longitudinal decline in visual memory: a possible protective effect. </w:t>
      </w:r>
      <w:r>
        <w:rPr>
          <w:i/>
          <w:sz w:val="22"/>
        </w:rPr>
        <w:t>Neurology</w:t>
      </w:r>
      <w:r>
        <w:rPr>
          <w:sz w:val="22"/>
        </w:rPr>
        <w:t>. 1997;49:1491.</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Maki PM, Zonderman AB, Resnick SM. Enhanced verbal memory in nondemented </w:t>
      </w:r>
      <w:r>
        <w:rPr>
          <w:sz w:val="22"/>
        </w:rPr>
        <w:t>elderly women receiving hormone-replacement therapy. </w:t>
      </w:r>
      <w:r>
        <w:rPr>
          <w:i/>
          <w:sz w:val="22"/>
        </w:rPr>
        <w:t>Am J Psychiatry</w:t>
      </w:r>
      <w:r>
        <w:rPr>
          <w:sz w:val="22"/>
        </w:rPr>
        <w:t>. 2001;158:227.</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Jacobs DM, Tang MX, Stern Y, et al. Cognitive function in nondemented older women who</w:t>
      </w:r>
      <w:r>
        <w:rPr>
          <w:spacing w:val="40"/>
          <w:sz w:val="22"/>
        </w:rPr>
        <w:t> </w:t>
      </w:r>
      <w:r>
        <w:rPr>
          <w:sz w:val="22"/>
        </w:rPr>
        <w:t>took estrogen after menopause. </w:t>
      </w:r>
      <w:r>
        <w:rPr>
          <w:i/>
          <w:sz w:val="22"/>
        </w:rPr>
        <w:t>Neurology</w:t>
      </w:r>
      <w:r>
        <w:rPr>
          <w:sz w:val="22"/>
        </w:rPr>
        <w:t>. 1998;50:368.</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Matthews K, Cauley J, Yaffe K, Zmuda JM. Estrogen replacement therapy and </w:t>
      </w:r>
      <w:r>
        <w:rPr>
          <w:sz w:val="22"/>
        </w:rPr>
        <w:t>cognitive</w:t>
      </w:r>
      <w:r>
        <w:rPr>
          <w:spacing w:val="80"/>
          <w:sz w:val="22"/>
        </w:rPr>
        <w:t> </w:t>
      </w:r>
      <w:r>
        <w:rPr>
          <w:sz w:val="22"/>
        </w:rPr>
        <w:t>decline in older community women. </w:t>
      </w:r>
      <w:r>
        <w:rPr>
          <w:i/>
          <w:sz w:val="22"/>
        </w:rPr>
        <w:t>J Am Geriatr Soc</w:t>
      </w:r>
      <w:r>
        <w:rPr>
          <w:sz w:val="22"/>
        </w:rPr>
        <w:t>. 1999;47:518.</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Shaywitz SE, Naftolin F, Zelterman D, et al. Better oral reading and short-term memory </w:t>
      </w:r>
      <w:r>
        <w:rPr>
          <w:sz w:val="22"/>
        </w:rPr>
        <w:t>in midlife, postmenopausal women taking estrogen. </w:t>
      </w:r>
      <w:r>
        <w:rPr>
          <w:i/>
          <w:sz w:val="22"/>
        </w:rPr>
        <w:t>Menopause</w:t>
      </w:r>
      <w:r>
        <w:rPr>
          <w:sz w:val="22"/>
        </w:rPr>
        <w:t>. 2003;10:420.</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Yaffe</w:t>
      </w:r>
      <w:r>
        <w:rPr>
          <w:spacing w:val="18"/>
          <w:sz w:val="22"/>
        </w:rPr>
        <w:t> </w:t>
      </w:r>
      <w:r>
        <w:rPr>
          <w:sz w:val="22"/>
        </w:rPr>
        <w:t>K,</w:t>
      </w:r>
      <w:r>
        <w:rPr>
          <w:spacing w:val="18"/>
          <w:sz w:val="22"/>
        </w:rPr>
        <w:t> </w:t>
      </w:r>
      <w:r>
        <w:rPr>
          <w:sz w:val="22"/>
        </w:rPr>
        <w:t>Lui</w:t>
      </w:r>
      <w:r>
        <w:rPr>
          <w:spacing w:val="18"/>
          <w:sz w:val="22"/>
        </w:rPr>
        <w:t> </w:t>
      </w:r>
      <w:r>
        <w:rPr>
          <w:sz w:val="22"/>
        </w:rPr>
        <w:t>L-Y,</w:t>
      </w:r>
      <w:r>
        <w:rPr>
          <w:spacing w:val="18"/>
          <w:sz w:val="22"/>
        </w:rPr>
        <w:t> </w:t>
      </w:r>
      <w:r>
        <w:rPr>
          <w:sz w:val="22"/>
        </w:rPr>
        <w:t>Grady</w:t>
      </w:r>
      <w:r>
        <w:rPr>
          <w:spacing w:val="18"/>
          <w:sz w:val="22"/>
        </w:rPr>
        <w:t> </w:t>
      </w:r>
      <w:r>
        <w:rPr>
          <w:sz w:val="22"/>
        </w:rPr>
        <w:t>D,</w:t>
      </w:r>
      <w:r>
        <w:rPr>
          <w:spacing w:val="18"/>
          <w:sz w:val="22"/>
        </w:rPr>
        <w:t> </w:t>
      </w:r>
      <w:r>
        <w:rPr>
          <w:sz w:val="22"/>
        </w:rPr>
        <w:t>Cauley</w:t>
      </w:r>
      <w:r>
        <w:rPr>
          <w:spacing w:val="18"/>
          <w:sz w:val="22"/>
        </w:rPr>
        <w:t> </w:t>
      </w:r>
      <w:r>
        <w:rPr>
          <w:sz w:val="22"/>
        </w:rPr>
        <w:t>J,</w:t>
      </w:r>
      <w:r>
        <w:rPr>
          <w:spacing w:val="18"/>
          <w:sz w:val="22"/>
        </w:rPr>
        <w:t> </w:t>
      </w:r>
      <w:r>
        <w:rPr>
          <w:sz w:val="22"/>
        </w:rPr>
        <w:t>Kramer</w:t>
      </w:r>
      <w:r>
        <w:rPr>
          <w:spacing w:val="18"/>
          <w:sz w:val="22"/>
        </w:rPr>
        <w:t> </w:t>
      </w:r>
      <w:r>
        <w:rPr>
          <w:sz w:val="22"/>
        </w:rPr>
        <w:t>J,</w:t>
      </w:r>
      <w:r>
        <w:rPr>
          <w:spacing w:val="18"/>
          <w:sz w:val="22"/>
        </w:rPr>
        <w:t> </w:t>
      </w:r>
      <w:r>
        <w:rPr>
          <w:sz w:val="22"/>
        </w:rPr>
        <w:t>Cummings</w:t>
      </w:r>
      <w:r>
        <w:rPr>
          <w:spacing w:val="18"/>
          <w:sz w:val="22"/>
        </w:rPr>
        <w:t> </w:t>
      </w:r>
      <w:r>
        <w:rPr>
          <w:sz w:val="22"/>
        </w:rPr>
        <w:t>SR.</w:t>
      </w:r>
      <w:r>
        <w:rPr>
          <w:spacing w:val="18"/>
          <w:sz w:val="22"/>
        </w:rPr>
        <w:t> </w:t>
      </w:r>
      <w:r>
        <w:rPr>
          <w:sz w:val="22"/>
        </w:rPr>
        <w:t>Cognitive</w:t>
      </w:r>
      <w:r>
        <w:rPr>
          <w:spacing w:val="21"/>
          <w:sz w:val="22"/>
        </w:rPr>
        <w:t> </w:t>
      </w:r>
      <w:r>
        <w:rPr>
          <w:sz w:val="22"/>
        </w:rPr>
        <w:t>decline</w:t>
      </w:r>
      <w:r>
        <w:rPr>
          <w:spacing w:val="21"/>
          <w:sz w:val="22"/>
        </w:rPr>
        <w:t> </w:t>
      </w:r>
      <w:r>
        <w:rPr>
          <w:sz w:val="22"/>
        </w:rPr>
        <w:t>in</w:t>
      </w:r>
      <w:r>
        <w:rPr>
          <w:spacing w:val="21"/>
          <w:sz w:val="22"/>
        </w:rPr>
        <w:t> </w:t>
      </w:r>
      <w:r>
        <w:rPr>
          <w:sz w:val="22"/>
        </w:rPr>
        <w:t>women in relation to non-protein-bound oestradiol concentrations. </w:t>
      </w:r>
      <w:r>
        <w:rPr>
          <w:i/>
          <w:sz w:val="22"/>
        </w:rPr>
        <w:t>Lancet</w:t>
      </w:r>
      <w:r>
        <w:rPr>
          <w:sz w:val="22"/>
        </w:rPr>
        <w:t>. 2000;356:708.</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Yaffe K, Haan M, Byers A, Tangen C, Kuller L. Estrogen use, </w:t>
      </w:r>
      <w:r>
        <w:rPr>
          <w:i/>
          <w:sz w:val="22"/>
        </w:rPr>
        <w:t>APOE</w:t>
      </w:r>
      <w:r>
        <w:rPr>
          <w:sz w:val="22"/>
        </w:rPr>
        <w:t>, and cognitive decline. Evidence of gene-environment interaction. </w:t>
      </w:r>
      <w:r>
        <w:rPr>
          <w:i/>
          <w:sz w:val="22"/>
        </w:rPr>
        <w:t>Neurology</w:t>
      </w:r>
      <w:r>
        <w:rPr>
          <w:sz w:val="22"/>
        </w:rPr>
        <w:t>. 2000;54:1949.</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Behl C, Skutella T, Lezoualc’h F, et al. Neuroprotection against oxidative stress by estrogens: structure-activity relationship. </w:t>
      </w:r>
      <w:r>
        <w:rPr>
          <w:i/>
          <w:sz w:val="22"/>
        </w:rPr>
        <w:t>Mol Pharm</w:t>
      </w:r>
      <w:r>
        <w:rPr>
          <w:sz w:val="22"/>
        </w:rPr>
        <w:t>. 1997;51:535.</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Hashimoto S, Katou M, Dong Y, Murakami K, Terada S, Inoue M. Effects of </w:t>
      </w:r>
      <w:r>
        <w:rPr>
          <w:sz w:val="22"/>
        </w:rPr>
        <w:t>hormone replacement therapy on serum amyloid P component in postmenopausal women. </w:t>
      </w:r>
      <w:r>
        <w:rPr>
          <w:i/>
          <w:sz w:val="22"/>
        </w:rPr>
        <w:t>Maturitas</w:t>
      </w:r>
      <w:r>
        <w:rPr>
          <w:sz w:val="22"/>
        </w:rPr>
        <w:t>. </w:t>
      </w:r>
      <w:r>
        <w:rPr>
          <w:spacing w:val="-2"/>
          <w:sz w:val="22"/>
        </w:rPr>
        <w:t>1997;26:113.</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Wooley</w:t>
      </w:r>
      <w:r>
        <w:rPr>
          <w:spacing w:val="22"/>
          <w:sz w:val="22"/>
        </w:rPr>
        <w:t> </w:t>
      </w:r>
      <w:r>
        <w:rPr>
          <w:sz w:val="22"/>
        </w:rPr>
        <w:t>CS,</w:t>
      </w:r>
      <w:r>
        <w:rPr>
          <w:spacing w:val="22"/>
          <w:sz w:val="22"/>
        </w:rPr>
        <w:t> </w:t>
      </w:r>
      <w:r>
        <w:rPr>
          <w:sz w:val="22"/>
        </w:rPr>
        <w:t>Weiland</w:t>
      </w:r>
      <w:r>
        <w:rPr>
          <w:spacing w:val="22"/>
          <w:sz w:val="22"/>
        </w:rPr>
        <w:t> </w:t>
      </w:r>
      <w:r>
        <w:rPr>
          <w:sz w:val="22"/>
        </w:rPr>
        <w:t>NG,</w:t>
      </w:r>
      <w:r>
        <w:rPr>
          <w:spacing w:val="22"/>
          <w:sz w:val="22"/>
        </w:rPr>
        <w:t> </w:t>
      </w:r>
      <w:r>
        <w:rPr>
          <w:sz w:val="22"/>
        </w:rPr>
        <w:t>McEwen</w:t>
      </w:r>
      <w:r>
        <w:rPr>
          <w:spacing w:val="22"/>
          <w:sz w:val="22"/>
        </w:rPr>
        <w:t> </w:t>
      </w:r>
      <w:r>
        <w:rPr>
          <w:sz w:val="22"/>
        </w:rPr>
        <w:t>BS,</w:t>
      </w:r>
      <w:r>
        <w:rPr>
          <w:spacing w:val="22"/>
          <w:sz w:val="22"/>
        </w:rPr>
        <w:t> </w:t>
      </w:r>
      <w:r>
        <w:rPr>
          <w:sz w:val="22"/>
        </w:rPr>
        <w:t>Schwartzkroin</w:t>
      </w:r>
      <w:r>
        <w:rPr>
          <w:spacing w:val="22"/>
          <w:sz w:val="22"/>
        </w:rPr>
        <w:t> </w:t>
      </w:r>
      <w:r>
        <w:rPr>
          <w:sz w:val="22"/>
        </w:rPr>
        <w:t>PA.</w:t>
      </w:r>
      <w:r>
        <w:rPr>
          <w:spacing w:val="22"/>
          <w:sz w:val="22"/>
        </w:rPr>
        <w:t> </w:t>
      </w:r>
      <w:r>
        <w:rPr>
          <w:sz w:val="22"/>
        </w:rPr>
        <w:t>Estradiol</w:t>
      </w:r>
      <w:r>
        <w:rPr>
          <w:spacing w:val="25"/>
          <w:sz w:val="22"/>
        </w:rPr>
        <w:t> </w:t>
      </w:r>
      <w:r>
        <w:rPr>
          <w:sz w:val="22"/>
        </w:rPr>
        <w:t>increases</w:t>
      </w:r>
      <w:r>
        <w:rPr>
          <w:spacing w:val="25"/>
          <w:sz w:val="22"/>
        </w:rPr>
        <w:t> </w:t>
      </w:r>
      <w:r>
        <w:rPr>
          <w:sz w:val="22"/>
        </w:rPr>
        <w:t>the</w:t>
      </w:r>
      <w:r>
        <w:rPr>
          <w:spacing w:val="25"/>
          <w:sz w:val="22"/>
        </w:rPr>
        <w:t> </w:t>
      </w:r>
      <w:r>
        <w:rPr>
          <w:sz w:val="22"/>
        </w:rPr>
        <w:t>sensitivity of hippocampal CA1 pyramidal cells to NMDA receptor-mediated synaptic input: correlation with dendritic spine density. </w:t>
      </w:r>
      <w:r>
        <w:rPr>
          <w:i/>
          <w:sz w:val="22"/>
        </w:rPr>
        <w:t>J Neurosci</w:t>
      </w:r>
      <w:r>
        <w:rPr>
          <w:sz w:val="22"/>
        </w:rPr>
        <w:t>. 1997;17:1848.</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Rhodin JA, Thomas TN, Clark L, Garces A, Bryant M. In vivo cerebrovascular actions </w:t>
      </w:r>
      <w:r>
        <w:rPr>
          <w:sz w:val="22"/>
        </w:rPr>
        <w:t>of amyloid beta-peptides and the protective effect of conjugated estrogens. </w:t>
      </w:r>
      <w:r>
        <w:rPr>
          <w:i/>
          <w:sz w:val="22"/>
        </w:rPr>
        <w:t>J Alzheimers Dis</w:t>
      </w:r>
      <w:r>
        <w:rPr>
          <w:sz w:val="22"/>
        </w:rPr>
        <w:t>. </w:t>
      </w:r>
      <w:r>
        <w:rPr>
          <w:spacing w:val="-2"/>
          <w:sz w:val="22"/>
        </w:rPr>
        <w:t>2003;5:275.</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Zhao</w:t>
      </w:r>
      <w:r>
        <w:rPr>
          <w:spacing w:val="40"/>
          <w:sz w:val="22"/>
        </w:rPr>
        <w:t> </w:t>
      </w:r>
      <w:r>
        <w:rPr>
          <w:sz w:val="22"/>
        </w:rPr>
        <w:t>L,</w:t>
      </w:r>
      <w:r>
        <w:rPr>
          <w:spacing w:val="40"/>
          <w:sz w:val="22"/>
        </w:rPr>
        <w:t> </w:t>
      </w:r>
      <w:r>
        <w:rPr>
          <w:sz w:val="22"/>
        </w:rPr>
        <w:t>Chen</w:t>
      </w:r>
      <w:r>
        <w:rPr>
          <w:spacing w:val="40"/>
          <w:sz w:val="22"/>
        </w:rPr>
        <w:t> </w:t>
      </w:r>
      <w:r>
        <w:rPr>
          <w:sz w:val="22"/>
        </w:rPr>
        <w:t>S,</w:t>
      </w:r>
      <w:r>
        <w:rPr>
          <w:spacing w:val="40"/>
          <w:sz w:val="22"/>
        </w:rPr>
        <w:t> </w:t>
      </w:r>
      <w:r>
        <w:rPr>
          <w:sz w:val="22"/>
        </w:rPr>
        <w:t>Brinton</w:t>
      </w:r>
      <w:r>
        <w:rPr>
          <w:spacing w:val="40"/>
          <w:sz w:val="22"/>
        </w:rPr>
        <w:t> </w:t>
      </w:r>
      <w:r>
        <w:rPr>
          <w:sz w:val="22"/>
        </w:rPr>
        <w:t>RD.</w:t>
      </w:r>
      <w:r>
        <w:rPr>
          <w:spacing w:val="40"/>
          <w:sz w:val="22"/>
        </w:rPr>
        <w:t> </w:t>
      </w:r>
      <w:r>
        <w:rPr>
          <w:sz w:val="22"/>
        </w:rPr>
        <w:t>An</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containing</w:t>
      </w:r>
      <w:r>
        <w:rPr>
          <w:spacing w:val="40"/>
          <w:sz w:val="22"/>
        </w:rPr>
        <w:t> </w:t>
      </w:r>
      <w:r>
        <w:rPr>
          <w:sz w:val="22"/>
        </w:rPr>
        <w:t>nine</w:t>
      </w:r>
      <w:r>
        <w:rPr>
          <w:spacing w:val="40"/>
          <w:sz w:val="22"/>
        </w:rPr>
        <w:t> </w:t>
      </w:r>
      <w:r>
        <w:rPr>
          <w:sz w:val="22"/>
        </w:rPr>
        <w:t>synthetic plant-based conjugated estrogens promotes neuronal survival. </w:t>
      </w:r>
      <w:r>
        <w:rPr>
          <w:i/>
          <w:sz w:val="22"/>
        </w:rPr>
        <w:t>Exp Biol Med</w:t>
      </w:r>
      <w:r>
        <w:rPr>
          <w:sz w:val="22"/>
        </w:rPr>
        <w:t>. 2003;228:823.</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Diaz Brinton R, Chen S, Montoya M, et al. The Women’s Health Initiative estrogen</w:t>
      </w:r>
      <w:r>
        <w:rPr>
          <w:spacing w:val="80"/>
          <w:sz w:val="22"/>
        </w:rPr>
        <w:t> </w:t>
      </w:r>
      <w:r>
        <w:rPr>
          <w:sz w:val="22"/>
        </w:rPr>
        <w:t>replacement therapy is neurotrophic and neuroprotective. </w:t>
      </w:r>
      <w:r>
        <w:rPr>
          <w:i/>
          <w:sz w:val="22"/>
        </w:rPr>
        <w:t>Neurobiol Aging</w:t>
      </w:r>
      <w:r>
        <w:rPr>
          <w:sz w:val="22"/>
        </w:rPr>
        <w:t>. 2003;21:475.</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10" w:val="left" w:leader="none"/>
        </w:tabs>
        <w:spacing w:line="240" w:lineRule="auto" w:before="84" w:after="0"/>
        <w:ind w:left="710" w:right="0" w:hanging="498"/>
        <w:jc w:val="both"/>
        <w:rPr>
          <w:sz w:val="22"/>
        </w:rPr>
      </w:pPr>
      <w:r>
        <w:rPr>
          <w:sz w:val="22"/>
        </w:rPr>
        <w:t>Paganini-Hill</w:t>
      </w:r>
      <w:r>
        <w:rPr>
          <w:spacing w:val="9"/>
          <w:sz w:val="22"/>
        </w:rPr>
        <w:t> </w:t>
      </w:r>
      <w:r>
        <w:rPr>
          <w:sz w:val="22"/>
        </w:rPr>
        <w:t>A,</w:t>
      </w:r>
      <w:r>
        <w:rPr>
          <w:spacing w:val="11"/>
          <w:sz w:val="22"/>
        </w:rPr>
        <w:t> </w:t>
      </w:r>
      <w:r>
        <w:rPr>
          <w:sz w:val="22"/>
        </w:rPr>
        <w:t>Henderson</w:t>
      </w:r>
      <w:r>
        <w:rPr>
          <w:spacing w:val="12"/>
          <w:sz w:val="22"/>
        </w:rPr>
        <w:t> </w:t>
      </w:r>
      <w:r>
        <w:rPr>
          <w:sz w:val="22"/>
        </w:rPr>
        <w:t>VW.</w:t>
      </w:r>
      <w:r>
        <w:rPr>
          <w:spacing w:val="11"/>
          <w:sz w:val="22"/>
        </w:rPr>
        <w:t> </w:t>
      </w:r>
      <w:r>
        <w:rPr>
          <w:sz w:val="22"/>
        </w:rPr>
        <w:t>Estrogen</w:t>
      </w:r>
      <w:r>
        <w:rPr>
          <w:spacing w:val="16"/>
          <w:sz w:val="22"/>
        </w:rPr>
        <w:t> </w:t>
      </w:r>
      <w:r>
        <w:rPr>
          <w:sz w:val="22"/>
        </w:rPr>
        <w:t>replacement</w:t>
      </w:r>
      <w:r>
        <w:rPr>
          <w:spacing w:val="17"/>
          <w:sz w:val="22"/>
        </w:rPr>
        <w:t> </w:t>
      </w:r>
      <w:r>
        <w:rPr>
          <w:sz w:val="22"/>
        </w:rPr>
        <w:t>therapy</w:t>
      </w:r>
      <w:r>
        <w:rPr>
          <w:spacing w:val="16"/>
          <w:sz w:val="22"/>
        </w:rPr>
        <w:t> </w:t>
      </w:r>
      <w:r>
        <w:rPr>
          <w:sz w:val="22"/>
        </w:rPr>
        <w:t>and</w:t>
      </w:r>
      <w:r>
        <w:rPr>
          <w:spacing w:val="16"/>
          <w:sz w:val="22"/>
        </w:rPr>
        <w:t> </w:t>
      </w:r>
      <w:r>
        <w:rPr>
          <w:sz w:val="22"/>
        </w:rPr>
        <w:t>risk</w:t>
      </w:r>
      <w:r>
        <w:rPr>
          <w:spacing w:val="16"/>
          <w:sz w:val="22"/>
        </w:rPr>
        <w:t> </w:t>
      </w:r>
      <w:r>
        <w:rPr>
          <w:sz w:val="22"/>
        </w:rPr>
        <w:t>of</w:t>
      </w:r>
      <w:r>
        <w:rPr>
          <w:spacing w:val="16"/>
          <w:sz w:val="22"/>
        </w:rPr>
        <w:t> </w:t>
      </w:r>
      <w:r>
        <w:rPr>
          <w:sz w:val="22"/>
        </w:rPr>
        <w:t>Alzheimer</w:t>
      </w:r>
      <w:r>
        <w:rPr>
          <w:spacing w:val="17"/>
          <w:sz w:val="22"/>
        </w:rPr>
        <w:t> </w:t>
      </w:r>
      <w:r>
        <w:rPr>
          <w:spacing w:val="-2"/>
          <w:sz w:val="22"/>
        </w:rPr>
        <w:t>disease.</w:t>
      </w:r>
    </w:p>
    <w:p>
      <w:pPr>
        <w:spacing w:before="17"/>
        <w:ind w:left="718" w:right="0" w:firstLine="0"/>
        <w:jc w:val="both"/>
        <w:rPr>
          <w:sz w:val="22"/>
        </w:rPr>
      </w:pPr>
      <w:r>
        <w:rPr>
          <w:i/>
          <w:sz w:val="22"/>
        </w:rPr>
        <w:t>Arch</w:t>
      </w:r>
      <w:r>
        <w:rPr>
          <w:i/>
          <w:spacing w:val="7"/>
          <w:sz w:val="22"/>
        </w:rPr>
        <w:t> </w:t>
      </w:r>
      <w:r>
        <w:rPr>
          <w:i/>
          <w:sz w:val="22"/>
        </w:rPr>
        <w:t>Intern</w:t>
      </w:r>
      <w:r>
        <w:rPr>
          <w:i/>
          <w:spacing w:val="7"/>
          <w:sz w:val="22"/>
        </w:rPr>
        <w:t> </w:t>
      </w:r>
      <w:r>
        <w:rPr>
          <w:i/>
          <w:sz w:val="22"/>
        </w:rPr>
        <w:t>Med</w:t>
      </w:r>
      <w:r>
        <w:rPr>
          <w:sz w:val="22"/>
        </w:rPr>
        <w:t>.</w:t>
      </w:r>
      <w:r>
        <w:rPr>
          <w:spacing w:val="7"/>
          <w:sz w:val="22"/>
        </w:rPr>
        <w:t> </w:t>
      </w:r>
      <w:r>
        <w:rPr>
          <w:spacing w:val="-2"/>
          <w:sz w:val="22"/>
        </w:rPr>
        <w:t>1996;156:2213.</w:t>
      </w:r>
    </w:p>
    <w:p>
      <w:pPr>
        <w:pStyle w:val="ListParagraph"/>
        <w:numPr>
          <w:ilvl w:val="0"/>
          <w:numId w:val="9"/>
        </w:numPr>
        <w:tabs>
          <w:tab w:pos="710" w:val="left" w:leader="none"/>
        </w:tabs>
        <w:spacing w:line="240" w:lineRule="auto" w:before="17" w:after="0"/>
        <w:ind w:left="710" w:right="0" w:hanging="498"/>
        <w:jc w:val="both"/>
        <w:rPr>
          <w:sz w:val="22"/>
        </w:rPr>
      </w:pPr>
      <w:r>
        <w:rPr>
          <w:sz w:val="22"/>
        </w:rPr>
        <w:t>Henderson</w:t>
      </w:r>
      <w:r>
        <w:rPr>
          <w:spacing w:val="27"/>
          <w:sz w:val="22"/>
        </w:rPr>
        <w:t> </w:t>
      </w:r>
      <w:r>
        <w:rPr>
          <w:sz w:val="22"/>
        </w:rPr>
        <w:t>VW.</w:t>
      </w:r>
      <w:r>
        <w:rPr>
          <w:spacing w:val="27"/>
          <w:sz w:val="22"/>
        </w:rPr>
        <w:t> </w:t>
      </w:r>
      <w:r>
        <w:rPr>
          <w:sz w:val="22"/>
        </w:rPr>
        <w:t>The</w:t>
      </w:r>
      <w:r>
        <w:rPr>
          <w:spacing w:val="28"/>
          <w:sz w:val="22"/>
        </w:rPr>
        <w:t> </w:t>
      </w:r>
      <w:r>
        <w:rPr>
          <w:sz w:val="22"/>
        </w:rPr>
        <w:t>epidemiology</w:t>
      </w:r>
      <w:r>
        <w:rPr>
          <w:spacing w:val="27"/>
          <w:sz w:val="22"/>
        </w:rPr>
        <w:t> </w:t>
      </w:r>
      <w:r>
        <w:rPr>
          <w:sz w:val="22"/>
        </w:rPr>
        <w:t>of</w:t>
      </w:r>
      <w:r>
        <w:rPr>
          <w:spacing w:val="27"/>
          <w:sz w:val="22"/>
        </w:rPr>
        <w:t> </w:t>
      </w:r>
      <w:r>
        <w:rPr>
          <w:sz w:val="22"/>
        </w:rPr>
        <w:t>estrogen</w:t>
      </w:r>
      <w:r>
        <w:rPr>
          <w:spacing w:val="28"/>
          <w:sz w:val="22"/>
        </w:rPr>
        <w:t> </w:t>
      </w:r>
      <w:r>
        <w:rPr>
          <w:sz w:val="22"/>
        </w:rPr>
        <w:t>replacement</w:t>
      </w:r>
      <w:r>
        <w:rPr>
          <w:spacing w:val="27"/>
          <w:sz w:val="22"/>
        </w:rPr>
        <w:t> </w:t>
      </w:r>
      <w:r>
        <w:rPr>
          <w:sz w:val="22"/>
        </w:rPr>
        <w:t>therapy</w:t>
      </w:r>
      <w:r>
        <w:rPr>
          <w:spacing w:val="28"/>
          <w:sz w:val="22"/>
        </w:rPr>
        <w:t> </w:t>
      </w:r>
      <w:r>
        <w:rPr>
          <w:sz w:val="22"/>
        </w:rPr>
        <w:t>and</w:t>
      </w:r>
      <w:r>
        <w:rPr>
          <w:spacing w:val="27"/>
          <w:sz w:val="22"/>
        </w:rPr>
        <w:t> </w:t>
      </w:r>
      <w:r>
        <w:rPr>
          <w:sz w:val="22"/>
        </w:rPr>
        <w:t>Alzheimer’s</w:t>
      </w:r>
      <w:r>
        <w:rPr>
          <w:spacing w:val="27"/>
          <w:sz w:val="22"/>
        </w:rPr>
        <w:t> </w:t>
      </w:r>
      <w:r>
        <w:rPr>
          <w:spacing w:val="-2"/>
          <w:sz w:val="22"/>
        </w:rPr>
        <w:t>disease.</w:t>
      </w:r>
    </w:p>
    <w:p>
      <w:pPr>
        <w:spacing w:before="17"/>
        <w:ind w:left="718" w:right="0" w:firstLine="0"/>
        <w:jc w:val="both"/>
        <w:rPr>
          <w:sz w:val="22"/>
        </w:rPr>
      </w:pPr>
      <w:r>
        <w:rPr>
          <w:i/>
          <w:sz w:val="22"/>
        </w:rPr>
        <w:t>Neurol</w:t>
      </w:r>
      <w:r>
        <w:rPr>
          <w:sz w:val="22"/>
        </w:rPr>
        <w:t>.</w:t>
      </w:r>
      <w:r>
        <w:rPr>
          <w:spacing w:val="15"/>
          <w:sz w:val="22"/>
        </w:rPr>
        <w:t> </w:t>
      </w:r>
      <w:r>
        <w:rPr>
          <w:sz w:val="22"/>
        </w:rPr>
        <w:t>1997;48(suppl</w:t>
      </w:r>
      <w:r>
        <w:rPr>
          <w:spacing w:val="15"/>
          <w:sz w:val="22"/>
        </w:rPr>
        <w:t> </w:t>
      </w:r>
      <w:r>
        <w:rPr>
          <w:spacing w:val="-2"/>
          <w:sz w:val="22"/>
        </w:rPr>
        <w:t>7):S27.</w:t>
      </w:r>
    </w:p>
    <w:p>
      <w:pPr>
        <w:pStyle w:val="ListParagraph"/>
        <w:numPr>
          <w:ilvl w:val="0"/>
          <w:numId w:val="9"/>
        </w:numPr>
        <w:tabs>
          <w:tab w:pos="709" w:val="left" w:leader="none"/>
          <w:tab w:pos="718" w:val="left" w:leader="none"/>
        </w:tabs>
        <w:spacing w:line="256" w:lineRule="auto" w:before="17" w:after="0"/>
        <w:ind w:left="718" w:right="107" w:hanging="507"/>
        <w:jc w:val="both"/>
        <w:rPr>
          <w:sz w:val="22"/>
        </w:rPr>
      </w:pPr>
      <w:r>
        <w:rPr>
          <w:sz w:val="22"/>
        </w:rPr>
        <w:t>Waring SC, Rocca WA, Petersen RC, O’Brien PC, Tangalos EG, Kokmen E. Postmenopausal estrogen replacement therapy and risk of AD: a population-based study. </w:t>
      </w:r>
      <w:r>
        <w:rPr>
          <w:i/>
          <w:sz w:val="22"/>
        </w:rPr>
        <w:t>Neurology</w:t>
      </w:r>
      <w:r>
        <w:rPr>
          <w:sz w:val="22"/>
        </w:rPr>
        <w:t>.</w:t>
      </w:r>
      <w:r>
        <w:rPr>
          <w:spacing w:val="40"/>
          <w:sz w:val="22"/>
        </w:rPr>
        <w:t> </w:t>
      </w:r>
      <w:r>
        <w:rPr>
          <w:spacing w:val="-2"/>
          <w:sz w:val="22"/>
        </w:rPr>
        <w:t>1999;52:965.</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Kawas C, Resnick S, Morrison A, et al. A prospective study of estrogen replacement therapy</w:t>
      </w:r>
      <w:r>
        <w:rPr>
          <w:spacing w:val="40"/>
          <w:sz w:val="22"/>
        </w:rPr>
        <w:t> </w:t>
      </w:r>
      <w:r>
        <w:rPr>
          <w:sz w:val="22"/>
        </w:rPr>
        <w:t>and the risk of developing Alzheimer’s disease: the Baltimore Longitudinal Study of Aging. </w:t>
      </w:r>
      <w:r>
        <w:rPr>
          <w:i/>
          <w:sz w:val="22"/>
        </w:rPr>
        <w:t>Neurology</w:t>
      </w:r>
      <w:r>
        <w:rPr>
          <w:sz w:val="22"/>
        </w:rPr>
        <w:t>. 1997;48:1517.</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Tang M-X, Jacobs D, Stern Y, et al. Effect of oestrogen during menopause on risk and age of onset of Alzheimer’s disease. </w:t>
      </w:r>
      <w:r>
        <w:rPr>
          <w:i/>
          <w:sz w:val="22"/>
        </w:rPr>
        <w:t>Lancet</w:t>
      </w:r>
      <w:r>
        <w:rPr>
          <w:sz w:val="22"/>
        </w:rPr>
        <w:t>. 1996;348:429.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Baldereschi M, Di Carlo A, Lepore V, et al; ILSA Working Group. Estrogen-replacement therapy and Alzheimer’s disease in the Italian Longitudinal Study on Aging. </w:t>
      </w:r>
      <w:r>
        <w:rPr>
          <w:i/>
          <w:sz w:val="22"/>
        </w:rPr>
        <w:t>Neurol</w:t>
      </w:r>
      <w:r>
        <w:rPr>
          <w:sz w:val="22"/>
        </w:rPr>
        <w:t>. </w:t>
      </w:r>
      <w:r>
        <w:rPr>
          <w:spacing w:val="-2"/>
          <w:sz w:val="22"/>
        </w:rPr>
        <w:t>1998;50:996.</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Seshadri S, Zornberg GL, Derby LE, Meyers MW, Jick H, Drachman DA. </w:t>
      </w:r>
      <w:r>
        <w:rPr>
          <w:sz w:val="22"/>
        </w:rPr>
        <w:t>Postmenopausal estrogen replacement therapy and the risk of Alzheimer disease. </w:t>
      </w:r>
      <w:r>
        <w:rPr>
          <w:i/>
          <w:sz w:val="22"/>
        </w:rPr>
        <w:t>Arch Neurol</w:t>
      </w:r>
      <w:r>
        <w:rPr>
          <w:sz w:val="22"/>
        </w:rPr>
        <w:t>. 2001;58:435.</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Henderson V, Paganini-Hill A, Emanuel CK, Dunn ME, Buckwalter G. Estrogen replacement therapy in older women: comparisons between Alzheimer’s disease cases and nondemented control subjects. </w:t>
      </w:r>
      <w:r>
        <w:rPr>
          <w:i/>
          <w:sz w:val="22"/>
        </w:rPr>
        <w:t>Arch Neurol</w:t>
      </w:r>
      <w:r>
        <w:rPr>
          <w:sz w:val="22"/>
        </w:rPr>
        <w:t>. 1994;51:896.</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Henderson</w:t>
      </w:r>
      <w:r>
        <w:rPr>
          <w:spacing w:val="40"/>
          <w:sz w:val="22"/>
        </w:rPr>
        <w:t> </w:t>
      </w:r>
      <w:r>
        <w:rPr>
          <w:sz w:val="22"/>
        </w:rPr>
        <w:t>VW,</w:t>
      </w:r>
      <w:r>
        <w:rPr>
          <w:spacing w:val="40"/>
          <w:sz w:val="22"/>
        </w:rPr>
        <w:t> </w:t>
      </w:r>
      <w:r>
        <w:rPr>
          <w:sz w:val="22"/>
        </w:rPr>
        <w:t>Paganini-Hill</w:t>
      </w:r>
      <w:r>
        <w:rPr>
          <w:spacing w:val="40"/>
          <w:sz w:val="22"/>
        </w:rPr>
        <w:t> </w:t>
      </w:r>
      <w:r>
        <w:rPr>
          <w:sz w:val="22"/>
        </w:rPr>
        <w:t>A,</w:t>
      </w:r>
      <w:r>
        <w:rPr>
          <w:spacing w:val="40"/>
          <w:sz w:val="22"/>
        </w:rPr>
        <w:t> </w:t>
      </w:r>
      <w:r>
        <w:rPr>
          <w:sz w:val="22"/>
        </w:rPr>
        <w:t>Miller</w:t>
      </w:r>
      <w:r>
        <w:rPr>
          <w:spacing w:val="40"/>
          <w:sz w:val="22"/>
        </w:rPr>
        <w:t> </w:t>
      </w:r>
      <w:r>
        <w:rPr>
          <w:sz w:val="22"/>
        </w:rPr>
        <w:t>BL,</w:t>
      </w:r>
      <w:r>
        <w:rPr>
          <w:spacing w:val="40"/>
          <w:sz w:val="22"/>
        </w:rPr>
        <w:t> </w:t>
      </w:r>
      <w:r>
        <w:rPr>
          <w:sz w:val="22"/>
        </w:rPr>
        <w:t>et</w:t>
      </w:r>
      <w:r>
        <w:rPr>
          <w:spacing w:val="40"/>
          <w:sz w:val="22"/>
        </w:rPr>
        <w:t> </w:t>
      </w:r>
      <w:r>
        <w:rPr>
          <w:sz w:val="22"/>
        </w:rPr>
        <w:t>al.</w:t>
      </w:r>
      <w:r>
        <w:rPr>
          <w:spacing w:val="40"/>
          <w:sz w:val="22"/>
        </w:rPr>
        <w:t> </w:t>
      </w:r>
      <w:r>
        <w:rPr>
          <w:sz w:val="22"/>
        </w:rPr>
        <w:t>Estrogen</w:t>
      </w:r>
      <w:r>
        <w:rPr>
          <w:spacing w:val="40"/>
          <w:sz w:val="22"/>
        </w:rPr>
        <w:t> </w:t>
      </w:r>
      <w:r>
        <w:rPr>
          <w:sz w:val="22"/>
        </w:rPr>
        <w:t>for</w:t>
      </w:r>
      <w:r>
        <w:rPr>
          <w:spacing w:val="40"/>
          <w:sz w:val="22"/>
        </w:rPr>
        <w:t> </w:t>
      </w:r>
      <w:r>
        <w:rPr>
          <w:sz w:val="22"/>
        </w:rPr>
        <w:t>Alzheimer’s</w:t>
      </w:r>
      <w:r>
        <w:rPr>
          <w:spacing w:val="40"/>
          <w:sz w:val="22"/>
        </w:rPr>
        <w:t> </w:t>
      </w:r>
      <w:r>
        <w:rPr>
          <w:sz w:val="22"/>
        </w:rPr>
        <w:t>disease</w:t>
      </w:r>
      <w:r>
        <w:rPr>
          <w:spacing w:val="40"/>
          <w:sz w:val="22"/>
        </w:rPr>
        <w:t> </w:t>
      </w:r>
      <w:r>
        <w:rPr>
          <w:sz w:val="22"/>
        </w:rPr>
        <w:t>in women: randomized, double-blind, placebo-controlled trial. </w:t>
      </w:r>
      <w:r>
        <w:rPr>
          <w:i/>
          <w:sz w:val="22"/>
        </w:rPr>
        <w:t>Neurology</w:t>
      </w:r>
      <w:r>
        <w:rPr>
          <w:sz w:val="22"/>
        </w:rPr>
        <w:t>. 2000;54:295.</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Wang PN, Liao SQ, Liu RS, et al. Effects of estrogen on cognition, mood, and cerebral blood flow in AD: a controlled study. </w:t>
      </w:r>
      <w:r>
        <w:rPr>
          <w:i/>
          <w:sz w:val="22"/>
        </w:rPr>
        <w:t>Neurology</w:t>
      </w:r>
      <w:r>
        <w:rPr>
          <w:sz w:val="22"/>
        </w:rPr>
        <w:t>. 2000;54:2061.</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Mulnard RA, Cotman CW, Kawas C, et al; Alzheimer’s Disease Cooperative Study. Estrogen replacement therapy for treatment of mild to moderate Alzheimer disease: a randomized controlled trial. </w:t>
      </w:r>
      <w:r>
        <w:rPr>
          <w:i/>
          <w:sz w:val="22"/>
        </w:rPr>
        <w:t>JAMA</w:t>
      </w:r>
      <w:r>
        <w:rPr>
          <w:sz w:val="22"/>
        </w:rPr>
        <w:t>. 2000;284:1007.</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Asthani S, Craft S, Baker LD, et al. Cognitive and neuroendocrine response to transdermal estrogen in postmenopausal women with Alzheimer’s disease: results of a placebo-</w:t>
      </w:r>
      <w:r>
        <w:rPr>
          <w:sz w:val="22"/>
        </w:rPr>
        <w:t>controlled, double-blind, pilot study. </w:t>
      </w:r>
      <w:r>
        <w:rPr>
          <w:i/>
          <w:sz w:val="22"/>
        </w:rPr>
        <w:t>Psychoneuroendocrinology</w:t>
      </w:r>
      <w:r>
        <w:rPr>
          <w:sz w:val="22"/>
        </w:rPr>
        <w:t>. 1999;24:657.</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Schneider LS, Farlow MR, Henderson VW, Pogoda J. Effects of estrogen replacement </w:t>
      </w:r>
      <w:r>
        <w:rPr>
          <w:sz w:val="22"/>
        </w:rPr>
        <w:t>therapy on response to tacrine in patients with Alzheimer’s disease. </w:t>
      </w:r>
      <w:r>
        <w:rPr>
          <w:i/>
          <w:sz w:val="22"/>
        </w:rPr>
        <w:t>Neurology</w:t>
      </w:r>
      <w:r>
        <w:rPr>
          <w:sz w:val="22"/>
        </w:rPr>
        <w:t>. 1996;46:1580.</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Yoon BK, Kim DK, Kang Y, Kim JW, Shin MH, Na DL. Hormone replacement therapy in postmenopausal women with Alzheimer’s disease: a randomized, prospective study. </w:t>
      </w:r>
      <w:r>
        <w:rPr>
          <w:i/>
          <w:sz w:val="22"/>
        </w:rPr>
        <w:t>Fertil</w:t>
      </w:r>
      <w:r>
        <w:rPr>
          <w:i/>
          <w:spacing w:val="40"/>
          <w:sz w:val="22"/>
        </w:rPr>
        <w:t> </w:t>
      </w:r>
      <w:r>
        <w:rPr>
          <w:i/>
          <w:sz w:val="22"/>
        </w:rPr>
        <w:t>Steril</w:t>
      </w:r>
      <w:r>
        <w:rPr>
          <w:sz w:val="22"/>
        </w:rPr>
        <w:t>. 2003;79:274.</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Hogervorst E, Yaffe K, Richards M, Huppert FA. Hormone replacement therapy to maintain cognitive function in women with dementia. </w:t>
      </w:r>
      <w:r>
        <w:rPr>
          <w:i/>
          <w:sz w:val="22"/>
        </w:rPr>
        <w:t>Cochrane Database Syst Rev</w:t>
      </w:r>
      <w:r>
        <w:rPr>
          <w:sz w:val="22"/>
        </w:rPr>
        <w:t>. 2009;</w:t>
      </w:r>
      <w:r>
        <w:rPr>
          <w:spacing w:val="80"/>
          <w:w w:val="150"/>
          <w:sz w:val="22"/>
        </w:rPr>
        <w:t> </w:t>
      </w:r>
      <w:r>
        <w:rPr>
          <w:spacing w:val="-2"/>
          <w:sz w:val="22"/>
        </w:rPr>
        <w:t>(1):CD003799.</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Zandi PP, Carlson MC, Plassman BL, et al; Cache County Memory Study Investigators. Hormone replacement therapy and incidence of Alzheimer disease in older women: the </w:t>
      </w:r>
      <w:r>
        <w:rPr>
          <w:sz w:val="22"/>
        </w:rPr>
        <w:t>Cache County Study. </w:t>
      </w:r>
      <w:r>
        <w:rPr>
          <w:i/>
          <w:sz w:val="22"/>
        </w:rPr>
        <w:t>JAMA</w:t>
      </w:r>
      <w:r>
        <w:rPr>
          <w:sz w:val="22"/>
        </w:rPr>
        <w:t>. 2002;288:2123.</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Steffens DC, Norton MC, Plassman BL, et al. Enhanced cognitive performance with estrogen use in nondemented community-dwelling older women. </w:t>
      </w:r>
      <w:r>
        <w:rPr>
          <w:i/>
          <w:sz w:val="22"/>
        </w:rPr>
        <w:t>J Am Geriatr Soc</w:t>
      </w:r>
      <w:r>
        <w:rPr>
          <w:sz w:val="22"/>
        </w:rPr>
        <w:t>. 1999;47:1171.</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Kantarci K, Lowe VJ, Lesnick TG, et al. Early postmenopausal transdermal 17beta-</w:t>
      </w:r>
      <w:r>
        <w:rPr>
          <w:sz w:val="22"/>
        </w:rPr>
        <w:t>estradiol therapy and amyloid-beta deposition. </w:t>
      </w:r>
      <w:r>
        <w:rPr>
          <w:i/>
          <w:sz w:val="22"/>
        </w:rPr>
        <w:t>J Alzheimers Dis</w:t>
      </w:r>
      <w:r>
        <w:rPr>
          <w:sz w:val="22"/>
        </w:rPr>
        <w:t>. 2016;53(2):547.</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Shumaker SA, Legault C, Rapp SR, et al; WHIMS Investigators. Estrogen plus progestin and</w:t>
      </w:r>
      <w:r>
        <w:rPr>
          <w:spacing w:val="80"/>
          <w:sz w:val="22"/>
        </w:rPr>
        <w:t> </w:t>
      </w:r>
      <w:r>
        <w:rPr>
          <w:sz w:val="22"/>
        </w:rPr>
        <w:t>the</w:t>
      </w:r>
      <w:r>
        <w:rPr>
          <w:spacing w:val="60"/>
          <w:sz w:val="22"/>
        </w:rPr>
        <w:t> </w:t>
      </w:r>
      <w:r>
        <w:rPr>
          <w:sz w:val="22"/>
        </w:rPr>
        <w:t>incidence</w:t>
      </w:r>
      <w:r>
        <w:rPr>
          <w:spacing w:val="60"/>
          <w:sz w:val="22"/>
        </w:rPr>
        <w:t> </w:t>
      </w:r>
      <w:r>
        <w:rPr>
          <w:sz w:val="22"/>
        </w:rPr>
        <w:t>of</w:t>
      </w:r>
      <w:r>
        <w:rPr>
          <w:spacing w:val="60"/>
          <w:sz w:val="22"/>
        </w:rPr>
        <w:t> </w:t>
      </w:r>
      <w:r>
        <w:rPr>
          <w:sz w:val="22"/>
        </w:rPr>
        <w:t>dementia</w:t>
      </w:r>
      <w:r>
        <w:rPr>
          <w:spacing w:val="60"/>
          <w:sz w:val="22"/>
        </w:rPr>
        <w:t> </w:t>
      </w:r>
      <w:r>
        <w:rPr>
          <w:sz w:val="22"/>
        </w:rPr>
        <w:t>and</w:t>
      </w:r>
      <w:r>
        <w:rPr>
          <w:spacing w:val="60"/>
          <w:sz w:val="22"/>
        </w:rPr>
        <w:t> </w:t>
      </w:r>
      <w:r>
        <w:rPr>
          <w:sz w:val="22"/>
        </w:rPr>
        <w:t>mild</w:t>
      </w:r>
      <w:r>
        <w:rPr>
          <w:spacing w:val="60"/>
          <w:sz w:val="22"/>
        </w:rPr>
        <w:t> </w:t>
      </w:r>
      <w:r>
        <w:rPr>
          <w:sz w:val="22"/>
        </w:rPr>
        <w:t>cognitive</w:t>
      </w:r>
      <w:r>
        <w:rPr>
          <w:spacing w:val="60"/>
          <w:sz w:val="22"/>
        </w:rPr>
        <w:t> </w:t>
      </w:r>
      <w:r>
        <w:rPr>
          <w:sz w:val="22"/>
        </w:rPr>
        <w:t>impairment</w:t>
      </w:r>
      <w:r>
        <w:rPr>
          <w:spacing w:val="60"/>
          <w:sz w:val="22"/>
        </w:rPr>
        <w:t> </w:t>
      </w:r>
      <w:r>
        <w:rPr>
          <w:sz w:val="22"/>
        </w:rPr>
        <w:t>in</w:t>
      </w:r>
      <w:r>
        <w:rPr>
          <w:spacing w:val="60"/>
          <w:sz w:val="22"/>
        </w:rPr>
        <w:t> </w:t>
      </w:r>
      <w:r>
        <w:rPr>
          <w:sz w:val="22"/>
        </w:rPr>
        <w:t>postmenopausal</w:t>
      </w:r>
      <w:r>
        <w:rPr>
          <w:spacing w:val="60"/>
          <w:sz w:val="22"/>
        </w:rPr>
        <w:t> </w:t>
      </w:r>
      <w:r>
        <w:rPr>
          <w:sz w:val="22"/>
        </w:rPr>
        <w:t>women:</w:t>
      </w:r>
      <w:r>
        <w:rPr>
          <w:spacing w:val="60"/>
          <w:sz w:val="22"/>
        </w:rPr>
        <w:t> </w:t>
      </w:r>
      <w:r>
        <w:rPr>
          <w:sz w:val="22"/>
        </w:rPr>
        <w:t>the</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98" w:firstLine="0"/>
        <w:jc w:val="both"/>
        <w:rPr>
          <w:sz w:val="22"/>
        </w:rPr>
      </w:pPr>
      <w:r>
        <w:rPr>
          <w:sz w:val="22"/>
        </w:rPr>
        <w:t>Women’s Health Initiative Memory Study: a randomized controlled trial. </w:t>
      </w:r>
      <w:r>
        <w:rPr>
          <w:i/>
          <w:sz w:val="22"/>
        </w:rPr>
        <w:t>JAMA</w:t>
      </w:r>
      <w:r>
        <w:rPr>
          <w:sz w:val="22"/>
        </w:rPr>
        <w:t>.</w:t>
      </w:r>
      <w:r>
        <w:rPr>
          <w:spacing w:val="80"/>
          <w:sz w:val="22"/>
        </w:rPr>
        <w:t> </w:t>
      </w:r>
      <w:r>
        <w:rPr>
          <w:spacing w:val="-2"/>
          <w:sz w:val="22"/>
        </w:rPr>
        <w:t>2003;289:2651.</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Rapp SR, Espeland MA, Shumaker SA, et al; WHIMS Investigators. Effect of estrogen plus progestin on global cognitive function in postmenopausal women: the Women’s Health</w:t>
      </w:r>
      <w:r>
        <w:rPr>
          <w:spacing w:val="40"/>
          <w:sz w:val="22"/>
        </w:rPr>
        <w:t> </w:t>
      </w:r>
      <w:r>
        <w:rPr>
          <w:sz w:val="22"/>
        </w:rPr>
        <w:t>Initiative Memory Study: a randomized controlled trial. </w:t>
      </w:r>
      <w:r>
        <w:rPr>
          <w:i/>
          <w:sz w:val="22"/>
        </w:rPr>
        <w:t>JAMA</w:t>
      </w:r>
      <w:r>
        <w:rPr>
          <w:sz w:val="22"/>
        </w:rPr>
        <w:t>. 2003;289:2663.</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Espeland MA, Rapp SR, Shumaker SA, et al; Women’s Health Initiative Memory Study. Conjugated equine estrogens and global cognitive function in postmenopausal </w:t>
      </w:r>
      <w:r>
        <w:rPr>
          <w:sz w:val="22"/>
        </w:rPr>
        <w:t>women:</w:t>
      </w:r>
      <w:r>
        <w:rPr>
          <w:spacing w:val="40"/>
          <w:sz w:val="22"/>
        </w:rPr>
        <w:t> </w:t>
      </w:r>
      <w:r>
        <w:rPr>
          <w:sz w:val="22"/>
        </w:rPr>
        <w:t>Women’s Health Initiative Memory Study. </w:t>
      </w:r>
      <w:r>
        <w:rPr>
          <w:i/>
          <w:sz w:val="22"/>
        </w:rPr>
        <w:t>JAMA</w:t>
      </w:r>
      <w:r>
        <w:rPr>
          <w:sz w:val="22"/>
        </w:rPr>
        <w:t>. 2004;291:2959.</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Resnick SM, Espeland MA, Jaramillo SA, et al; Women’s Health Initiative Memory </w:t>
      </w:r>
      <w:r>
        <w:rPr>
          <w:sz w:val="22"/>
        </w:rPr>
        <w:t>Study. Postmenopausal hormone therapy and regional brain volumes: the WHIMS-MRI study. </w:t>
      </w:r>
      <w:r>
        <w:rPr>
          <w:i/>
          <w:sz w:val="22"/>
        </w:rPr>
        <w:t>Neurology</w:t>
      </w:r>
      <w:r>
        <w:rPr>
          <w:sz w:val="22"/>
        </w:rPr>
        <w:t>. 2009;72:135.</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Coker LH, Hogan PE, Bryan NR, et al; Women’s Health Initiative Memory Study. Postmenopausal hormone therapy and subclinical cerebrovascular disease: the WHIMS-MRI study. </w:t>
      </w:r>
      <w:r>
        <w:rPr>
          <w:i/>
          <w:sz w:val="22"/>
        </w:rPr>
        <w:t>Neurology</w:t>
      </w:r>
      <w:r>
        <w:rPr>
          <w:sz w:val="22"/>
        </w:rPr>
        <w:t>. 2009;72:125.</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Erickson KI, Collcombe SJ, Raz N, et al. Selective sparing of brain tissue in postmenopausal women receiving hormone replacement therapy. </w:t>
      </w:r>
      <w:r>
        <w:rPr>
          <w:i/>
          <w:sz w:val="22"/>
        </w:rPr>
        <w:t>Neurobiol Aging</w:t>
      </w:r>
      <w:r>
        <w:rPr>
          <w:sz w:val="22"/>
        </w:rPr>
        <w:t>. 2005;26:1205.</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Ghidoni R, Boccardi M, Benussi L, et al. Effects of estrogens on cognition and brain morphology: involvement of the cerebellum. </w:t>
      </w:r>
      <w:r>
        <w:rPr>
          <w:i/>
          <w:sz w:val="22"/>
        </w:rPr>
        <w:t>Maturitas</w:t>
      </w:r>
      <w:r>
        <w:rPr>
          <w:sz w:val="22"/>
        </w:rPr>
        <w:t>. 2006;54:222.</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Lord C, Buss C, Lupien SJ, Pruessner JC. Hippocampal volumes are larger in </w:t>
      </w:r>
      <w:r>
        <w:rPr>
          <w:sz w:val="22"/>
        </w:rPr>
        <w:t>postmenopausal women</w:t>
      </w:r>
      <w:r>
        <w:rPr>
          <w:spacing w:val="40"/>
          <w:sz w:val="22"/>
        </w:rPr>
        <w:t> </w:t>
      </w:r>
      <w:r>
        <w:rPr>
          <w:sz w:val="22"/>
        </w:rPr>
        <w:t>using</w:t>
      </w:r>
      <w:r>
        <w:rPr>
          <w:spacing w:val="40"/>
          <w:sz w:val="22"/>
        </w:rPr>
        <w:t> </w:t>
      </w:r>
      <w:r>
        <w:rPr>
          <w:sz w:val="22"/>
        </w:rPr>
        <w:t>estrogen</w:t>
      </w:r>
      <w:r>
        <w:rPr>
          <w:spacing w:val="40"/>
          <w:sz w:val="22"/>
        </w:rPr>
        <w:t> </w:t>
      </w:r>
      <w:r>
        <w:rPr>
          <w:sz w:val="22"/>
        </w:rPr>
        <w:t>therapy</w:t>
      </w:r>
      <w:r>
        <w:rPr>
          <w:spacing w:val="40"/>
          <w:sz w:val="22"/>
        </w:rPr>
        <w:t> </w:t>
      </w:r>
      <w:r>
        <w:rPr>
          <w:sz w:val="22"/>
        </w:rPr>
        <w:t>compared</w:t>
      </w:r>
      <w:r>
        <w:rPr>
          <w:spacing w:val="40"/>
          <w:sz w:val="22"/>
        </w:rPr>
        <w:t> </w:t>
      </w:r>
      <w:r>
        <w:rPr>
          <w:sz w:val="22"/>
        </w:rPr>
        <w:t>to</w:t>
      </w:r>
      <w:r>
        <w:rPr>
          <w:spacing w:val="40"/>
          <w:sz w:val="22"/>
        </w:rPr>
        <w:t> </w:t>
      </w:r>
      <w:r>
        <w:rPr>
          <w:sz w:val="22"/>
        </w:rPr>
        <w:t>past</w:t>
      </w:r>
      <w:r>
        <w:rPr>
          <w:spacing w:val="40"/>
          <w:sz w:val="22"/>
        </w:rPr>
        <w:t> </w:t>
      </w:r>
      <w:r>
        <w:rPr>
          <w:sz w:val="22"/>
        </w:rPr>
        <w:t>users,</w:t>
      </w:r>
      <w:r>
        <w:rPr>
          <w:spacing w:val="40"/>
          <w:sz w:val="22"/>
        </w:rPr>
        <w:t> </w:t>
      </w:r>
      <w:r>
        <w:rPr>
          <w:sz w:val="22"/>
        </w:rPr>
        <w:t>never</w:t>
      </w:r>
      <w:r>
        <w:rPr>
          <w:spacing w:val="40"/>
          <w:sz w:val="22"/>
        </w:rPr>
        <w:t> </w:t>
      </w:r>
      <w:r>
        <w:rPr>
          <w:sz w:val="22"/>
        </w:rPr>
        <w:t>users</w:t>
      </w:r>
      <w:r>
        <w:rPr>
          <w:spacing w:val="40"/>
          <w:sz w:val="22"/>
        </w:rPr>
        <w:t> </w:t>
      </w:r>
      <w:r>
        <w:rPr>
          <w:sz w:val="22"/>
        </w:rPr>
        <w:t>and</w:t>
      </w:r>
      <w:r>
        <w:rPr>
          <w:spacing w:val="40"/>
          <w:sz w:val="22"/>
        </w:rPr>
        <w:t> </w:t>
      </w:r>
      <w:r>
        <w:rPr>
          <w:sz w:val="22"/>
        </w:rPr>
        <w:t>men:</w:t>
      </w:r>
      <w:r>
        <w:rPr>
          <w:spacing w:val="40"/>
          <w:sz w:val="22"/>
        </w:rPr>
        <w:t> </w:t>
      </w:r>
      <w:r>
        <w:rPr>
          <w:sz w:val="22"/>
        </w:rPr>
        <w:t>a</w:t>
      </w:r>
      <w:r>
        <w:rPr>
          <w:spacing w:val="40"/>
          <w:sz w:val="22"/>
        </w:rPr>
        <w:t> </w:t>
      </w:r>
      <w:r>
        <w:rPr>
          <w:sz w:val="22"/>
        </w:rPr>
        <w:t>possible window of opportunity effect. </w:t>
      </w:r>
      <w:r>
        <w:rPr>
          <w:i/>
          <w:sz w:val="22"/>
        </w:rPr>
        <w:t>Neurobiol Aging</w:t>
      </w:r>
      <w:r>
        <w:rPr>
          <w:sz w:val="22"/>
        </w:rPr>
        <w:t>. 2008;29:95.</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Brinton RD. The healthy cell bias of estrogen action: mitochondrial bioenergetics </w:t>
      </w:r>
      <w:r>
        <w:rPr>
          <w:sz w:val="22"/>
        </w:rPr>
        <w:t>and neurological implications. </w:t>
      </w:r>
      <w:r>
        <w:rPr>
          <w:i/>
          <w:sz w:val="22"/>
        </w:rPr>
        <w:t>Trends Neurosci</w:t>
      </w:r>
      <w:r>
        <w:rPr>
          <w:sz w:val="22"/>
        </w:rPr>
        <w:t>. 2008;31:529.</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National Heart, Lung, and Blood Institute. Heart disease in women. </w:t>
      </w:r>
      <w:r>
        <w:rPr>
          <w:sz w:val="22"/>
        </w:rPr>
        <w:t>2018. </w:t>
      </w:r>
      <w:hyperlink r:id="rId27">
        <w:r>
          <w:rPr>
            <w:spacing w:val="-2"/>
            <w:sz w:val="22"/>
          </w:rPr>
          <w:t>https://www.nhlbi.nih.gov/health/coronary-heart-disease/women</w:t>
        </w:r>
      </w:hyperlink>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Clarkson TB, Prichard RW, Morgan TM, Petrick GS, Klein KP. Remodeling of </w:t>
      </w:r>
      <w:r>
        <w:rPr>
          <w:sz w:val="22"/>
        </w:rPr>
        <w:t>coronary</w:t>
      </w:r>
      <w:r>
        <w:rPr>
          <w:spacing w:val="40"/>
          <w:sz w:val="22"/>
        </w:rPr>
        <w:t> </w:t>
      </w:r>
      <w:r>
        <w:rPr>
          <w:sz w:val="22"/>
        </w:rPr>
        <w:t>arteries in human and nonhuman primates. </w:t>
      </w:r>
      <w:r>
        <w:rPr>
          <w:i/>
          <w:sz w:val="22"/>
        </w:rPr>
        <w:t>JAMA</w:t>
      </w:r>
      <w:r>
        <w:rPr>
          <w:sz w:val="22"/>
        </w:rPr>
        <w:t>. 1994;271:289.</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Galis ZS, Khatri JJ. Matrix metalloproteinases in vascular remodelling and atherogenesis: the good, the bad and the ugly. </w:t>
      </w:r>
      <w:r>
        <w:rPr>
          <w:i/>
          <w:sz w:val="22"/>
        </w:rPr>
        <w:t>Circ Res</w:t>
      </w:r>
      <w:r>
        <w:rPr>
          <w:sz w:val="22"/>
        </w:rPr>
        <w:t>. 2002;90:251.</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Umetani M, Domoto H, Gormley AK, et al. 27-Hydroxycholesterol is an endogenous </w:t>
      </w:r>
      <w:r>
        <w:rPr>
          <w:sz w:val="22"/>
        </w:rPr>
        <w:t>SERM</w:t>
      </w:r>
      <w:r>
        <w:rPr>
          <w:spacing w:val="40"/>
          <w:sz w:val="22"/>
        </w:rPr>
        <w:t> </w:t>
      </w:r>
      <w:r>
        <w:rPr>
          <w:sz w:val="22"/>
        </w:rPr>
        <w:t>that inhibits the cardiovascular effects of estrogen. </w:t>
      </w:r>
      <w:r>
        <w:rPr>
          <w:i/>
          <w:sz w:val="22"/>
        </w:rPr>
        <w:t>Nat Med</w:t>
      </w:r>
      <w:r>
        <w:rPr>
          <w:sz w:val="22"/>
        </w:rPr>
        <w:t>. 2007;13:1185.</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Matthews</w:t>
      </w:r>
      <w:r>
        <w:rPr>
          <w:spacing w:val="32"/>
          <w:sz w:val="22"/>
        </w:rPr>
        <w:t> </w:t>
      </w:r>
      <w:r>
        <w:rPr>
          <w:sz w:val="22"/>
        </w:rPr>
        <w:t>KA,</w:t>
      </w:r>
      <w:r>
        <w:rPr>
          <w:spacing w:val="32"/>
          <w:sz w:val="22"/>
        </w:rPr>
        <w:t> </w:t>
      </w:r>
      <w:r>
        <w:rPr>
          <w:sz w:val="22"/>
        </w:rPr>
        <w:t>Meilahn</w:t>
      </w:r>
      <w:r>
        <w:rPr>
          <w:spacing w:val="32"/>
          <w:sz w:val="22"/>
        </w:rPr>
        <w:t> </w:t>
      </w:r>
      <w:r>
        <w:rPr>
          <w:sz w:val="22"/>
        </w:rPr>
        <w:t>E,</w:t>
      </w:r>
      <w:r>
        <w:rPr>
          <w:spacing w:val="32"/>
          <w:sz w:val="22"/>
        </w:rPr>
        <w:t> </w:t>
      </w:r>
      <w:r>
        <w:rPr>
          <w:sz w:val="22"/>
        </w:rPr>
        <w:t>Kuller</w:t>
      </w:r>
      <w:r>
        <w:rPr>
          <w:spacing w:val="32"/>
          <w:sz w:val="22"/>
        </w:rPr>
        <w:t> </w:t>
      </w:r>
      <w:r>
        <w:rPr>
          <w:sz w:val="22"/>
        </w:rPr>
        <w:t>LH,</w:t>
      </w:r>
      <w:r>
        <w:rPr>
          <w:spacing w:val="32"/>
          <w:sz w:val="22"/>
        </w:rPr>
        <w:t> </w:t>
      </w:r>
      <w:r>
        <w:rPr>
          <w:sz w:val="22"/>
        </w:rPr>
        <w:t>Kelsey</w:t>
      </w:r>
      <w:r>
        <w:rPr>
          <w:spacing w:val="32"/>
          <w:sz w:val="22"/>
        </w:rPr>
        <w:t> </w:t>
      </w:r>
      <w:r>
        <w:rPr>
          <w:sz w:val="22"/>
        </w:rPr>
        <w:t>SF,</w:t>
      </w:r>
      <w:r>
        <w:rPr>
          <w:spacing w:val="32"/>
          <w:sz w:val="22"/>
        </w:rPr>
        <w:t> </w:t>
      </w:r>
      <w:r>
        <w:rPr>
          <w:sz w:val="22"/>
        </w:rPr>
        <w:t>Caggiula</w:t>
      </w:r>
      <w:r>
        <w:rPr>
          <w:spacing w:val="32"/>
          <w:sz w:val="22"/>
        </w:rPr>
        <w:t> </w:t>
      </w:r>
      <w:r>
        <w:rPr>
          <w:sz w:val="22"/>
        </w:rPr>
        <w:t>AW,</w:t>
      </w:r>
      <w:r>
        <w:rPr>
          <w:spacing w:val="32"/>
          <w:sz w:val="22"/>
        </w:rPr>
        <w:t> </w:t>
      </w:r>
      <w:r>
        <w:rPr>
          <w:sz w:val="22"/>
        </w:rPr>
        <w:t>Wing</w:t>
      </w:r>
      <w:r>
        <w:rPr>
          <w:spacing w:val="32"/>
          <w:sz w:val="22"/>
        </w:rPr>
        <w:t> </w:t>
      </w:r>
      <w:r>
        <w:rPr>
          <w:sz w:val="22"/>
        </w:rPr>
        <w:t>RR.</w:t>
      </w:r>
      <w:r>
        <w:rPr>
          <w:spacing w:val="32"/>
          <w:sz w:val="22"/>
        </w:rPr>
        <w:t> </w:t>
      </w:r>
      <w:r>
        <w:rPr>
          <w:sz w:val="22"/>
        </w:rPr>
        <w:t>Menopause</w:t>
      </w:r>
      <w:r>
        <w:rPr>
          <w:spacing w:val="36"/>
          <w:sz w:val="22"/>
        </w:rPr>
        <w:t> </w:t>
      </w:r>
      <w:r>
        <w:rPr>
          <w:sz w:val="22"/>
        </w:rPr>
        <w:t>and risk factors for coronary heart disease. </w:t>
      </w:r>
      <w:r>
        <w:rPr>
          <w:i/>
          <w:sz w:val="22"/>
        </w:rPr>
        <w:t>N Engl J Med</w:t>
      </w:r>
      <w:r>
        <w:rPr>
          <w:sz w:val="22"/>
        </w:rPr>
        <w:t>. 1989;321:641.</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Campos H, McNamara JR, Wilson PW, Ordovas JM, Schaefer EJ. Differences in low density lipoprotein subfractions and apolipoproteins in premenopausal and postmenopausal women. </w:t>
      </w:r>
      <w:r>
        <w:rPr>
          <w:i/>
          <w:sz w:val="22"/>
        </w:rPr>
        <w:t>J</w:t>
      </w:r>
      <w:r>
        <w:rPr>
          <w:i/>
          <w:sz w:val="22"/>
        </w:rPr>
        <w:t> Clin Endocrinol Metab</w:t>
      </w:r>
      <w:r>
        <w:rPr>
          <w:sz w:val="22"/>
        </w:rPr>
        <w:t>. 1988;67:30.</w:t>
      </w:r>
    </w:p>
    <w:p>
      <w:pPr>
        <w:pStyle w:val="ListParagraph"/>
        <w:numPr>
          <w:ilvl w:val="0"/>
          <w:numId w:val="9"/>
        </w:numPr>
        <w:tabs>
          <w:tab w:pos="710" w:val="left" w:leader="none"/>
        </w:tabs>
        <w:spacing w:line="251" w:lineRule="exact" w:before="0" w:after="0"/>
        <w:ind w:left="710" w:right="0" w:hanging="498"/>
        <w:jc w:val="both"/>
        <w:rPr>
          <w:sz w:val="22"/>
        </w:rPr>
      </w:pPr>
      <w:r>
        <w:rPr>
          <w:sz w:val="22"/>
        </w:rPr>
        <w:t>Jensen</w:t>
      </w:r>
      <w:r>
        <w:rPr>
          <w:spacing w:val="32"/>
          <w:sz w:val="22"/>
        </w:rPr>
        <w:t> </w:t>
      </w:r>
      <w:r>
        <w:rPr>
          <w:sz w:val="22"/>
        </w:rPr>
        <w:t>J,</w:t>
      </w:r>
      <w:r>
        <w:rPr>
          <w:spacing w:val="33"/>
          <w:sz w:val="22"/>
        </w:rPr>
        <w:t> </w:t>
      </w:r>
      <w:r>
        <w:rPr>
          <w:sz w:val="22"/>
        </w:rPr>
        <w:t>Nilas</w:t>
      </w:r>
      <w:r>
        <w:rPr>
          <w:spacing w:val="33"/>
          <w:sz w:val="22"/>
        </w:rPr>
        <w:t> </w:t>
      </w:r>
      <w:r>
        <w:rPr>
          <w:sz w:val="22"/>
        </w:rPr>
        <w:t>L,</w:t>
      </w:r>
      <w:r>
        <w:rPr>
          <w:spacing w:val="32"/>
          <w:sz w:val="22"/>
        </w:rPr>
        <w:t> </w:t>
      </w:r>
      <w:r>
        <w:rPr>
          <w:sz w:val="22"/>
        </w:rPr>
        <w:t>Christiansen</w:t>
      </w:r>
      <w:r>
        <w:rPr>
          <w:spacing w:val="33"/>
          <w:sz w:val="22"/>
        </w:rPr>
        <w:t> </w:t>
      </w:r>
      <w:r>
        <w:rPr>
          <w:sz w:val="22"/>
        </w:rPr>
        <w:t>C.</w:t>
      </w:r>
      <w:r>
        <w:rPr>
          <w:spacing w:val="33"/>
          <w:sz w:val="22"/>
        </w:rPr>
        <w:t> </w:t>
      </w:r>
      <w:r>
        <w:rPr>
          <w:sz w:val="22"/>
        </w:rPr>
        <w:t>Influence</w:t>
      </w:r>
      <w:r>
        <w:rPr>
          <w:spacing w:val="31"/>
          <w:sz w:val="22"/>
        </w:rPr>
        <w:t> </w:t>
      </w:r>
      <w:r>
        <w:rPr>
          <w:sz w:val="22"/>
        </w:rPr>
        <w:t>of</w:t>
      </w:r>
      <w:r>
        <w:rPr>
          <w:spacing w:val="32"/>
          <w:sz w:val="22"/>
        </w:rPr>
        <w:t> </w:t>
      </w:r>
      <w:r>
        <w:rPr>
          <w:sz w:val="22"/>
        </w:rPr>
        <w:t>menopause</w:t>
      </w:r>
      <w:r>
        <w:rPr>
          <w:spacing w:val="31"/>
          <w:sz w:val="22"/>
        </w:rPr>
        <w:t> </w:t>
      </w:r>
      <w:r>
        <w:rPr>
          <w:sz w:val="22"/>
        </w:rPr>
        <w:t>on</w:t>
      </w:r>
      <w:r>
        <w:rPr>
          <w:spacing w:val="32"/>
          <w:sz w:val="22"/>
        </w:rPr>
        <w:t> </w:t>
      </w:r>
      <w:r>
        <w:rPr>
          <w:sz w:val="22"/>
        </w:rPr>
        <w:t>serum</w:t>
      </w:r>
      <w:r>
        <w:rPr>
          <w:spacing w:val="31"/>
          <w:sz w:val="22"/>
        </w:rPr>
        <w:t> </w:t>
      </w:r>
      <w:r>
        <w:rPr>
          <w:sz w:val="22"/>
        </w:rPr>
        <w:t>lipids</w:t>
      </w:r>
      <w:r>
        <w:rPr>
          <w:spacing w:val="32"/>
          <w:sz w:val="22"/>
        </w:rPr>
        <w:t> </w:t>
      </w:r>
      <w:r>
        <w:rPr>
          <w:sz w:val="22"/>
        </w:rPr>
        <w:t>and</w:t>
      </w:r>
      <w:r>
        <w:rPr>
          <w:spacing w:val="32"/>
          <w:sz w:val="22"/>
        </w:rPr>
        <w:t> </w:t>
      </w:r>
      <w:r>
        <w:rPr>
          <w:spacing w:val="-2"/>
          <w:sz w:val="22"/>
        </w:rPr>
        <w:t>lipoproteins.</w:t>
      </w:r>
    </w:p>
    <w:p>
      <w:pPr>
        <w:spacing w:before="0"/>
        <w:ind w:left="718" w:right="0" w:firstLine="0"/>
        <w:jc w:val="both"/>
        <w:rPr>
          <w:sz w:val="22"/>
        </w:rPr>
      </w:pPr>
      <w:r>
        <w:rPr>
          <w:i/>
          <w:sz w:val="22"/>
        </w:rPr>
        <w:t>Maturitas</w:t>
      </w:r>
      <w:r>
        <w:rPr>
          <w:sz w:val="22"/>
        </w:rPr>
        <w:t>.</w:t>
      </w:r>
      <w:r>
        <w:rPr>
          <w:spacing w:val="19"/>
          <w:sz w:val="22"/>
        </w:rPr>
        <w:t> </w:t>
      </w:r>
      <w:r>
        <w:rPr>
          <w:spacing w:val="-2"/>
          <w:sz w:val="22"/>
        </w:rPr>
        <w:t>1990;12:321.</w:t>
      </w:r>
    </w:p>
    <w:p>
      <w:pPr>
        <w:pStyle w:val="ListParagraph"/>
        <w:numPr>
          <w:ilvl w:val="0"/>
          <w:numId w:val="9"/>
        </w:numPr>
        <w:tabs>
          <w:tab w:pos="709" w:val="left" w:leader="none"/>
          <w:tab w:pos="718" w:val="left" w:leader="none"/>
        </w:tabs>
        <w:spacing w:line="256" w:lineRule="auto" w:before="12" w:after="0"/>
        <w:ind w:left="718" w:right="97" w:hanging="507"/>
        <w:jc w:val="both"/>
        <w:rPr>
          <w:sz w:val="22"/>
        </w:rPr>
      </w:pPr>
      <w:r>
        <w:rPr>
          <w:sz w:val="22"/>
        </w:rPr>
        <w:t>Stevenson JC, Crook D, Godsland IF. Influence of age and menopause on serum lipids </w:t>
      </w:r>
      <w:r>
        <w:rPr>
          <w:sz w:val="22"/>
        </w:rPr>
        <w:t>and lipoproteins in healthy women. </w:t>
      </w:r>
      <w:r>
        <w:rPr>
          <w:i/>
          <w:sz w:val="22"/>
        </w:rPr>
        <w:t>Atherosclerosis</w:t>
      </w:r>
      <w:r>
        <w:rPr>
          <w:sz w:val="22"/>
        </w:rPr>
        <w:t>. 1993;98:83.</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Matthews</w:t>
      </w:r>
      <w:r>
        <w:rPr>
          <w:spacing w:val="40"/>
          <w:sz w:val="22"/>
        </w:rPr>
        <w:t> </w:t>
      </w:r>
      <w:r>
        <w:rPr>
          <w:sz w:val="22"/>
        </w:rPr>
        <w:t>KA,</w:t>
      </w:r>
      <w:r>
        <w:rPr>
          <w:spacing w:val="40"/>
          <w:sz w:val="22"/>
        </w:rPr>
        <w:t> </w:t>
      </w:r>
      <w:r>
        <w:rPr>
          <w:sz w:val="22"/>
        </w:rPr>
        <w:t>Crawford</w:t>
      </w:r>
      <w:r>
        <w:rPr>
          <w:spacing w:val="40"/>
          <w:sz w:val="22"/>
        </w:rPr>
        <w:t> </w:t>
      </w:r>
      <w:r>
        <w:rPr>
          <w:sz w:val="22"/>
        </w:rPr>
        <w:t>SL,</w:t>
      </w:r>
      <w:r>
        <w:rPr>
          <w:spacing w:val="40"/>
          <w:sz w:val="22"/>
        </w:rPr>
        <w:t> </w:t>
      </w:r>
      <w:r>
        <w:rPr>
          <w:sz w:val="22"/>
        </w:rPr>
        <w:t>Chae</w:t>
      </w:r>
      <w:r>
        <w:rPr>
          <w:spacing w:val="40"/>
          <w:sz w:val="22"/>
        </w:rPr>
        <w:t> </w:t>
      </w:r>
      <w:r>
        <w:rPr>
          <w:sz w:val="22"/>
        </w:rPr>
        <w:t>CU,</w:t>
      </w:r>
      <w:r>
        <w:rPr>
          <w:spacing w:val="40"/>
          <w:sz w:val="22"/>
        </w:rPr>
        <w:t> </w:t>
      </w:r>
      <w:r>
        <w:rPr>
          <w:sz w:val="22"/>
        </w:rPr>
        <w:t>et</w:t>
      </w:r>
      <w:r>
        <w:rPr>
          <w:spacing w:val="40"/>
          <w:sz w:val="22"/>
        </w:rPr>
        <w:t> </w:t>
      </w:r>
      <w:r>
        <w:rPr>
          <w:sz w:val="22"/>
        </w:rPr>
        <w:t>al.</w:t>
      </w:r>
      <w:r>
        <w:rPr>
          <w:spacing w:val="40"/>
          <w:sz w:val="22"/>
        </w:rPr>
        <w:t> </w:t>
      </w:r>
      <w:r>
        <w:rPr>
          <w:sz w:val="22"/>
        </w:rPr>
        <w:t>Are</w:t>
      </w:r>
      <w:r>
        <w:rPr>
          <w:spacing w:val="40"/>
          <w:sz w:val="22"/>
        </w:rPr>
        <w:t> </w:t>
      </w:r>
      <w:r>
        <w:rPr>
          <w:sz w:val="22"/>
        </w:rPr>
        <w:t>changes</w:t>
      </w:r>
      <w:r>
        <w:rPr>
          <w:spacing w:val="40"/>
          <w:sz w:val="22"/>
        </w:rPr>
        <w:t> </w:t>
      </w:r>
      <w:r>
        <w:rPr>
          <w:sz w:val="22"/>
        </w:rPr>
        <w:t>in</w:t>
      </w:r>
      <w:r>
        <w:rPr>
          <w:spacing w:val="40"/>
          <w:sz w:val="22"/>
        </w:rPr>
        <w:t> </w:t>
      </w:r>
      <w:r>
        <w:rPr>
          <w:sz w:val="22"/>
        </w:rPr>
        <w:t>cardiovascular</w:t>
      </w:r>
      <w:r>
        <w:rPr>
          <w:spacing w:val="40"/>
          <w:sz w:val="22"/>
        </w:rPr>
        <w:t> </w:t>
      </w:r>
      <w:r>
        <w:rPr>
          <w:sz w:val="22"/>
        </w:rPr>
        <w:t>disease</w:t>
      </w:r>
      <w:r>
        <w:rPr>
          <w:spacing w:val="40"/>
          <w:sz w:val="22"/>
        </w:rPr>
        <w:t> </w:t>
      </w:r>
      <w:r>
        <w:rPr>
          <w:sz w:val="22"/>
        </w:rPr>
        <w:t>risk factors</w:t>
      </w:r>
      <w:r>
        <w:rPr>
          <w:spacing w:val="36"/>
          <w:sz w:val="22"/>
        </w:rPr>
        <w:t> </w:t>
      </w:r>
      <w:r>
        <w:rPr>
          <w:sz w:val="22"/>
        </w:rPr>
        <w:t>in</w:t>
      </w:r>
      <w:r>
        <w:rPr>
          <w:spacing w:val="36"/>
          <w:sz w:val="22"/>
        </w:rPr>
        <w:t> </w:t>
      </w:r>
      <w:r>
        <w:rPr>
          <w:sz w:val="22"/>
        </w:rPr>
        <w:t>midlife</w:t>
      </w:r>
      <w:r>
        <w:rPr>
          <w:spacing w:val="36"/>
          <w:sz w:val="22"/>
        </w:rPr>
        <w:t> </w:t>
      </w:r>
      <w:r>
        <w:rPr>
          <w:sz w:val="22"/>
        </w:rPr>
        <w:t>women</w:t>
      </w:r>
      <w:r>
        <w:rPr>
          <w:spacing w:val="36"/>
          <w:sz w:val="22"/>
        </w:rPr>
        <w:t> </w:t>
      </w:r>
      <w:r>
        <w:rPr>
          <w:sz w:val="22"/>
        </w:rPr>
        <w:t>due</w:t>
      </w:r>
      <w:r>
        <w:rPr>
          <w:spacing w:val="36"/>
          <w:sz w:val="22"/>
        </w:rPr>
        <w:t> </w:t>
      </w:r>
      <w:r>
        <w:rPr>
          <w:sz w:val="22"/>
        </w:rPr>
        <w:t>to</w:t>
      </w:r>
      <w:r>
        <w:rPr>
          <w:spacing w:val="36"/>
          <w:sz w:val="22"/>
        </w:rPr>
        <w:t> </w:t>
      </w:r>
      <w:r>
        <w:rPr>
          <w:sz w:val="22"/>
        </w:rPr>
        <w:t>chronological</w:t>
      </w:r>
      <w:r>
        <w:rPr>
          <w:spacing w:val="36"/>
          <w:sz w:val="22"/>
        </w:rPr>
        <w:t> </w:t>
      </w:r>
      <w:r>
        <w:rPr>
          <w:sz w:val="22"/>
        </w:rPr>
        <w:t>aging</w:t>
      </w:r>
      <w:r>
        <w:rPr>
          <w:spacing w:val="36"/>
          <w:sz w:val="22"/>
        </w:rPr>
        <w:t> </w:t>
      </w:r>
      <w:r>
        <w:rPr>
          <w:sz w:val="22"/>
        </w:rPr>
        <w:t>or</w:t>
      </w:r>
      <w:r>
        <w:rPr>
          <w:spacing w:val="36"/>
          <w:sz w:val="22"/>
        </w:rPr>
        <w:t> </w:t>
      </w:r>
      <w:r>
        <w:rPr>
          <w:sz w:val="22"/>
        </w:rPr>
        <w:t>to</w:t>
      </w:r>
      <w:r>
        <w:rPr>
          <w:spacing w:val="36"/>
          <w:sz w:val="22"/>
        </w:rPr>
        <w:t> </w:t>
      </w:r>
      <w:r>
        <w:rPr>
          <w:sz w:val="22"/>
        </w:rPr>
        <w:t>the</w:t>
      </w:r>
      <w:r>
        <w:rPr>
          <w:spacing w:val="36"/>
          <w:sz w:val="22"/>
        </w:rPr>
        <w:t> </w:t>
      </w:r>
      <w:r>
        <w:rPr>
          <w:sz w:val="22"/>
        </w:rPr>
        <w:t>menopausal</w:t>
      </w:r>
      <w:r>
        <w:rPr>
          <w:spacing w:val="36"/>
          <w:sz w:val="22"/>
        </w:rPr>
        <w:t> </w:t>
      </w:r>
      <w:r>
        <w:rPr>
          <w:sz w:val="22"/>
        </w:rPr>
        <w:t>transition?</w:t>
      </w:r>
      <w:r>
        <w:rPr>
          <w:spacing w:val="36"/>
          <w:sz w:val="22"/>
        </w:rPr>
        <w:t> </w:t>
      </w:r>
      <w:r>
        <w:rPr>
          <w:i/>
          <w:sz w:val="22"/>
        </w:rPr>
        <w:t>J Am</w:t>
      </w:r>
      <w:r>
        <w:rPr>
          <w:i/>
          <w:sz w:val="22"/>
        </w:rPr>
        <w:t> Coll Cardiol</w:t>
      </w:r>
      <w:r>
        <w:rPr>
          <w:sz w:val="22"/>
        </w:rPr>
        <w:t>. 2009;54:2366.</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van Beresteijn ECH, Korevaar JC, Huijbregts PCW, Schouten EG, Burema J, Kok FJ, Perimenopausal increase in serum cholesterol: a 10-year longitudinal study. </w:t>
      </w:r>
      <w:r>
        <w:rPr>
          <w:i/>
          <w:sz w:val="22"/>
        </w:rPr>
        <w:t>Am J Epidemiol</w:t>
      </w:r>
      <w:r>
        <w:rPr>
          <w:sz w:val="22"/>
        </w:rPr>
        <w:t>. </w:t>
      </w:r>
      <w:r>
        <w:rPr>
          <w:spacing w:val="-2"/>
          <w:sz w:val="22"/>
        </w:rPr>
        <w:t>1993;137:383.</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Matthews</w:t>
      </w:r>
      <w:r>
        <w:rPr>
          <w:spacing w:val="40"/>
          <w:sz w:val="22"/>
        </w:rPr>
        <w:t> </w:t>
      </w:r>
      <w:r>
        <w:rPr>
          <w:sz w:val="22"/>
        </w:rPr>
        <w:t>KA,</w:t>
      </w:r>
      <w:r>
        <w:rPr>
          <w:spacing w:val="40"/>
          <w:sz w:val="22"/>
        </w:rPr>
        <w:t> </w:t>
      </w:r>
      <w:r>
        <w:rPr>
          <w:sz w:val="22"/>
        </w:rPr>
        <w:t>Wing</w:t>
      </w:r>
      <w:r>
        <w:rPr>
          <w:spacing w:val="40"/>
          <w:sz w:val="22"/>
        </w:rPr>
        <w:t> </w:t>
      </w:r>
      <w:r>
        <w:rPr>
          <w:sz w:val="22"/>
        </w:rPr>
        <w:t>RR,</w:t>
      </w:r>
      <w:r>
        <w:rPr>
          <w:spacing w:val="40"/>
          <w:sz w:val="22"/>
        </w:rPr>
        <w:t> </w:t>
      </w:r>
      <w:r>
        <w:rPr>
          <w:sz w:val="22"/>
        </w:rPr>
        <w:t>Kuller</w:t>
      </w:r>
      <w:r>
        <w:rPr>
          <w:spacing w:val="40"/>
          <w:sz w:val="22"/>
        </w:rPr>
        <w:t> </w:t>
      </w:r>
      <w:r>
        <w:rPr>
          <w:sz w:val="22"/>
        </w:rPr>
        <w:t>LH,</w:t>
      </w:r>
      <w:r>
        <w:rPr>
          <w:spacing w:val="40"/>
          <w:sz w:val="22"/>
        </w:rPr>
        <w:t> </w:t>
      </w:r>
      <w:r>
        <w:rPr>
          <w:sz w:val="22"/>
        </w:rPr>
        <w:t>Meilahn</w:t>
      </w:r>
      <w:r>
        <w:rPr>
          <w:spacing w:val="40"/>
          <w:sz w:val="22"/>
        </w:rPr>
        <w:t> </w:t>
      </w:r>
      <w:r>
        <w:rPr>
          <w:sz w:val="22"/>
        </w:rPr>
        <w:t>EN,</w:t>
      </w:r>
      <w:r>
        <w:rPr>
          <w:spacing w:val="40"/>
          <w:sz w:val="22"/>
        </w:rPr>
        <w:t> </w:t>
      </w:r>
      <w:r>
        <w:rPr>
          <w:sz w:val="22"/>
        </w:rPr>
        <w:t>Plantinga</w:t>
      </w:r>
      <w:r>
        <w:rPr>
          <w:spacing w:val="40"/>
          <w:sz w:val="22"/>
        </w:rPr>
        <w:t> </w:t>
      </w:r>
      <w:r>
        <w:rPr>
          <w:sz w:val="22"/>
        </w:rPr>
        <w:t>P.</w:t>
      </w:r>
      <w:r>
        <w:rPr>
          <w:spacing w:val="40"/>
          <w:sz w:val="22"/>
        </w:rPr>
        <w:t> </w:t>
      </w:r>
      <w:r>
        <w:rPr>
          <w:sz w:val="22"/>
        </w:rPr>
        <w:t>Influence</w:t>
      </w:r>
      <w:r>
        <w:rPr>
          <w:spacing w:val="40"/>
          <w:sz w:val="22"/>
        </w:rPr>
        <w:t> </w:t>
      </w:r>
      <w:r>
        <w:rPr>
          <w:sz w:val="22"/>
        </w:rPr>
        <w:t>of</w:t>
      </w:r>
      <w:r>
        <w:rPr>
          <w:spacing w:val="40"/>
          <w:sz w:val="22"/>
        </w:rPr>
        <w:t> </w:t>
      </w:r>
      <w:r>
        <w:rPr>
          <w:sz w:val="22"/>
        </w:rPr>
        <w:t>the perimenopause</w:t>
      </w:r>
      <w:r>
        <w:rPr>
          <w:spacing w:val="32"/>
          <w:sz w:val="22"/>
        </w:rPr>
        <w:t> </w:t>
      </w:r>
      <w:r>
        <w:rPr>
          <w:sz w:val="22"/>
        </w:rPr>
        <w:t>on</w:t>
      </w:r>
      <w:r>
        <w:rPr>
          <w:spacing w:val="32"/>
          <w:sz w:val="22"/>
        </w:rPr>
        <w:t> </w:t>
      </w:r>
      <w:r>
        <w:rPr>
          <w:sz w:val="22"/>
        </w:rPr>
        <w:t>cardiovascular</w:t>
      </w:r>
      <w:r>
        <w:rPr>
          <w:spacing w:val="32"/>
          <w:sz w:val="22"/>
        </w:rPr>
        <w:t> </w:t>
      </w:r>
      <w:r>
        <w:rPr>
          <w:sz w:val="22"/>
        </w:rPr>
        <w:t>risk</w:t>
      </w:r>
      <w:r>
        <w:rPr>
          <w:spacing w:val="32"/>
          <w:sz w:val="22"/>
        </w:rPr>
        <w:t> </w:t>
      </w:r>
      <w:r>
        <w:rPr>
          <w:sz w:val="22"/>
        </w:rPr>
        <w:t>factors</w:t>
      </w:r>
      <w:r>
        <w:rPr>
          <w:spacing w:val="32"/>
          <w:sz w:val="22"/>
        </w:rPr>
        <w:t> </w:t>
      </w:r>
      <w:r>
        <w:rPr>
          <w:sz w:val="22"/>
        </w:rPr>
        <w:t>and</w:t>
      </w:r>
      <w:r>
        <w:rPr>
          <w:spacing w:val="32"/>
          <w:sz w:val="22"/>
        </w:rPr>
        <w:t> </w:t>
      </w:r>
      <w:r>
        <w:rPr>
          <w:sz w:val="22"/>
        </w:rPr>
        <w:t>symptoms</w:t>
      </w:r>
      <w:r>
        <w:rPr>
          <w:spacing w:val="32"/>
          <w:sz w:val="22"/>
        </w:rPr>
        <w:t> </w:t>
      </w:r>
      <w:r>
        <w:rPr>
          <w:sz w:val="22"/>
        </w:rPr>
        <w:t>of</w:t>
      </w:r>
      <w:r>
        <w:rPr>
          <w:spacing w:val="32"/>
          <w:sz w:val="22"/>
        </w:rPr>
        <w:t> </w:t>
      </w:r>
      <w:r>
        <w:rPr>
          <w:sz w:val="22"/>
        </w:rPr>
        <w:t>middle-aged</w:t>
      </w:r>
      <w:r>
        <w:rPr>
          <w:spacing w:val="32"/>
          <w:sz w:val="22"/>
        </w:rPr>
        <w:t> </w:t>
      </w:r>
      <w:r>
        <w:rPr>
          <w:sz w:val="22"/>
        </w:rPr>
        <w:t>healthy</w:t>
      </w:r>
      <w:r>
        <w:rPr>
          <w:spacing w:val="32"/>
          <w:sz w:val="22"/>
        </w:rPr>
        <w:t> </w:t>
      </w:r>
      <w:r>
        <w:rPr>
          <w:sz w:val="22"/>
        </w:rPr>
        <w:t>women.</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i/>
          <w:sz w:val="22"/>
        </w:rPr>
        <w:t>Arch</w:t>
      </w:r>
      <w:r>
        <w:rPr>
          <w:i/>
          <w:spacing w:val="7"/>
          <w:sz w:val="22"/>
        </w:rPr>
        <w:t> </w:t>
      </w:r>
      <w:r>
        <w:rPr>
          <w:i/>
          <w:sz w:val="22"/>
        </w:rPr>
        <w:t>Intern</w:t>
      </w:r>
      <w:r>
        <w:rPr>
          <w:i/>
          <w:spacing w:val="7"/>
          <w:sz w:val="22"/>
        </w:rPr>
        <w:t> </w:t>
      </w:r>
      <w:r>
        <w:rPr>
          <w:i/>
          <w:sz w:val="22"/>
        </w:rPr>
        <w:t>Med</w:t>
      </w:r>
      <w:r>
        <w:rPr>
          <w:sz w:val="22"/>
        </w:rPr>
        <w:t>.</w:t>
      </w:r>
      <w:r>
        <w:rPr>
          <w:spacing w:val="7"/>
          <w:sz w:val="22"/>
        </w:rPr>
        <w:t> </w:t>
      </w:r>
      <w:r>
        <w:rPr>
          <w:spacing w:val="-2"/>
          <w:sz w:val="22"/>
        </w:rPr>
        <w:t>1994;154:2349.</w:t>
      </w:r>
    </w:p>
    <w:p>
      <w:pPr>
        <w:pStyle w:val="ListParagraph"/>
        <w:numPr>
          <w:ilvl w:val="0"/>
          <w:numId w:val="9"/>
        </w:numPr>
        <w:tabs>
          <w:tab w:pos="709" w:val="left" w:leader="none"/>
          <w:tab w:pos="718" w:val="left" w:leader="none"/>
        </w:tabs>
        <w:spacing w:line="256" w:lineRule="auto" w:before="17" w:after="0"/>
        <w:ind w:left="718" w:right="98" w:hanging="507"/>
        <w:jc w:val="both"/>
        <w:rPr>
          <w:sz w:val="22"/>
        </w:rPr>
      </w:pPr>
      <w:r>
        <w:rPr>
          <w:sz w:val="22"/>
        </w:rPr>
        <w:t>Bruschi</w:t>
      </w:r>
      <w:r>
        <w:rPr>
          <w:spacing w:val="40"/>
          <w:sz w:val="22"/>
        </w:rPr>
        <w:t> </w:t>
      </w:r>
      <w:r>
        <w:rPr>
          <w:sz w:val="22"/>
        </w:rPr>
        <w:t>F,</w:t>
      </w:r>
      <w:r>
        <w:rPr>
          <w:spacing w:val="40"/>
          <w:sz w:val="22"/>
        </w:rPr>
        <w:t> </w:t>
      </w:r>
      <w:r>
        <w:rPr>
          <w:sz w:val="22"/>
        </w:rPr>
        <w:t>Meschia</w:t>
      </w:r>
      <w:r>
        <w:rPr>
          <w:spacing w:val="40"/>
          <w:sz w:val="22"/>
        </w:rPr>
        <w:t> </w:t>
      </w:r>
      <w:r>
        <w:rPr>
          <w:sz w:val="22"/>
        </w:rPr>
        <w:t>M,</w:t>
      </w:r>
      <w:r>
        <w:rPr>
          <w:spacing w:val="40"/>
          <w:sz w:val="22"/>
        </w:rPr>
        <w:t> </w:t>
      </w:r>
      <w:r>
        <w:rPr>
          <w:sz w:val="22"/>
        </w:rPr>
        <w:t>Soma</w:t>
      </w:r>
      <w:r>
        <w:rPr>
          <w:spacing w:val="40"/>
          <w:sz w:val="22"/>
        </w:rPr>
        <w:t> </w:t>
      </w:r>
      <w:r>
        <w:rPr>
          <w:sz w:val="22"/>
        </w:rPr>
        <w:t>M,</w:t>
      </w:r>
      <w:r>
        <w:rPr>
          <w:spacing w:val="40"/>
          <w:sz w:val="22"/>
        </w:rPr>
        <w:t> </w:t>
      </w:r>
      <w:r>
        <w:rPr>
          <w:sz w:val="22"/>
        </w:rPr>
        <w:t>Perotti</w:t>
      </w:r>
      <w:r>
        <w:rPr>
          <w:spacing w:val="40"/>
          <w:sz w:val="22"/>
        </w:rPr>
        <w:t> </w:t>
      </w:r>
      <w:r>
        <w:rPr>
          <w:sz w:val="22"/>
        </w:rPr>
        <w:t>D,</w:t>
      </w:r>
      <w:r>
        <w:rPr>
          <w:spacing w:val="40"/>
          <w:sz w:val="22"/>
        </w:rPr>
        <w:t> </w:t>
      </w:r>
      <w:r>
        <w:rPr>
          <w:sz w:val="22"/>
        </w:rPr>
        <w:t>Paoletti</w:t>
      </w:r>
      <w:r>
        <w:rPr>
          <w:spacing w:val="40"/>
          <w:sz w:val="22"/>
        </w:rPr>
        <w:t> </w:t>
      </w:r>
      <w:r>
        <w:rPr>
          <w:sz w:val="22"/>
        </w:rPr>
        <w:t>R,</w:t>
      </w:r>
      <w:r>
        <w:rPr>
          <w:spacing w:val="40"/>
          <w:sz w:val="22"/>
        </w:rPr>
        <w:t> </w:t>
      </w:r>
      <w:r>
        <w:rPr>
          <w:sz w:val="22"/>
        </w:rPr>
        <w:t>Crosignani</w:t>
      </w:r>
      <w:r>
        <w:rPr>
          <w:spacing w:val="40"/>
          <w:sz w:val="22"/>
        </w:rPr>
        <w:t> </w:t>
      </w:r>
      <w:r>
        <w:rPr>
          <w:sz w:val="22"/>
        </w:rPr>
        <w:t>PG.</w:t>
      </w:r>
      <w:r>
        <w:rPr>
          <w:spacing w:val="40"/>
          <w:sz w:val="22"/>
        </w:rPr>
        <w:t> </w:t>
      </w:r>
      <w:r>
        <w:rPr>
          <w:sz w:val="22"/>
        </w:rPr>
        <w:t>Lipoprotein(a)</w:t>
      </w:r>
      <w:r>
        <w:rPr>
          <w:spacing w:val="40"/>
          <w:sz w:val="22"/>
        </w:rPr>
        <w:t> </w:t>
      </w:r>
      <w:r>
        <w:rPr>
          <w:sz w:val="22"/>
        </w:rPr>
        <w:t>and other lipids after oophorectomy and estrogen replacement therapy. </w:t>
      </w:r>
      <w:r>
        <w:rPr>
          <w:i/>
          <w:sz w:val="22"/>
        </w:rPr>
        <w:t>Obstet </w:t>
      </w:r>
      <w:r>
        <w:rPr>
          <w:i/>
          <w:sz w:val="22"/>
        </w:rPr>
        <w:t>Gynecol</w:t>
      </w:r>
      <w:r>
        <w:rPr>
          <w:sz w:val="22"/>
        </w:rPr>
        <w:t>.</w:t>
      </w:r>
      <w:r>
        <w:rPr>
          <w:spacing w:val="80"/>
          <w:sz w:val="22"/>
        </w:rPr>
        <w:t> </w:t>
      </w:r>
      <w:r>
        <w:rPr>
          <w:spacing w:val="-2"/>
          <w:sz w:val="22"/>
        </w:rPr>
        <w:t>1996;88:950.</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Brunner</w:t>
      </w:r>
      <w:r>
        <w:rPr>
          <w:spacing w:val="40"/>
          <w:sz w:val="22"/>
        </w:rPr>
        <w:t> </w:t>
      </w:r>
      <w:r>
        <w:rPr>
          <w:sz w:val="22"/>
        </w:rPr>
        <w:t>D,</w:t>
      </w:r>
      <w:r>
        <w:rPr>
          <w:spacing w:val="40"/>
          <w:sz w:val="22"/>
        </w:rPr>
        <w:t> </w:t>
      </w:r>
      <w:r>
        <w:rPr>
          <w:sz w:val="22"/>
        </w:rPr>
        <w:t>Weisbort</w:t>
      </w:r>
      <w:r>
        <w:rPr>
          <w:spacing w:val="40"/>
          <w:sz w:val="22"/>
        </w:rPr>
        <w:t> </w:t>
      </w:r>
      <w:r>
        <w:rPr>
          <w:sz w:val="22"/>
        </w:rPr>
        <w:t>J,</w:t>
      </w:r>
      <w:r>
        <w:rPr>
          <w:spacing w:val="40"/>
          <w:sz w:val="22"/>
        </w:rPr>
        <w:t> </w:t>
      </w:r>
      <w:r>
        <w:rPr>
          <w:sz w:val="22"/>
        </w:rPr>
        <w:t>Meshulam</w:t>
      </w:r>
      <w:r>
        <w:rPr>
          <w:spacing w:val="40"/>
          <w:sz w:val="22"/>
        </w:rPr>
        <w:t> </w:t>
      </w:r>
      <w:r>
        <w:rPr>
          <w:sz w:val="22"/>
        </w:rPr>
        <w:t>N,</w:t>
      </w:r>
      <w:r>
        <w:rPr>
          <w:spacing w:val="40"/>
          <w:sz w:val="22"/>
        </w:rPr>
        <w:t> </w:t>
      </w:r>
      <w:r>
        <w:rPr>
          <w:sz w:val="22"/>
        </w:rPr>
        <w:t>et</w:t>
      </w:r>
      <w:r>
        <w:rPr>
          <w:spacing w:val="40"/>
          <w:sz w:val="22"/>
        </w:rPr>
        <w:t> </w:t>
      </w:r>
      <w:r>
        <w:rPr>
          <w:sz w:val="22"/>
        </w:rPr>
        <w:t>al.</w:t>
      </w:r>
      <w:r>
        <w:rPr>
          <w:spacing w:val="40"/>
          <w:sz w:val="22"/>
        </w:rPr>
        <w:t> </w:t>
      </w:r>
      <w:r>
        <w:rPr>
          <w:sz w:val="22"/>
        </w:rPr>
        <w:t>Relation</w:t>
      </w:r>
      <w:r>
        <w:rPr>
          <w:spacing w:val="40"/>
          <w:sz w:val="22"/>
        </w:rPr>
        <w:t> </w:t>
      </w:r>
      <w:r>
        <w:rPr>
          <w:sz w:val="22"/>
        </w:rPr>
        <w:t>of</w:t>
      </w:r>
      <w:r>
        <w:rPr>
          <w:spacing w:val="40"/>
          <w:sz w:val="22"/>
        </w:rPr>
        <w:t> </w:t>
      </w:r>
      <w:r>
        <w:rPr>
          <w:sz w:val="22"/>
        </w:rPr>
        <w:t>serum</w:t>
      </w:r>
      <w:r>
        <w:rPr>
          <w:spacing w:val="40"/>
          <w:sz w:val="22"/>
        </w:rPr>
        <w:t> </w:t>
      </w:r>
      <w:r>
        <w:rPr>
          <w:sz w:val="22"/>
        </w:rPr>
        <w:t>total</w:t>
      </w:r>
      <w:r>
        <w:rPr>
          <w:spacing w:val="40"/>
          <w:sz w:val="22"/>
        </w:rPr>
        <w:t> </w:t>
      </w:r>
      <w:r>
        <w:rPr>
          <w:sz w:val="22"/>
        </w:rPr>
        <w:t>cholesterol</w:t>
      </w:r>
      <w:r>
        <w:rPr>
          <w:spacing w:val="40"/>
          <w:sz w:val="22"/>
        </w:rPr>
        <w:t> </w:t>
      </w:r>
      <w:r>
        <w:rPr>
          <w:sz w:val="22"/>
        </w:rPr>
        <w:t>and</w:t>
      </w:r>
      <w:r>
        <w:rPr>
          <w:spacing w:val="40"/>
          <w:sz w:val="22"/>
        </w:rPr>
        <w:t> </w:t>
      </w:r>
      <w:r>
        <w:rPr>
          <w:sz w:val="22"/>
        </w:rPr>
        <w:t>high-density lipoprotein cholesterol percentage to the incidence of definite coronary events: twenty-year follow-up of the Donolo-Tel Aviv Prospective Coronary Artery Disease Study. </w:t>
      </w:r>
      <w:r>
        <w:rPr>
          <w:i/>
          <w:sz w:val="22"/>
        </w:rPr>
        <w:t>Am J</w:t>
      </w:r>
      <w:r>
        <w:rPr>
          <w:i/>
          <w:sz w:val="22"/>
        </w:rPr>
        <w:t> Cardiol</w:t>
      </w:r>
      <w:r>
        <w:rPr>
          <w:sz w:val="22"/>
        </w:rPr>
        <w:t>. 1987;59:1271.</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Jacobs DR Jr, Mebane IL, Bangdiwala SI, Criqui MH, Tyroler HA. High density lipoprotein cholesterol</w:t>
      </w:r>
      <w:r>
        <w:rPr>
          <w:spacing w:val="26"/>
          <w:sz w:val="22"/>
        </w:rPr>
        <w:t> </w:t>
      </w:r>
      <w:r>
        <w:rPr>
          <w:sz w:val="22"/>
        </w:rPr>
        <w:t>as</w:t>
      </w:r>
      <w:r>
        <w:rPr>
          <w:spacing w:val="26"/>
          <w:sz w:val="22"/>
        </w:rPr>
        <w:t> </w:t>
      </w:r>
      <w:r>
        <w:rPr>
          <w:sz w:val="22"/>
        </w:rPr>
        <w:t>a</w:t>
      </w:r>
      <w:r>
        <w:rPr>
          <w:spacing w:val="26"/>
          <w:sz w:val="22"/>
        </w:rPr>
        <w:t> </w:t>
      </w:r>
      <w:r>
        <w:rPr>
          <w:sz w:val="22"/>
        </w:rPr>
        <w:t>predictor</w:t>
      </w:r>
      <w:r>
        <w:rPr>
          <w:spacing w:val="26"/>
          <w:sz w:val="22"/>
        </w:rPr>
        <w:t> </w:t>
      </w:r>
      <w:r>
        <w:rPr>
          <w:sz w:val="22"/>
        </w:rPr>
        <w:t>of</w:t>
      </w:r>
      <w:r>
        <w:rPr>
          <w:spacing w:val="26"/>
          <w:sz w:val="22"/>
        </w:rPr>
        <w:t> </w:t>
      </w:r>
      <w:r>
        <w:rPr>
          <w:sz w:val="22"/>
        </w:rPr>
        <w:t>cardiovascular</w:t>
      </w:r>
      <w:r>
        <w:rPr>
          <w:spacing w:val="26"/>
          <w:sz w:val="22"/>
        </w:rPr>
        <w:t> </w:t>
      </w:r>
      <w:r>
        <w:rPr>
          <w:sz w:val="22"/>
        </w:rPr>
        <w:t>disease</w:t>
      </w:r>
      <w:r>
        <w:rPr>
          <w:spacing w:val="26"/>
          <w:sz w:val="22"/>
        </w:rPr>
        <w:t> </w:t>
      </w:r>
      <w:r>
        <w:rPr>
          <w:sz w:val="22"/>
        </w:rPr>
        <w:t>mortality</w:t>
      </w:r>
      <w:r>
        <w:rPr>
          <w:spacing w:val="26"/>
          <w:sz w:val="22"/>
        </w:rPr>
        <w:t> </w:t>
      </w:r>
      <w:r>
        <w:rPr>
          <w:sz w:val="22"/>
        </w:rPr>
        <w:t>in</w:t>
      </w:r>
      <w:r>
        <w:rPr>
          <w:spacing w:val="26"/>
          <w:sz w:val="22"/>
        </w:rPr>
        <w:t> </w:t>
      </w:r>
      <w:r>
        <w:rPr>
          <w:sz w:val="22"/>
        </w:rPr>
        <w:t>men</w:t>
      </w:r>
      <w:r>
        <w:rPr>
          <w:spacing w:val="26"/>
          <w:sz w:val="22"/>
        </w:rPr>
        <w:t> </w:t>
      </w:r>
      <w:r>
        <w:rPr>
          <w:sz w:val="22"/>
        </w:rPr>
        <w:t>and</w:t>
      </w:r>
      <w:r>
        <w:rPr>
          <w:spacing w:val="26"/>
          <w:sz w:val="22"/>
        </w:rPr>
        <w:t> </w:t>
      </w:r>
      <w:r>
        <w:rPr>
          <w:sz w:val="22"/>
        </w:rPr>
        <w:t>women:</w:t>
      </w:r>
      <w:r>
        <w:rPr>
          <w:spacing w:val="26"/>
          <w:sz w:val="22"/>
        </w:rPr>
        <w:t> </w:t>
      </w:r>
      <w:r>
        <w:rPr>
          <w:sz w:val="22"/>
        </w:rPr>
        <w:t>the</w:t>
      </w:r>
      <w:r>
        <w:rPr>
          <w:spacing w:val="26"/>
          <w:sz w:val="22"/>
        </w:rPr>
        <w:t> </w:t>
      </w:r>
      <w:r>
        <w:rPr>
          <w:sz w:val="22"/>
        </w:rPr>
        <w:t>follow-up study of the Lipid Research Clinics Prevalence Study. </w:t>
      </w:r>
      <w:r>
        <w:rPr>
          <w:i/>
          <w:sz w:val="22"/>
        </w:rPr>
        <w:t>Am J Epidemiol</w:t>
      </w:r>
      <w:r>
        <w:rPr>
          <w:sz w:val="22"/>
        </w:rPr>
        <w:t>. 1990;131:32.</w:t>
      </w:r>
    </w:p>
    <w:p>
      <w:pPr>
        <w:pStyle w:val="ListParagraph"/>
        <w:numPr>
          <w:ilvl w:val="0"/>
          <w:numId w:val="9"/>
        </w:numPr>
        <w:tabs>
          <w:tab w:pos="710" w:val="left" w:leader="none"/>
        </w:tabs>
        <w:spacing w:line="251" w:lineRule="exact" w:before="0" w:after="0"/>
        <w:ind w:left="710" w:right="0" w:hanging="498"/>
        <w:jc w:val="both"/>
        <w:rPr>
          <w:sz w:val="22"/>
        </w:rPr>
      </w:pPr>
      <w:r>
        <w:rPr>
          <w:sz w:val="22"/>
        </w:rPr>
        <w:t>Hulley</w:t>
      </w:r>
      <w:r>
        <w:rPr>
          <w:spacing w:val="10"/>
          <w:sz w:val="22"/>
        </w:rPr>
        <w:t> </w:t>
      </w:r>
      <w:r>
        <w:rPr>
          <w:sz w:val="22"/>
        </w:rPr>
        <w:t>SB,</w:t>
      </w:r>
      <w:r>
        <w:rPr>
          <w:spacing w:val="11"/>
          <w:sz w:val="22"/>
        </w:rPr>
        <w:t> </w:t>
      </w:r>
      <w:r>
        <w:rPr>
          <w:sz w:val="22"/>
        </w:rPr>
        <w:t>Newman</w:t>
      </w:r>
      <w:r>
        <w:rPr>
          <w:spacing w:val="11"/>
          <w:sz w:val="22"/>
        </w:rPr>
        <w:t> </w:t>
      </w:r>
      <w:r>
        <w:rPr>
          <w:sz w:val="22"/>
        </w:rPr>
        <w:t>TB.</w:t>
      </w:r>
      <w:r>
        <w:rPr>
          <w:spacing w:val="11"/>
          <w:sz w:val="22"/>
        </w:rPr>
        <w:t> </w:t>
      </w:r>
      <w:r>
        <w:rPr>
          <w:sz w:val="22"/>
        </w:rPr>
        <w:t>Cholesterol</w:t>
      </w:r>
      <w:r>
        <w:rPr>
          <w:spacing w:val="11"/>
          <w:sz w:val="22"/>
        </w:rPr>
        <w:t> </w:t>
      </w:r>
      <w:r>
        <w:rPr>
          <w:sz w:val="22"/>
        </w:rPr>
        <w:t>in</w:t>
      </w:r>
      <w:r>
        <w:rPr>
          <w:spacing w:val="11"/>
          <w:sz w:val="22"/>
        </w:rPr>
        <w:t> </w:t>
      </w:r>
      <w:r>
        <w:rPr>
          <w:sz w:val="22"/>
        </w:rPr>
        <w:t>the</w:t>
      </w:r>
      <w:r>
        <w:rPr>
          <w:spacing w:val="11"/>
          <w:sz w:val="22"/>
        </w:rPr>
        <w:t> </w:t>
      </w:r>
      <w:r>
        <w:rPr>
          <w:sz w:val="22"/>
        </w:rPr>
        <w:t>elderly:</w:t>
      </w:r>
      <w:r>
        <w:rPr>
          <w:spacing w:val="11"/>
          <w:sz w:val="22"/>
        </w:rPr>
        <w:t> </w:t>
      </w:r>
      <w:r>
        <w:rPr>
          <w:sz w:val="22"/>
        </w:rPr>
        <w:t>is</w:t>
      </w:r>
      <w:r>
        <w:rPr>
          <w:spacing w:val="11"/>
          <w:sz w:val="22"/>
        </w:rPr>
        <w:t> </w:t>
      </w:r>
      <w:r>
        <w:rPr>
          <w:sz w:val="22"/>
        </w:rPr>
        <w:t>it</w:t>
      </w:r>
      <w:r>
        <w:rPr>
          <w:spacing w:val="11"/>
          <w:sz w:val="22"/>
        </w:rPr>
        <w:t> </w:t>
      </w:r>
      <w:r>
        <w:rPr>
          <w:sz w:val="22"/>
        </w:rPr>
        <w:t>important?</w:t>
      </w:r>
      <w:r>
        <w:rPr>
          <w:spacing w:val="11"/>
          <w:sz w:val="22"/>
        </w:rPr>
        <w:t> </w:t>
      </w:r>
      <w:r>
        <w:rPr>
          <w:i/>
          <w:sz w:val="22"/>
        </w:rPr>
        <w:t>JAMA</w:t>
      </w:r>
      <w:r>
        <w:rPr>
          <w:sz w:val="22"/>
        </w:rPr>
        <w:t>.</w:t>
      </w:r>
      <w:r>
        <w:rPr>
          <w:spacing w:val="11"/>
          <w:sz w:val="22"/>
        </w:rPr>
        <w:t> </w:t>
      </w:r>
      <w:r>
        <w:rPr>
          <w:spacing w:val="-2"/>
          <w:sz w:val="22"/>
        </w:rPr>
        <w:t>1994;272:1372.</w:t>
      </w:r>
    </w:p>
    <w:p>
      <w:pPr>
        <w:pStyle w:val="ListParagraph"/>
        <w:numPr>
          <w:ilvl w:val="0"/>
          <w:numId w:val="9"/>
        </w:numPr>
        <w:tabs>
          <w:tab w:pos="709" w:val="left" w:leader="none"/>
          <w:tab w:pos="718" w:val="left" w:leader="none"/>
        </w:tabs>
        <w:spacing w:line="256" w:lineRule="auto" w:before="13" w:after="0"/>
        <w:ind w:left="718" w:right="112" w:hanging="507"/>
        <w:jc w:val="both"/>
        <w:rPr>
          <w:sz w:val="22"/>
        </w:rPr>
      </w:pPr>
      <w:r>
        <w:rPr>
          <w:sz w:val="22"/>
        </w:rPr>
        <w:t>Kannel WB. Metabolic risk factors for coronary heart disease in women: perspective from </w:t>
      </w:r>
      <w:r>
        <w:rPr>
          <w:sz w:val="22"/>
        </w:rPr>
        <w:t>the Framingham Study. </w:t>
      </w:r>
      <w:r>
        <w:rPr>
          <w:i/>
          <w:sz w:val="22"/>
        </w:rPr>
        <w:t>Am Heart J</w:t>
      </w:r>
      <w:r>
        <w:rPr>
          <w:sz w:val="22"/>
        </w:rPr>
        <w:t>. 1987;114:413.</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Downs JR, Clearfield M, Weis S, et al; AFCAPS/TexCAPS Research Group. Primary</w:t>
      </w:r>
      <w:r>
        <w:rPr>
          <w:spacing w:val="40"/>
          <w:sz w:val="22"/>
        </w:rPr>
        <w:t> </w:t>
      </w:r>
      <w:r>
        <w:rPr>
          <w:sz w:val="22"/>
        </w:rPr>
        <w:t>prevention</w:t>
      </w:r>
      <w:r>
        <w:rPr>
          <w:spacing w:val="40"/>
          <w:sz w:val="22"/>
        </w:rPr>
        <w:t> </w:t>
      </w:r>
      <w:r>
        <w:rPr>
          <w:sz w:val="22"/>
        </w:rPr>
        <w:t>of</w:t>
      </w:r>
      <w:r>
        <w:rPr>
          <w:spacing w:val="40"/>
          <w:sz w:val="22"/>
        </w:rPr>
        <w:t> </w:t>
      </w:r>
      <w:r>
        <w:rPr>
          <w:sz w:val="22"/>
        </w:rPr>
        <w:t>acute</w:t>
      </w:r>
      <w:r>
        <w:rPr>
          <w:spacing w:val="40"/>
          <w:sz w:val="22"/>
        </w:rPr>
        <w:t> </w:t>
      </w:r>
      <w:r>
        <w:rPr>
          <w:sz w:val="22"/>
        </w:rPr>
        <w:t>coronary</w:t>
      </w:r>
      <w:r>
        <w:rPr>
          <w:spacing w:val="40"/>
          <w:sz w:val="22"/>
        </w:rPr>
        <w:t> </w:t>
      </w:r>
      <w:r>
        <w:rPr>
          <w:sz w:val="22"/>
        </w:rPr>
        <w:t>events</w:t>
      </w:r>
      <w:r>
        <w:rPr>
          <w:spacing w:val="40"/>
          <w:sz w:val="22"/>
        </w:rPr>
        <w:t> </w:t>
      </w:r>
      <w:r>
        <w:rPr>
          <w:sz w:val="22"/>
        </w:rPr>
        <w:t>with</w:t>
      </w:r>
      <w:r>
        <w:rPr>
          <w:spacing w:val="40"/>
          <w:sz w:val="22"/>
        </w:rPr>
        <w:t> </w:t>
      </w:r>
      <w:r>
        <w:rPr>
          <w:sz w:val="22"/>
        </w:rPr>
        <w:t>lovastatin</w:t>
      </w:r>
      <w:r>
        <w:rPr>
          <w:spacing w:val="40"/>
          <w:sz w:val="22"/>
        </w:rPr>
        <w:t> </w:t>
      </w:r>
      <w:r>
        <w:rPr>
          <w:sz w:val="22"/>
        </w:rPr>
        <w:t>in</w:t>
      </w:r>
      <w:r>
        <w:rPr>
          <w:spacing w:val="40"/>
          <w:sz w:val="22"/>
        </w:rPr>
        <w:t> </w:t>
      </w:r>
      <w:r>
        <w:rPr>
          <w:sz w:val="22"/>
        </w:rPr>
        <w:t>men</w:t>
      </w:r>
      <w:r>
        <w:rPr>
          <w:spacing w:val="40"/>
          <w:sz w:val="22"/>
        </w:rPr>
        <w:t> </w:t>
      </w:r>
      <w:r>
        <w:rPr>
          <w:sz w:val="22"/>
        </w:rPr>
        <w:t>and</w:t>
      </w:r>
      <w:r>
        <w:rPr>
          <w:spacing w:val="40"/>
          <w:sz w:val="22"/>
        </w:rPr>
        <w:t> </w:t>
      </w:r>
      <w:r>
        <w:rPr>
          <w:sz w:val="22"/>
        </w:rPr>
        <w:t>women</w:t>
      </w:r>
      <w:r>
        <w:rPr>
          <w:spacing w:val="40"/>
          <w:sz w:val="22"/>
        </w:rPr>
        <w:t> </w:t>
      </w:r>
      <w:r>
        <w:rPr>
          <w:sz w:val="22"/>
        </w:rPr>
        <w:t>with</w:t>
      </w:r>
      <w:r>
        <w:rPr>
          <w:spacing w:val="40"/>
          <w:sz w:val="22"/>
        </w:rPr>
        <w:t> </w:t>
      </w:r>
      <w:r>
        <w:rPr>
          <w:sz w:val="22"/>
        </w:rPr>
        <w:t>average cholesterol levels: results of AFCAPS/TexCAPS. </w:t>
      </w:r>
      <w:r>
        <w:rPr>
          <w:i/>
          <w:sz w:val="22"/>
        </w:rPr>
        <w:t>JAMA</w:t>
      </w:r>
      <w:r>
        <w:rPr>
          <w:sz w:val="22"/>
        </w:rPr>
        <w:t>. 1998;279:1615.</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Bittner</w:t>
      </w:r>
      <w:r>
        <w:rPr>
          <w:spacing w:val="39"/>
          <w:sz w:val="22"/>
        </w:rPr>
        <w:t> </w:t>
      </w:r>
      <w:r>
        <w:rPr>
          <w:sz w:val="22"/>
        </w:rPr>
        <w:t>V,</w:t>
      </w:r>
      <w:r>
        <w:rPr>
          <w:spacing w:val="39"/>
          <w:sz w:val="22"/>
        </w:rPr>
        <w:t> </w:t>
      </w:r>
      <w:r>
        <w:rPr>
          <w:sz w:val="22"/>
        </w:rPr>
        <w:t>Simon</w:t>
      </w:r>
      <w:r>
        <w:rPr>
          <w:spacing w:val="39"/>
          <w:sz w:val="22"/>
        </w:rPr>
        <w:t> </w:t>
      </w:r>
      <w:r>
        <w:rPr>
          <w:sz w:val="22"/>
        </w:rPr>
        <w:t>JA,</w:t>
      </w:r>
      <w:r>
        <w:rPr>
          <w:spacing w:val="39"/>
          <w:sz w:val="22"/>
        </w:rPr>
        <w:t> </w:t>
      </w:r>
      <w:r>
        <w:rPr>
          <w:sz w:val="22"/>
        </w:rPr>
        <w:t>Fong</w:t>
      </w:r>
      <w:r>
        <w:rPr>
          <w:spacing w:val="39"/>
          <w:sz w:val="22"/>
        </w:rPr>
        <w:t> </w:t>
      </w:r>
      <w:r>
        <w:rPr>
          <w:sz w:val="22"/>
        </w:rPr>
        <w:t>J,</w:t>
      </w:r>
      <w:r>
        <w:rPr>
          <w:spacing w:val="39"/>
          <w:sz w:val="22"/>
        </w:rPr>
        <w:t> </w:t>
      </w:r>
      <w:r>
        <w:rPr>
          <w:sz w:val="22"/>
        </w:rPr>
        <w:t>Blumenthal</w:t>
      </w:r>
      <w:r>
        <w:rPr>
          <w:spacing w:val="39"/>
          <w:sz w:val="22"/>
        </w:rPr>
        <w:t> </w:t>
      </w:r>
      <w:r>
        <w:rPr>
          <w:sz w:val="22"/>
        </w:rPr>
        <w:t>RS,</w:t>
      </w:r>
      <w:r>
        <w:rPr>
          <w:spacing w:val="39"/>
          <w:sz w:val="22"/>
        </w:rPr>
        <w:t> </w:t>
      </w:r>
      <w:r>
        <w:rPr>
          <w:sz w:val="22"/>
        </w:rPr>
        <w:t>Newby</w:t>
      </w:r>
      <w:r>
        <w:rPr>
          <w:spacing w:val="39"/>
          <w:sz w:val="22"/>
        </w:rPr>
        <w:t> </w:t>
      </w:r>
      <w:r>
        <w:rPr>
          <w:sz w:val="22"/>
        </w:rPr>
        <w:t>K,</w:t>
      </w:r>
      <w:r>
        <w:rPr>
          <w:spacing w:val="39"/>
          <w:sz w:val="22"/>
        </w:rPr>
        <w:t> </w:t>
      </w:r>
      <w:r>
        <w:rPr>
          <w:sz w:val="22"/>
        </w:rPr>
        <w:t>Stefanick</w:t>
      </w:r>
      <w:r>
        <w:rPr>
          <w:spacing w:val="39"/>
          <w:sz w:val="22"/>
        </w:rPr>
        <w:t> </w:t>
      </w:r>
      <w:r>
        <w:rPr>
          <w:sz w:val="22"/>
        </w:rPr>
        <w:t>ML.</w:t>
      </w:r>
      <w:r>
        <w:rPr>
          <w:spacing w:val="39"/>
          <w:sz w:val="22"/>
        </w:rPr>
        <w:t> </w:t>
      </w:r>
      <w:r>
        <w:rPr>
          <w:sz w:val="22"/>
        </w:rPr>
        <w:t>Correlates</w:t>
      </w:r>
      <w:r>
        <w:rPr>
          <w:spacing w:val="38"/>
          <w:sz w:val="22"/>
        </w:rPr>
        <w:t> </w:t>
      </w:r>
      <w:r>
        <w:rPr>
          <w:sz w:val="22"/>
        </w:rPr>
        <w:t>of</w:t>
      </w:r>
      <w:r>
        <w:rPr>
          <w:spacing w:val="38"/>
          <w:sz w:val="22"/>
        </w:rPr>
        <w:t> </w:t>
      </w:r>
      <w:r>
        <w:rPr>
          <w:sz w:val="22"/>
        </w:rPr>
        <w:t>high HDL cholesterol among women with coronary heart disease. </w:t>
      </w:r>
      <w:r>
        <w:rPr>
          <w:i/>
          <w:sz w:val="22"/>
        </w:rPr>
        <w:t>Am Heart J</w:t>
      </w:r>
      <w:r>
        <w:rPr>
          <w:sz w:val="22"/>
        </w:rPr>
        <w:t>. 2000;139:288.</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Ford ES, Giles WH, Dietz WH. Prevalence of the metabolic syndrome among U.S. </w:t>
      </w:r>
      <w:r>
        <w:rPr>
          <w:sz w:val="22"/>
        </w:rPr>
        <w:t>adults: findings from the Third National Health and Nutrition Examination Survey. </w:t>
      </w:r>
      <w:r>
        <w:rPr>
          <w:i/>
          <w:sz w:val="22"/>
        </w:rPr>
        <w:t>JAMA</w:t>
      </w:r>
      <w:r>
        <w:rPr>
          <w:sz w:val="22"/>
        </w:rPr>
        <w:t>. </w:t>
      </w:r>
      <w:r>
        <w:rPr>
          <w:spacing w:val="-2"/>
          <w:sz w:val="22"/>
        </w:rPr>
        <w:t>2002;287:356.</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Park YW, Zhu S, Palaniappan L, Heshka S, Carnethon MR, Heymsfield SB. The metabolic syndrome: prevalence and associated risk factor findings in the US population from the </w:t>
      </w:r>
      <w:r>
        <w:rPr>
          <w:sz w:val="22"/>
        </w:rPr>
        <w:t>Third National Health and Nutrition Examination Survey, 1988-1994. </w:t>
      </w:r>
      <w:r>
        <w:rPr>
          <w:i/>
          <w:sz w:val="22"/>
        </w:rPr>
        <w:t>Arch Intern Med</w:t>
      </w:r>
      <w:r>
        <w:rPr>
          <w:sz w:val="22"/>
        </w:rPr>
        <w:t>.</w:t>
      </w:r>
      <w:r>
        <w:rPr>
          <w:spacing w:val="80"/>
          <w:w w:val="150"/>
          <w:sz w:val="22"/>
        </w:rPr>
        <w:t> </w:t>
      </w:r>
      <w:r>
        <w:rPr>
          <w:spacing w:val="-2"/>
          <w:sz w:val="22"/>
        </w:rPr>
        <w:t>2003;163:427.</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Alberti</w:t>
      </w:r>
      <w:r>
        <w:rPr>
          <w:spacing w:val="40"/>
          <w:sz w:val="22"/>
        </w:rPr>
        <w:t> </w:t>
      </w:r>
      <w:r>
        <w:rPr>
          <w:sz w:val="22"/>
        </w:rPr>
        <w:t>KG,</w:t>
      </w:r>
      <w:r>
        <w:rPr>
          <w:spacing w:val="40"/>
          <w:sz w:val="22"/>
        </w:rPr>
        <w:t> </w:t>
      </w:r>
      <w:r>
        <w:rPr>
          <w:sz w:val="22"/>
        </w:rPr>
        <w:t>Eckel</w:t>
      </w:r>
      <w:r>
        <w:rPr>
          <w:spacing w:val="40"/>
          <w:sz w:val="22"/>
        </w:rPr>
        <w:t> </w:t>
      </w:r>
      <w:r>
        <w:rPr>
          <w:sz w:val="22"/>
        </w:rPr>
        <w:t>RH,</w:t>
      </w:r>
      <w:r>
        <w:rPr>
          <w:spacing w:val="40"/>
          <w:sz w:val="22"/>
        </w:rPr>
        <w:t> </w:t>
      </w:r>
      <w:r>
        <w:rPr>
          <w:sz w:val="22"/>
        </w:rPr>
        <w:t>Grundy</w:t>
      </w:r>
      <w:r>
        <w:rPr>
          <w:spacing w:val="40"/>
          <w:sz w:val="22"/>
        </w:rPr>
        <w:t> </w:t>
      </w:r>
      <w:r>
        <w:rPr>
          <w:sz w:val="22"/>
        </w:rPr>
        <w:t>SM,</w:t>
      </w:r>
      <w:r>
        <w:rPr>
          <w:spacing w:val="40"/>
          <w:sz w:val="22"/>
        </w:rPr>
        <w:t> </w:t>
      </w:r>
      <w:r>
        <w:rPr>
          <w:sz w:val="22"/>
        </w:rPr>
        <w:t>et</w:t>
      </w:r>
      <w:r>
        <w:rPr>
          <w:spacing w:val="40"/>
          <w:sz w:val="22"/>
        </w:rPr>
        <w:t> </w:t>
      </w:r>
      <w:r>
        <w:rPr>
          <w:sz w:val="22"/>
        </w:rPr>
        <w:t>al.</w:t>
      </w:r>
      <w:r>
        <w:rPr>
          <w:spacing w:val="40"/>
          <w:sz w:val="22"/>
        </w:rPr>
        <w:t> </w:t>
      </w:r>
      <w:r>
        <w:rPr>
          <w:sz w:val="22"/>
        </w:rPr>
        <w:t>Harmonizing</w:t>
      </w:r>
      <w:r>
        <w:rPr>
          <w:spacing w:val="40"/>
          <w:sz w:val="22"/>
        </w:rPr>
        <w:t> </w:t>
      </w:r>
      <w:r>
        <w:rPr>
          <w:sz w:val="22"/>
        </w:rPr>
        <w:t>the</w:t>
      </w:r>
      <w:r>
        <w:rPr>
          <w:spacing w:val="40"/>
          <w:sz w:val="22"/>
        </w:rPr>
        <w:t> </w:t>
      </w:r>
      <w:r>
        <w:rPr>
          <w:sz w:val="22"/>
        </w:rPr>
        <w:t>metabolic</w:t>
      </w:r>
      <w:r>
        <w:rPr>
          <w:spacing w:val="40"/>
          <w:sz w:val="22"/>
        </w:rPr>
        <w:t> </w:t>
      </w:r>
      <w:r>
        <w:rPr>
          <w:sz w:val="22"/>
        </w:rPr>
        <w:t>syndrome:</w:t>
      </w:r>
      <w:r>
        <w:rPr>
          <w:spacing w:val="40"/>
          <w:sz w:val="22"/>
        </w:rPr>
        <w:t> </w:t>
      </w:r>
      <w:r>
        <w:rPr>
          <w:sz w:val="22"/>
        </w:rPr>
        <w:t>a</w:t>
      </w:r>
      <w:r>
        <w:rPr>
          <w:spacing w:val="40"/>
          <w:sz w:val="22"/>
        </w:rPr>
        <w:t> </w:t>
      </w:r>
      <w:r>
        <w:rPr>
          <w:sz w:val="22"/>
        </w:rPr>
        <w:t>joint interim statement of the International Diabetes Federation Task Force on Epidemiology and Prevention; National Heart, Lung, and Blood Institute; American Heart Association; World</w:t>
      </w:r>
      <w:r>
        <w:rPr>
          <w:spacing w:val="40"/>
          <w:sz w:val="22"/>
        </w:rPr>
        <w:t> </w:t>
      </w:r>
      <w:r>
        <w:rPr>
          <w:sz w:val="22"/>
        </w:rPr>
        <w:t>Heart Federation; International Atherosclerosis Society; and International Association for the Study of Obesity. </w:t>
      </w:r>
      <w:r>
        <w:rPr>
          <w:i/>
          <w:sz w:val="22"/>
        </w:rPr>
        <w:t>Circulation</w:t>
      </w:r>
      <w:r>
        <w:rPr>
          <w:sz w:val="22"/>
        </w:rPr>
        <w:t>. 2009;120:1640.</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Janssen I, Powell LH, Crawford S, Lasley B, Sutton-Tyrrell K. Menopause and the metabolic syndrome: the Study of Women’s Health Across the Nation (SWAN). </w:t>
      </w:r>
      <w:r>
        <w:rPr>
          <w:i/>
          <w:sz w:val="22"/>
        </w:rPr>
        <w:t>Arch Intern Med</w:t>
      </w:r>
      <w:r>
        <w:rPr>
          <w:sz w:val="22"/>
        </w:rPr>
        <w:t>. </w:t>
      </w:r>
      <w:r>
        <w:rPr>
          <w:spacing w:val="-2"/>
          <w:sz w:val="22"/>
        </w:rPr>
        <w:t>2008;168:1568.</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Torréns JI, Sutton-Tyrrell K, Zhao X, et al. Relative androgen excess during the menopausal transition predicts incident metabolic syndrome in midlife women: study of women’s health across the nation. </w:t>
      </w:r>
      <w:r>
        <w:rPr>
          <w:i/>
          <w:sz w:val="22"/>
        </w:rPr>
        <w:t>Menopause</w:t>
      </w:r>
      <w:r>
        <w:rPr>
          <w:sz w:val="22"/>
        </w:rPr>
        <w:t>. 2009;16:257.</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Lapidus L, Bengtsson C, Larsson B, Pennert K, Rybo E, Sjostrom L. Distribution of adipose tissue and risk of cardiovascular disease and death: a 12 year follow up of participants in </w:t>
      </w:r>
      <w:r>
        <w:rPr>
          <w:sz w:val="22"/>
        </w:rPr>
        <w:t>the population study of women in Gothenburg. </w:t>
      </w:r>
      <w:r>
        <w:rPr>
          <w:i/>
          <w:sz w:val="22"/>
        </w:rPr>
        <w:t>Br Med J</w:t>
      </w:r>
      <w:r>
        <w:rPr>
          <w:sz w:val="22"/>
        </w:rPr>
        <w:t>. 1984;289:1257.</w:t>
      </w:r>
    </w:p>
    <w:p>
      <w:pPr>
        <w:pStyle w:val="ListParagraph"/>
        <w:numPr>
          <w:ilvl w:val="0"/>
          <w:numId w:val="9"/>
        </w:numPr>
        <w:tabs>
          <w:tab w:pos="709" w:val="left" w:leader="none"/>
          <w:tab w:pos="718" w:val="left" w:leader="none"/>
        </w:tabs>
        <w:spacing w:line="256" w:lineRule="auto" w:before="0" w:after="0"/>
        <w:ind w:left="718" w:right="110" w:hanging="507"/>
        <w:jc w:val="both"/>
        <w:rPr>
          <w:sz w:val="22"/>
        </w:rPr>
      </w:pPr>
      <w:r>
        <w:rPr>
          <w:sz w:val="22"/>
        </w:rPr>
        <w:t>Haarbo</w:t>
      </w:r>
      <w:r>
        <w:rPr>
          <w:spacing w:val="40"/>
          <w:sz w:val="22"/>
        </w:rPr>
        <w:t> </w:t>
      </w:r>
      <w:r>
        <w:rPr>
          <w:sz w:val="22"/>
        </w:rPr>
        <w:t>J,</w:t>
      </w:r>
      <w:r>
        <w:rPr>
          <w:spacing w:val="40"/>
          <w:sz w:val="22"/>
        </w:rPr>
        <w:t> </w:t>
      </w:r>
      <w:r>
        <w:rPr>
          <w:sz w:val="22"/>
        </w:rPr>
        <w:t>Hassager</w:t>
      </w:r>
      <w:r>
        <w:rPr>
          <w:spacing w:val="40"/>
          <w:sz w:val="22"/>
        </w:rPr>
        <w:t> </w:t>
      </w:r>
      <w:r>
        <w:rPr>
          <w:sz w:val="22"/>
        </w:rPr>
        <w:t>C,</w:t>
      </w:r>
      <w:r>
        <w:rPr>
          <w:spacing w:val="40"/>
          <w:sz w:val="22"/>
        </w:rPr>
        <w:t> </w:t>
      </w:r>
      <w:r>
        <w:rPr>
          <w:sz w:val="22"/>
        </w:rPr>
        <w:t>Riis</w:t>
      </w:r>
      <w:r>
        <w:rPr>
          <w:spacing w:val="40"/>
          <w:sz w:val="22"/>
        </w:rPr>
        <w:t> </w:t>
      </w:r>
      <w:r>
        <w:rPr>
          <w:sz w:val="22"/>
        </w:rPr>
        <w:t>BJ,</w:t>
      </w:r>
      <w:r>
        <w:rPr>
          <w:spacing w:val="40"/>
          <w:sz w:val="22"/>
        </w:rPr>
        <w:t> </w:t>
      </w:r>
      <w:r>
        <w:rPr>
          <w:sz w:val="22"/>
        </w:rPr>
        <w:t>Christiansen</w:t>
      </w:r>
      <w:r>
        <w:rPr>
          <w:spacing w:val="40"/>
          <w:sz w:val="22"/>
        </w:rPr>
        <w:t> </w:t>
      </w:r>
      <w:r>
        <w:rPr>
          <w:sz w:val="22"/>
        </w:rPr>
        <w:t>C.</w:t>
      </w:r>
      <w:r>
        <w:rPr>
          <w:spacing w:val="40"/>
          <w:sz w:val="22"/>
        </w:rPr>
        <w:t> </w:t>
      </w:r>
      <w:r>
        <w:rPr>
          <w:sz w:val="22"/>
        </w:rPr>
        <w:t>Relation</w:t>
      </w:r>
      <w:r>
        <w:rPr>
          <w:spacing w:val="40"/>
          <w:sz w:val="22"/>
        </w:rPr>
        <w:t> </w:t>
      </w:r>
      <w:r>
        <w:rPr>
          <w:sz w:val="22"/>
        </w:rPr>
        <w:t>of</w:t>
      </w:r>
      <w:r>
        <w:rPr>
          <w:spacing w:val="40"/>
          <w:sz w:val="22"/>
        </w:rPr>
        <w:t> </w:t>
      </w:r>
      <w:r>
        <w:rPr>
          <w:sz w:val="22"/>
        </w:rPr>
        <w:t>body</w:t>
      </w:r>
      <w:r>
        <w:rPr>
          <w:spacing w:val="40"/>
          <w:sz w:val="22"/>
        </w:rPr>
        <w:t> </w:t>
      </w:r>
      <w:r>
        <w:rPr>
          <w:sz w:val="22"/>
        </w:rPr>
        <w:t>fat</w:t>
      </w:r>
      <w:r>
        <w:rPr>
          <w:spacing w:val="40"/>
          <w:sz w:val="22"/>
        </w:rPr>
        <w:t> </w:t>
      </w:r>
      <w:r>
        <w:rPr>
          <w:sz w:val="22"/>
        </w:rPr>
        <w:t>distribution</w:t>
      </w:r>
      <w:r>
        <w:rPr>
          <w:spacing w:val="40"/>
          <w:sz w:val="22"/>
        </w:rPr>
        <w:t> </w:t>
      </w:r>
      <w:r>
        <w:rPr>
          <w:sz w:val="22"/>
        </w:rPr>
        <w:t>to</w:t>
      </w:r>
      <w:r>
        <w:rPr>
          <w:spacing w:val="40"/>
          <w:sz w:val="22"/>
        </w:rPr>
        <w:t> </w:t>
      </w:r>
      <w:r>
        <w:rPr>
          <w:sz w:val="22"/>
        </w:rPr>
        <w:t>serum lipids and lipoproteins in elderly women. </w:t>
      </w:r>
      <w:r>
        <w:rPr>
          <w:i/>
          <w:sz w:val="22"/>
        </w:rPr>
        <w:t>Atherosclerosis</w:t>
      </w:r>
      <w:r>
        <w:rPr>
          <w:sz w:val="22"/>
        </w:rPr>
        <w:t>. 1989;80:57.</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Soler JT, Folsom AR, Kaye SA, Prineas RJ. Associations of abdominal adiposity, fasting</w:t>
      </w:r>
      <w:r>
        <w:rPr>
          <w:spacing w:val="40"/>
          <w:sz w:val="22"/>
        </w:rPr>
        <w:t> </w:t>
      </w:r>
      <w:r>
        <w:rPr>
          <w:sz w:val="22"/>
        </w:rPr>
        <w:t>insulin, sex hormone binding globulin and estrogen with lipids and lipoproteins in </w:t>
      </w:r>
      <w:r>
        <w:rPr>
          <w:sz w:val="22"/>
        </w:rPr>
        <w:t>post-menopausal women. </w:t>
      </w:r>
      <w:r>
        <w:rPr>
          <w:i/>
          <w:sz w:val="22"/>
        </w:rPr>
        <w:t>Atherosclerosis</w:t>
      </w:r>
      <w:r>
        <w:rPr>
          <w:sz w:val="22"/>
        </w:rPr>
        <w:t>. 1989;79:21.</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Wing R, Matthews K, Kuller L, Meilahn EN, Plantinga PL. Weight gain at the time of menopause. </w:t>
      </w:r>
      <w:r>
        <w:rPr>
          <w:i/>
          <w:sz w:val="22"/>
        </w:rPr>
        <w:t>Arch Intern Med</w:t>
      </w:r>
      <w:r>
        <w:rPr>
          <w:sz w:val="22"/>
        </w:rPr>
        <w:t>. 1990;151:97.</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101" w:hanging="507"/>
        <w:jc w:val="both"/>
        <w:rPr>
          <w:sz w:val="22"/>
        </w:rPr>
      </w:pPr>
      <w:r>
        <w:rPr>
          <w:sz w:val="22"/>
        </w:rPr>
        <w:t>Expert Panel on Detection Evaluation and Treatment of High Blood Cholesterol in Adults. Executive summary of the third report of the National Cholesterol Education Program </w:t>
      </w:r>
      <w:r>
        <w:rPr>
          <w:sz w:val="22"/>
        </w:rPr>
        <w:t>(NCEP) expert panel on detection, evaluation, and treatment of high blood cholesterol in adults (Adult Treatment Panel III). </w:t>
      </w:r>
      <w:r>
        <w:rPr>
          <w:i/>
          <w:sz w:val="22"/>
        </w:rPr>
        <w:t>JAMA</w:t>
      </w:r>
      <w:r>
        <w:rPr>
          <w:sz w:val="22"/>
        </w:rPr>
        <w:t>. 2001;285:2486.</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LaRosa JC, He J, Vupputuri S. Effect of statins on risk of coronary disease: a meta-analysis of randomized controlled trials. </w:t>
      </w:r>
      <w:r>
        <w:rPr>
          <w:i/>
          <w:sz w:val="22"/>
        </w:rPr>
        <w:t>JAMA</w:t>
      </w:r>
      <w:r>
        <w:rPr>
          <w:sz w:val="22"/>
        </w:rPr>
        <w:t>. 1999;282:2340.</w:t>
      </w:r>
    </w:p>
    <w:p>
      <w:pPr>
        <w:pStyle w:val="ListParagraph"/>
        <w:numPr>
          <w:ilvl w:val="0"/>
          <w:numId w:val="9"/>
        </w:numPr>
        <w:tabs>
          <w:tab w:pos="710" w:val="left" w:leader="none"/>
        </w:tabs>
        <w:spacing w:line="252" w:lineRule="exact" w:before="0" w:after="0"/>
        <w:ind w:left="710" w:right="0" w:hanging="498"/>
        <w:jc w:val="both"/>
        <w:rPr>
          <w:sz w:val="22"/>
        </w:rPr>
      </w:pPr>
      <w:r>
        <w:rPr>
          <w:sz w:val="22"/>
        </w:rPr>
        <w:t>Mostaghel</w:t>
      </w:r>
      <w:r>
        <w:rPr>
          <w:spacing w:val="57"/>
          <w:sz w:val="22"/>
        </w:rPr>
        <w:t> </w:t>
      </w:r>
      <w:r>
        <w:rPr>
          <w:sz w:val="22"/>
        </w:rPr>
        <w:t>E,</w:t>
      </w:r>
      <w:r>
        <w:rPr>
          <w:spacing w:val="57"/>
          <w:sz w:val="22"/>
        </w:rPr>
        <w:t> </w:t>
      </w:r>
      <w:r>
        <w:rPr>
          <w:sz w:val="22"/>
        </w:rPr>
        <w:t>Waters</w:t>
      </w:r>
      <w:r>
        <w:rPr>
          <w:spacing w:val="57"/>
          <w:sz w:val="22"/>
        </w:rPr>
        <w:t> </w:t>
      </w:r>
      <w:r>
        <w:rPr>
          <w:sz w:val="22"/>
        </w:rPr>
        <w:t>D.</w:t>
      </w:r>
      <w:r>
        <w:rPr>
          <w:spacing w:val="56"/>
          <w:sz w:val="22"/>
        </w:rPr>
        <w:t> </w:t>
      </w:r>
      <w:r>
        <w:rPr>
          <w:sz w:val="22"/>
        </w:rPr>
        <w:t>Women</w:t>
      </w:r>
      <w:r>
        <w:rPr>
          <w:spacing w:val="59"/>
          <w:sz w:val="22"/>
        </w:rPr>
        <w:t> </w:t>
      </w:r>
      <w:r>
        <w:rPr>
          <w:sz w:val="22"/>
        </w:rPr>
        <w:t>do</w:t>
      </w:r>
      <w:r>
        <w:rPr>
          <w:spacing w:val="58"/>
          <w:sz w:val="22"/>
        </w:rPr>
        <w:t> </w:t>
      </w:r>
      <w:r>
        <w:rPr>
          <w:sz w:val="22"/>
        </w:rPr>
        <w:t>benefit</w:t>
      </w:r>
      <w:r>
        <w:rPr>
          <w:spacing w:val="58"/>
          <w:sz w:val="22"/>
        </w:rPr>
        <w:t> </w:t>
      </w:r>
      <w:r>
        <w:rPr>
          <w:sz w:val="22"/>
        </w:rPr>
        <w:t>from</w:t>
      </w:r>
      <w:r>
        <w:rPr>
          <w:spacing w:val="58"/>
          <w:sz w:val="22"/>
        </w:rPr>
        <w:t> </w:t>
      </w:r>
      <w:r>
        <w:rPr>
          <w:sz w:val="22"/>
        </w:rPr>
        <w:t>lipid</w:t>
      </w:r>
      <w:r>
        <w:rPr>
          <w:spacing w:val="59"/>
          <w:sz w:val="22"/>
        </w:rPr>
        <w:t> </w:t>
      </w:r>
      <w:r>
        <w:rPr>
          <w:sz w:val="22"/>
        </w:rPr>
        <w:t>lowering:</w:t>
      </w:r>
      <w:r>
        <w:rPr>
          <w:spacing w:val="58"/>
          <w:sz w:val="22"/>
        </w:rPr>
        <w:t> </w:t>
      </w:r>
      <w:r>
        <w:rPr>
          <w:sz w:val="22"/>
        </w:rPr>
        <w:t>latest</w:t>
      </w:r>
      <w:r>
        <w:rPr>
          <w:spacing w:val="58"/>
          <w:sz w:val="22"/>
        </w:rPr>
        <w:t> </w:t>
      </w:r>
      <w:r>
        <w:rPr>
          <w:sz w:val="22"/>
        </w:rPr>
        <w:t>clinical</w:t>
      </w:r>
      <w:r>
        <w:rPr>
          <w:spacing w:val="59"/>
          <w:sz w:val="22"/>
        </w:rPr>
        <w:t> </w:t>
      </w:r>
      <w:r>
        <w:rPr>
          <w:sz w:val="22"/>
        </w:rPr>
        <w:t>trial</w:t>
      </w:r>
      <w:r>
        <w:rPr>
          <w:spacing w:val="58"/>
          <w:sz w:val="22"/>
        </w:rPr>
        <w:t> </w:t>
      </w:r>
      <w:r>
        <w:rPr>
          <w:spacing w:val="-2"/>
          <w:sz w:val="22"/>
        </w:rPr>
        <w:t>data.</w:t>
      </w:r>
    </w:p>
    <w:p>
      <w:pPr>
        <w:spacing w:before="15"/>
        <w:ind w:left="718" w:right="0" w:firstLine="0"/>
        <w:jc w:val="both"/>
        <w:rPr>
          <w:sz w:val="22"/>
        </w:rPr>
      </w:pPr>
      <w:r>
        <w:rPr>
          <w:i/>
          <w:sz w:val="22"/>
        </w:rPr>
        <w:t>Cardiol</w:t>
      </w:r>
      <w:r>
        <w:rPr>
          <w:i/>
          <w:spacing w:val="6"/>
          <w:sz w:val="22"/>
        </w:rPr>
        <w:t> </w:t>
      </w:r>
      <w:r>
        <w:rPr>
          <w:i/>
          <w:sz w:val="22"/>
        </w:rPr>
        <w:t>Rev</w:t>
      </w:r>
      <w:r>
        <w:rPr>
          <w:sz w:val="22"/>
        </w:rPr>
        <w:t>.</w:t>
      </w:r>
      <w:r>
        <w:rPr>
          <w:spacing w:val="7"/>
          <w:sz w:val="22"/>
        </w:rPr>
        <w:t> </w:t>
      </w:r>
      <w:r>
        <w:rPr>
          <w:spacing w:val="-2"/>
          <w:sz w:val="22"/>
        </w:rPr>
        <w:t>2003;11:4.</w:t>
      </w:r>
    </w:p>
    <w:p>
      <w:pPr>
        <w:pStyle w:val="ListParagraph"/>
        <w:numPr>
          <w:ilvl w:val="0"/>
          <w:numId w:val="9"/>
        </w:numPr>
        <w:tabs>
          <w:tab w:pos="709" w:val="left" w:leader="none"/>
          <w:tab w:pos="718" w:val="left" w:leader="none"/>
        </w:tabs>
        <w:spacing w:line="256" w:lineRule="auto" w:before="17" w:after="0"/>
        <w:ind w:left="718" w:right="98" w:hanging="507"/>
        <w:jc w:val="left"/>
        <w:rPr>
          <w:sz w:val="22"/>
        </w:rPr>
      </w:pPr>
      <w:r>
        <w:rPr>
          <w:sz w:val="22"/>
        </w:rPr>
        <w:t>Barker</w:t>
      </w:r>
      <w:r>
        <w:rPr>
          <w:spacing w:val="63"/>
          <w:sz w:val="22"/>
        </w:rPr>
        <w:t> </w:t>
      </w:r>
      <w:r>
        <w:rPr>
          <w:sz w:val="22"/>
        </w:rPr>
        <w:t>DJP,</w:t>
      </w:r>
      <w:r>
        <w:rPr>
          <w:spacing w:val="63"/>
          <w:sz w:val="22"/>
        </w:rPr>
        <w:t> </w:t>
      </w:r>
      <w:r>
        <w:rPr>
          <w:sz w:val="22"/>
        </w:rPr>
        <w:t>Martyn</w:t>
      </w:r>
      <w:r>
        <w:rPr>
          <w:spacing w:val="63"/>
          <w:sz w:val="22"/>
        </w:rPr>
        <w:t> </w:t>
      </w:r>
      <w:r>
        <w:rPr>
          <w:sz w:val="22"/>
        </w:rPr>
        <w:t>CN,</w:t>
      </w:r>
      <w:r>
        <w:rPr>
          <w:spacing w:val="63"/>
          <w:sz w:val="22"/>
        </w:rPr>
        <w:t> </w:t>
      </w:r>
      <w:r>
        <w:rPr>
          <w:sz w:val="22"/>
        </w:rPr>
        <w:t>Osmond</w:t>
      </w:r>
      <w:r>
        <w:rPr>
          <w:spacing w:val="63"/>
          <w:sz w:val="22"/>
        </w:rPr>
        <w:t> </w:t>
      </w:r>
      <w:r>
        <w:rPr>
          <w:sz w:val="22"/>
        </w:rPr>
        <w:t>C,</w:t>
      </w:r>
      <w:r>
        <w:rPr>
          <w:spacing w:val="63"/>
          <w:sz w:val="22"/>
        </w:rPr>
        <w:t> </w:t>
      </w:r>
      <w:r>
        <w:rPr>
          <w:sz w:val="22"/>
        </w:rPr>
        <w:t>Hales</w:t>
      </w:r>
      <w:r>
        <w:rPr>
          <w:spacing w:val="63"/>
          <w:sz w:val="22"/>
        </w:rPr>
        <w:t> </w:t>
      </w:r>
      <w:r>
        <w:rPr>
          <w:sz w:val="22"/>
        </w:rPr>
        <w:t>CN,</w:t>
      </w:r>
      <w:r>
        <w:rPr>
          <w:spacing w:val="63"/>
          <w:sz w:val="22"/>
        </w:rPr>
        <w:t> </w:t>
      </w:r>
      <w:r>
        <w:rPr>
          <w:sz w:val="22"/>
        </w:rPr>
        <w:t>Fall</w:t>
      </w:r>
      <w:r>
        <w:rPr>
          <w:spacing w:val="63"/>
          <w:sz w:val="22"/>
        </w:rPr>
        <w:t> </w:t>
      </w:r>
      <w:r>
        <w:rPr>
          <w:sz w:val="22"/>
        </w:rPr>
        <w:t>CHD.</w:t>
      </w:r>
      <w:r>
        <w:rPr>
          <w:spacing w:val="63"/>
          <w:sz w:val="22"/>
        </w:rPr>
        <w:t> </w:t>
      </w:r>
      <w:r>
        <w:rPr>
          <w:sz w:val="22"/>
        </w:rPr>
        <w:t>Growth</w:t>
      </w:r>
      <w:r>
        <w:rPr>
          <w:spacing w:val="64"/>
          <w:sz w:val="22"/>
        </w:rPr>
        <w:t> </w:t>
      </w:r>
      <w:r>
        <w:rPr>
          <w:sz w:val="22"/>
        </w:rPr>
        <w:t>in</w:t>
      </w:r>
      <w:r>
        <w:rPr>
          <w:spacing w:val="64"/>
          <w:sz w:val="22"/>
        </w:rPr>
        <w:t> </w:t>
      </w:r>
      <w:r>
        <w:rPr>
          <w:sz w:val="22"/>
        </w:rPr>
        <w:t>utero</w:t>
      </w:r>
      <w:r>
        <w:rPr>
          <w:spacing w:val="64"/>
          <w:sz w:val="22"/>
        </w:rPr>
        <w:t> </w:t>
      </w:r>
      <w:r>
        <w:rPr>
          <w:sz w:val="22"/>
        </w:rPr>
        <w:t>and</w:t>
      </w:r>
      <w:r>
        <w:rPr>
          <w:spacing w:val="64"/>
          <w:sz w:val="22"/>
        </w:rPr>
        <w:t> </w:t>
      </w:r>
      <w:r>
        <w:rPr>
          <w:sz w:val="22"/>
        </w:rPr>
        <w:t>serum cholesterol concentrations in adult life. </w:t>
      </w:r>
      <w:r>
        <w:rPr>
          <w:i/>
          <w:sz w:val="22"/>
        </w:rPr>
        <w:t>Br Med J</w:t>
      </w:r>
      <w:r>
        <w:rPr>
          <w:sz w:val="22"/>
        </w:rPr>
        <w:t>. 1993;307:1524.</w:t>
      </w:r>
    </w:p>
    <w:p>
      <w:pPr>
        <w:pStyle w:val="ListParagraph"/>
        <w:numPr>
          <w:ilvl w:val="0"/>
          <w:numId w:val="9"/>
        </w:numPr>
        <w:tabs>
          <w:tab w:pos="699" w:val="left" w:leader="none"/>
          <w:tab w:pos="718" w:val="left" w:leader="none"/>
        </w:tabs>
        <w:spacing w:line="256" w:lineRule="auto" w:before="0" w:after="0"/>
        <w:ind w:left="718" w:right="106" w:hanging="507"/>
        <w:jc w:val="left"/>
        <w:rPr>
          <w:sz w:val="22"/>
        </w:rPr>
      </w:pPr>
      <w:r>
        <w:rPr>
          <w:sz w:val="22"/>
        </w:rPr>
        <w:t>Fall</w:t>
      </w:r>
      <w:r>
        <w:rPr>
          <w:spacing w:val="40"/>
          <w:sz w:val="22"/>
        </w:rPr>
        <w:t> </w:t>
      </w:r>
      <w:r>
        <w:rPr>
          <w:sz w:val="22"/>
        </w:rPr>
        <w:t>CHD,</w:t>
      </w:r>
      <w:r>
        <w:rPr>
          <w:spacing w:val="40"/>
          <w:sz w:val="22"/>
        </w:rPr>
        <w:t> </w:t>
      </w:r>
      <w:r>
        <w:rPr>
          <w:sz w:val="22"/>
        </w:rPr>
        <w:t>Osmond</w:t>
      </w:r>
      <w:r>
        <w:rPr>
          <w:spacing w:val="40"/>
          <w:sz w:val="22"/>
        </w:rPr>
        <w:t> </w:t>
      </w:r>
      <w:r>
        <w:rPr>
          <w:sz w:val="22"/>
        </w:rPr>
        <w:t>C,</w:t>
      </w:r>
      <w:r>
        <w:rPr>
          <w:spacing w:val="40"/>
          <w:sz w:val="22"/>
        </w:rPr>
        <w:t> </w:t>
      </w:r>
      <w:r>
        <w:rPr>
          <w:sz w:val="22"/>
        </w:rPr>
        <w:t>Barker</w:t>
      </w:r>
      <w:r>
        <w:rPr>
          <w:spacing w:val="40"/>
          <w:sz w:val="22"/>
        </w:rPr>
        <w:t> </w:t>
      </w:r>
      <w:r>
        <w:rPr>
          <w:sz w:val="22"/>
        </w:rPr>
        <w:t>DJP,</w:t>
      </w:r>
      <w:r>
        <w:rPr>
          <w:spacing w:val="40"/>
          <w:sz w:val="22"/>
        </w:rPr>
        <w:t> </w:t>
      </w:r>
      <w:r>
        <w:rPr>
          <w:sz w:val="22"/>
        </w:rPr>
        <w:t>et</w:t>
      </w:r>
      <w:r>
        <w:rPr>
          <w:spacing w:val="40"/>
          <w:sz w:val="22"/>
        </w:rPr>
        <w:t> </w:t>
      </w:r>
      <w:r>
        <w:rPr>
          <w:sz w:val="22"/>
        </w:rPr>
        <w:t>al.</w:t>
      </w:r>
      <w:r>
        <w:rPr>
          <w:spacing w:val="40"/>
          <w:sz w:val="22"/>
        </w:rPr>
        <w:t> </w:t>
      </w:r>
      <w:r>
        <w:rPr>
          <w:sz w:val="22"/>
        </w:rPr>
        <w:t>Fetal</w:t>
      </w:r>
      <w:r>
        <w:rPr>
          <w:spacing w:val="40"/>
          <w:sz w:val="22"/>
        </w:rPr>
        <w:t> </w:t>
      </w:r>
      <w:r>
        <w:rPr>
          <w:sz w:val="22"/>
        </w:rPr>
        <w:t>and</w:t>
      </w:r>
      <w:r>
        <w:rPr>
          <w:spacing w:val="40"/>
          <w:sz w:val="22"/>
        </w:rPr>
        <w:t> </w:t>
      </w:r>
      <w:r>
        <w:rPr>
          <w:sz w:val="22"/>
        </w:rPr>
        <w:t>infant</w:t>
      </w:r>
      <w:r>
        <w:rPr>
          <w:spacing w:val="40"/>
          <w:sz w:val="22"/>
        </w:rPr>
        <w:t> </w:t>
      </w:r>
      <w:r>
        <w:rPr>
          <w:sz w:val="22"/>
        </w:rPr>
        <w:t>growth</w:t>
      </w:r>
      <w:r>
        <w:rPr>
          <w:spacing w:val="40"/>
          <w:sz w:val="22"/>
        </w:rPr>
        <w:t> </w:t>
      </w:r>
      <w:r>
        <w:rPr>
          <w:sz w:val="22"/>
        </w:rPr>
        <w:t>and</w:t>
      </w:r>
      <w:r>
        <w:rPr>
          <w:spacing w:val="40"/>
          <w:sz w:val="22"/>
        </w:rPr>
        <w:t> </w:t>
      </w:r>
      <w:r>
        <w:rPr>
          <w:sz w:val="22"/>
        </w:rPr>
        <w:t>cardiovascular</w:t>
      </w:r>
      <w:r>
        <w:rPr>
          <w:spacing w:val="40"/>
          <w:sz w:val="22"/>
        </w:rPr>
        <w:t> </w:t>
      </w:r>
      <w:r>
        <w:rPr>
          <w:sz w:val="22"/>
        </w:rPr>
        <w:t>risk factors in women. </w:t>
      </w:r>
      <w:r>
        <w:rPr>
          <w:i/>
          <w:sz w:val="22"/>
        </w:rPr>
        <w:t>Br Med J</w:t>
      </w:r>
      <w:r>
        <w:rPr>
          <w:sz w:val="22"/>
        </w:rPr>
        <w:t>. 1995;310:428.</w:t>
      </w:r>
    </w:p>
    <w:p>
      <w:pPr>
        <w:pStyle w:val="ListParagraph"/>
        <w:numPr>
          <w:ilvl w:val="0"/>
          <w:numId w:val="9"/>
        </w:numPr>
        <w:tabs>
          <w:tab w:pos="710" w:val="left" w:leader="none"/>
        </w:tabs>
        <w:spacing w:line="252" w:lineRule="exact" w:before="0" w:after="0"/>
        <w:ind w:left="710" w:right="0" w:hanging="498"/>
        <w:jc w:val="left"/>
        <w:rPr>
          <w:sz w:val="22"/>
        </w:rPr>
      </w:pPr>
      <w:r>
        <w:rPr>
          <w:sz w:val="22"/>
        </w:rPr>
        <w:t>Ross</w:t>
      </w:r>
      <w:r>
        <w:rPr>
          <w:spacing w:val="12"/>
          <w:sz w:val="22"/>
        </w:rPr>
        <w:t> </w:t>
      </w:r>
      <w:r>
        <w:rPr>
          <w:sz w:val="22"/>
        </w:rPr>
        <w:t>R.</w:t>
      </w:r>
      <w:r>
        <w:rPr>
          <w:spacing w:val="13"/>
          <w:sz w:val="22"/>
        </w:rPr>
        <w:t> </w:t>
      </w:r>
      <w:r>
        <w:rPr>
          <w:sz w:val="22"/>
        </w:rPr>
        <w:t>Atherosclerosis—an</w:t>
      </w:r>
      <w:r>
        <w:rPr>
          <w:spacing w:val="13"/>
          <w:sz w:val="22"/>
        </w:rPr>
        <w:t> </w:t>
      </w:r>
      <w:r>
        <w:rPr>
          <w:sz w:val="22"/>
        </w:rPr>
        <w:t>inflammatory</w:t>
      </w:r>
      <w:r>
        <w:rPr>
          <w:spacing w:val="13"/>
          <w:sz w:val="22"/>
        </w:rPr>
        <w:t> </w:t>
      </w:r>
      <w:r>
        <w:rPr>
          <w:sz w:val="22"/>
        </w:rPr>
        <w:t>disease.</w:t>
      </w:r>
      <w:r>
        <w:rPr>
          <w:spacing w:val="13"/>
          <w:sz w:val="22"/>
        </w:rPr>
        <w:t> </w:t>
      </w:r>
      <w:r>
        <w:rPr>
          <w:i/>
          <w:sz w:val="22"/>
        </w:rPr>
        <w:t>N</w:t>
      </w:r>
      <w:r>
        <w:rPr>
          <w:i/>
          <w:spacing w:val="13"/>
          <w:sz w:val="22"/>
        </w:rPr>
        <w:t> </w:t>
      </w:r>
      <w:r>
        <w:rPr>
          <w:i/>
          <w:sz w:val="22"/>
        </w:rPr>
        <w:t>Engl</w:t>
      </w:r>
      <w:r>
        <w:rPr>
          <w:i/>
          <w:spacing w:val="13"/>
          <w:sz w:val="22"/>
        </w:rPr>
        <w:t> </w:t>
      </w:r>
      <w:r>
        <w:rPr>
          <w:i/>
          <w:sz w:val="22"/>
        </w:rPr>
        <w:t>J</w:t>
      </w:r>
      <w:r>
        <w:rPr>
          <w:i/>
          <w:spacing w:val="13"/>
          <w:sz w:val="22"/>
        </w:rPr>
        <w:t> </w:t>
      </w:r>
      <w:r>
        <w:rPr>
          <w:i/>
          <w:sz w:val="22"/>
        </w:rPr>
        <w:t>Med</w:t>
      </w:r>
      <w:r>
        <w:rPr>
          <w:sz w:val="22"/>
        </w:rPr>
        <w:t>.</w:t>
      </w:r>
      <w:r>
        <w:rPr>
          <w:spacing w:val="13"/>
          <w:sz w:val="22"/>
        </w:rPr>
        <w:t> </w:t>
      </w:r>
      <w:r>
        <w:rPr>
          <w:spacing w:val="-2"/>
          <w:sz w:val="22"/>
        </w:rPr>
        <w:t>1999;340:115.</w:t>
      </w:r>
    </w:p>
    <w:p>
      <w:pPr>
        <w:pStyle w:val="ListParagraph"/>
        <w:numPr>
          <w:ilvl w:val="0"/>
          <w:numId w:val="9"/>
        </w:numPr>
        <w:tabs>
          <w:tab w:pos="709" w:val="left" w:leader="none"/>
          <w:tab w:pos="718" w:val="left" w:leader="none"/>
        </w:tabs>
        <w:spacing w:line="256" w:lineRule="auto" w:before="15" w:after="0"/>
        <w:ind w:left="718" w:right="112" w:hanging="507"/>
        <w:jc w:val="both"/>
        <w:rPr>
          <w:sz w:val="22"/>
        </w:rPr>
      </w:pPr>
      <w:r>
        <w:rPr>
          <w:sz w:val="22"/>
        </w:rPr>
        <w:t>Ridker P, Cushman M, Stampfer MJ, Tracy RP, Hennekens CH. Inflammation, aspirin and </w:t>
      </w:r>
      <w:r>
        <w:rPr>
          <w:sz w:val="22"/>
        </w:rPr>
        <w:t>the risk of cardiovascular disease in apparently healthy men. </w:t>
      </w:r>
      <w:r>
        <w:rPr>
          <w:i/>
          <w:sz w:val="22"/>
        </w:rPr>
        <w:t>N Engl J Med</w:t>
      </w:r>
      <w:r>
        <w:rPr>
          <w:sz w:val="22"/>
        </w:rPr>
        <w:t>. 1997;336:973.</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Ridker PM, Buring JE, Shih J, Matias M, Hennekens CH. A prospective study of C-</w:t>
      </w:r>
      <w:r>
        <w:rPr>
          <w:sz w:val="22"/>
        </w:rPr>
        <w:t>reactive protein and the risk of future cardiovascular events among apparently healthy women. </w:t>
      </w:r>
      <w:r>
        <w:rPr>
          <w:i/>
          <w:sz w:val="22"/>
        </w:rPr>
        <w:t>Circulation</w:t>
      </w:r>
      <w:r>
        <w:rPr>
          <w:sz w:val="22"/>
        </w:rPr>
        <w:t>. 1998;98:731.</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Ridker PM, Hennekens CH, Buring JE, Rifai N. C-reactive protein and other markers </w:t>
      </w:r>
      <w:r>
        <w:rPr>
          <w:sz w:val="22"/>
        </w:rPr>
        <w:t>of inflammation in the prediction of cardiovascular disease in women. </w:t>
      </w:r>
      <w:r>
        <w:rPr>
          <w:i/>
          <w:sz w:val="22"/>
        </w:rPr>
        <w:t>N Engl J Med</w:t>
      </w:r>
      <w:r>
        <w:rPr>
          <w:sz w:val="22"/>
        </w:rPr>
        <w:t>.</w:t>
      </w:r>
      <w:r>
        <w:rPr>
          <w:spacing w:val="40"/>
          <w:sz w:val="22"/>
        </w:rPr>
        <w:t> </w:t>
      </w:r>
      <w:r>
        <w:rPr>
          <w:spacing w:val="-2"/>
          <w:sz w:val="22"/>
        </w:rPr>
        <w:t>2000;342:836.</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Ridker PM, Rifai N, Rose L, Buring JE, Cook NR. Comparison of C-reactive protein and low-density lipoprotein cholesterol levels in the prediction of first cardiovascular events. </w:t>
      </w:r>
      <w:r>
        <w:rPr>
          <w:i/>
          <w:sz w:val="22"/>
        </w:rPr>
        <w:t>N Engl J</w:t>
      </w:r>
      <w:r>
        <w:rPr>
          <w:i/>
          <w:sz w:val="22"/>
        </w:rPr>
        <w:t> Med</w:t>
      </w:r>
      <w:r>
        <w:rPr>
          <w:sz w:val="22"/>
        </w:rPr>
        <w:t>. 2002;347:1557.</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Albert MA, Ridker PM. The role of C-reactive protein in cardiovascular disease risk. </w:t>
      </w:r>
      <w:r>
        <w:rPr>
          <w:i/>
          <w:sz w:val="22"/>
        </w:rPr>
        <w:t>Curr</w:t>
      </w:r>
      <w:r>
        <w:rPr>
          <w:i/>
          <w:sz w:val="22"/>
        </w:rPr>
        <w:t> Cardiol Reports</w:t>
      </w:r>
      <w:r>
        <w:rPr>
          <w:sz w:val="22"/>
        </w:rPr>
        <w:t>. 1999;1:99.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Kaplan RC, McGinn AP, Baird AE, et al. Inflammation and hemostasis biomarkers </w:t>
      </w:r>
      <w:r>
        <w:rPr>
          <w:sz w:val="22"/>
        </w:rPr>
        <w:t>for predicting stroke in postmenopausal women: the Women’s Health Initiative Observational</w:t>
      </w:r>
      <w:r>
        <w:rPr>
          <w:spacing w:val="40"/>
          <w:sz w:val="22"/>
        </w:rPr>
        <w:t> </w:t>
      </w:r>
      <w:r>
        <w:rPr>
          <w:sz w:val="22"/>
        </w:rPr>
        <w:t>Study. </w:t>
      </w:r>
      <w:r>
        <w:rPr>
          <w:i/>
          <w:sz w:val="22"/>
        </w:rPr>
        <w:t>J Stroke Cerebrovasc Dis</w:t>
      </w:r>
      <w:r>
        <w:rPr>
          <w:sz w:val="22"/>
        </w:rPr>
        <w:t>. 2008;17(6):344.</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Danesh J, Whincup P, Walker M, et al. Low grade inflammation and coronary heart </w:t>
      </w:r>
      <w:r>
        <w:rPr>
          <w:sz w:val="22"/>
        </w:rPr>
        <w:t>disease: prospective study and updated meta-analyses. </w:t>
      </w:r>
      <w:r>
        <w:rPr>
          <w:i/>
          <w:sz w:val="22"/>
        </w:rPr>
        <w:t>Br Med J</w:t>
      </w:r>
      <w:r>
        <w:rPr>
          <w:sz w:val="22"/>
        </w:rPr>
        <w:t>. 2000;321:199.</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Ridker PM, Rifai N, Pfeffer MA, Sacks F, Braunwald E. Long-term effects of pravastatin on plasma concentration of C-reactive protein. </w:t>
      </w:r>
      <w:r>
        <w:rPr>
          <w:i/>
          <w:sz w:val="22"/>
        </w:rPr>
        <w:t>Circulation</w:t>
      </w:r>
      <w:r>
        <w:rPr>
          <w:sz w:val="22"/>
        </w:rPr>
        <w:t>. 1999;100:230.</w:t>
      </w:r>
    </w:p>
    <w:p>
      <w:pPr>
        <w:pStyle w:val="ListParagraph"/>
        <w:numPr>
          <w:ilvl w:val="0"/>
          <w:numId w:val="9"/>
        </w:numPr>
        <w:tabs>
          <w:tab w:pos="709" w:val="left" w:leader="none"/>
          <w:tab w:pos="718" w:val="left" w:leader="none"/>
        </w:tabs>
        <w:spacing w:line="256" w:lineRule="auto" w:before="0" w:after="0"/>
        <w:ind w:left="718" w:right="97" w:hanging="507"/>
        <w:jc w:val="both"/>
        <w:rPr>
          <w:sz w:val="22"/>
        </w:rPr>
      </w:pPr>
      <w:r>
        <w:rPr>
          <w:sz w:val="22"/>
        </w:rPr>
        <w:t>Ridker PM, Rifai N, Pfeffer MA, et al; Cholesterol and Recurrent Events </w:t>
      </w:r>
      <w:r>
        <w:rPr>
          <w:sz w:val="22"/>
        </w:rPr>
        <w:t>Investigators. Inflammation,</w:t>
      </w:r>
      <w:r>
        <w:rPr>
          <w:spacing w:val="40"/>
          <w:sz w:val="22"/>
        </w:rPr>
        <w:t> </w:t>
      </w:r>
      <w:r>
        <w:rPr>
          <w:sz w:val="22"/>
        </w:rPr>
        <w:t>pravastatin,</w:t>
      </w:r>
      <w:r>
        <w:rPr>
          <w:spacing w:val="40"/>
          <w:sz w:val="22"/>
        </w:rPr>
        <w:t> </w:t>
      </w:r>
      <w:r>
        <w:rPr>
          <w:sz w:val="22"/>
        </w:rPr>
        <w:t>and</w:t>
      </w:r>
      <w:r>
        <w:rPr>
          <w:spacing w:val="40"/>
          <w:sz w:val="22"/>
        </w:rPr>
        <w:t> </w:t>
      </w:r>
      <w:r>
        <w:rPr>
          <w:sz w:val="22"/>
        </w:rPr>
        <w:t>the</w:t>
      </w:r>
      <w:r>
        <w:rPr>
          <w:spacing w:val="40"/>
          <w:sz w:val="22"/>
        </w:rPr>
        <w:t> </w:t>
      </w:r>
      <w:r>
        <w:rPr>
          <w:sz w:val="22"/>
        </w:rPr>
        <w:t>risk</w:t>
      </w:r>
      <w:r>
        <w:rPr>
          <w:spacing w:val="40"/>
          <w:sz w:val="22"/>
        </w:rPr>
        <w:t> </w:t>
      </w:r>
      <w:r>
        <w:rPr>
          <w:sz w:val="22"/>
        </w:rPr>
        <w:t>of</w:t>
      </w:r>
      <w:r>
        <w:rPr>
          <w:spacing w:val="40"/>
          <w:sz w:val="22"/>
        </w:rPr>
        <w:t> </w:t>
      </w:r>
      <w:r>
        <w:rPr>
          <w:sz w:val="22"/>
        </w:rPr>
        <w:t>coronary</w:t>
      </w:r>
      <w:r>
        <w:rPr>
          <w:spacing w:val="40"/>
          <w:sz w:val="22"/>
        </w:rPr>
        <w:t> </w:t>
      </w:r>
      <w:r>
        <w:rPr>
          <w:sz w:val="22"/>
        </w:rPr>
        <w:t>events</w:t>
      </w:r>
      <w:r>
        <w:rPr>
          <w:spacing w:val="40"/>
          <w:sz w:val="22"/>
        </w:rPr>
        <w:t> </w:t>
      </w:r>
      <w:r>
        <w:rPr>
          <w:sz w:val="22"/>
        </w:rPr>
        <w:t>after</w:t>
      </w:r>
      <w:r>
        <w:rPr>
          <w:spacing w:val="40"/>
          <w:sz w:val="22"/>
        </w:rPr>
        <w:t> </w:t>
      </w:r>
      <w:r>
        <w:rPr>
          <w:sz w:val="22"/>
        </w:rPr>
        <w:t>myocardial</w:t>
      </w:r>
      <w:r>
        <w:rPr>
          <w:spacing w:val="40"/>
          <w:sz w:val="22"/>
        </w:rPr>
        <w:t> </w:t>
      </w:r>
      <w:r>
        <w:rPr>
          <w:sz w:val="22"/>
        </w:rPr>
        <w:t>infarction inpatients with average cholesterol levels. </w:t>
      </w:r>
      <w:r>
        <w:rPr>
          <w:i/>
          <w:sz w:val="22"/>
        </w:rPr>
        <w:t>Circulation</w:t>
      </w:r>
      <w:r>
        <w:rPr>
          <w:sz w:val="22"/>
        </w:rPr>
        <w:t>. 1998;98:839.</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Walsh BW, Paul S, Wild RA, et al. The effects of hormone replacement therapy and raloxifene on C-reactive protein and homocysteine in healthy postmenopausal women: a randomized, controlled trial. </w:t>
      </w:r>
      <w:r>
        <w:rPr>
          <w:i/>
          <w:sz w:val="22"/>
        </w:rPr>
        <w:t>J Clin Endocrinol Metab</w:t>
      </w:r>
      <w:r>
        <w:rPr>
          <w:sz w:val="22"/>
        </w:rPr>
        <w:t>. 2000;85:214.</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de Valk-de Roo GW, Stehouwer CDA, Meijer P, et al. Both raloxifene and estrogen </w:t>
      </w:r>
      <w:r>
        <w:rPr>
          <w:sz w:val="22"/>
        </w:rPr>
        <w:t>reduce major cardiovascular risk factors in healthy postmenopausal women: a 2-year, placebo-controlled study. </w:t>
      </w:r>
      <w:r>
        <w:rPr>
          <w:i/>
          <w:sz w:val="22"/>
        </w:rPr>
        <w:t>Arterioscler Thromb Vasc Biol</w:t>
      </w:r>
      <w:r>
        <w:rPr>
          <w:sz w:val="22"/>
        </w:rPr>
        <w:t>. 1999;19:2993.</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Ridker</w:t>
      </w:r>
      <w:r>
        <w:rPr>
          <w:spacing w:val="37"/>
          <w:sz w:val="22"/>
        </w:rPr>
        <w:t> </w:t>
      </w:r>
      <w:r>
        <w:rPr>
          <w:sz w:val="22"/>
        </w:rPr>
        <w:t>PM,</w:t>
      </w:r>
      <w:r>
        <w:rPr>
          <w:spacing w:val="37"/>
          <w:sz w:val="22"/>
        </w:rPr>
        <w:t> </w:t>
      </w:r>
      <w:r>
        <w:rPr>
          <w:sz w:val="22"/>
        </w:rPr>
        <w:t>Hennekens</w:t>
      </w:r>
      <w:r>
        <w:rPr>
          <w:spacing w:val="37"/>
          <w:sz w:val="22"/>
        </w:rPr>
        <w:t> </w:t>
      </w:r>
      <w:r>
        <w:rPr>
          <w:sz w:val="22"/>
        </w:rPr>
        <w:t>CH,</w:t>
      </w:r>
      <w:r>
        <w:rPr>
          <w:spacing w:val="37"/>
          <w:sz w:val="22"/>
        </w:rPr>
        <w:t> </w:t>
      </w:r>
      <w:r>
        <w:rPr>
          <w:sz w:val="22"/>
        </w:rPr>
        <w:t>Rifai</w:t>
      </w:r>
      <w:r>
        <w:rPr>
          <w:spacing w:val="37"/>
          <w:sz w:val="22"/>
        </w:rPr>
        <w:t> </w:t>
      </w:r>
      <w:r>
        <w:rPr>
          <w:sz w:val="22"/>
        </w:rPr>
        <w:t>N,</w:t>
      </w:r>
      <w:r>
        <w:rPr>
          <w:spacing w:val="37"/>
          <w:sz w:val="22"/>
        </w:rPr>
        <w:t> </w:t>
      </w:r>
      <w:r>
        <w:rPr>
          <w:sz w:val="22"/>
        </w:rPr>
        <w:t>Buring</w:t>
      </w:r>
      <w:r>
        <w:rPr>
          <w:spacing w:val="37"/>
          <w:sz w:val="22"/>
        </w:rPr>
        <w:t> </w:t>
      </w:r>
      <w:r>
        <w:rPr>
          <w:sz w:val="22"/>
        </w:rPr>
        <w:t>JE,</w:t>
      </w:r>
      <w:r>
        <w:rPr>
          <w:spacing w:val="37"/>
          <w:sz w:val="22"/>
        </w:rPr>
        <w:t> </w:t>
      </w:r>
      <w:r>
        <w:rPr>
          <w:sz w:val="22"/>
        </w:rPr>
        <w:t>Manson</w:t>
      </w:r>
      <w:r>
        <w:rPr>
          <w:spacing w:val="37"/>
          <w:sz w:val="22"/>
        </w:rPr>
        <w:t> </w:t>
      </w:r>
      <w:r>
        <w:rPr>
          <w:sz w:val="22"/>
        </w:rPr>
        <w:t>JE.</w:t>
      </w:r>
      <w:r>
        <w:rPr>
          <w:spacing w:val="37"/>
          <w:sz w:val="22"/>
        </w:rPr>
        <w:t> </w:t>
      </w:r>
      <w:r>
        <w:rPr>
          <w:sz w:val="22"/>
        </w:rPr>
        <w:t>Hormone</w:t>
      </w:r>
      <w:r>
        <w:rPr>
          <w:spacing w:val="34"/>
          <w:sz w:val="22"/>
        </w:rPr>
        <w:t> </w:t>
      </w:r>
      <w:r>
        <w:rPr>
          <w:sz w:val="22"/>
        </w:rPr>
        <w:t>replacement</w:t>
      </w:r>
      <w:r>
        <w:rPr>
          <w:spacing w:val="34"/>
          <w:sz w:val="22"/>
        </w:rPr>
        <w:t> </w:t>
      </w:r>
      <w:r>
        <w:rPr>
          <w:sz w:val="22"/>
        </w:rPr>
        <w:t>therapy and increased plasma concentrations of C-reactive protein. </w:t>
      </w:r>
      <w:r>
        <w:rPr>
          <w:i/>
          <w:sz w:val="22"/>
        </w:rPr>
        <w:t>Circulation</w:t>
      </w:r>
      <w:r>
        <w:rPr>
          <w:sz w:val="22"/>
        </w:rPr>
        <w:t>. 1999;100:713.</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Prelevic GM, Kwong P, Byrne DJ, Jagroop IA, Ginsburg J, Mikhailidis DP. A cross-sectional study</w:t>
      </w:r>
      <w:r>
        <w:rPr>
          <w:spacing w:val="19"/>
          <w:sz w:val="22"/>
        </w:rPr>
        <w:t> </w:t>
      </w:r>
      <w:r>
        <w:rPr>
          <w:sz w:val="22"/>
        </w:rPr>
        <w:t>of</w:t>
      </w:r>
      <w:r>
        <w:rPr>
          <w:spacing w:val="19"/>
          <w:sz w:val="22"/>
        </w:rPr>
        <w:t> </w:t>
      </w:r>
      <w:r>
        <w:rPr>
          <w:sz w:val="22"/>
        </w:rPr>
        <w:t>the</w:t>
      </w:r>
      <w:r>
        <w:rPr>
          <w:spacing w:val="19"/>
          <w:sz w:val="22"/>
        </w:rPr>
        <w:t> </w:t>
      </w:r>
      <w:r>
        <w:rPr>
          <w:sz w:val="22"/>
        </w:rPr>
        <w:t>effects</w:t>
      </w:r>
      <w:r>
        <w:rPr>
          <w:spacing w:val="19"/>
          <w:sz w:val="22"/>
        </w:rPr>
        <w:t> </w:t>
      </w:r>
      <w:r>
        <w:rPr>
          <w:sz w:val="22"/>
        </w:rPr>
        <w:t>of</w:t>
      </w:r>
      <w:r>
        <w:rPr>
          <w:spacing w:val="19"/>
          <w:sz w:val="22"/>
        </w:rPr>
        <w:t> </w:t>
      </w:r>
      <w:r>
        <w:rPr>
          <w:sz w:val="22"/>
        </w:rPr>
        <w:t>hormone</w:t>
      </w:r>
      <w:r>
        <w:rPr>
          <w:spacing w:val="19"/>
          <w:sz w:val="22"/>
        </w:rPr>
        <w:t> </w:t>
      </w:r>
      <w:r>
        <w:rPr>
          <w:sz w:val="22"/>
        </w:rPr>
        <w:t>replacement</w:t>
      </w:r>
      <w:r>
        <w:rPr>
          <w:spacing w:val="19"/>
          <w:sz w:val="22"/>
        </w:rPr>
        <w:t> </w:t>
      </w:r>
      <w:r>
        <w:rPr>
          <w:sz w:val="22"/>
        </w:rPr>
        <w:t>therapy</w:t>
      </w:r>
      <w:r>
        <w:rPr>
          <w:spacing w:val="19"/>
          <w:sz w:val="22"/>
        </w:rPr>
        <w:t> </w:t>
      </w:r>
      <w:r>
        <w:rPr>
          <w:sz w:val="22"/>
        </w:rPr>
        <w:t>on</w:t>
      </w:r>
      <w:r>
        <w:rPr>
          <w:spacing w:val="19"/>
          <w:sz w:val="22"/>
        </w:rPr>
        <w:t> </w:t>
      </w:r>
      <w:r>
        <w:rPr>
          <w:sz w:val="22"/>
        </w:rPr>
        <w:t>the</w:t>
      </w:r>
      <w:r>
        <w:rPr>
          <w:spacing w:val="19"/>
          <w:sz w:val="22"/>
        </w:rPr>
        <w:t> </w:t>
      </w:r>
      <w:r>
        <w:rPr>
          <w:sz w:val="22"/>
        </w:rPr>
        <w:t>cardiovascular</w:t>
      </w:r>
      <w:r>
        <w:rPr>
          <w:spacing w:val="19"/>
          <w:sz w:val="22"/>
        </w:rPr>
        <w:t> </w:t>
      </w:r>
      <w:r>
        <w:rPr>
          <w:sz w:val="22"/>
        </w:rPr>
        <w:t>disease</w:t>
      </w:r>
      <w:r>
        <w:rPr>
          <w:spacing w:val="19"/>
          <w:sz w:val="22"/>
        </w:rPr>
        <w:t> </w:t>
      </w:r>
      <w:r>
        <w:rPr>
          <w:sz w:val="22"/>
        </w:rPr>
        <w:t>risk</w:t>
      </w:r>
      <w:r>
        <w:rPr>
          <w:spacing w:val="19"/>
          <w:sz w:val="22"/>
        </w:rPr>
        <w:t> </w:t>
      </w:r>
      <w:r>
        <w:rPr>
          <w:sz w:val="22"/>
        </w:rPr>
        <w:t>profile in healthy postmenopausal women. </w:t>
      </w:r>
      <w:r>
        <w:rPr>
          <w:i/>
          <w:sz w:val="22"/>
        </w:rPr>
        <w:t>Fertil Steril</w:t>
      </w:r>
      <w:r>
        <w:rPr>
          <w:sz w:val="22"/>
        </w:rPr>
        <w:t>. 2002;77:945.</w:t>
      </w:r>
    </w:p>
    <w:p>
      <w:pPr>
        <w:pStyle w:val="ListParagraph"/>
        <w:spacing w:after="0" w:line="256" w:lineRule="auto"/>
        <w:jc w:val="both"/>
        <w:rPr>
          <w:sz w:val="22"/>
        </w:rPr>
        <w:sectPr>
          <w:pgSz w:w="12240" w:h="15840"/>
          <w:pgMar w:top="1360" w:bottom="280" w:left="1440" w:right="1440"/>
        </w:sectPr>
      </w:pPr>
    </w:p>
    <w:p>
      <w:pPr>
        <w:pStyle w:val="ListParagraph"/>
        <w:numPr>
          <w:ilvl w:val="0"/>
          <w:numId w:val="9"/>
        </w:numPr>
        <w:tabs>
          <w:tab w:pos="709" w:val="left" w:leader="none"/>
          <w:tab w:pos="718" w:val="left" w:leader="none"/>
        </w:tabs>
        <w:spacing w:line="256" w:lineRule="auto" w:before="84" w:after="0"/>
        <w:ind w:left="718" w:right="97" w:hanging="507"/>
        <w:jc w:val="both"/>
        <w:rPr>
          <w:sz w:val="22"/>
        </w:rPr>
      </w:pPr>
      <w:r>
        <w:rPr>
          <w:sz w:val="22"/>
        </w:rPr>
        <w:t>Cushman M, Legault C, Barrett-Connor E, et al. Effect of postmenopausal hormones on inflammation-sensitive proteins: the Postmenopausal Estrogen/Progestin Interventions </w:t>
      </w:r>
      <w:r>
        <w:rPr>
          <w:sz w:val="22"/>
        </w:rPr>
        <w:t>(PEPI) study. </w:t>
      </w:r>
      <w:r>
        <w:rPr>
          <w:i/>
          <w:sz w:val="22"/>
        </w:rPr>
        <w:t>Circulation</w:t>
      </w:r>
      <w:r>
        <w:rPr>
          <w:sz w:val="22"/>
        </w:rPr>
        <w:t>. 1999;100:717.</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Frohlich M, Muhlberger N, Hanke H, et al. Markers of inflammation in women on different hormone replacement therapies. </w:t>
      </w:r>
      <w:r>
        <w:rPr>
          <w:i/>
          <w:sz w:val="22"/>
        </w:rPr>
        <w:t>Ann Med</w:t>
      </w:r>
      <w:r>
        <w:rPr>
          <w:sz w:val="22"/>
        </w:rPr>
        <w:t>. 2003;35:353.</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Lacut K, Oger E, Le Gal G, et al; SARAH Investigators. Differential effects of oral and transdermal postmenopausal estrogen replacement therapies on C-reactive protein. </w:t>
      </w:r>
      <w:r>
        <w:rPr>
          <w:i/>
          <w:sz w:val="22"/>
        </w:rPr>
        <w:t>Thromb</w:t>
      </w:r>
      <w:r>
        <w:rPr>
          <w:i/>
          <w:sz w:val="22"/>
        </w:rPr>
        <w:t> Haemost</w:t>
      </w:r>
      <w:r>
        <w:rPr>
          <w:sz w:val="22"/>
        </w:rPr>
        <w:t>. 2003;90:124.</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Koh KK, Ahn JY, Jin DK, et al. Effects of continuous combined hormone replacement therapy on inflammation in hypertensive and/or overweight postmenopausal women. </w:t>
      </w:r>
      <w:r>
        <w:rPr>
          <w:i/>
          <w:sz w:val="22"/>
        </w:rPr>
        <w:t>Arterioscler</w:t>
      </w:r>
      <w:r>
        <w:rPr>
          <w:i/>
          <w:sz w:val="22"/>
        </w:rPr>
        <w:t> Thromb Vasc Biol</w:t>
      </w:r>
      <w:r>
        <w:rPr>
          <w:sz w:val="22"/>
        </w:rPr>
        <w:t>. 2002;22:1459.</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Silvestri A, Gebara O, Vitale C, et al. Increased levels of C-reactive protein after oral </w:t>
      </w:r>
      <w:r>
        <w:rPr>
          <w:sz w:val="22"/>
        </w:rPr>
        <w:t>hormone replacement therapy may not be related to an increased inflammatory response. </w:t>
      </w:r>
      <w:r>
        <w:rPr>
          <w:i/>
          <w:sz w:val="22"/>
        </w:rPr>
        <w:t>Circulation</w:t>
      </w:r>
      <w:r>
        <w:rPr>
          <w:sz w:val="22"/>
        </w:rPr>
        <w:t>. </w:t>
      </w:r>
      <w:r>
        <w:rPr>
          <w:spacing w:val="-2"/>
          <w:sz w:val="22"/>
        </w:rPr>
        <w:t>2003;107:3165.</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Pradhan AD, Manson JE, Rossouw JE, et al. Inflammatory biomarkers, hormone replacement therapy, and incident coronary heart disease: prospective analysis from the Women’s Health Initiative Observational Study. </w:t>
      </w:r>
      <w:r>
        <w:rPr>
          <w:i/>
          <w:sz w:val="22"/>
        </w:rPr>
        <w:t>JAMA</w:t>
      </w:r>
      <w:r>
        <w:rPr>
          <w:sz w:val="22"/>
        </w:rPr>
        <w:t>. 2002;288:980.</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Shlipak</w:t>
      </w:r>
      <w:r>
        <w:rPr>
          <w:spacing w:val="34"/>
          <w:sz w:val="22"/>
        </w:rPr>
        <w:t> </w:t>
      </w:r>
      <w:r>
        <w:rPr>
          <w:sz w:val="22"/>
        </w:rPr>
        <w:t>MG,</w:t>
      </w:r>
      <w:r>
        <w:rPr>
          <w:spacing w:val="34"/>
          <w:sz w:val="22"/>
        </w:rPr>
        <w:t> </w:t>
      </w:r>
      <w:r>
        <w:rPr>
          <w:sz w:val="22"/>
        </w:rPr>
        <w:t>Simon</w:t>
      </w:r>
      <w:r>
        <w:rPr>
          <w:spacing w:val="34"/>
          <w:sz w:val="22"/>
        </w:rPr>
        <w:t> </w:t>
      </w:r>
      <w:r>
        <w:rPr>
          <w:sz w:val="22"/>
        </w:rPr>
        <w:t>JA,</w:t>
      </w:r>
      <w:r>
        <w:rPr>
          <w:spacing w:val="34"/>
          <w:sz w:val="22"/>
        </w:rPr>
        <w:t> </w:t>
      </w:r>
      <w:r>
        <w:rPr>
          <w:sz w:val="22"/>
        </w:rPr>
        <w:t>Vittinghoff</w:t>
      </w:r>
      <w:r>
        <w:rPr>
          <w:spacing w:val="34"/>
          <w:sz w:val="22"/>
        </w:rPr>
        <w:t> </w:t>
      </w:r>
      <w:r>
        <w:rPr>
          <w:sz w:val="22"/>
        </w:rPr>
        <w:t>E,</w:t>
      </w:r>
      <w:r>
        <w:rPr>
          <w:spacing w:val="34"/>
          <w:sz w:val="22"/>
        </w:rPr>
        <w:t> </w:t>
      </w:r>
      <w:r>
        <w:rPr>
          <w:sz w:val="22"/>
        </w:rPr>
        <w:t>et</w:t>
      </w:r>
      <w:r>
        <w:rPr>
          <w:spacing w:val="34"/>
          <w:sz w:val="22"/>
        </w:rPr>
        <w:t> </w:t>
      </w:r>
      <w:r>
        <w:rPr>
          <w:sz w:val="22"/>
        </w:rPr>
        <w:t>al.</w:t>
      </w:r>
      <w:r>
        <w:rPr>
          <w:spacing w:val="34"/>
          <w:sz w:val="22"/>
        </w:rPr>
        <w:t> </w:t>
      </w:r>
      <w:r>
        <w:rPr>
          <w:sz w:val="22"/>
        </w:rPr>
        <w:t>Estrogen</w:t>
      </w:r>
      <w:r>
        <w:rPr>
          <w:spacing w:val="37"/>
          <w:sz w:val="22"/>
        </w:rPr>
        <w:t> </w:t>
      </w:r>
      <w:r>
        <w:rPr>
          <w:sz w:val="22"/>
        </w:rPr>
        <w:t>and</w:t>
      </w:r>
      <w:r>
        <w:rPr>
          <w:spacing w:val="37"/>
          <w:sz w:val="22"/>
        </w:rPr>
        <w:t> </w:t>
      </w:r>
      <w:r>
        <w:rPr>
          <w:sz w:val="22"/>
        </w:rPr>
        <w:t>progestin,</w:t>
      </w:r>
      <w:r>
        <w:rPr>
          <w:spacing w:val="37"/>
          <w:sz w:val="22"/>
        </w:rPr>
        <w:t> </w:t>
      </w:r>
      <w:r>
        <w:rPr>
          <w:sz w:val="22"/>
        </w:rPr>
        <w:t>lipoprotein(a),</w:t>
      </w:r>
      <w:r>
        <w:rPr>
          <w:spacing w:val="37"/>
          <w:sz w:val="22"/>
        </w:rPr>
        <w:t> </w:t>
      </w:r>
      <w:r>
        <w:rPr>
          <w:sz w:val="22"/>
        </w:rPr>
        <w:t>and</w:t>
      </w:r>
      <w:r>
        <w:rPr>
          <w:spacing w:val="37"/>
          <w:sz w:val="22"/>
        </w:rPr>
        <w:t> </w:t>
      </w:r>
      <w:r>
        <w:rPr>
          <w:sz w:val="22"/>
        </w:rPr>
        <w:t>the risk of recurrent coronary heart disease events after menopause. </w:t>
      </w:r>
      <w:r>
        <w:rPr>
          <w:i/>
          <w:sz w:val="22"/>
        </w:rPr>
        <w:t>JAMA</w:t>
      </w:r>
      <w:r>
        <w:rPr>
          <w:sz w:val="22"/>
        </w:rPr>
        <w:t>. 2000;283:1845.</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McGill HC Jr, McMahan CA, Zieske AW, et al. Associations of coronary heart disease risk factors with the intermediate lesion of atherosclerosis in youth: the Pathobiological</w:t>
      </w:r>
      <w:r>
        <w:rPr>
          <w:spacing w:val="40"/>
          <w:sz w:val="22"/>
        </w:rPr>
        <w:t> </w:t>
      </w:r>
      <w:r>
        <w:rPr>
          <w:sz w:val="22"/>
        </w:rPr>
        <w:t>Determinants of Atherosclerosis in Youth (PDAY) research group. </w:t>
      </w:r>
      <w:r>
        <w:rPr>
          <w:i/>
          <w:sz w:val="22"/>
        </w:rPr>
        <w:t>Arterioscler Thromb Vasc</w:t>
      </w:r>
      <w:r>
        <w:rPr>
          <w:i/>
          <w:sz w:val="22"/>
        </w:rPr>
        <w:t> Biol</w:t>
      </w:r>
      <w:r>
        <w:rPr>
          <w:sz w:val="22"/>
        </w:rPr>
        <w:t>. 2000;20:1998.</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McGill HC Jr, McMahan CA, Malcom GT, Oalmann MC, Strong JP; PDAY Research </w:t>
      </w:r>
      <w:r>
        <w:rPr>
          <w:sz w:val="22"/>
        </w:rPr>
        <w:t>Group. Effects of serum lipoproteins and smoking on atherosclerosis in young men and women. </w:t>
      </w:r>
      <w:r>
        <w:rPr>
          <w:i/>
          <w:sz w:val="22"/>
        </w:rPr>
        <w:t>Arterioscler Thromb Vasc Biol</w:t>
      </w:r>
      <w:r>
        <w:rPr>
          <w:sz w:val="22"/>
        </w:rPr>
        <w:t>. 1997;17:95.</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van der Schouw YT, van der Graff Y, Steyerberg EW, Eijkemans JC, Banga JD. Age at menopause as a risk factor for cardiovascular mortality. </w:t>
      </w:r>
      <w:r>
        <w:rPr>
          <w:i/>
          <w:sz w:val="22"/>
        </w:rPr>
        <w:t>Lancet</w:t>
      </w:r>
      <w:r>
        <w:rPr>
          <w:sz w:val="22"/>
        </w:rPr>
        <w:t>. 1996;347:714.</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de Kleijn MJ, Van der Schouw YT, Verbeek AL, Peeters PH, Banga JD, Van der Graff </w:t>
      </w:r>
      <w:r>
        <w:rPr>
          <w:sz w:val="22"/>
        </w:rPr>
        <w:t>Y. Endogenous estrogen exposure and cardiovascular mortality risk in postmenopausal women.</w:t>
      </w:r>
      <w:r>
        <w:rPr>
          <w:spacing w:val="80"/>
          <w:sz w:val="22"/>
        </w:rPr>
        <w:t> </w:t>
      </w:r>
      <w:r>
        <w:rPr>
          <w:i/>
          <w:sz w:val="22"/>
        </w:rPr>
        <w:t>Am J Epidemiol</w:t>
      </w:r>
      <w:r>
        <w:rPr>
          <w:sz w:val="22"/>
        </w:rPr>
        <w:t>. 2002;155:339.</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Kalantaridou SN, Naka KK, Papanikolaou E, et al. Impaired endothelial function in </w:t>
      </w:r>
      <w:r>
        <w:rPr>
          <w:sz w:val="22"/>
        </w:rPr>
        <w:t>young women</w:t>
      </w:r>
      <w:r>
        <w:rPr>
          <w:spacing w:val="40"/>
          <w:sz w:val="22"/>
        </w:rPr>
        <w:t> </w:t>
      </w:r>
      <w:r>
        <w:rPr>
          <w:sz w:val="22"/>
        </w:rPr>
        <w:t>with</w:t>
      </w:r>
      <w:r>
        <w:rPr>
          <w:spacing w:val="40"/>
          <w:sz w:val="22"/>
        </w:rPr>
        <w:t> </w:t>
      </w:r>
      <w:r>
        <w:rPr>
          <w:sz w:val="22"/>
        </w:rPr>
        <w:t>premature</w:t>
      </w:r>
      <w:r>
        <w:rPr>
          <w:spacing w:val="40"/>
          <w:sz w:val="22"/>
        </w:rPr>
        <w:t> </w:t>
      </w:r>
      <w:r>
        <w:rPr>
          <w:sz w:val="22"/>
        </w:rPr>
        <w:t>ovarian</w:t>
      </w:r>
      <w:r>
        <w:rPr>
          <w:spacing w:val="40"/>
          <w:sz w:val="22"/>
        </w:rPr>
        <w:t> </w:t>
      </w:r>
      <w:r>
        <w:rPr>
          <w:sz w:val="22"/>
        </w:rPr>
        <w:t>failure:</w:t>
      </w:r>
      <w:r>
        <w:rPr>
          <w:spacing w:val="40"/>
          <w:sz w:val="22"/>
        </w:rPr>
        <w:t> </w:t>
      </w:r>
      <w:r>
        <w:rPr>
          <w:sz w:val="22"/>
        </w:rPr>
        <w:t>normalization</w:t>
      </w:r>
      <w:r>
        <w:rPr>
          <w:spacing w:val="40"/>
          <w:sz w:val="22"/>
        </w:rPr>
        <w:t> </w:t>
      </w:r>
      <w:r>
        <w:rPr>
          <w:sz w:val="22"/>
        </w:rPr>
        <w:t>with</w:t>
      </w:r>
      <w:r>
        <w:rPr>
          <w:spacing w:val="40"/>
          <w:sz w:val="22"/>
        </w:rPr>
        <w:t> </w:t>
      </w:r>
      <w:r>
        <w:rPr>
          <w:sz w:val="22"/>
        </w:rPr>
        <w:t>hormone</w:t>
      </w:r>
      <w:r>
        <w:rPr>
          <w:spacing w:val="40"/>
          <w:sz w:val="22"/>
        </w:rPr>
        <w:t> </w:t>
      </w:r>
      <w:r>
        <w:rPr>
          <w:sz w:val="22"/>
        </w:rPr>
        <w:t>therapy.</w:t>
      </w:r>
      <w:r>
        <w:rPr>
          <w:spacing w:val="40"/>
          <w:sz w:val="22"/>
        </w:rPr>
        <w:t> </w:t>
      </w:r>
      <w:r>
        <w:rPr>
          <w:i/>
          <w:sz w:val="22"/>
        </w:rPr>
        <w:t>J</w:t>
      </w:r>
      <w:r>
        <w:rPr>
          <w:i/>
          <w:spacing w:val="40"/>
          <w:sz w:val="22"/>
        </w:rPr>
        <w:t> </w:t>
      </w:r>
      <w:r>
        <w:rPr>
          <w:i/>
          <w:sz w:val="22"/>
        </w:rPr>
        <w:t>Clin</w:t>
      </w:r>
      <w:r>
        <w:rPr>
          <w:i/>
          <w:sz w:val="22"/>
        </w:rPr>
        <w:t> Endocrinol Metab</w:t>
      </w:r>
      <w:r>
        <w:rPr>
          <w:sz w:val="22"/>
        </w:rPr>
        <w:t>. 2004;89:3907.</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Kalantaridou SN, Naka KK, Bechlioulis A, Makrigiannakis A, Michalis L, Chrousos GP. Premature ovarian failure, endothelial dysfunction and estrogen-progestogen </w:t>
      </w:r>
      <w:r>
        <w:rPr>
          <w:sz w:val="22"/>
        </w:rPr>
        <w:t>replacement. </w:t>
      </w:r>
      <w:r>
        <w:rPr>
          <w:i/>
          <w:sz w:val="22"/>
        </w:rPr>
        <w:t>Trends Endocrinol Metab</w:t>
      </w:r>
      <w:r>
        <w:rPr>
          <w:sz w:val="22"/>
        </w:rPr>
        <w:t>. 2006;17:101.</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Chowienczyk PJ, Watts GF, Cockcroft JR, Brett SE, Ritter JM. Sex differences in endothelial function in normal and hypercholesterolaemic subjects. </w:t>
      </w:r>
      <w:r>
        <w:rPr>
          <w:i/>
          <w:sz w:val="22"/>
        </w:rPr>
        <w:t>Lancet</w:t>
      </w:r>
      <w:r>
        <w:rPr>
          <w:sz w:val="22"/>
        </w:rPr>
        <w:t>. 1994;344:305.</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Thurston RC, Sutton-Tyrrell K, Everson-Rose SA, Hess R, Matthews KA. Hot flashes </w:t>
      </w:r>
      <w:r>
        <w:rPr>
          <w:sz w:val="22"/>
        </w:rPr>
        <w:t>and subclinical cardiovascular disease: findings from the Study of Women’s Health Across the Nation Heart Study. </w:t>
      </w:r>
      <w:r>
        <w:rPr>
          <w:i/>
          <w:sz w:val="22"/>
        </w:rPr>
        <w:t>Circulation</w:t>
      </w:r>
      <w:r>
        <w:rPr>
          <w:sz w:val="22"/>
        </w:rPr>
        <w:t>. 2008;118:1234.</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He H, Yang F, Liu X, et al. Sex</w:t>
      </w:r>
      <w:r>
        <w:rPr>
          <w:spacing w:val="29"/>
          <w:sz w:val="22"/>
        </w:rPr>
        <w:t> </w:t>
      </w:r>
      <w:r>
        <w:rPr>
          <w:sz w:val="22"/>
        </w:rPr>
        <w:t>hormone</w:t>
      </w:r>
      <w:r>
        <w:rPr>
          <w:spacing w:val="29"/>
          <w:sz w:val="22"/>
        </w:rPr>
        <w:t> </w:t>
      </w:r>
      <w:r>
        <w:rPr>
          <w:sz w:val="22"/>
        </w:rPr>
        <w:t>ratio</w:t>
      </w:r>
      <w:r>
        <w:rPr>
          <w:spacing w:val="29"/>
          <w:sz w:val="22"/>
        </w:rPr>
        <w:t> </w:t>
      </w:r>
      <w:r>
        <w:rPr>
          <w:sz w:val="22"/>
        </w:rPr>
        <w:t>changes</w:t>
      </w:r>
      <w:r>
        <w:rPr>
          <w:spacing w:val="29"/>
          <w:sz w:val="22"/>
        </w:rPr>
        <w:t> </w:t>
      </w:r>
      <w:r>
        <w:rPr>
          <w:sz w:val="22"/>
        </w:rPr>
        <w:t>in</w:t>
      </w:r>
      <w:r>
        <w:rPr>
          <w:spacing w:val="29"/>
          <w:sz w:val="22"/>
        </w:rPr>
        <w:t> </w:t>
      </w:r>
      <w:r>
        <w:rPr>
          <w:sz w:val="22"/>
        </w:rPr>
        <w:t>men</w:t>
      </w:r>
      <w:r>
        <w:rPr>
          <w:spacing w:val="29"/>
          <w:sz w:val="22"/>
        </w:rPr>
        <w:t> </w:t>
      </w:r>
      <w:r>
        <w:rPr>
          <w:sz w:val="22"/>
        </w:rPr>
        <w:t>and</w:t>
      </w:r>
      <w:r>
        <w:rPr>
          <w:spacing w:val="29"/>
          <w:sz w:val="22"/>
        </w:rPr>
        <w:t> </w:t>
      </w:r>
      <w:r>
        <w:rPr>
          <w:sz w:val="22"/>
        </w:rPr>
        <w:t>postmenopausal</w:t>
      </w:r>
      <w:r>
        <w:rPr>
          <w:spacing w:val="29"/>
          <w:sz w:val="22"/>
        </w:rPr>
        <w:t> </w:t>
      </w:r>
      <w:r>
        <w:rPr>
          <w:sz w:val="22"/>
        </w:rPr>
        <w:t>women with coronary artery disease. </w:t>
      </w:r>
      <w:r>
        <w:rPr>
          <w:i/>
          <w:sz w:val="22"/>
        </w:rPr>
        <w:t>Menopause</w:t>
      </w:r>
      <w:r>
        <w:rPr>
          <w:sz w:val="22"/>
        </w:rPr>
        <w:t>. 2007;14:385.</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Hamelin BA, Methot J, Arsenault M, et al. Influence of the menstrual cycle on the timing </w:t>
      </w:r>
      <w:r>
        <w:rPr>
          <w:sz w:val="22"/>
        </w:rPr>
        <w:t>of acute coronary events in premenopausal women. </w:t>
      </w:r>
      <w:r>
        <w:rPr>
          <w:i/>
          <w:sz w:val="22"/>
        </w:rPr>
        <w:t>Am J Med</w:t>
      </w:r>
      <w:r>
        <w:rPr>
          <w:sz w:val="22"/>
        </w:rPr>
        <w:t>. 2003;114:599.</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Matthews KA, Santoro N, Lasley B, et al. Relation of cardiovascular risk factors in women approaching</w:t>
      </w:r>
      <w:r>
        <w:rPr>
          <w:spacing w:val="37"/>
          <w:sz w:val="22"/>
        </w:rPr>
        <w:t> </w:t>
      </w:r>
      <w:r>
        <w:rPr>
          <w:sz w:val="22"/>
        </w:rPr>
        <w:t>menopause</w:t>
      </w:r>
      <w:r>
        <w:rPr>
          <w:spacing w:val="37"/>
          <w:sz w:val="22"/>
        </w:rPr>
        <w:t> </w:t>
      </w:r>
      <w:r>
        <w:rPr>
          <w:sz w:val="22"/>
        </w:rPr>
        <w:t>to</w:t>
      </w:r>
      <w:r>
        <w:rPr>
          <w:spacing w:val="37"/>
          <w:sz w:val="22"/>
        </w:rPr>
        <w:t> </w:t>
      </w:r>
      <w:r>
        <w:rPr>
          <w:sz w:val="22"/>
        </w:rPr>
        <w:t>menstrual</w:t>
      </w:r>
      <w:r>
        <w:rPr>
          <w:spacing w:val="37"/>
          <w:sz w:val="22"/>
        </w:rPr>
        <w:t> </w:t>
      </w:r>
      <w:r>
        <w:rPr>
          <w:sz w:val="22"/>
        </w:rPr>
        <w:t>cycle</w:t>
      </w:r>
      <w:r>
        <w:rPr>
          <w:spacing w:val="37"/>
          <w:sz w:val="22"/>
        </w:rPr>
        <w:t> </w:t>
      </w:r>
      <w:r>
        <w:rPr>
          <w:sz w:val="22"/>
        </w:rPr>
        <w:t>characteristics</w:t>
      </w:r>
      <w:r>
        <w:rPr>
          <w:spacing w:val="37"/>
          <w:sz w:val="22"/>
        </w:rPr>
        <w:t> </w:t>
      </w:r>
      <w:r>
        <w:rPr>
          <w:sz w:val="22"/>
        </w:rPr>
        <w:t>and</w:t>
      </w:r>
      <w:r>
        <w:rPr>
          <w:spacing w:val="37"/>
          <w:sz w:val="22"/>
        </w:rPr>
        <w:t> </w:t>
      </w:r>
      <w:r>
        <w:rPr>
          <w:sz w:val="22"/>
        </w:rPr>
        <w:t>reproductive</w:t>
      </w:r>
      <w:r>
        <w:rPr>
          <w:spacing w:val="37"/>
          <w:sz w:val="22"/>
        </w:rPr>
        <w:t> </w:t>
      </w:r>
      <w:r>
        <w:rPr>
          <w:sz w:val="22"/>
        </w:rPr>
        <w:t>hormones</w:t>
      </w:r>
      <w:r>
        <w:rPr>
          <w:spacing w:val="37"/>
          <w:sz w:val="22"/>
        </w:rPr>
        <w:t> </w:t>
      </w:r>
      <w:r>
        <w:rPr>
          <w:sz w:val="22"/>
        </w:rPr>
        <w:t>in</w:t>
      </w:r>
      <w:r>
        <w:rPr>
          <w:spacing w:val="37"/>
          <w:sz w:val="22"/>
        </w:rPr>
        <w:t> </w:t>
      </w:r>
      <w:r>
        <w:rPr>
          <w:sz w:val="22"/>
        </w:rPr>
        <w:t>the</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follicular</w:t>
      </w:r>
      <w:r>
        <w:rPr>
          <w:spacing w:val="11"/>
          <w:sz w:val="22"/>
        </w:rPr>
        <w:t> </w:t>
      </w:r>
      <w:r>
        <w:rPr>
          <w:sz w:val="22"/>
        </w:rPr>
        <w:t>and</w:t>
      </w:r>
      <w:r>
        <w:rPr>
          <w:spacing w:val="12"/>
          <w:sz w:val="22"/>
        </w:rPr>
        <w:t> </w:t>
      </w:r>
      <w:r>
        <w:rPr>
          <w:sz w:val="22"/>
        </w:rPr>
        <w:t>luteal</w:t>
      </w:r>
      <w:r>
        <w:rPr>
          <w:spacing w:val="12"/>
          <w:sz w:val="22"/>
        </w:rPr>
        <w:t> </w:t>
      </w:r>
      <w:r>
        <w:rPr>
          <w:sz w:val="22"/>
        </w:rPr>
        <w:t>phases.</w:t>
      </w:r>
      <w:r>
        <w:rPr>
          <w:spacing w:val="11"/>
          <w:sz w:val="22"/>
        </w:rPr>
        <w:t> </w:t>
      </w:r>
      <w:r>
        <w:rPr>
          <w:i/>
          <w:sz w:val="22"/>
        </w:rPr>
        <w:t>J</w:t>
      </w:r>
      <w:r>
        <w:rPr>
          <w:i/>
          <w:spacing w:val="12"/>
          <w:sz w:val="22"/>
        </w:rPr>
        <w:t> </w:t>
      </w:r>
      <w:r>
        <w:rPr>
          <w:i/>
          <w:sz w:val="22"/>
        </w:rPr>
        <w:t>Clin</w:t>
      </w:r>
      <w:r>
        <w:rPr>
          <w:i/>
          <w:spacing w:val="12"/>
          <w:sz w:val="22"/>
        </w:rPr>
        <w:t> </w:t>
      </w:r>
      <w:r>
        <w:rPr>
          <w:i/>
          <w:sz w:val="22"/>
        </w:rPr>
        <w:t>Endocrinol</w:t>
      </w:r>
      <w:r>
        <w:rPr>
          <w:i/>
          <w:spacing w:val="12"/>
          <w:sz w:val="22"/>
        </w:rPr>
        <w:t> </w:t>
      </w:r>
      <w:r>
        <w:rPr>
          <w:i/>
          <w:sz w:val="22"/>
        </w:rPr>
        <w:t>Metab</w:t>
      </w:r>
      <w:r>
        <w:rPr>
          <w:sz w:val="22"/>
        </w:rPr>
        <w:t>.</w:t>
      </w:r>
      <w:r>
        <w:rPr>
          <w:spacing w:val="11"/>
          <w:sz w:val="22"/>
        </w:rPr>
        <w:t> </w:t>
      </w:r>
      <w:r>
        <w:rPr>
          <w:spacing w:val="-2"/>
          <w:sz w:val="22"/>
        </w:rPr>
        <w:t>2006;91:1789.</w:t>
      </w:r>
    </w:p>
    <w:p>
      <w:pPr>
        <w:pStyle w:val="ListParagraph"/>
        <w:numPr>
          <w:ilvl w:val="0"/>
          <w:numId w:val="9"/>
        </w:numPr>
        <w:tabs>
          <w:tab w:pos="709" w:val="left" w:leader="none"/>
          <w:tab w:pos="718" w:val="left" w:leader="none"/>
        </w:tabs>
        <w:spacing w:line="256" w:lineRule="auto" w:before="17" w:after="0"/>
        <w:ind w:left="718" w:right="109" w:hanging="507"/>
        <w:jc w:val="both"/>
        <w:rPr>
          <w:sz w:val="22"/>
        </w:rPr>
      </w:pPr>
      <w:r>
        <w:rPr>
          <w:sz w:val="22"/>
        </w:rPr>
        <w:t>Bairey Merz CN, Johnson BD, Sharaf BL, et al; WISE Study Group. Hypoestrogenemia of hypothalamic origin and coronary artery disease in premenopausal women: a report from </w:t>
      </w:r>
      <w:r>
        <w:rPr>
          <w:sz w:val="22"/>
        </w:rPr>
        <w:t>the NHLBI-sponsored WISE study. </w:t>
      </w:r>
      <w:r>
        <w:rPr>
          <w:i/>
          <w:sz w:val="22"/>
        </w:rPr>
        <w:t>J Am Coll Cardiol</w:t>
      </w:r>
      <w:r>
        <w:rPr>
          <w:sz w:val="22"/>
        </w:rPr>
        <w:t>. 2003;41:413.</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Kaplan</w:t>
      </w:r>
      <w:r>
        <w:rPr>
          <w:spacing w:val="40"/>
          <w:sz w:val="22"/>
        </w:rPr>
        <w:t> </w:t>
      </w:r>
      <w:r>
        <w:rPr>
          <w:sz w:val="22"/>
        </w:rPr>
        <w:t>JR,</w:t>
      </w:r>
      <w:r>
        <w:rPr>
          <w:spacing w:val="40"/>
          <w:sz w:val="22"/>
        </w:rPr>
        <w:t> </w:t>
      </w:r>
      <w:r>
        <w:rPr>
          <w:sz w:val="22"/>
        </w:rPr>
        <w:t>Adams</w:t>
      </w:r>
      <w:r>
        <w:rPr>
          <w:spacing w:val="40"/>
          <w:sz w:val="22"/>
        </w:rPr>
        <w:t> </w:t>
      </w:r>
      <w:r>
        <w:rPr>
          <w:sz w:val="22"/>
        </w:rPr>
        <w:t>MR,</w:t>
      </w:r>
      <w:r>
        <w:rPr>
          <w:spacing w:val="40"/>
          <w:sz w:val="22"/>
        </w:rPr>
        <w:t> </w:t>
      </w:r>
      <w:r>
        <w:rPr>
          <w:sz w:val="22"/>
        </w:rPr>
        <w:t>Anthony</w:t>
      </w:r>
      <w:r>
        <w:rPr>
          <w:spacing w:val="40"/>
          <w:sz w:val="22"/>
        </w:rPr>
        <w:t> </w:t>
      </w:r>
      <w:r>
        <w:rPr>
          <w:sz w:val="22"/>
        </w:rPr>
        <w:t>MS,</w:t>
      </w:r>
      <w:r>
        <w:rPr>
          <w:spacing w:val="40"/>
          <w:sz w:val="22"/>
        </w:rPr>
        <w:t> </w:t>
      </w:r>
      <w:r>
        <w:rPr>
          <w:sz w:val="22"/>
        </w:rPr>
        <w:t>Morgan</w:t>
      </w:r>
      <w:r>
        <w:rPr>
          <w:spacing w:val="40"/>
          <w:sz w:val="22"/>
        </w:rPr>
        <w:t> </w:t>
      </w:r>
      <w:r>
        <w:rPr>
          <w:sz w:val="22"/>
        </w:rPr>
        <w:t>TM,</w:t>
      </w:r>
      <w:r>
        <w:rPr>
          <w:spacing w:val="40"/>
          <w:sz w:val="22"/>
        </w:rPr>
        <w:t> </w:t>
      </w:r>
      <w:r>
        <w:rPr>
          <w:sz w:val="22"/>
        </w:rPr>
        <w:t>Manuck</w:t>
      </w:r>
      <w:r>
        <w:rPr>
          <w:spacing w:val="40"/>
          <w:sz w:val="22"/>
        </w:rPr>
        <w:t> </w:t>
      </w:r>
      <w:r>
        <w:rPr>
          <w:sz w:val="22"/>
        </w:rPr>
        <w:t>SB,</w:t>
      </w:r>
      <w:r>
        <w:rPr>
          <w:spacing w:val="40"/>
          <w:sz w:val="22"/>
        </w:rPr>
        <w:t> </w:t>
      </w:r>
      <w:r>
        <w:rPr>
          <w:sz w:val="22"/>
        </w:rPr>
        <w:t>Clarkson</w:t>
      </w:r>
      <w:r>
        <w:rPr>
          <w:spacing w:val="40"/>
          <w:sz w:val="22"/>
        </w:rPr>
        <w:t> </w:t>
      </w:r>
      <w:r>
        <w:rPr>
          <w:sz w:val="22"/>
        </w:rPr>
        <w:t>TB.</w:t>
      </w:r>
      <w:r>
        <w:rPr>
          <w:spacing w:val="40"/>
          <w:sz w:val="22"/>
        </w:rPr>
        <w:t> </w:t>
      </w:r>
      <w:r>
        <w:rPr>
          <w:sz w:val="22"/>
        </w:rPr>
        <w:t>Dominant social status and contraceptive hormone treatment inhibit atherogenesis in premenopausal monkeys. </w:t>
      </w:r>
      <w:r>
        <w:rPr>
          <w:i/>
          <w:sz w:val="22"/>
        </w:rPr>
        <w:t>Arterioscler Thromb Vasc Biol</w:t>
      </w:r>
      <w:r>
        <w:rPr>
          <w:sz w:val="22"/>
        </w:rPr>
        <w:t>. 1995;15:2094.</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Kaplan</w:t>
      </w:r>
      <w:r>
        <w:rPr>
          <w:spacing w:val="40"/>
          <w:sz w:val="22"/>
        </w:rPr>
        <w:t> </w:t>
      </w:r>
      <w:r>
        <w:rPr>
          <w:sz w:val="22"/>
        </w:rPr>
        <w:t>JR,</w:t>
      </w:r>
      <w:r>
        <w:rPr>
          <w:spacing w:val="40"/>
          <w:sz w:val="22"/>
        </w:rPr>
        <w:t> </w:t>
      </w:r>
      <w:r>
        <w:rPr>
          <w:sz w:val="22"/>
        </w:rPr>
        <w:t>Manuck</w:t>
      </w:r>
      <w:r>
        <w:rPr>
          <w:spacing w:val="40"/>
          <w:sz w:val="22"/>
        </w:rPr>
        <w:t> </w:t>
      </w:r>
      <w:r>
        <w:rPr>
          <w:sz w:val="22"/>
        </w:rPr>
        <w:t>SB,</w:t>
      </w:r>
      <w:r>
        <w:rPr>
          <w:spacing w:val="40"/>
          <w:sz w:val="22"/>
        </w:rPr>
        <w:t> </w:t>
      </w:r>
      <w:r>
        <w:rPr>
          <w:sz w:val="22"/>
        </w:rPr>
        <w:t>Anthony</w:t>
      </w:r>
      <w:r>
        <w:rPr>
          <w:spacing w:val="40"/>
          <w:sz w:val="22"/>
        </w:rPr>
        <w:t> </w:t>
      </w:r>
      <w:r>
        <w:rPr>
          <w:sz w:val="22"/>
        </w:rPr>
        <w:t>MS,</w:t>
      </w:r>
      <w:r>
        <w:rPr>
          <w:spacing w:val="40"/>
          <w:sz w:val="22"/>
        </w:rPr>
        <w:t> </w:t>
      </w:r>
      <w:r>
        <w:rPr>
          <w:sz w:val="22"/>
        </w:rPr>
        <w:t>Clarkson</w:t>
      </w:r>
      <w:r>
        <w:rPr>
          <w:spacing w:val="40"/>
          <w:sz w:val="22"/>
        </w:rPr>
        <w:t> </w:t>
      </w:r>
      <w:r>
        <w:rPr>
          <w:sz w:val="22"/>
        </w:rPr>
        <w:t>TB.</w:t>
      </w:r>
      <w:r>
        <w:rPr>
          <w:spacing w:val="40"/>
          <w:sz w:val="22"/>
        </w:rPr>
        <w:t> </w:t>
      </w:r>
      <w:r>
        <w:rPr>
          <w:sz w:val="22"/>
        </w:rPr>
        <w:t>Premenopausal</w:t>
      </w:r>
      <w:r>
        <w:rPr>
          <w:spacing w:val="40"/>
          <w:sz w:val="22"/>
        </w:rPr>
        <w:t> </w:t>
      </w:r>
      <w:r>
        <w:rPr>
          <w:sz w:val="22"/>
        </w:rPr>
        <w:t>social</w:t>
      </w:r>
      <w:r>
        <w:rPr>
          <w:spacing w:val="40"/>
          <w:sz w:val="22"/>
        </w:rPr>
        <w:t> </w:t>
      </w:r>
      <w:r>
        <w:rPr>
          <w:sz w:val="22"/>
        </w:rPr>
        <w:t>status</w:t>
      </w:r>
      <w:r>
        <w:rPr>
          <w:spacing w:val="40"/>
          <w:sz w:val="22"/>
        </w:rPr>
        <w:t> </w:t>
      </w:r>
      <w:r>
        <w:rPr>
          <w:sz w:val="22"/>
        </w:rPr>
        <w:t>and hormone exposure predict postmenopausal atherosclerosis in female monkeys. </w:t>
      </w:r>
      <w:r>
        <w:rPr>
          <w:i/>
          <w:sz w:val="22"/>
        </w:rPr>
        <w:t>Am J Obstet</w:t>
      </w:r>
      <w:r>
        <w:rPr>
          <w:i/>
          <w:sz w:val="22"/>
        </w:rPr>
        <w:t> Gynecol</w:t>
      </w:r>
      <w:r>
        <w:rPr>
          <w:sz w:val="22"/>
        </w:rPr>
        <w:t>. 2002;99:381.</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Clarkson TB, Appt S. Controversies about HRT—lessons from monkey models. </w:t>
      </w:r>
      <w:r>
        <w:rPr>
          <w:i/>
          <w:sz w:val="22"/>
        </w:rPr>
        <w:t>Maturitas</w:t>
      </w:r>
      <w:r>
        <w:rPr>
          <w:sz w:val="22"/>
        </w:rPr>
        <w:t>. </w:t>
      </w:r>
      <w:r>
        <w:rPr>
          <w:spacing w:val="-2"/>
          <w:sz w:val="22"/>
        </w:rPr>
        <w:t>2005;51:64.</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Bairey Merz CN, Johnson BD, Berga SL, Braunstein G, Reis SE, Bittner V; WISE Study</w:t>
      </w:r>
      <w:r>
        <w:rPr>
          <w:spacing w:val="80"/>
          <w:sz w:val="22"/>
        </w:rPr>
        <w:t> </w:t>
      </w:r>
      <w:r>
        <w:rPr>
          <w:sz w:val="22"/>
        </w:rPr>
        <w:t>Group.</w:t>
      </w:r>
      <w:r>
        <w:rPr>
          <w:spacing w:val="40"/>
          <w:sz w:val="22"/>
        </w:rPr>
        <w:t> </w:t>
      </w:r>
      <w:r>
        <w:rPr>
          <w:sz w:val="22"/>
        </w:rPr>
        <w:t>Past</w:t>
      </w:r>
      <w:r>
        <w:rPr>
          <w:spacing w:val="40"/>
          <w:sz w:val="22"/>
        </w:rPr>
        <w:t> </w:t>
      </w:r>
      <w:r>
        <w:rPr>
          <w:sz w:val="22"/>
        </w:rPr>
        <w:t>oral</w:t>
      </w:r>
      <w:r>
        <w:rPr>
          <w:spacing w:val="40"/>
          <w:sz w:val="22"/>
        </w:rPr>
        <w:t> </w:t>
      </w:r>
      <w:r>
        <w:rPr>
          <w:sz w:val="22"/>
        </w:rPr>
        <w:t>contraceptive</w:t>
      </w:r>
      <w:r>
        <w:rPr>
          <w:spacing w:val="40"/>
          <w:sz w:val="22"/>
        </w:rPr>
        <w:t> </w:t>
      </w:r>
      <w:r>
        <w:rPr>
          <w:sz w:val="22"/>
        </w:rPr>
        <w:t>use</w:t>
      </w:r>
      <w:r>
        <w:rPr>
          <w:spacing w:val="40"/>
          <w:sz w:val="22"/>
        </w:rPr>
        <w:t> </w:t>
      </w:r>
      <w:r>
        <w:rPr>
          <w:sz w:val="22"/>
        </w:rPr>
        <w:t>and</w:t>
      </w:r>
      <w:r>
        <w:rPr>
          <w:spacing w:val="40"/>
          <w:sz w:val="22"/>
        </w:rPr>
        <w:t> </w:t>
      </w:r>
      <w:r>
        <w:rPr>
          <w:sz w:val="22"/>
        </w:rPr>
        <w:t>angiographic</w:t>
      </w:r>
      <w:r>
        <w:rPr>
          <w:spacing w:val="40"/>
          <w:sz w:val="22"/>
        </w:rPr>
        <w:t> </w:t>
      </w:r>
      <w:r>
        <w:rPr>
          <w:sz w:val="22"/>
        </w:rPr>
        <w:t>coronary</w:t>
      </w:r>
      <w:r>
        <w:rPr>
          <w:spacing w:val="40"/>
          <w:sz w:val="22"/>
        </w:rPr>
        <w:t> </w:t>
      </w:r>
      <w:r>
        <w:rPr>
          <w:sz w:val="22"/>
        </w:rPr>
        <w:t>artery</w:t>
      </w:r>
      <w:r>
        <w:rPr>
          <w:spacing w:val="40"/>
          <w:sz w:val="22"/>
        </w:rPr>
        <w:t> </w:t>
      </w:r>
      <w:r>
        <w:rPr>
          <w:sz w:val="22"/>
        </w:rPr>
        <w:t>disease</w:t>
      </w:r>
      <w:r>
        <w:rPr>
          <w:spacing w:val="40"/>
          <w:sz w:val="22"/>
        </w:rPr>
        <w:t> </w:t>
      </w:r>
      <w:r>
        <w:rPr>
          <w:sz w:val="22"/>
        </w:rPr>
        <w:t>in postmenopausal women: data from the National Heart, Lung, and Blood Institute-sponsored Women’s Ischemia Syndrome Evaluation. </w:t>
      </w:r>
      <w:r>
        <w:rPr>
          <w:i/>
          <w:sz w:val="22"/>
        </w:rPr>
        <w:t>Fertil Steril</w:t>
      </w:r>
      <w:r>
        <w:rPr>
          <w:sz w:val="22"/>
        </w:rPr>
        <w:t>. 2006;85:1425.</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Rickenlund A, Eriksson MJ, Schenck-Gustafsson K, Hirschberg AL. Amenorrhea in female athletes is associated with endothelial dysfunction and unfavorable lipid profile. </w:t>
      </w:r>
      <w:r>
        <w:rPr>
          <w:i/>
          <w:sz w:val="22"/>
        </w:rPr>
        <w:t>J Clin</w:t>
      </w:r>
      <w:r>
        <w:rPr>
          <w:i/>
          <w:sz w:val="22"/>
        </w:rPr>
        <w:t> Endocrinol Metab</w:t>
      </w:r>
      <w:r>
        <w:rPr>
          <w:sz w:val="22"/>
        </w:rPr>
        <w:t>. 2005;90:1354.</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Rickenlund A, Eriksson MJ, Schenck-Gustafsson K, Hirschberg AL. Oral </w:t>
      </w:r>
      <w:r>
        <w:rPr>
          <w:sz w:val="22"/>
        </w:rPr>
        <w:t>contraceptives improve</w:t>
      </w:r>
      <w:r>
        <w:rPr>
          <w:spacing w:val="40"/>
          <w:sz w:val="22"/>
        </w:rPr>
        <w:t> </w:t>
      </w:r>
      <w:r>
        <w:rPr>
          <w:sz w:val="22"/>
        </w:rPr>
        <w:t>endothelial</w:t>
      </w:r>
      <w:r>
        <w:rPr>
          <w:spacing w:val="40"/>
          <w:sz w:val="22"/>
        </w:rPr>
        <w:t> </w:t>
      </w:r>
      <w:r>
        <w:rPr>
          <w:sz w:val="22"/>
        </w:rPr>
        <w:t>function</w:t>
      </w:r>
      <w:r>
        <w:rPr>
          <w:spacing w:val="40"/>
          <w:sz w:val="22"/>
        </w:rPr>
        <w:t> </w:t>
      </w:r>
      <w:r>
        <w:rPr>
          <w:sz w:val="22"/>
        </w:rPr>
        <w:t>in</w:t>
      </w:r>
      <w:r>
        <w:rPr>
          <w:spacing w:val="40"/>
          <w:sz w:val="22"/>
        </w:rPr>
        <w:t> </w:t>
      </w:r>
      <w:r>
        <w:rPr>
          <w:sz w:val="22"/>
        </w:rPr>
        <w:t>amenorrheic</w:t>
      </w:r>
      <w:r>
        <w:rPr>
          <w:spacing w:val="40"/>
          <w:sz w:val="22"/>
        </w:rPr>
        <w:t> </w:t>
      </w:r>
      <w:r>
        <w:rPr>
          <w:sz w:val="22"/>
        </w:rPr>
        <w:t>athletes.</w:t>
      </w:r>
      <w:r>
        <w:rPr>
          <w:spacing w:val="40"/>
          <w:sz w:val="22"/>
        </w:rPr>
        <w:t> </w:t>
      </w:r>
      <w:r>
        <w:rPr>
          <w:i/>
          <w:sz w:val="22"/>
        </w:rPr>
        <w:t>J</w:t>
      </w:r>
      <w:r>
        <w:rPr>
          <w:i/>
          <w:spacing w:val="40"/>
          <w:sz w:val="22"/>
        </w:rPr>
        <w:t> </w:t>
      </w:r>
      <w:r>
        <w:rPr>
          <w:i/>
          <w:sz w:val="22"/>
        </w:rPr>
        <w:t>Clin</w:t>
      </w:r>
      <w:r>
        <w:rPr>
          <w:i/>
          <w:spacing w:val="40"/>
          <w:sz w:val="22"/>
        </w:rPr>
        <w:t> </w:t>
      </w:r>
      <w:r>
        <w:rPr>
          <w:i/>
          <w:sz w:val="22"/>
        </w:rPr>
        <w:t>Endocrinol</w:t>
      </w:r>
      <w:r>
        <w:rPr>
          <w:i/>
          <w:spacing w:val="40"/>
          <w:sz w:val="22"/>
        </w:rPr>
        <w:t> </w:t>
      </w:r>
      <w:r>
        <w:rPr>
          <w:i/>
          <w:sz w:val="22"/>
        </w:rPr>
        <w:t>Metab</w:t>
      </w:r>
      <w:r>
        <w:rPr>
          <w:sz w:val="22"/>
        </w:rPr>
        <w:t>. </w:t>
      </w:r>
      <w:r>
        <w:rPr>
          <w:spacing w:val="-2"/>
          <w:sz w:val="22"/>
        </w:rPr>
        <w:t>2005;90:3162.</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El Khoudary SR, Zhao Q, Venugopal V, et al. Effects of hormone therapy on heart fat and coronary</w:t>
      </w:r>
      <w:r>
        <w:rPr>
          <w:spacing w:val="40"/>
          <w:sz w:val="22"/>
        </w:rPr>
        <w:t> </w:t>
      </w:r>
      <w:r>
        <w:rPr>
          <w:sz w:val="22"/>
        </w:rPr>
        <w:t>artery</w:t>
      </w:r>
      <w:r>
        <w:rPr>
          <w:spacing w:val="40"/>
          <w:sz w:val="22"/>
        </w:rPr>
        <w:t> </w:t>
      </w:r>
      <w:r>
        <w:rPr>
          <w:sz w:val="22"/>
        </w:rPr>
        <w:t>calcification</w:t>
      </w:r>
      <w:r>
        <w:rPr>
          <w:spacing w:val="40"/>
          <w:sz w:val="22"/>
        </w:rPr>
        <w:t> </w:t>
      </w:r>
      <w:r>
        <w:rPr>
          <w:sz w:val="22"/>
        </w:rPr>
        <w:t>progression:</w:t>
      </w:r>
      <w:r>
        <w:rPr>
          <w:spacing w:val="40"/>
          <w:sz w:val="22"/>
        </w:rPr>
        <w:t> </w:t>
      </w:r>
      <w:r>
        <w:rPr>
          <w:sz w:val="22"/>
        </w:rPr>
        <w:t>secondary</w:t>
      </w:r>
      <w:r>
        <w:rPr>
          <w:spacing w:val="40"/>
          <w:sz w:val="22"/>
        </w:rPr>
        <w:t> </w:t>
      </w:r>
      <w:r>
        <w:rPr>
          <w:sz w:val="22"/>
        </w:rPr>
        <w:t>analysis</w:t>
      </w:r>
      <w:r>
        <w:rPr>
          <w:spacing w:val="40"/>
          <w:sz w:val="22"/>
        </w:rPr>
        <w:t> </w:t>
      </w:r>
      <w:r>
        <w:rPr>
          <w:sz w:val="22"/>
        </w:rPr>
        <w:t>from</w:t>
      </w:r>
      <w:r>
        <w:rPr>
          <w:spacing w:val="40"/>
          <w:sz w:val="22"/>
        </w:rPr>
        <w:t> </w:t>
      </w:r>
      <w:r>
        <w:rPr>
          <w:sz w:val="22"/>
        </w:rPr>
        <w:t>the</w:t>
      </w:r>
      <w:r>
        <w:rPr>
          <w:spacing w:val="40"/>
          <w:sz w:val="22"/>
        </w:rPr>
        <w:t> </w:t>
      </w:r>
      <w:r>
        <w:rPr>
          <w:sz w:val="22"/>
        </w:rPr>
        <w:t>KEEPS</w:t>
      </w:r>
      <w:r>
        <w:rPr>
          <w:spacing w:val="40"/>
          <w:sz w:val="22"/>
        </w:rPr>
        <w:t> </w:t>
      </w:r>
      <w:r>
        <w:rPr>
          <w:sz w:val="22"/>
        </w:rPr>
        <w:t>trial.</w:t>
      </w:r>
      <w:r>
        <w:rPr>
          <w:spacing w:val="40"/>
          <w:sz w:val="22"/>
        </w:rPr>
        <w:t> </w:t>
      </w:r>
      <w:r>
        <w:rPr>
          <w:i/>
          <w:sz w:val="22"/>
        </w:rPr>
        <w:t>J</w:t>
      </w:r>
      <w:r>
        <w:rPr>
          <w:i/>
          <w:spacing w:val="40"/>
          <w:sz w:val="22"/>
        </w:rPr>
        <w:t> </w:t>
      </w:r>
      <w:r>
        <w:rPr>
          <w:i/>
          <w:sz w:val="22"/>
        </w:rPr>
        <w:t>Am</w:t>
      </w:r>
      <w:r>
        <w:rPr>
          <w:i/>
          <w:sz w:val="22"/>
        </w:rPr>
        <w:t> Heart Assoc</w:t>
      </w:r>
      <w:r>
        <w:rPr>
          <w:sz w:val="22"/>
        </w:rPr>
        <w:t>. 2019;8(15):e012763</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El Khoudary SR, Venugopal V, Manson JE, et al. Heart fat and carotid artery atherosclerosis progression in recently menopausal women: impact of menopausal hormone therapy: </w:t>
      </w:r>
      <w:r>
        <w:rPr>
          <w:sz w:val="22"/>
        </w:rPr>
        <w:t>the</w:t>
      </w:r>
      <w:r>
        <w:rPr>
          <w:spacing w:val="40"/>
          <w:sz w:val="22"/>
        </w:rPr>
        <w:t> </w:t>
      </w:r>
      <w:r>
        <w:rPr>
          <w:sz w:val="22"/>
        </w:rPr>
        <w:t>KEEPS trial. </w:t>
      </w:r>
      <w:r>
        <w:rPr>
          <w:i/>
          <w:sz w:val="22"/>
        </w:rPr>
        <w:t>Menopause</w:t>
      </w:r>
      <w:r>
        <w:rPr>
          <w:sz w:val="22"/>
        </w:rPr>
        <w:t>. 2020;27(3):255-262.</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Shively CA, Register TC, Friedman DP, Morgan TM, Thompson J, Lanaier T. Social </w:t>
      </w:r>
      <w:r>
        <w:rPr>
          <w:sz w:val="22"/>
        </w:rPr>
        <w:t>stress-associated depression in adult female cynomolgus monkeys (</w:t>
      </w:r>
      <w:r>
        <w:rPr>
          <w:i/>
          <w:sz w:val="22"/>
        </w:rPr>
        <w:t>Macaca fascicularis</w:t>
      </w:r>
      <w:r>
        <w:rPr>
          <w:sz w:val="22"/>
        </w:rPr>
        <w:t>). </w:t>
      </w:r>
      <w:r>
        <w:rPr>
          <w:i/>
          <w:sz w:val="22"/>
        </w:rPr>
        <w:t>Biol</w:t>
      </w:r>
      <w:r>
        <w:rPr>
          <w:i/>
          <w:spacing w:val="80"/>
          <w:sz w:val="22"/>
        </w:rPr>
        <w:t> </w:t>
      </w:r>
      <w:r>
        <w:rPr>
          <w:i/>
          <w:sz w:val="22"/>
        </w:rPr>
        <w:t>Psychol</w:t>
      </w:r>
      <w:r>
        <w:rPr>
          <w:sz w:val="22"/>
        </w:rPr>
        <w:t>. 2005;69:67.</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Agatisa PK, Matthews KA, Bromberger JT, Edmundowicz D, Chang YF, Sutton-Tyrrell K. Coronary and aortic calcification in women with a history of major depression. </w:t>
      </w:r>
      <w:r>
        <w:rPr>
          <w:i/>
          <w:sz w:val="22"/>
        </w:rPr>
        <w:t>Arch Intern</w:t>
      </w:r>
      <w:r>
        <w:rPr>
          <w:i/>
          <w:spacing w:val="80"/>
          <w:sz w:val="22"/>
        </w:rPr>
        <w:t> </w:t>
      </w:r>
      <w:r>
        <w:rPr>
          <w:i/>
          <w:sz w:val="22"/>
        </w:rPr>
        <w:t>Med</w:t>
      </w:r>
      <w:r>
        <w:rPr>
          <w:sz w:val="22"/>
        </w:rPr>
        <w:t>. 2005;165:1229.</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Lewis TT, Everson-Rose SA, Colvin A, Matthews K, Bromberger JT, Sutton-Tyrrell K. Interactive effects of race and depressive symptoms on calcification in African-American and white women. </w:t>
      </w:r>
      <w:r>
        <w:rPr>
          <w:i/>
          <w:sz w:val="22"/>
        </w:rPr>
        <w:t>Psychosom Med</w:t>
      </w:r>
      <w:r>
        <w:rPr>
          <w:sz w:val="22"/>
        </w:rPr>
        <w:t>. 2009;71:163.</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Clarkson</w:t>
      </w:r>
      <w:r>
        <w:rPr>
          <w:spacing w:val="40"/>
          <w:sz w:val="22"/>
        </w:rPr>
        <w:t> </w:t>
      </w:r>
      <w:r>
        <w:rPr>
          <w:sz w:val="22"/>
        </w:rPr>
        <w:t>TB,</w:t>
      </w:r>
      <w:r>
        <w:rPr>
          <w:spacing w:val="40"/>
          <w:sz w:val="22"/>
        </w:rPr>
        <w:t> </w:t>
      </w:r>
      <w:r>
        <w:rPr>
          <w:sz w:val="22"/>
        </w:rPr>
        <w:t>Anthony</w:t>
      </w:r>
      <w:r>
        <w:rPr>
          <w:spacing w:val="40"/>
          <w:sz w:val="22"/>
        </w:rPr>
        <w:t> </w:t>
      </w:r>
      <w:r>
        <w:rPr>
          <w:sz w:val="22"/>
        </w:rPr>
        <w:t>MS.</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coronary</w:t>
      </w:r>
      <w:r>
        <w:rPr>
          <w:spacing w:val="40"/>
          <w:sz w:val="22"/>
        </w:rPr>
        <w:t> </w:t>
      </w:r>
      <w:r>
        <w:rPr>
          <w:sz w:val="22"/>
        </w:rPr>
        <w:t>artery atherosclerosis: the monkey model. </w:t>
      </w:r>
      <w:r>
        <w:rPr>
          <w:i/>
          <w:sz w:val="22"/>
        </w:rPr>
        <w:t>Br J Obstet Gynaecol</w:t>
      </w:r>
      <w:r>
        <w:rPr>
          <w:sz w:val="22"/>
        </w:rPr>
        <w:t>. 1996;103(suppl 13):53.</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Karim R, Mack WJ, Lobo RA, et al. Determinants of the effect of estrogen on the progression</w:t>
      </w:r>
      <w:r>
        <w:rPr>
          <w:spacing w:val="80"/>
          <w:sz w:val="22"/>
        </w:rPr>
        <w:t> </w:t>
      </w:r>
      <w:r>
        <w:rPr>
          <w:sz w:val="22"/>
        </w:rPr>
        <w:t>of subclinical atherosclerosis: estrogen in the prevention of atherosclerosis trial. </w:t>
      </w:r>
      <w:r>
        <w:rPr>
          <w:i/>
          <w:sz w:val="22"/>
        </w:rPr>
        <w:t>Menopause</w:t>
      </w:r>
      <w:r>
        <w:rPr>
          <w:sz w:val="22"/>
        </w:rPr>
        <w:t>. </w:t>
      </w:r>
      <w:r>
        <w:rPr>
          <w:spacing w:val="-2"/>
          <w:sz w:val="22"/>
        </w:rPr>
        <w:t>2005;12:366.</w:t>
      </w:r>
    </w:p>
    <w:p>
      <w:pPr>
        <w:pStyle w:val="ListParagraph"/>
        <w:numPr>
          <w:ilvl w:val="0"/>
          <w:numId w:val="9"/>
        </w:numPr>
        <w:tabs>
          <w:tab w:pos="709" w:val="left" w:leader="none"/>
          <w:tab w:pos="718" w:val="left" w:leader="none"/>
        </w:tabs>
        <w:spacing w:line="256" w:lineRule="auto" w:before="0" w:after="0"/>
        <w:ind w:left="718" w:right="104" w:hanging="507"/>
        <w:jc w:val="both"/>
        <w:rPr>
          <w:sz w:val="22"/>
        </w:rPr>
      </w:pPr>
      <w:r>
        <w:rPr>
          <w:sz w:val="22"/>
        </w:rPr>
        <w:t>Mendelsohn</w:t>
      </w:r>
      <w:r>
        <w:rPr>
          <w:spacing w:val="40"/>
          <w:sz w:val="22"/>
        </w:rPr>
        <w:t> </w:t>
      </w:r>
      <w:r>
        <w:rPr>
          <w:sz w:val="22"/>
        </w:rPr>
        <w:t>ME,</w:t>
      </w:r>
      <w:r>
        <w:rPr>
          <w:spacing w:val="40"/>
          <w:sz w:val="22"/>
        </w:rPr>
        <w:t> </w:t>
      </w:r>
      <w:r>
        <w:rPr>
          <w:sz w:val="22"/>
        </w:rPr>
        <w:t>Karas</w:t>
      </w:r>
      <w:r>
        <w:rPr>
          <w:spacing w:val="40"/>
          <w:sz w:val="22"/>
        </w:rPr>
        <w:t> </w:t>
      </w:r>
      <w:r>
        <w:rPr>
          <w:sz w:val="22"/>
        </w:rPr>
        <w:t>RH.</w:t>
      </w:r>
      <w:r>
        <w:rPr>
          <w:spacing w:val="40"/>
          <w:sz w:val="22"/>
        </w:rPr>
        <w:t> </w:t>
      </w:r>
      <w:r>
        <w:rPr>
          <w:sz w:val="22"/>
        </w:rPr>
        <w:t>Molecular</w:t>
      </w:r>
      <w:r>
        <w:rPr>
          <w:spacing w:val="40"/>
          <w:sz w:val="22"/>
        </w:rPr>
        <w:t> </w:t>
      </w:r>
      <w:r>
        <w:rPr>
          <w:sz w:val="22"/>
        </w:rPr>
        <w:t>and</w:t>
      </w:r>
      <w:r>
        <w:rPr>
          <w:spacing w:val="40"/>
          <w:sz w:val="22"/>
        </w:rPr>
        <w:t> </w:t>
      </w:r>
      <w:r>
        <w:rPr>
          <w:sz w:val="22"/>
        </w:rPr>
        <w:t>cellular</w:t>
      </w:r>
      <w:r>
        <w:rPr>
          <w:spacing w:val="40"/>
          <w:sz w:val="22"/>
        </w:rPr>
        <w:t> </w:t>
      </w:r>
      <w:r>
        <w:rPr>
          <w:sz w:val="22"/>
        </w:rPr>
        <w:t>basis</w:t>
      </w:r>
      <w:r>
        <w:rPr>
          <w:spacing w:val="40"/>
          <w:sz w:val="22"/>
        </w:rPr>
        <w:t> </w:t>
      </w:r>
      <w:r>
        <w:rPr>
          <w:sz w:val="22"/>
        </w:rPr>
        <w:t>of</w:t>
      </w:r>
      <w:r>
        <w:rPr>
          <w:spacing w:val="40"/>
          <w:sz w:val="22"/>
        </w:rPr>
        <w:t> </w:t>
      </w:r>
      <w:r>
        <w:rPr>
          <w:sz w:val="22"/>
        </w:rPr>
        <w:t>cardiovascular</w:t>
      </w:r>
      <w:r>
        <w:rPr>
          <w:spacing w:val="40"/>
          <w:sz w:val="22"/>
        </w:rPr>
        <w:t> </w:t>
      </w:r>
      <w:r>
        <w:rPr>
          <w:sz w:val="22"/>
        </w:rPr>
        <w:t>gender differences. </w:t>
      </w:r>
      <w:r>
        <w:rPr>
          <w:i/>
          <w:sz w:val="22"/>
        </w:rPr>
        <w:t>Science</w:t>
      </w:r>
      <w:r>
        <w:rPr>
          <w:sz w:val="22"/>
        </w:rPr>
        <w:t>. 2005;308:1583.</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Zhu X, Bonet B, Knopp RH. Estradiol 17beta inhibition of LDL oxidation and endothelial </w:t>
      </w:r>
      <w:r>
        <w:rPr>
          <w:sz w:val="22"/>
        </w:rPr>
        <w:t>cell cytotoxicity is opposed by progestins to different degrees. </w:t>
      </w:r>
      <w:r>
        <w:rPr>
          <w:i/>
          <w:sz w:val="22"/>
        </w:rPr>
        <w:t>Atherosclerosis</w:t>
      </w:r>
      <w:r>
        <w:rPr>
          <w:sz w:val="22"/>
        </w:rPr>
        <w:t>. 2000;148:31.</w:t>
      </w:r>
    </w:p>
    <w:p>
      <w:pPr>
        <w:pStyle w:val="ListParagraph"/>
        <w:numPr>
          <w:ilvl w:val="0"/>
          <w:numId w:val="9"/>
        </w:numPr>
        <w:tabs>
          <w:tab w:pos="709" w:val="left" w:leader="none"/>
          <w:tab w:pos="718" w:val="left" w:leader="none"/>
        </w:tabs>
        <w:spacing w:line="256" w:lineRule="auto" w:before="0" w:after="0"/>
        <w:ind w:left="718" w:right="106" w:hanging="507"/>
        <w:jc w:val="both"/>
        <w:rPr>
          <w:sz w:val="22"/>
        </w:rPr>
      </w:pPr>
      <w:r>
        <w:rPr>
          <w:sz w:val="22"/>
        </w:rPr>
        <w:t>Wild RA, Painter PC, Coulson PB, Carruth KB, Ranney GB. Lipoprotein lipid </w:t>
      </w:r>
      <w:r>
        <w:rPr>
          <w:sz w:val="22"/>
        </w:rPr>
        <w:t>concentrations and</w:t>
      </w:r>
      <w:r>
        <w:rPr>
          <w:spacing w:val="23"/>
          <w:sz w:val="22"/>
        </w:rPr>
        <w:t> </w:t>
      </w:r>
      <w:r>
        <w:rPr>
          <w:sz w:val="22"/>
        </w:rPr>
        <w:t>cardiovascular</w:t>
      </w:r>
      <w:r>
        <w:rPr>
          <w:spacing w:val="23"/>
          <w:sz w:val="22"/>
        </w:rPr>
        <w:t> </w:t>
      </w:r>
      <w:r>
        <w:rPr>
          <w:sz w:val="22"/>
        </w:rPr>
        <w:t>risk</w:t>
      </w:r>
      <w:r>
        <w:rPr>
          <w:spacing w:val="23"/>
          <w:sz w:val="22"/>
        </w:rPr>
        <w:t> </w:t>
      </w:r>
      <w:r>
        <w:rPr>
          <w:sz w:val="22"/>
        </w:rPr>
        <w:t>in</w:t>
      </w:r>
      <w:r>
        <w:rPr>
          <w:spacing w:val="23"/>
          <w:sz w:val="22"/>
        </w:rPr>
        <w:t> </w:t>
      </w:r>
      <w:r>
        <w:rPr>
          <w:sz w:val="22"/>
        </w:rPr>
        <w:t>women</w:t>
      </w:r>
      <w:r>
        <w:rPr>
          <w:spacing w:val="23"/>
          <w:sz w:val="22"/>
        </w:rPr>
        <w:t> </w:t>
      </w:r>
      <w:r>
        <w:rPr>
          <w:sz w:val="22"/>
        </w:rPr>
        <w:t>with</w:t>
      </w:r>
      <w:r>
        <w:rPr>
          <w:spacing w:val="23"/>
          <w:sz w:val="22"/>
        </w:rPr>
        <w:t> </w:t>
      </w:r>
      <w:r>
        <w:rPr>
          <w:sz w:val="22"/>
        </w:rPr>
        <w:t>polycystic</w:t>
      </w:r>
      <w:r>
        <w:rPr>
          <w:spacing w:val="23"/>
          <w:sz w:val="22"/>
        </w:rPr>
        <w:t> </w:t>
      </w:r>
      <w:r>
        <w:rPr>
          <w:sz w:val="22"/>
        </w:rPr>
        <w:t>ovary</w:t>
      </w:r>
      <w:r>
        <w:rPr>
          <w:spacing w:val="23"/>
          <w:sz w:val="22"/>
        </w:rPr>
        <w:t> </w:t>
      </w:r>
      <w:r>
        <w:rPr>
          <w:sz w:val="22"/>
        </w:rPr>
        <w:t>syndrome.</w:t>
      </w:r>
      <w:r>
        <w:rPr>
          <w:spacing w:val="23"/>
          <w:sz w:val="22"/>
        </w:rPr>
        <w:t> </w:t>
      </w:r>
      <w:r>
        <w:rPr>
          <w:i/>
          <w:sz w:val="22"/>
        </w:rPr>
        <w:t>J</w:t>
      </w:r>
      <w:r>
        <w:rPr>
          <w:i/>
          <w:spacing w:val="22"/>
          <w:sz w:val="22"/>
        </w:rPr>
        <w:t> </w:t>
      </w:r>
      <w:r>
        <w:rPr>
          <w:i/>
          <w:sz w:val="22"/>
        </w:rPr>
        <w:t>Clin</w:t>
      </w:r>
      <w:r>
        <w:rPr>
          <w:i/>
          <w:spacing w:val="22"/>
          <w:sz w:val="22"/>
        </w:rPr>
        <w:t> </w:t>
      </w:r>
      <w:r>
        <w:rPr>
          <w:i/>
          <w:sz w:val="22"/>
        </w:rPr>
        <w:t>Endocrinol</w:t>
      </w:r>
      <w:r>
        <w:rPr>
          <w:i/>
          <w:spacing w:val="22"/>
          <w:sz w:val="22"/>
        </w:rPr>
        <w:t> </w:t>
      </w:r>
      <w:r>
        <w:rPr>
          <w:i/>
          <w:sz w:val="22"/>
        </w:rPr>
        <w:t>Metab</w:t>
      </w:r>
      <w:r>
        <w:rPr>
          <w:sz w:val="22"/>
        </w:rPr>
        <w:t>.</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left"/>
        <w:rPr>
          <w:sz w:val="22"/>
        </w:rPr>
      </w:pPr>
      <w:r>
        <w:rPr>
          <w:spacing w:val="-2"/>
          <w:sz w:val="22"/>
        </w:rPr>
        <w:t>1985;61:946.</w:t>
      </w:r>
    </w:p>
    <w:p>
      <w:pPr>
        <w:pStyle w:val="ListParagraph"/>
        <w:numPr>
          <w:ilvl w:val="0"/>
          <w:numId w:val="9"/>
        </w:numPr>
        <w:tabs>
          <w:tab w:pos="709" w:val="left" w:leader="none"/>
          <w:tab w:pos="718" w:val="left" w:leader="none"/>
        </w:tabs>
        <w:spacing w:line="256" w:lineRule="auto" w:before="17" w:after="0"/>
        <w:ind w:left="718" w:right="109" w:hanging="507"/>
        <w:jc w:val="both"/>
        <w:rPr>
          <w:sz w:val="22"/>
        </w:rPr>
      </w:pPr>
      <w:r>
        <w:rPr>
          <w:sz w:val="22"/>
        </w:rPr>
        <w:t>Wild RA, Van Nort JJ, Grubb B, Bachman W, Hartz A, Bartholomew M. Clinical signs </w:t>
      </w:r>
      <w:r>
        <w:rPr>
          <w:sz w:val="22"/>
        </w:rPr>
        <w:t>of androgen excess as risk factors for coronary artery disease. </w:t>
      </w:r>
      <w:r>
        <w:rPr>
          <w:i/>
          <w:sz w:val="22"/>
        </w:rPr>
        <w:t>Fertil Steril</w:t>
      </w:r>
      <w:r>
        <w:rPr>
          <w:sz w:val="22"/>
        </w:rPr>
        <w:t>. 1990;54:255.</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Graf MJ, Richards CJ, Brown V, Meissner L, Dunaif A. The independent effects of hyperandrogenaemia, hyperinsulinaemia, and obesity on lipid and lipoprotein profiles </w:t>
      </w:r>
      <w:r>
        <w:rPr>
          <w:sz w:val="22"/>
        </w:rPr>
        <w:t>in</w:t>
      </w:r>
      <w:r>
        <w:rPr>
          <w:spacing w:val="80"/>
          <w:sz w:val="22"/>
        </w:rPr>
        <w:t> </w:t>
      </w:r>
      <w:r>
        <w:rPr>
          <w:sz w:val="22"/>
        </w:rPr>
        <w:t>women. </w:t>
      </w:r>
      <w:r>
        <w:rPr>
          <w:i/>
          <w:sz w:val="22"/>
        </w:rPr>
        <w:t>Clin Endocrinol</w:t>
      </w:r>
      <w:r>
        <w:rPr>
          <w:sz w:val="22"/>
        </w:rPr>
        <w:t>. 1990;33:119.</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Conway GS, Agrawal R, Betteridge DJ, Jacobs HS. Risk factors for coronary artery disease </w:t>
      </w:r>
      <w:r>
        <w:rPr>
          <w:sz w:val="22"/>
        </w:rPr>
        <w:t>in lean and obese women with polycystic ovary syndrome. </w:t>
      </w:r>
      <w:r>
        <w:rPr>
          <w:i/>
          <w:sz w:val="22"/>
        </w:rPr>
        <w:t>Clin Endocrinol</w:t>
      </w:r>
      <w:r>
        <w:rPr>
          <w:sz w:val="22"/>
        </w:rPr>
        <w:t>. 1992;37:119.</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Wild RA, Alaupovic P, Parker IJ. Lipid and apolipoprotein abnormalities in hirsute women: I. The association with insulin resistance. </w:t>
      </w:r>
      <w:r>
        <w:rPr>
          <w:i/>
          <w:sz w:val="22"/>
        </w:rPr>
        <w:t>Am J Obstet Gynecol</w:t>
      </w:r>
      <w:r>
        <w:rPr>
          <w:sz w:val="22"/>
        </w:rPr>
        <w:t>. 1992;166:1191.</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Talbott E, Guzick DS, Clerici A, et al. Coronary heart disease risk factors in women with polycystic ovary syndrome. </w:t>
      </w:r>
      <w:r>
        <w:rPr>
          <w:i/>
          <w:sz w:val="22"/>
        </w:rPr>
        <w:t>Arterioscler Thromb Vasc Biol</w:t>
      </w:r>
      <w:r>
        <w:rPr>
          <w:sz w:val="22"/>
        </w:rPr>
        <w:t>. 1995;15:821.</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Guzick DS, Talbott EO, Sutton-Tyrrell K, Herzog HC, Kuller LH, Wolfson SK Jr. Carotid atherosclerosis in women with polycystic ovary syndrome: initial results from a case-</w:t>
      </w:r>
      <w:r>
        <w:rPr>
          <w:sz w:val="22"/>
        </w:rPr>
        <w:t>control study. </w:t>
      </w:r>
      <w:r>
        <w:rPr>
          <w:i/>
          <w:sz w:val="22"/>
        </w:rPr>
        <w:t>Am J Obstet Gynecol</w:t>
      </w:r>
      <w:r>
        <w:rPr>
          <w:sz w:val="22"/>
        </w:rPr>
        <w:t>. 1996;174:1224.</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Birdsall MA, Farquhar CM, White HD. Association between polycystic ovaries and extent of coronary</w:t>
      </w:r>
      <w:r>
        <w:rPr>
          <w:spacing w:val="40"/>
          <w:sz w:val="22"/>
        </w:rPr>
        <w:t> </w:t>
      </w:r>
      <w:r>
        <w:rPr>
          <w:sz w:val="22"/>
        </w:rPr>
        <w:t>artery</w:t>
      </w:r>
      <w:r>
        <w:rPr>
          <w:spacing w:val="40"/>
          <w:sz w:val="22"/>
        </w:rPr>
        <w:t> </w:t>
      </w:r>
      <w:r>
        <w:rPr>
          <w:sz w:val="22"/>
        </w:rPr>
        <w:t>disease</w:t>
      </w:r>
      <w:r>
        <w:rPr>
          <w:spacing w:val="40"/>
          <w:sz w:val="22"/>
        </w:rPr>
        <w:t> </w:t>
      </w:r>
      <w:r>
        <w:rPr>
          <w:sz w:val="22"/>
        </w:rPr>
        <w:t>in</w:t>
      </w:r>
      <w:r>
        <w:rPr>
          <w:spacing w:val="40"/>
          <w:sz w:val="22"/>
        </w:rPr>
        <w:t> </w:t>
      </w:r>
      <w:r>
        <w:rPr>
          <w:sz w:val="22"/>
        </w:rPr>
        <w:t>women</w:t>
      </w:r>
      <w:r>
        <w:rPr>
          <w:spacing w:val="40"/>
          <w:sz w:val="22"/>
        </w:rPr>
        <w:t> </w:t>
      </w:r>
      <w:r>
        <w:rPr>
          <w:sz w:val="22"/>
        </w:rPr>
        <w:t>having</w:t>
      </w:r>
      <w:r>
        <w:rPr>
          <w:spacing w:val="40"/>
          <w:sz w:val="22"/>
        </w:rPr>
        <w:t> </w:t>
      </w:r>
      <w:r>
        <w:rPr>
          <w:sz w:val="22"/>
        </w:rPr>
        <w:t>cardiac</w:t>
      </w:r>
      <w:r>
        <w:rPr>
          <w:spacing w:val="40"/>
          <w:sz w:val="22"/>
        </w:rPr>
        <w:t> </w:t>
      </w:r>
      <w:r>
        <w:rPr>
          <w:sz w:val="22"/>
        </w:rPr>
        <w:t>catheterization.</w:t>
      </w:r>
      <w:r>
        <w:rPr>
          <w:spacing w:val="40"/>
          <w:sz w:val="22"/>
        </w:rPr>
        <w:t> </w:t>
      </w:r>
      <w:r>
        <w:rPr>
          <w:i/>
          <w:sz w:val="22"/>
        </w:rPr>
        <w:t>Ann</w:t>
      </w:r>
      <w:r>
        <w:rPr>
          <w:i/>
          <w:spacing w:val="40"/>
          <w:sz w:val="22"/>
        </w:rPr>
        <w:t> </w:t>
      </w:r>
      <w:r>
        <w:rPr>
          <w:i/>
          <w:sz w:val="22"/>
        </w:rPr>
        <w:t>Intern</w:t>
      </w:r>
      <w:r>
        <w:rPr>
          <w:i/>
          <w:spacing w:val="40"/>
          <w:sz w:val="22"/>
        </w:rPr>
        <w:t> </w:t>
      </w:r>
      <w:r>
        <w:rPr>
          <w:i/>
          <w:sz w:val="22"/>
        </w:rPr>
        <w:t>Med</w:t>
      </w:r>
      <w:r>
        <w:rPr>
          <w:sz w:val="22"/>
        </w:rPr>
        <w:t>. </w:t>
      </w:r>
      <w:r>
        <w:rPr>
          <w:spacing w:val="-2"/>
          <w:sz w:val="22"/>
        </w:rPr>
        <w:t>1997;126:32.</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Solomon CG, Hu FB, Dunaif A, et al. Menstrual cycle irregularity and risk for </w:t>
      </w:r>
      <w:r>
        <w:rPr>
          <w:sz w:val="22"/>
        </w:rPr>
        <w:t>future cardiovascular disease. </w:t>
      </w:r>
      <w:r>
        <w:rPr>
          <w:i/>
          <w:sz w:val="22"/>
        </w:rPr>
        <w:t>J Clin Endocrinol Metab</w:t>
      </w:r>
      <w:r>
        <w:rPr>
          <w:sz w:val="22"/>
        </w:rPr>
        <w:t>. 2002;87:2013.</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Liu PY, Death AK, Handelsman DJ. Androgens and cardiovascular disease. </w:t>
      </w:r>
      <w:r>
        <w:rPr>
          <w:i/>
          <w:sz w:val="22"/>
        </w:rPr>
        <w:t>Endocr </w:t>
      </w:r>
      <w:r>
        <w:rPr>
          <w:i/>
          <w:sz w:val="22"/>
        </w:rPr>
        <w:t>Rev</w:t>
      </w:r>
      <w:r>
        <w:rPr>
          <w:sz w:val="22"/>
        </w:rPr>
        <w:t>. </w:t>
      </w:r>
      <w:r>
        <w:rPr>
          <w:spacing w:val="-2"/>
          <w:sz w:val="22"/>
        </w:rPr>
        <w:t>2003;24:313.</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Muller M, Grobbee DE, den Tonkelaar I, Lamberts SW, Van der Schouw YT. Endogenous sex hormones and metabolic syndrome in aging men. </w:t>
      </w:r>
      <w:r>
        <w:rPr>
          <w:i/>
          <w:sz w:val="22"/>
        </w:rPr>
        <w:t>J Clin Endocrinol Metab</w:t>
      </w:r>
      <w:r>
        <w:rPr>
          <w:sz w:val="22"/>
        </w:rPr>
        <w:t>. 2005;90:2618.</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Kupelian</w:t>
      </w:r>
      <w:r>
        <w:rPr>
          <w:spacing w:val="40"/>
          <w:sz w:val="22"/>
        </w:rPr>
        <w:t> </w:t>
      </w:r>
      <w:r>
        <w:rPr>
          <w:sz w:val="22"/>
        </w:rPr>
        <w:t>V,</w:t>
      </w:r>
      <w:r>
        <w:rPr>
          <w:spacing w:val="40"/>
          <w:sz w:val="22"/>
        </w:rPr>
        <w:t> </w:t>
      </w:r>
      <w:r>
        <w:rPr>
          <w:sz w:val="22"/>
        </w:rPr>
        <w:t>Page</w:t>
      </w:r>
      <w:r>
        <w:rPr>
          <w:spacing w:val="40"/>
          <w:sz w:val="22"/>
        </w:rPr>
        <w:t> </w:t>
      </w:r>
      <w:r>
        <w:rPr>
          <w:sz w:val="22"/>
        </w:rPr>
        <w:t>ST,</w:t>
      </w:r>
      <w:r>
        <w:rPr>
          <w:spacing w:val="40"/>
          <w:sz w:val="22"/>
        </w:rPr>
        <w:t> </w:t>
      </w:r>
      <w:r>
        <w:rPr>
          <w:sz w:val="22"/>
        </w:rPr>
        <w:t>Araujo</w:t>
      </w:r>
      <w:r>
        <w:rPr>
          <w:spacing w:val="40"/>
          <w:sz w:val="22"/>
        </w:rPr>
        <w:t> </w:t>
      </w:r>
      <w:r>
        <w:rPr>
          <w:sz w:val="22"/>
        </w:rPr>
        <w:t>AB,</w:t>
      </w:r>
      <w:r>
        <w:rPr>
          <w:spacing w:val="40"/>
          <w:sz w:val="22"/>
        </w:rPr>
        <w:t> </w:t>
      </w:r>
      <w:r>
        <w:rPr>
          <w:sz w:val="22"/>
        </w:rPr>
        <w:t>Travison</w:t>
      </w:r>
      <w:r>
        <w:rPr>
          <w:spacing w:val="40"/>
          <w:sz w:val="22"/>
        </w:rPr>
        <w:t> </w:t>
      </w:r>
      <w:r>
        <w:rPr>
          <w:sz w:val="22"/>
        </w:rPr>
        <w:t>TG,</w:t>
      </w:r>
      <w:r>
        <w:rPr>
          <w:spacing w:val="40"/>
          <w:sz w:val="22"/>
        </w:rPr>
        <w:t> </w:t>
      </w:r>
      <w:r>
        <w:rPr>
          <w:sz w:val="22"/>
        </w:rPr>
        <w:t>Bremner</w:t>
      </w:r>
      <w:r>
        <w:rPr>
          <w:spacing w:val="40"/>
          <w:sz w:val="22"/>
        </w:rPr>
        <w:t> </w:t>
      </w:r>
      <w:r>
        <w:rPr>
          <w:sz w:val="22"/>
        </w:rPr>
        <w:t>WJ,</w:t>
      </w:r>
      <w:r>
        <w:rPr>
          <w:spacing w:val="40"/>
          <w:sz w:val="22"/>
        </w:rPr>
        <w:t> </w:t>
      </w:r>
      <w:r>
        <w:rPr>
          <w:sz w:val="22"/>
        </w:rPr>
        <w:t>McKinlay</w:t>
      </w:r>
      <w:r>
        <w:rPr>
          <w:spacing w:val="40"/>
          <w:sz w:val="22"/>
        </w:rPr>
        <w:t> </w:t>
      </w:r>
      <w:r>
        <w:rPr>
          <w:sz w:val="22"/>
        </w:rPr>
        <w:t>JB.</w:t>
      </w:r>
      <w:r>
        <w:rPr>
          <w:spacing w:val="40"/>
          <w:sz w:val="22"/>
        </w:rPr>
        <w:t> </w:t>
      </w:r>
      <w:r>
        <w:rPr>
          <w:sz w:val="22"/>
        </w:rPr>
        <w:t>Low</w:t>
      </w:r>
      <w:r>
        <w:rPr>
          <w:spacing w:val="40"/>
          <w:sz w:val="22"/>
        </w:rPr>
        <w:t> </w:t>
      </w:r>
      <w:r>
        <w:rPr>
          <w:sz w:val="22"/>
        </w:rPr>
        <w:t>sex hormone-binding globulin, total testosterone, and symptomatic androgen deficiency are associated with development of the metabolic syndrome in nonobese men. </w:t>
      </w:r>
      <w:r>
        <w:rPr>
          <w:i/>
          <w:sz w:val="22"/>
        </w:rPr>
        <w:t>J Clin Endocrinol</w:t>
      </w:r>
      <w:r>
        <w:rPr>
          <w:i/>
          <w:sz w:val="22"/>
        </w:rPr>
        <w:t> Metab</w:t>
      </w:r>
      <w:r>
        <w:rPr>
          <w:sz w:val="22"/>
        </w:rPr>
        <w:t>. 2006;91:843.</w:t>
      </w:r>
    </w:p>
    <w:p>
      <w:pPr>
        <w:pStyle w:val="ListParagraph"/>
        <w:numPr>
          <w:ilvl w:val="0"/>
          <w:numId w:val="9"/>
        </w:numPr>
        <w:tabs>
          <w:tab w:pos="709" w:val="left" w:leader="none"/>
          <w:tab w:pos="718" w:val="left" w:leader="none"/>
        </w:tabs>
        <w:spacing w:line="256" w:lineRule="auto" w:before="0" w:after="0"/>
        <w:ind w:left="718" w:right="107" w:hanging="507"/>
        <w:jc w:val="both"/>
        <w:rPr>
          <w:sz w:val="22"/>
        </w:rPr>
      </w:pPr>
      <w:r>
        <w:rPr>
          <w:sz w:val="22"/>
        </w:rPr>
        <w:t>Malkin CJ, Pugh PJ, West JN, van Beek EJ, Jones TH, Channer KS. Testosterone therapy in</w:t>
      </w:r>
      <w:r>
        <w:rPr>
          <w:spacing w:val="40"/>
          <w:sz w:val="22"/>
        </w:rPr>
        <w:t> </w:t>
      </w:r>
      <w:r>
        <w:rPr>
          <w:sz w:val="22"/>
        </w:rPr>
        <w:t>men with moderate severity heart failure: a double-blind randomized placebo controlled </w:t>
      </w:r>
      <w:r>
        <w:rPr>
          <w:sz w:val="22"/>
        </w:rPr>
        <w:t>trial. </w:t>
      </w:r>
      <w:r>
        <w:rPr>
          <w:i/>
          <w:sz w:val="22"/>
        </w:rPr>
        <w:t>Eur Heart J</w:t>
      </w:r>
      <w:r>
        <w:rPr>
          <w:sz w:val="22"/>
        </w:rPr>
        <w:t>. 2006;27:57.</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Lambrinoudaki</w:t>
      </w:r>
      <w:r>
        <w:rPr>
          <w:spacing w:val="40"/>
          <w:sz w:val="22"/>
        </w:rPr>
        <w:t> </w:t>
      </w:r>
      <w:r>
        <w:rPr>
          <w:sz w:val="22"/>
        </w:rPr>
        <w:t>I,</w:t>
      </w:r>
      <w:r>
        <w:rPr>
          <w:spacing w:val="40"/>
          <w:sz w:val="22"/>
        </w:rPr>
        <w:t> </w:t>
      </w:r>
      <w:r>
        <w:rPr>
          <w:sz w:val="22"/>
        </w:rPr>
        <w:t>Christodoulakos</w:t>
      </w:r>
      <w:r>
        <w:rPr>
          <w:spacing w:val="40"/>
          <w:sz w:val="22"/>
        </w:rPr>
        <w:t> </w:t>
      </w:r>
      <w:r>
        <w:rPr>
          <w:sz w:val="22"/>
        </w:rPr>
        <w:t>G,</w:t>
      </w:r>
      <w:r>
        <w:rPr>
          <w:spacing w:val="40"/>
          <w:sz w:val="22"/>
        </w:rPr>
        <w:t> </w:t>
      </w:r>
      <w:r>
        <w:rPr>
          <w:sz w:val="22"/>
        </w:rPr>
        <w:t>Rizos</w:t>
      </w:r>
      <w:r>
        <w:rPr>
          <w:spacing w:val="40"/>
          <w:sz w:val="22"/>
        </w:rPr>
        <w:t> </w:t>
      </w:r>
      <w:r>
        <w:rPr>
          <w:sz w:val="22"/>
        </w:rPr>
        <w:t>D,</w:t>
      </w:r>
      <w:r>
        <w:rPr>
          <w:spacing w:val="40"/>
          <w:sz w:val="22"/>
        </w:rPr>
        <w:t> </w:t>
      </w:r>
      <w:r>
        <w:rPr>
          <w:sz w:val="22"/>
        </w:rPr>
        <w:t>et</w:t>
      </w:r>
      <w:r>
        <w:rPr>
          <w:spacing w:val="40"/>
          <w:sz w:val="22"/>
        </w:rPr>
        <w:t> </w:t>
      </w:r>
      <w:r>
        <w:rPr>
          <w:sz w:val="22"/>
        </w:rPr>
        <w:t>al.</w:t>
      </w:r>
      <w:r>
        <w:rPr>
          <w:spacing w:val="40"/>
          <w:sz w:val="22"/>
        </w:rPr>
        <w:t> </w:t>
      </w:r>
      <w:r>
        <w:rPr>
          <w:sz w:val="22"/>
        </w:rPr>
        <w:t>Endogenous</w:t>
      </w:r>
      <w:r>
        <w:rPr>
          <w:spacing w:val="40"/>
          <w:sz w:val="22"/>
        </w:rPr>
        <w:t> </w:t>
      </w:r>
      <w:r>
        <w:rPr>
          <w:sz w:val="22"/>
        </w:rPr>
        <w:t>sex</w:t>
      </w:r>
      <w:r>
        <w:rPr>
          <w:spacing w:val="40"/>
          <w:sz w:val="22"/>
        </w:rPr>
        <w:t> </w:t>
      </w:r>
      <w:r>
        <w:rPr>
          <w:sz w:val="22"/>
        </w:rPr>
        <w:t>hormones</w:t>
      </w:r>
      <w:r>
        <w:rPr>
          <w:spacing w:val="40"/>
          <w:sz w:val="22"/>
        </w:rPr>
        <w:t> </w:t>
      </w:r>
      <w:r>
        <w:rPr>
          <w:sz w:val="22"/>
        </w:rPr>
        <w:t>and</w:t>
      </w:r>
      <w:r>
        <w:rPr>
          <w:spacing w:val="40"/>
          <w:sz w:val="22"/>
        </w:rPr>
        <w:t> </w:t>
      </w:r>
      <w:r>
        <w:rPr>
          <w:sz w:val="22"/>
        </w:rPr>
        <w:t>risk factors for atherosclerosis in healthy Greek postmenopausal women. </w:t>
      </w:r>
      <w:r>
        <w:rPr>
          <w:i/>
          <w:sz w:val="22"/>
        </w:rPr>
        <w:t>Eur J Endocrinol</w:t>
      </w:r>
      <w:r>
        <w:rPr>
          <w:sz w:val="22"/>
        </w:rPr>
        <w:t>. </w:t>
      </w:r>
      <w:r>
        <w:rPr>
          <w:spacing w:val="-2"/>
          <w:sz w:val="22"/>
        </w:rPr>
        <w:t>2006;154:907.</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Mudali S, Dobs AS, Ding J, Cauley JA, Szklo M, Golden SH; Atherosclerosis Risk </w:t>
      </w:r>
      <w:r>
        <w:rPr>
          <w:sz w:val="22"/>
        </w:rPr>
        <w:t>in Communities Study. Endogenous postmenopausal hormones and serum lipids: the atherosclerosis risk in communities study. </w:t>
      </w:r>
      <w:r>
        <w:rPr>
          <w:i/>
          <w:sz w:val="22"/>
        </w:rPr>
        <w:t>J Clin Endocrinol Metab</w:t>
      </w:r>
      <w:r>
        <w:rPr>
          <w:sz w:val="22"/>
        </w:rPr>
        <w:t>. 2005;90:1202.</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Bernini GP, Moretti A, Sgro M, et al. Influence of endogenous androgens on carotid wall </w:t>
      </w:r>
      <w:r>
        <w:rPr>
          <w:sz w:val="22"/>
        </w:rPr>
        <w:t>in postmenopausal women. </w:t>
      </w:r>
      <w:r>
        <w:rPr>
          <w:i/>
          <w:sz w:val="22"/>
        </w:rPr>
        <w:t>Menopause</w:t>
      </w:r>
      <w:r>
        <w:rPr>
          <w:sz w:val="22"/>
        </w:rPr>
        <w:t>. 2001;8:43.</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Golden SH, Maguire A, Ding J, et al. Endogenous postmenopausal hormones and </w:t>
      </w:r>
      <w:r>
        <w:rPr>
          <w:sz w:val="22"/>
        </w:rPr>
        <w:t>carotid atherosclerosis: a case-control study of the atherosclerosis risk in communities cohort. </w:t>
      </w:r>
      <w:r>
        <w:rPr>
          <w:i/>
          <w:sz w:val="22"/>
        </w:rPr>
        <w:t>Am J</w:t>
      </w:r>
      <w:r>
        <w:rPr>
          <w:i/>
          <w:sz w:val="22"/>
        </w:rPr>
        <w:t> Epidemiol</w:t>
      </w:r>
      <w:r>
        <w:rPr>
          <w:sz w:val="22"/>
        </w:rPr>
        <w:t>. 2002;155:437.</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Clarkson TB. Estrogen effects on arteries vary with stage of reproductive life and extent of subclinical atherosclerosis progression. </w:t>
      </w:r>
      <w:r>
        <w:rPr>
          <w:i/>
          <w:sz w:val="22"/>
        </w:rPr>
        <w:t>Menopause</w:t>
      </w:r>
      <w:r>
        <w:rPr>
          <w:sz w:val="22"/>
        </w:rPr>
        <w:t>. 2007;14:373.</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Huang AJ, Sawaya GF, Vittinghoff E, Lin F, Grady D. Hot flushes, coronary heart disease, and hormone therapy in postmenopausal women. </w:t>
      </w:r>
      <w:r>
        <w:rPr>
          <w:i/>
          <w:sz w:val="22"/>
        </w:rPr>
        <w:t>Menopause</w:t>
      </w:r>
      <w:r>
        <w:rPr>
          <w:sz w:val="22"/>
        </w:rPr>
        <w:t>. 2018;25(11):1286-1290.</w:t>
      </w:r>
    </w:p>
    <w:p>
      <w:pPr>
        <w:pStyle w:val="ListParagraph"/>
        <w:numPr>
          <w:ilvl w:val="0"/>
          <w:numId w:val="9"/>
        </w:numPr>
        <w:tabs>
          <w:tab w:pos="709" w:val="left" w:leader="none"/>
          <w:tab w:pos="718" w:val="left" w:leader="none"/>
        </w:tabs>
        <w:spacing w:line="256" w:lineRule="auto" w:before="0" w:after="0"/>
        <w:ind w:left="718" w:right="102" w:hanging="507"/>
        <w:jc w:val="both"/>
        <w:rPr>
          <w:i/>
          <w:sz w:val="22"/>
        </w:rPr>
      </w:pPr>
      <w:r>
        <w:rPr>
          <w:sz w:val="22"/>
        </w:rPr>
        <w:t>Salpeter SR, Walsh JME, Greyber E, Salpeter EE. Brief report: coronary heart disease events associated</w:t>
      </w:r>
      <w:r>
        <w:rPr>
          <w:spacing w:val="23"/>
          <w:sz w:val="22"/>
        </w:rPr>
        <w:t> </w:t>
      </w:r>
      <w:r>
        <w:rPr>
          <w:sz w:val="22"/>
        </w:rPr>
        <w:t>with</w:t>
      </w:r>
      <w:r>
        <w:rPr>
          <w:spacing w:val="23"/>
          <w:sz w:val="22"/>
        </w:rPr>
        <w:t> </w:t>
      </w:r>
      <w:r>
        <w:rPr>
          <w:sz w:val="22"/>
        </w:rPr>
        <w:t>hormone</w:t>
      </w:r>
      <w:r>
        <w:rPr>
          <w:spacing w:val="23"/>
          <w:sz w:val="22"/>
        </w:rPr>
        <w:t> </w:t>
      </w:r>
      <w:r>
        <w:rPr>
          <w:sz w:val="22"/>
        </w:rPr>
        <w:t>therapy</w:t>
      </w:r>
      <w:r>
        <w:rPr>
          <w:spacing w:val="23"/>
          <w:sz w:val="22"/>
        </w:rPr>
        <w:t> </w:t>
      </w:r>
      <w:r>
        <w:rPr>
          <w:sz w:val="22"/>
        </w:rPr>
        <w:t>in</w:t>
      </w:r>
      <w:r>
        <w:rPr>
          <w:spacing w:val="23"/>
          <w:sz w:val="22"/>
        </w:rPr>
        <w:t> </w:t>
      </w:r>
      <w:r>
        <w:rPr>
          <w:sz w:val="22"/>
        </w:rPr>
        <w:t>younger</w:t>
      </w:r>
      <w:r>
        <w:rPr>
          <w:spacing w:val="23"/>
          <w:sz w:val="22"/>
        </w:rPr>
        <w:t> </w:t>
      </w:r>
      <w:r>
        <w:rPr>
          <w:sz w:val="22"/>
        </w:rPr>
        <w:t>and</w:t>
      </w:r>
      <w:r>
        <w:rPr>
          <w:spacing w:val="23"/>
          <w:sz w:val="22"/>
        </w:rPr>
        <w:t> </w:t>
      </w:r>
      <w:r>
        <w:rPr>
          <w:sz w:val="22"/>
        </w:rPr>
        <w:t>older</w:t>
      </w:r>
      <w:r>
        <w:rPr>
          <w:spacing w:val="23"/>
          <w:sz w:val="22"/>
        </w:rPr>
        <w:t> </w:t>
      </w:r>
      <w:r>
        <w:rPr>
          <w:sz w:val="22"/>
        </w:rPr>
        <w:t>women:</w:t>
      </w:r>
      <w:r>
        <w:rPr>
          <w:spacing w:val="23"/>
          <w:sz w:val="22"/>
        </w:rPr>
        <w:t> </w:t>
      </w:r>
      <w:r>
        <w:rPr>
          <w:sz w:val="22"/>
        </w:rPr>
        <w:t>a</w:t>
      </w:r>
      <w:r>
        <w:rPr>
          <w:spacing w:val="23"/>
          <w:sz w:val="22"/>
        </w:rPr>
        <w:t> </w:t>
      </w:r>
      <w:r>
        <w:rPr>
          <w:sz w:val="22"/>
        </w:rPr>
        <w:t>meta-analysis.</w:t>
      </w:r>
      <w:r>
        <w:rPr>
          <w:spacing w:val="23"/>
          <w:sz w:val="22"/>
        </w:rPr>
        <w:t> </w:t>
      </w:r>
      <w:r>
        <w:rPr>
          <w:i/>
          <w:sz w:val="22"/>
        </w:rPr>
        <w:t>J</w:t>
      </w:r>
      <w:r>
        <w:rPr>
          <w:i/>
          <w:spacing w:val="27"/>
          <w:sz w:val="22"/>
        </w:rPr>
        <w:t> </w:t>
      </w:r>
      <w:r>
        <w:rPr>
          <w:i/>
          <w:sz w:val="22"/>
        </w:rPr>
        <w:t>Gen</w:t>
      </w:r>
      <w:r>
        <w:rPr>
          <w:i/>
          <w:spacing w:val="27"/>
          <w:sz w:val="22"/>
        </w:rPr>
        <w:t> </w:t>
      </w:r>
      <w:r>
        <w:rPr>
          <w:i/>
          <w:sz w:val="22"/>
        </w:rPr>
        <w:t>Intern</w:t>
      </w:r>
    </w:p>
    <w:p>
      <w:pPr>
        <w:pStyle w:val="ListParagraph"/>
        <w:spacing w:after="0" w:line="256" w:lineRule="auto"/>
        <w:jc w:val="both"/>
        <w:rPr>
          <w:i/>
          <w:sz w:val="22"/>
        </w:rPr>
        <w:sectPr>
          <w:pgSz w:w="12240" w:h="15840"/>
          <w:pgMar w:top="1360" w:bottom="280" w:left="1440" w:right="1440"/>
        </w:sectPr>
      </w:pPr>
    </w:p>
    <w:p>
      <w:pPr>
        <w:spacing w:before="84"/>
        <w:ind w:left="718" w:right="0" w:firstLine="0"/>
        <w:jc w:val="both"/>
        <w:rPr>
          <w:sz w:val="22"/>
        </w:rPr>
      </w:pPr>
      <w:r>
        <w:rPr>
          <w:i/>
          <w:sz w:val="22"/>
        </w:rPr>
        <w:t>Med</w:t>
      </w:r>
      <w:r>
        <w:rPr>
          <w:sz w:val="22"/>
        </w:rPr>
        <w:t>.</w:t>
      </w:r>
      <w:r>
        <w:rPr>
          <w:spacing w:val="8"/>
          <w:sz w:val="22"/>
        </w:rPr>
        <w:t> </w:t>
      </w:r>
      <w:r>
        <w:rPr>
          <w:spacing w:val="-2"/>
          <w:sz w:val="22"/>
        </w:rPr>
        <w:t>2006;21:363.</w:t>
      </w:r>
    </w:p>
    <w:p>
      <w:pPr>
        <w:pStyle w:val="ListParagraph"/>
        <w:numPr>
          <w:ilvl w:val="0"/>
          <w:numId w:val="9"/>
        </w:numPr>
        <w:tabs>
          <w:tab w:pos="709" w:val="left" w:leader="none"/>
          <w:tab w:pos="718" w:val="left" w:leader="none"/>
        </w:tabs>
        <w:spacing w:line="256" w:lineRule="auto" w:before="17" w:after="0"/>
        <w:ind w:left="718" w:right="98" w:hanging="507"/>
        <w:jc w:val="both"/>
        <w:rPr>
          <w:sz w:val="22"/>
        </w:rPr>
      </w:pPr>
      <w:r>
        <w:rPr>
          <w:sz w:val="22"/>
        </w:rPr>
        <w:t>Salpeter SR, Walsh JME, Greyber E, Ormiston TM, Salpeter EE. Mortality associated with hormone</w:t>
      </w:r>
      <w:r>
        <w:rPr>
          <w:spacing w:val="40"/>
          <w:sz w:val="22"/>
        </w:rPr>
        <w:t> </w:t>
      </w:r>
      <w:r>
        <w:rPr>
          <w:sz w:val="22"/>
        </w:rPr>
        <w:t>replacement</w:t>
      </w:r>
      <w:r>
        <w:rPr>
          <w:spacing w:val="40"/>
          <w:sz w:val="22"/>
        </w:rPr>
        <w:t> </w:t>
      </w:r>
      <w:r>
        <w:rPr>
          <w:sz w:val="22"/>
        </w:rPr>
        <w:t>therapy</w:t>
      </w:r>
      <w:r>
        <w:rPr>
          <w:spacing w:val="40"/>
          <w:sz w:val="22"/>
        </w:rPr>
        <w:t> </w:t>
      </w:r>
      <w:r>
        <w:rPr>
          <w:sz w:val="22"/>
        </w:rPr>
        <w:t>in</w:t>
      </w:r>
      <w:r>
        <w:rPr>
          <w:spacing w:val="40"/>
          <w:sz w:val="22"/>
        </w:rPr>
        <w:t> </w:t>
      </w:r>
      <w:r>
        <w:rPr>
          <w:sz w:val="22"/>
        </w:rPr>
        <w:t>younger</w:t>
      </w:r>
      <w:r>
        <w:rPr>
          <w:spacing w:val="40"/>
          <w:sz w:val="22"/>
        </w:rPr>
        <w:t> </w:t>
      </w:r>
      <w:r>
        <w:rPr>
          <w:sz w:val="22"/>
        </w:rPr>
        <w:t>and</w:t>
      </w:r>
      <w:r>
        <w:rPr>
          <w:spacing w:val="40"/>
          <w:sz w:val="22"/>
        </w:rPr>
        <w:t> </w:t>
      </w:r>
      <w:r>
        <w:rPr>
          <w:sz w:val="22"/>
        </w:rPr>
        <w:t>older</w:t>
      </w:r>
      <w:r>
        <w:rPr>
          <w:spacing w:val="40"/>
          <w:sz w:val="22"/>
        </w:rPr>
        <w:t> </w:t>
      </w:r>
      <w:r>
        <w:rPr>
          <w:sz w:val="22"/>
        </w:rPr>
        <w:t>women:</w:t>
      </w:r>
      <w:r>
        <w:rPr>
          <w:spacing w:val="40"/>
          <w:sz w:val="22"/>
        </w:rPr>
        <w:t> </w:t>
      </w:r>
      <w:r>
        <w:rPr>
          <w:sz w:val="22"/>
        </w:rPr>
        <w:t>a</w:t>
      </w:r>
      <w:r>
        <w:rPr>
          <w:spacing w:val="40"/>
          <w:sz w:val="22"/>
        </w:rPr>
        <w:t> </w:t>
      </w:r>
      <w:r>
        <w:rPr>
          <w:sz w:val="22"/>
        </w:rPr>
        <w:t>meta-analysis.</w:t>
      </w:r>
      <w:r>
        <w:rPr>
          <w:spacing w:val="40"/>
          <w:sz w:val="22"/>
        </w:rPr>
        <w:t> </w:t>
      </w:r>
      <w:r>
        <w:rPr>
          <w:i/>
          <w:sz w:val="22"/>
        </w:rPr>
        <w:t>J</w:t>
      </w:r>
      <w:r>
        <w:rPr>
          <w:i/>
          <w:spacing w:val="40"/>
          <w:sz w:val="22"/>
        </w:rPr>
        <w:t> </w:t>
      </w:r>
      <w:r>
        <w:rPr>
          <w:i/>
          <w:sz w:val="22"/>
        </w:rPr>
        <w:t>Gen</w:t>
      </w:r>
      <w:r>
        <w:rPr>
          <w:i/>
          <w:spacing w:val="40"/>
          <w:sz w:val="22"/>
        </w:rPr>
        <w:t> </w:t>
      </w:r>
      <w:r>
        <w:rPr>
          <w:i/>
          <w:sz w:val="22"/>
        </w:rPr>
        <w:t>Intern</w:t>
      </w:r>
      <w:r>
        <w:rPr>
          <w:i/>
          <w:sz w:val="22"/>
        </w:rPr>
        <w:t> Med</w:t>
      </w:r>
      <w:r>
        <w:rPr>
          <w:sz w:val="22"/>
        </w:rPr>
        <w:t>. 2004;19:791.</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Thurston RC. Vasomotor symptoms and cardiovascular health: findings from the SWAN </w:t>
      </w:r>
      <w:r>
        <w:rPr>
          <w:sz w:val="22"/>
        </w:rPr>
        <w:t>and</w:t>
      </w:r>
      <w:r>
        <w:rPr>
          <w:spacing w:val="80"/>
          <w:sz w:val="22"/>
        </w:rPr>
        <w:t> </w:t>
      </w:r>
      <w:r>
        <w:rPr>
          <w:sz w:val="22"/>
        </w:rPr>
        <w:t>the MsHeart/MsBrain studies. </w:t>
      </w:r>
      <w:r>
        <w:rPr>
          <w:i/>
          <w:sz w:val="22"/>
        </w:rPr>
        <w:t>Climacteric</w:t>
      </w:r>
      <w:r>
        <w:rPr>
          <w:sz w:val="22"/>
        </w:rPr>
        <w:t>. 2024;27(1):75-80.</w:t>
      </w:r>
    </w:p>
    <w:p>
      <w:pPr>
        <w:pStyle w:val="ListParagraph"/>
        <w:numPr>
          <w:ilvl w:val="0"/>
          <w:numId w:val="9"/>
        </w:numPr>
        <w:tabs>
          <w:tab w:pos="709" w:val="left" w:leader="none"/>
          <w:tab w:pos="718" w:val="left" w:leader="none"/>
        </w:tabs>
        <w:spacing w:line="256" w:lineRule="auto" w:before="0" w:after="0"/>
        <w:ind w:left="718" w:right="100" w:hanging="507"/>
        <w:jc w:val="both"/>
        <w:rPr>
          <w:sz w:val="22"/>
        </w:rPr>
      </w:pPr>
      <w:r>
        <w:rPr>
          <w:sz w:val="22"/>
        </w:rPr>
        <w:t>Mehta JM, Manson JE. The menopausal transition period and cardiovascular risk. </w:t>
      </w:r>
      <w:r>
        <w:rPr>
          <w:i/>
          <w:sz w:val="22"/>
        </w:rPr>
        <w:t>Nat </w:t>
      </w:r>
      <w:r>
        <w:rPr>
          <w:i/>
          <w:sz w:val="22"/>
        </w:rPr>
        <w:t>Rev</w:t>
      </w:r>
      <w:r>
        <w:rPr>
          <w:i/>
          <w:sz w:val="22"/>
        </w:rPr>
        <w:t> Cardiol</w:t>
      </w:r>
      <w:r>
        <w:rPr>
          <w:sz w:val="22"/>
        </w:rPr>
        <w:t>. 2024;21(3):203-211.</w:t>
      </w:r>
    </w:p>
    <w:p>
      <w:pPr>
        <w:pStyle w:val="ListParagraph"/>
        <w:numPr>
          <w:ilvl w:val="0"/>
          <w:numId w:val="9"/>
        </w:numPr>
        <w:tabs>
          <w:tab w:pos="709" w:val="left" w:leader="none"/>
          <w:tab w:pos="718" w:val="left" w:leader="none"/>
        </w:tabs>
        <w:spacing w:line="256" w:lineRule="auto" w:before="0" w:after="0"/>
        <w:ind w:left="718" w:right="111" w:hanging="507"/>
        <w:jc w:val="both"/>
        <w:rPr>
          <w:sz w:val="22"/>
        </w:rPr>
      </w:pPr>
      <w:r>
        <w:rPr>
          <w:sz w:val="22"/>
        </w:rPr>
        <w:t>Franco OH, Muka T, Colpani V, et al. Vasomotor symptoms in women and cardiovascular </w:t>
      </w:r>
      <w:r>
        <w:rPr>
          <w:sz w:val="22"/>
        </w:rPr>
        <w:t>risk markers: systematic review and meta-analysis. </w:t>
      </w:r>
      <w:r>
        <w:rPr>
          <w:i/>
          <w:sz w:val="22"/>
        </w:rPr>
        <w:t>Maturitas</w:t>
      </w:r>
      <w:r>
        <w:rPr>
          <w:sz w:val="22"/>
        </w:rPr>
        <w:t>. 2015;81(3):353-361.</w:t>
      </w:r>
    </w:p>
    <w:p>
      <w:pPr>
        <w:pStyle w:val="ListParagraph"/>
        <w:numPr>
          <w:ilvl w:val="0"/>
          <w:numId w:val="9"/>
        </w:numPr>
        <w:tabs>
          <w:tab w:pos="709" w:val="left" w:leader="none"/>
          <w:tab w:pos="718" w:val="left" w:leader="none"/>
        </w:tabs>
        <w:spacing w:line="256" w:lineRule="auto" w:before="0" w:after="0"/>
        <w:ind w:left="718" w:right="112" w:hanging="507"/>
        <w:jc w:val="both"/>
        <w:rPr>
          <w:sz w:val="22"/>
        </w:rPr>
      </w:pPr>
      <w:r>
        <w:rPr>
          <w:sz w:val="22"/>
        </w:rPr>
        <w:t>Vartiainen E, Puska P, Pekkanen J, Tuomilehto J, Jousilahti P. Changes in risk factors explain changes in mortality from ischaemic heart disease in Finland. </w:t>
      </w:r>
      <w:r>
        <w:rPr>
          <w:i/>
          <w:sz w:val="22"/>
        </w:rPr>
        <w:t>Br Med J</w:t>
      </w:r>
      <w:r>
        <w:rPr>
          <w:sz w:val="22"/>
        </w:rPr>
        <w:t>. 1994;309:23.</w:t>
      </w:r>
    </w:p>
    <w:p>
      <w:pPr>
        <w:pStyle w:val="ListParagraph"/>
        <w:numPr>
          <w:ilvl w:val="0"/>
          <w:numId w:val="9"/>
        </w:numPr>
        <w:tabs>
          <w:tab w:pos="709" w:val="left" w:leader="none"/>
          <w:tab w:pos="718" w:val="left" w:leader="none"/>
        </w:tabs>
        <w:spacing w:line="256" w:lineRule="auto" w:before="0" w:after="0"/>
        <w:ind w:left="718" w:right="103" w:hanging="507"/>
        <w:jc w:val="both"/>
        <w:rPr>
          <w:sz w:val="22"/>
        </w:rPr>
      </w:pPr>
      <w:r>
        <w:rPr>
          <w:sz w:val="22"/>
        </w:rPr>
        <w:t>Vartiainen E, Sarti C, Tuomilehto J, Kuulasmaa K. Do changes in cardiovascular risk </w:t>
      </w:r>
      <w:r>
        <w:rPr>
          <w:sz w:val="22"/>
        </w:rPr>
        <w:t>factors explain changes in mortality from stroke in Finland? </w:t>
      </w:r>
      <w:r>
        <w:rPr>
          <w:i/>
          <w:sz w:val="22"/>
        </w:rPr>
        <w:t>Br Med J</w:t>
      </w:r>
      <w:r>
        <w:rPr>
          <w:sz w:val="22"/>
        </w:rPr>
        <w:t>. 1995;310:901.</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Hu FB, Stampfer MJ, Manson JE, et al. Trends in the incidence of coronary heart disease and changes in diet and lifestyle in women. </w:t>
      </w:r>
      <w:r>
        <w:rPr>
          <w:i/>
          <w:sz w:val="22"/>
        </w:rPr>
        <w:t>N Engl J Med</w:t>
      </w:r>
      <w:r>
        <w:rPr>
          <w:sz w:val="22"/>
        </w:rPr>
        <w:t>. 2000;343:530.</w:t>
      </w:r>
    </w:p>
    <w:p>
      <w:pPr>
        <w:pStyle w:val="ListParagraph"/>
        <w:numPr>
          <w:ilvl w:val="0"/>
          <w:numId w:val="9"/>
        </w:numPr>
        <w:tabs>
          <w:tab w:pos="709" w:val="left" w:leader="none"/>
          <w:tab w:pos="718" w:val="left" w:leader="none"/>
        </w:tabs>
        <w:spacing w:line="256" w:lineRule="auto" w:before="0" w:after="0"/>
        <w:ind w:left="718" w:right="109" w:hanging="507"/>
        <w:jc w:val="both"/>
        <w:rPr>
          <w:sz w:val="22"/>
        </w:rPr>
      </w:pPr>
      <w:r>
        <w:rPr>
          <w:sz w:val="22"/>
        </w:rPr>
        <w:t>El Khoudary SR. Gaps, limitations and new insights on endogenous estrogen and </w:t>
      </w:r>
      <w:r>
        <w:rPr>
          <w:sz w:val="22"/>
        </w:rPr>
        <w:t>follicle stimulating hormone as related to risk of cardiovascular disease in women traversing the menopause: a narrative review. </w:t>
      </w:r>
      <w:r>
        <w:rPr>
          <w:i/>
          <w:sz w:val="22"/>
        </w:rPr>
        <w:t>Maturitas</w:t>
      </w:r>
      <w:r>
        <w:rPr>
          <w:sz w:val="22"/>
        </w:rPr>
        <w:t>. 2017;104:44.</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Imai K, Sutton MY, Mdodo R, Del Rio C. HIV and menopause: a systematic review of the effects of HIV infection on age at menopause and the effects of menopause on response </w:t>
      </w:r>
      <w:r>
        <w:rPr>
          <w:sz w:val="22"/>
        </w:rPr>
        <w:t>to antiretroviral therapy. </w:t>
      </w:r>
      <w:r>
        <w:rPr>
          <w:i/>
          <w:sz w:val="22"/>
        </w:rPr>
        <w:t>Obstet Gynecol Int</w:t>
      </w:r>
      <w:r>
        <w:rPr>
          <w:sz w:val="22"/>
        </w:rPr>
        <w:t>. 2013;2013:340309.</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Graham EE, Michala L, Hachfeld A, Moseholm E; Women Against Viruses in Europe,</w:t>
      </w:r>
      <w:r>
        <w:rPr>
          <w:spacing w:val="40"/>
          <w:sz w:val="22"/>
        </w:rPr>
        <w:t> </w:t>
      </w:r>
      <w:r>
        <w:rPr>
          <w:sz w:val="22"/>
        </w:rPr>
        <w:t>European</w:t>
      </w:r>
      <w:r>
        <w:rPr>
          <w:spacing w:val="40"/>
          <w:sz w:val="22"/>
        </w:rPr>
        <w:t> </w:t>
      </w:r>
      <w:r>
        <w:rPr>
          <w:sz w:val="22"/>
        </w:rPr>
        <w:t>AIDS</w:t>
      </w:r>
      <w:r>
        <w:rPr>
          <w:spacing w:val="40"/>
          <w:sz w:val="22"/>
        </w:rPr>
        <w:t> </w:t>
      </w:r>
      <w:r>
        <w:rPr>
          <w:sz w:val="22"/>
        </w:rPr>
        <w:t>Clinical</w:t>
      </w:r>
      <w:r>
        <w:rPr>
          <w:spacing w:val="40"/>
          <w:sz w:val="22"/>
        </w:rPr>
        <w:t> </w:t>
      </w:r>
      <w:r>
        <w:rPr>
          <w:sz w:val="22"/>
        </w:rPr>
        <w:t>Society.</w:t>
      </w:r>
      <w:r>
        <w:rPr>
          <w:spacing w:val="40"/>
          <w:sz w:val="22"/>
        </w:rPr>
        <w:t> </w:t>
      </w:r>
      <w:r>
        <w:rPr>
          <w:sz w:val="22"/>
        </w:rPr>
        <w:t>Collection</w:t>
      </w:r>
      <w:r>
        <w:rPr>
          <w:spacing w:val="40"/>
          <w:sz w:val="22"/>
        </w:rPr>
        <w:t> </w:t>
      </w:r>
      <w:r>
        <w:rPr>
          <w:sz w:val="22"/>
        </w:rPr>
        <w:t>of</w:t>
      </w:r>
      <w:r>
        <w:rPr>
          <w:spacing w:val="40"/>
          <w:sz w:val="22"/>
        </w:rPr>
        <w:t> </w:t>
      </w:r>
      <w:r>
        <w:rPr>
          <w:sz w:val="22"/>
        </w:rPr>
        <w:t>menopause</w:t>
      </w:r>
      <w:r>
        <w:rPr>
          <w:spacing w:val="40"/>
          <w:sz w:val="22"/>
        </w:rPr>
        <w:t> </w:t>
      </w:r>
      <w:r>
        <w:rPr>
          <w:sz w:val="22"/>
        </w:rPr>
        <w:t>data</w:t>
      </w:r>
      <w:r>
        <w:rPr>
          <w:spacing w:val="40"/>
          <w:sz w:val="22"/>
        </w:rPr>
        <w:t> </w:t>
      </w:r>
      <w:r>
        <w:rPr>
          <w:sz w:val="22"/>
        </w:rPr>
        <w:t>in</w:t>
      </w:r>
      <w:r>
        <w:rPr>
          <w:spacing w:val="40"/>
          <w:sz w:val="22"/>
        </w:rPr>
        <w:t> </w:t>
      </w:r>
      <w:r>
        <w:rPr>
          <w:sz w:val="22"/>
        </w:rPr>
        <w:t>studies</w:t>
      </w:r>
      <w:r>
        <w:rPr>
          <w:spacing w:val="40"/>
          <w:sz w:val="22"/>
        </w:rPr>
        <w:t> </w:t>
      </w:r>
      <w:r>
        <w:rPr>
          <w:sz w:val="22"/>
        </w:rPr>
        <w:t>of</w:t>
      </w:r>
      <w:r>
        <w:rPr>
          <w:spacing w:val="40"/>
          <w:sz w:val="22"/>
        </w:rPr>
        <w:t> </w:t>
      </w:r>
      <w:r>
        <w:rPr>
          <w:sz w:val="22"/>
        </w:rPr>
        <w:t>women</w:t>
      </w:r>
      <w:r>
        <w:rPr>
          <w:spacing w:val="40"/>
          <w:sz w:val="22"/>
        </w:rPr>
        <w:t> </w:t>
      </w:r>
      <w:r>
        <w:rPr>
          <w:sz w:val="22"/>
        </w:rPr>
        <w:t>living with HIV: a systematic literature review. </w:t>
      </w:r>
      <w:r>
        <w:rPr>
          <w:i/>
          <w:sz w:val="22"/>
        </w:rPr>
        <w:t>HIV Med</w:t>
      </w:r>
      <w:r>
        <w:rPr>
          <w:sz w:val="22"/>
        </w:rPr>
        <w:t>. 2024;25(2):174-187.</w:t>
      </w:r>
    </w:p>
    <w:p>
      <w:pPr>
        <w:pStyle w:val="ListParagraph"/>
        <w:numPr>
          <w:ilvl w:val="0"/>
          <w:numId w:val="9"/>
        </w:numPr>
        <w:tabs>
          <w:tab w:pos="709" w:val="left" w:leader="none"/>
          <w:tab w:pos="718" w:val="left" w:leader="none"/>
        </w:tabs>
        <w:spacing w:line="256" w:lineRule="auto" w:before="0" w:after="0"/>
        <w:ind w:left="718" w:right="102" w:hanging="507"/>
        <w:jc w:val="both"/>
        <w:rPr>
          <w:sz w:val="22"/>
        </w:rPr>
      </w:pPr>
      <w:r>
        <w:rPr>
          <w:sz w:val="22"/>
        </w:rPr>
        <w:t>Van Ommen CE, King EM, Murray MCM. Age at menopause in women living with HIV: a systematic review. </w:t>
      </w:r>
      <w:r>
        <w:rPr>
          <w:i/>
          <w:sz w:val="22"/>
        </w:rPr>
        <w:t>Menopause</w:t>
      </w:r>
      <w:r>
        <w:rPr>
          <w:sz w:val="22"/>
        </w:rPr>
        <w:t>. 2021;28(12):1428-1436.</w:t>
      </w:r>
    </w:p>
    <w:p>
      <w:pPr>
        <w:pStyle w:val="ListParagraph"/>
        <w:numPr>
          <w:ilvl w:val="0"/>
          <w:numId w:val="9"/>
        </w:numPr>
        <w:tabs>
          <w:tab w:pos="709" w:val="left" w:leader="none"/>
          <w:tab w:pos="718" w:val="left" w:leader="none"/>
        </w:tabs>
        <w:spacing w:line="256" w:lineRule="auto" w:before="0" w:after="0"/>
        <w:ind w:left="718" w:right="101" w:hanging="507"/>
        <w:jc w:val="both"/>
        <w:rPr>
          <w:sz w:val="22"/>
        </w:rPr>
      </w:pPr>
      <w:r>
        <w:rPr>
          <w:sz w:val="22"/>
        </w:rPr>
        <w:t>King EM, Albert AY, Murray MCM. HIV and amenorrhea: a meta-analysis. </w:t>
      </w:r>
      <w:r>
        <w:rPr>
          <w:i/>
          <w:sz w:val="22"/>
        </w:rPr>
        <w:t>AIDS</w:t>
      </w:r>
      <w:r>
        <w:rPr>
          <w:sz w:val="22"/>
        </w:rPr>
        <w:t>. </w:t>
      </w:r>
      <w:r>
        <w:rPr>
          <w:spacing w:val="-2"/>
          <w:sz w:val="22"/>
        </w:rPr>
        <w:t>2019;33(3):483-491.</w:t>
      </w:r>
    </w:p>
    <w:p>
      <w:pPr>
        <w:pStyle w:val="ListParagraph"/>
        <w:numPr>
          <w:ilvl w:val="0"/>
          <w:numId w:val="9"/>
        </w:numPr>
        <w:tabs>
          <w:tab w:pos="709" w:val="left" w:leader="none"/>
          <w:tab w:pos="718" w:val="left" w:leader="none"/>
        </w:tabs>
        <w:spacing w:line="256" w:lineRule="auto" w:before="0" w:after="0"/>
        <w:ind w:left="718" w:right="105" w:hanging="507"/>
        <w:jc w:val="both"/>
        <w:rPr>
          <w:sz w:val="22"/>
        </w:rPr>
      </w:pPr>
      <w:r>
        <w:rPr>
          <w:sz w:val="22"/>
        </w:rPr>
        <w:t>Pal L, Bevilacqua K, Zeitlian G, Shu J, Santoro N. Implications of diminished ovarian reserve (DOR)</w:t>
      </w:r>
      <w:r>
        <w:rPr>
          <w:spacing w:val="40"/>
          <w:sz w:val="22"/>
        </w:rPr>
        <w:t> </w:t>
      </w:r>
      <w:r>
        <w:rPr>
          <w:sz w:val="22"/>
        </w:rPr>
        <w:t>extend</w:t>
      </w:r>
      <w:r>
        <w:rPr>
          <w:spacing w:val="40"/>
          <w:sz w:val="22"/>
        </w:rPr>
        <w:t> </w:t>
      </w:r>
      <w:r>
        <w:rPr>
          <w:sz w:val="22"/>
        </w:rPr>
        <w:t>well</w:t>
      </w:r>
      <w:r>
        <w:rPr>
          <w:spacing w:val="40"/>
          <w:sz w:val="22"/>
        </w:rPr>
        <w:t> </w:t>
      </w:r>
      <w:r>
        <w:rPr>
          <w:sz w:val="22"/>
        </w:rPr>
        <w:t>beyond</w:t>
      </w:r>
      <w:r>
        <w:rPr>
          <w:spacing w:val="40"/>
          <w:sz w:val="22"/>
        </w:rPr>
        <w:t> </w:t>
      </w:r>
      <w:r>
        <w:rPr>
          <w:sz w:val="22"/>
        </w:rPr>
        <w:t>reproductive</w:t>
      </w:r>
      <w:r>
        <w:rPr>
          <w:spacing w:val="40"/>
          <w:sz w:val="22"/>
        </w:rPr>
        <w:t> </w:t>
      </w:r>
      <w:r>
        <w:rPr>
          <w:sz w:val="22"/>
        </w:rPr>
        <w:t>concerns.</w:t>
      </w:r>
      <w:r>
        <w:rPr>
          <w:spacing w:val="40"/>
          <w:sz w:val="22"/>
        </w:rPr>
        <w:t> </w:t>
      </w:r>
      <w:r>
        <w:rPr>
          <w:i/>
          <w:sz w:val="22"/>
        </w:rPr>
        <w:t>Menopause</w:t>
      </w:r>
      <w:r>
        <w:rPr>
          <w:sz w:val="22"/>
        </w:rPr>
        <w:t>.</w:t>
      </w:r>
      <w:r>
        <w:rPr>
          <w:spacing w:val="40"/>
          <w:sz w:val="22"/>
        </w:rPr>
        <w:t> </w:t>
      </w:r>
      <w:r>
        <w:rPr>
          <w:sz w:val="22"/>
        </w:rPr>
        <w:t>2008;15(6):1086-1094.</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Verit FF, Keskin S, Omer B, Yalcinkaya S, Sakar N. Is there any relationship between cardiovascular risk markers and young women with diminished ovarian reserve? </w:t>
      </w:r>
      <w:r>
        <w:rPr>
          <w:i/>
          <w:sz w:val="22"/>
        </w:rPr>
        <w:t>Gynecol</w:t>
      </w:r>
      <w:r>
        <w:rPr>
          <w:i/>
          <w:sz w:val="22"/>
        </w:rPr>
        <w:t> Endocrinol</w:t>
      </w:r>
      <w:r>
        <w:rPr>
          <w:sz w:val="22"/>
        </w:rPr>
        <w:t>. 2014;30(10):697-700.</w:t>
      </w:r>
    </w:p>
    <w:p>
      <w:pPr>
        <w:pStyle w:val="ListParagraph"/>
        <w:numPr>
          <w:ilvl w:val="0"/>
          <w:numId w:val="9"/>
        </w:numPr>
        <w:tabs>
          <w:tab w:pos="709" w:val="left" w:leader="none"/>
          <w:tab w:pos="718" w:val="left" w:leader="none"/>
        </w:tabs>
        <w:spacing w:line="256" w:lineRule="auto" w:before="0" w:after="0"/>
        <w:ind w:left="718" w:right="108" w:hanging="507"/>
        <w:jc w:val="both"/>
        <w:rPr>
          <w:sz w:val="22"/>
        </w:rPr>
      </w:pPr>
      <w:r>
        <w:rPr>
          <w:sz w:val="22"/>
        </w:rPr>
        <w:t>Lu Y, Xia Z. Diminished ovarian reserve is associated with metabolic disturbances </w:t>
      </w:r>
      <w:r>
        <w:rPr>
          <w:sz w:val="22"/>
        </w:rPr>
        <w:t>and hyperhomocysteinemia in women with infertility. </w:t>
      </w:r>
      <w:r>
        <w:rPr>
          <w:i/>
          <w:sz w:val="22"/>
        </w:rPr>
        <w:t>J Obstet Gynaecol</w:t>
      </w:r>
      <w:r>
        <w:rPr>
          <w:sz w:val="22"/>
        </w:rPr>
        <w:t>. 2023;43(2):2282722.</w:t>
      </w:r>
    </w:p>
    <w:p>
      <w:pPr>
        <w:pStyle w:val="ListParagraph"/>
        <w:numPr>
          <w:ilvl w:val="0"/>
          <w:numId w:val="9"/>
        </w:numPr>
        <w:tabs>
          <w:tab w:pos="709" w:val="left" w:leader="none"/>
          <w:tab w:pos="718" w:val="left" w:leader="none"/>
        </w:tabs>
        <w:spacing w:line="256" w:lineRule="auto" w:before="0" w:after="0"/>
        <w:ind w:left="718" w:right="98" w:hanging="507"/>
        <w:jc w:val="both"/>
        <w:rPr>
          <w:sz w:val="22"/>
        </w:rPr>
      </w:pPr>
      <w:r>
        <w:rPr>
          <w:sz w:val="22"/>
        </w:rPr>
        <w:t>Szmidt NA, Bhattacharya S, Maheshwari A. Does poor ovarian response to </w:t>
      </w:r>
      <w:r>
        <w:rPr>
          <w:sz w:val="22"/>
        </w:rPr>
        <w:t>gonadotrophins predict early menopause? A retrospective cohort study with minimum of 10-year follow-up.</w:t>
      </w:r>
      <w:r>
        <w:rPr>
          <w:spacing w:val="40"/>
          <w:sz w:val="22"/>
        </w:rPr>
        <w:t> </w:t>
      </w:r>
      <w:r>
        <w:rPr>
          <w:i/>
          <w:sz w:val="22"/>
        </w:rPr>
        <w:t>Hum Fertil (Camb)</w:t>
      </w:r>
      <w:r>
        <w:rPr>
          <w:sz w:val="22"/>
        </w:rPr>
        <w:t>. 2016;19(3):212-219.</w:t>
      </w:r>
    </w:p>
    <w:p>
      <w:pPr>
        <w:pStyle w:val="ListParagraph"/>
        <w:numPr>
          <w:ilvl w:val="0"/>
          <w:numId w:val="9"/>
        </w:numPr>
        <w:tabs>
          <w:tab w:pos="709" w:val="left" w:leader="none"/>
          <w:tab w:pos="718" w:val="left" w:leader="none"/>
        </w:tabs>
        <w:spacing w:line="256" w:lineRule="auto" w:before="0" w:after="0"/>
        <w:ind w:left="718" w:right="99" w:hanging="507"/>
        <w:jc w:val="both"/>
        <w:rPr>
          <w:sz w:val="22"/>
        </w:rPr>
      </w:pPr>
      <w:r>
        <w:rPr>
          <w:sz w:val="22"/>
        </w:rPr>
        <w:t>US Preventive Services Task Force; Davidson KW, Barry MJ, Mangione CM, et al. </w:t>
      </w:r>
      <w:r>
        <w:rPr>
          <w:sz w:val="22"/>
        </w:rPr>
        <w:t>Screening for</w:t>
      </w:r>
      <w:r>
        <w:rPr>
          <w:spacing w:val="40"/>
          <w:sz w:val="22"/>
        </w:rPr>
        <w:t> </w:t>
      </w:r>
      <w:r>
        <w:rPr>
          <w:sz w:val="22"/>
        </w:rPr>
        <w:t>colorectal</w:t>
      </w:r>
      <w:r>
        <w:rPr>
          <w:spacing w:val="40"/>
          <w:sz w:val="22"/>
        </w:rPr>
        <w:t> </w:t>
      </w:r>
      <w:r>
        <w:rPr>
          <w:sz w:val="22"/>
        </w:rPr>
        <w:t>cancer:</w:t>
      </w:r>
      <w:r>
        <w:rPr>
          <w:spacing w:val="40"/>
          <w:sz w:val="22"/>
        </w:rPr>
        <w:t> </w:t>
      </w:r>
      <w:r>
        <w:rPr>
          <w:sz w:val="22"/>
        </w:rPr>
        <w:t>US</w:t>
      </w:r>
      <w:r>
        <w:rPr>
          <w:spacing w:val="40"/>
          <w:sz w:val="22"/>
        </w:rPr>
        <w:t> </w:t>
      </w:r>
      <w:r>
        <w:rPr>
          <w:sz w:val="22"/>
        </w:rPr>
        <w:t>Preventive</w:t>
      </w:r>
      <w:r>
        <w:rPr>
          <w:spacing w:val="40"/>
          <w:sz w:val="22"/>
        </w:rPr>
        <w:t> </w:t>
      </w:r>
      <w:r>
        <w:rPr>
          <w:sz w:val="22"/>
        </w:rPr>
        <w:t>Services</w:t>
      </w:r>
      <w:r>
        <w:rPr>
          <w:spacing w:val="40"/>
          <w:sz w:val="22"/>
        </w:rPr>
        <w:t> </w:t>
      </w:r>
      <w:r>
        <w:rPr>
          <w:sz w:val="22"/>
        </w:rPr>
        <w:t>Task</w:t>
      </w:r>
      <w:r>
        <w:rPr>
          <w:spacing w:val="40"/>
          <w:sz w:val="22"/>
        </w:rPr>
        <w:t> </w:t>
      </w:r>
      <w:r>
        <w:rPr>
          <w:sz w:val="22"/>
        </w:rPr>
        <w:t>Force</w:t>
      </w:r>
      <w:r>
        <w:rPr>
          <w:spacing w:val="40"/>
          <w:sz w:val="22"/>
        </w:rPr>
        <w:t> </w:t>
      </w:r>
      <w:r>
        <w:rPr>
          <w:sz w:val="22"/>
        </w:rPr>
        <w:t>recommendation</w:t>
      </w:r>
      <w:r>
        <w:rPr>
          <w:spacing w:val="40"/>
          <w:sz w:val="22"/>
        </w:rPr>
        <w:t> </w:t>
      </w:r>
      <w:r>
        <w:rPr>
          <w:sz w:val="22"/>
        </w:rPr>
        <w:t>statement [published</w:t>
      </w:r>
      <w:r>
        <w:rPr>
          <w:spacing w:val="40"/>
          <w:sz w:val="22"/>
        </w:rPr>
        <w:t> </w:t>
      </w:r>
      <w:r>
        <w:rPr>
          <w:sz w:val="22"/>
        </w:rPr>
        <w:t>correction</w:t>
      </w:r>
      <w:r>
        <w:rPr>
          <w:spacing w:val="40"/>
          <w:sz w:val="22"/>
        </w:rPr>
        <w:t> </w:t>
      </w:r>
      <w:r>
        <w:rPr>
          <w:sz w:val="22"/>
        </w:rPr>
        <w:t>appears</w:t>
      </w:r>
      <w:r>
        <w:rPr>
          <w:spacing w:val="40"/>
          <w:sz w:val="22"/>
        </w:rPr>
        <w:t> </w:t>
      </w:r>
      <w:r>
        <w:rPr>
          <w:sz w:val="22"/>
        </w:rPr>
        <w:t>in</w:t>
      </w:r>
      <w:r>
        <w:rPr>
          <w:spacing w:val="40"/>
          <w:sz w:val="22"/>
        </w:rPr>
        <w:t> </w:t>
      </w:r>
      <w:r>
        <w:rPr>
          <w:i/>
          <w:sz w:val="22"/>
        </w:rPr>
        <w:t>JAMA</w:t>
      </w:r>
      <w:r>
        <w:rPr>
          <w:sz w:val="22"/>
        </w:rPr>
        <w:t>.</w:t>
      </w:r>
      <w:r>
        <w:rPr>
          <w:spacing w:val="40"/>
          <w:sz w:val="22"/>
        </w:rPr>
        <w:t> </w:t>
      </w:r>
      <w:r>
        <w:rPr>
          <w:sz w:val="22"/>
        </w:rPr>
        <w:t>2021;326(8):773.].</w:t>
      </w:r>
      <w:r>
        <w:rPr>
          <w:spacing w:val="40"/>
          <w:sz w:val="22"/>
        </w:rPr>
        <w:t> </w:t>
      </w:r>
      <w:r>
        <w:rPr>
          <w:i/>
          <w:sz w:val="22"/>
        </w:rPr>
        <w:t>JAMA</w:t>
      </w:r>
      <w:r>
        <w:rPr>
          <w:sz w:val="22"/>
        </w:rPr>
        <w:t>.</w:t>
      </w:r>
      <w:r>
        <w:rPr>
          <w:spacing w:val="40"/>
          <w:sz w:val="22"/>
        </w:rPr>
        <w:t> </w:t>
      </w:r>
      <w:r>
        <w:rPr>
          <w:sz w:val="22"/>
        </w:rPr>
        <w:t>2021;325(19):1965-1977.</w:t>
      </w:r>
    </w:p>
    <w:p>
      <w:pPr>
        <w:pStyle w:val="ListParagraph"/>
        <w:spacing w:after="0" w:line="256" w:lineRule="auto"/>
        <w:jc w:val="both"/>
        <w:rPr>
          <w:sz w:val="22"/>
        </w:rPr>
        <w:sectPr>
          <w:pgSz w:w="12240" w:h="15840"/>
          <w:pgMar w:top="1360" w:bottom="280" w:left="1440" w:right="1440"/>
        </w:sectPr>
      </w:pPr>
    </w:p>
    <w:p>
      <w:pPr>
        <w:pStyle w:val="BodyText"/>
        <w:spacing w:before="1"/>
        <w:ind w:left="0"/>
        <w:jc w:val="left"/>
        <w:rPr>
          <w:sz w:val="19"/>
        </w:rPr>
      </w:pPr>
    </w:p>
    <w:p>
      <w:pPr>
        <w:spacing w:line="240" w:lineRule="auto"/>
        <w:ind w:left="7605" w:right="0" w:firstLine="0"/>
        <w:rPr>
          <w:sz w:val="20"/>
        </w:rPr>
      </w:pPr>
      <w:r>
        <w:rPr>
          <w:sz w:val="20"/>
        </w:rPr>
        <w:drawing>
          <wp:inline distT="0" distB="0" distL="0" distR="0">
            <wp:extent cx="1047750" cy="1019175"/>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28" cstate="print"/>
                    <a:stretch>
                      <a:fillRect/>
                    </a:stretch>
                  </pic:blipFill>
                  <pic:spPr>
                    <a:xfrm>
                      <a:off x="0" y="0"/>
                      <a:ext cx="1047750" cy="1019175"/>
                    </a:xfrm>
                    <a:prstGeom prst="rect">
                      <a:avLst/>
                    </a:prstGeom>
                  </pic:spPr>
                </pic:pic>
              </a:graphicData>
            </a:graphic>
          </wp:inline>
        </w:drawing>
      </w:r>
      <w:r>
        <w:rPr>
          <w:sz w:val="20"/>
        </w:rPr>
      </w:r>
    </w:p>
    <w:p>
      <w:pPr>
        <w:pStyle w:val="BodyText"/>
        <w:spacing w:before="0"/>
        <w:ind w:left="0"/>
        <w:jc w:val="left"/>
        <w:rPr>
          <w:sz w:val="20"/>
        </w:rPr>
      </w:pPr>
    </w:p>
    <w:p>
      <w:pPr>
        <w:pStyle w:val="BodyText"/>
        <w:spacing w:before="26"/>
        <w:ind w:left="0"/>
        <w:jc w:val="left"/>
        <w:rPr>
          <w:sz w:val="20"/>
        </w:rPr>
      </w:pPr>
      <w:r>
        <w:rPr>
          <w:sz w:val="20"/>
        </w:rPr>
        <w:drawing>
          <wp:anchor distT="0" distB="0" distL="0" distR="0" allowOverlap="1" layoutInCell="1" locked="0" behindDoc="1" simplePos="0" relativeHeight="487619072">
            <wp:simplePos x="0" y="0"/>
            <wp:positionH relativeFrom="page">
              <wp:posOffset>2724149</wp:posOffset>
            </wp:positionH>
            <wp:positionV relativeFrom="paragraph">
              <wp:posOffset>177812</wp:posOffset>
            </wp:positionV>
            <wp:extent cx="4063854" cy="57150"/>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6" cstate="print"/>
                    <a:stretch>
                      <a:fillRect/>
                    </a:stretch>
                  </pic:blipFill>
                  <pic:spPr>
                    <a:xfrm>
                      <a:off x="0" y="0"/>
                      <a:ext cx="4063854" cy="57150"/>
                    </a:xfrm>
                    <a:prstGeom prst="rect">
                      <a:avLst/>
                    </a:prstGeom>
                  </pic:spPr>
                </pic:pic>
              </a:graphicData>
            </a:graphic>
          </wp:anchor>
        </w:drawing>
      </w:r>
    </w:p>
    <w:p>
      <w:pPr>
        <w:spacing w:before="264"/>
        <w:ind w:left="22" w:right="97" w:firstLine="0"/>
        <w:jc w:val="right"/>
        <w:rPr>
          <w:rFonts w:ascii="Arial"/>
          <w:sz w:val="55"/>
        </w:rPr>
      </w:pPr>
      <w:r>
        <w:rPr>
          <w:rFonts w:ascii="Arial"/>
          <w:sz w:val="55"/>
        </w:rPr>
        <w:t>Managing</w:t>
      </w:r>
      <w:r>
        <w:rPr>
          <w:rFonts w:ascii="Arial"/>
          <w:spacing w:val="-8"/>
          <w:sz w:val="55"/>
        </w:rPr>
        <w:t> </w:t>
      </w:r>
      <w:r>
        <w:rPr>
          <w:rFonts w:ascii="Arial"/>
          <w:spacing w:val="-2"/>
          <w:sz w:val="55"/>
        </w:rPr>
        <w:t>Menopausal</w:t>
      </w:r>
    </w:p>
    <w:p>
      <w:pPr>
        <w:spacing w:before="12"/>
        <w:ind w:left="22" w:right="97" w:firstLine="0"/>
        <w:jc w:val="right"/>
        <w:rPr>
          <w:rFonts w:ascii="Arial"/>
          <w:sz w:val="55"/>
        </w:rPr>
      </w:pPr>
      <w:r>
        <w:rPr>
          <w:rFonts w:ascii="Arial"/>
          <w:sz w:val="55"/>
        </w:rPr>
        <mc:AlternateContent>
          <mc:Choice Requires="wps">
            <w:drawing>
              <wp:anchor distT="0" distB="0" distL="0" distR="0" allowOverlap="1" layoutInCell="1" locked="0" behindDoc="0" simplePos="0" relativeHeight="15761408">
                <wp:simplePos x="0" y="0"/>
                <wp:positionH relativeFrom="page">
                  <wp:posOffset>981075</wp:posOffset>
                </wp:positionH>
                <wp:positionV relativeFrom="paragraph">
                  <wp:posOffset>-788318</wp:posOffset>
                </wp:positionV>
                <wp:extent cx="647700" cy="7239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647700" cy="723900"/>
                        </a:xfrm>
                        <a:prstGeom prst="rect">
                          <a:avLst/>
                        </a:prstGeom>
                        <a:solidFill>
                          <a:srgbClr val="297E6E"/>
                        </a:solidFill>
                      </wps:spPr>
                      <wps:txbx>
                        <w:txbxContent>
                          <w:p>
                            <w:pPr>
                              <w:spacing w:before="277"/>
                              <w:ind w:left="174" w:right="0" w:firstLine="0"/>
                              <w:jc w:val="left"/>
                              <w:rPr>
                                <w:rFonts w:ascii="Arial"/>
                                <w:color w:val="000000"/>
                                <w:sz w:val="60"/>
                              </w:rPr>
                            </w:pPr>
                            <w:r>
                              <w:rPr>
                                <w:rFonts w:ascii="Arial"/>
                                <w:color w:val="FFFFFF"/>
                                <w:spacing w:val="-5"/>
                                <w:sz w:val="60"/>
                              </w:rPr>
                              <w:t>22</w:t>
                            </w:r>
                          </w:p>
                        </w:txbxContent>
                      </wps:txbx>
                      <wps:bodyPr wrap="square" lIns="0" tIns="0" rIns="0" bIns="0" rtlCol="0">
                        <a:noAutofit/>
                      </wps:bodyPr>
                    </wps:wsp>
                  </a:graphicData>
                </a:graphic>
              </wp:anchor>
            </w:drawing>
          </mc:Choice>
          <mc:Fallback>
            <w:pict>
              <v:shape style="position:absolute;margin-left:77.25pt;margin-top:-62.072319pt;width:51pt;height:57pt;mso-position-horizontal-relative:page;mso-position-vertical-relative:paragraph;z-index:15761408" type="#_x0000_t202" id="docshape70" filled="true" fillcolor="#297e6e" stroked="false">
                <v:textbox inset="0,0,0,0">
                  <w:txbxContent>
                    <w:p>
                      <w:pPr>
                        <w:spacing w:before="277"/>
                        <w:ind w:left="174" w:right="0" w:firstLine="0"/>
                        <w:jc w:val="left"/>
                        <w:rPr>
                          <w:rFonts w:ascii="Arial"/>
                          <w:color w:val="000000"/>
                          <w:sz w:val="60"/>
                        </w:rPr>
                      </w:pPr>
                      <w:r>
                        <w:rPr>
                          <w:rFonts w:ascii="Arial"/>
                          <w:color w:val="FFFFFF"/>
                          <w:spacing w:val="-5"/>
                          <w:sz w:val="60"/>
                        </w:rPr>
                        <w:t>22</w:t>
                      </w:r>
                    </w:p>
                  </w:txbxContent>
                </v:textbox>
                <v:fill type="solid"/>
                <w10:wrap type="none"/>
              </v:shape>
            </w:pict>
          </mc:Fallback>
        </mc:AlternateContent>
      </w:r>
      <w:r>
        <w:rPr>
          <w:rFonts w:ascii="Arial"/>
          <w:spacing w:val="-2"/>
          <w:sz w:val="55"/>
        </w:rPr>
        <w:t>Symptoms</w:t>
      </w: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0"/>
        <w:ind w:left="0"/>
        <w:jc w:val="left"/>
        <w:rPr>
          <w:rFonts w:ascii="Arial"/>
          <w:sz w:val="20"/>
        </w:rPr>
      </w:pPr>
    </w:p>
    <w:p>
      <w:pPr>
        <w:pStyle w:val="BodyText"/>
        <w:spacing w:before="35"/>
        <w:ind w:left="0"/>
        <w:jc w:val="left"/>
        <w:rPr>
          <w:rFonts w:ascii="Arial"/>
          <w:sz w:val="20"/>
        </w:rPr>
      </w:pPr>
      <w:r>
        <w:rPr>
          <w:rFonts w:ascii="Arial"/>
          <w:sz w:val="20"/>
        </w:rPr>
        <mc:AlternateContent>
          <mc:Choice Requires="wps">
            <w:drawing>
              <wp:anchor distT="0" distB="0" distL="0" distR="0" allowOverlap="1" layoutInCell="1" locked="0" behindDoc="1" simplePos="0" relativeHeight="487619584">
                <wp:simplePos x="0" y="0"/>
                <wp:positionH relativeFrom="page">
                  <wp:posOffset>981075</wp:posOffset>
                </wp:positionH>
                <wp:positionV relativeFrom="paragraph">
                  <wp:posOffset>183657</wp:posOffset>
                </wp:positionV>
                <wp:extent cx="285750" cy="5715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285750" cy="57150"/>
                        </a:xfrm>
                        <a:custGeom>
                          <a:avLst/>
                          <a:gdLst/>
                          <a:ahLst/>
                          <a:cxnLst/>
                          <a:rect l="l" t="t" r="r" b="b"/>
                          <a:pathLst>
                            <a:path w="285750" h="57150">
                              <a:moveTo>
                                <a:pt x="32364" y="57149"/>
                              </a:moveTo>
                              <a:lnTo>
                                <a:pt x="24785" y="57149"/>
                              </a:lnTo>
                              <a:lnTo>
                                <a:pt x="21140" y="56424"/>
                              </a:lnTo>
                              <a:lnTo>
                                <a:pt x="0" y="32364"/>
                              </a:lnTo>
                              <a:lnTo>
                                <a:pt x="0" y="24785"/>
                              </a:lnTo>
                              <a:lnTo>
                                <a:pt x="24785" y="0"/>
                              </a:lnTo>
                              <a:lnTo>
                                <a:pt x="32364" y="0"/>
                              </a:lnTo>
                              <a:lnTo>
                                <a:pt x="57149" y="24785"/>
                              </a:lnTo>
                              <a:lnTo>
                                <a:pt x="57149" y="32364"/>
                              </a:lnTo>
                              <a:lnTo>
                                <a:pt x="32364" y="57149"/>
                              </a:lnTo>
                              <a:close/>
                            </a:path>
                            <a:path w="285750" h="57150">
                              <a:moveTo>
                                <a:pt x="146569" y="57149"/>
                              </a:moveTo>
                              <a:lnTo>
                                <a:pt x="138990" y="57149"/>
                              </a:lnTo>
                              <a:lnTo>
                                <a:pt x="135345" y="56424"/>
                              </a:lnTo>
                              <a:lnTo>
                                <a:pt x="114204" y="32364"/>
                              </a:lnTo>
                              <a:lnTo>
                                <a:pt x="114204" y="24785"/>
                              </a:lnTo>
                              <a:lnTo>
                                <a:pt x="138990" y="0"/>
                              </a:lnTo>
                              <a:lnTo>
                                <a:pt x="146569" y="0"/>
                              </a:lnTo>
                              <a:lnTo>
                                <a:pt x="171354" y="24785"/>
                              </a:lnTo>
                              <a:lnTo>
                                <a:pt x="171354" y="32364"/>
                              </a:lnTo>
                              <a:lnTo>
                                <a:pt x="146569" y="57149"/>
                              </a:lnTo>
                              <a:close/>
                            </a:path>
                            <a:path w="285750" h="57150">
                              <a:moveTo>
                                <a:pt x="260773" y="57149"/>
                              </a:moveTo>
                              <a:lnTo>
                                <a:pt x="253195" y="57149"/>
                              </a:lnTo>
                              <a:lnTo>
                                <a:pt x="249550" y="56424"/>
                              </a:lnTo>
                              <a:lnTo>
                                <a:pt x="228409" y="32364"/>
                              </a:lnTo>
                              <a:lnTo>
                                <a:pt x="228409" y="24785"/>
                              </a:lnTo>
                              <a:lnTo>
                                <a:pt x="253195" y="0"/>
                              </a:lnTo>
                              <a:lnTo>
                                <a:pt x="260773" y="0"/>
                              </a:lnTo>
                              <a:lnTo>
                                <a:pt x="285559" y="24785"/>
                              </a:lnTo>
                              <a:lnTo>
                                <a:pt x="285559" y="32364"/>
                              </a:lnTo>
                              <a:lnTo>
                                <a:pt x="260773"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4.461224pt;width:22.5pt;height:4.5pt;mso-position-horizontal-relative:page;mso-position-vertical-relative:paragraph;z-index:-15696896;mso-wrap-distance-left:0;mso-wrap-distance-right:0" id="docshape71" coordorigin="1545,289" coordsize="450,90" path="m1596,379l1584,379,1578,378,1567,374,1562,370,1554,362,1551,357,1546,346,1545,340,1545,328,1546,323,1551,311,1554,307,1562,298,1567,295,1578,290,1584,289,1596,289,1602,290,1613,295,1618,298,1626,307,1629,311,1634,323,1635,328,1635,340,1634,346,1629,357,1626,362,1618,370,1613,374,1602,378,1596,379xm1776,379l1764,379,1758,378,1747,374,1742,370,1734,362,1731,357,1726,346,1725,340,1725,328,1726,323,1731,311,1734,307,1742,298,1747,295,1758,290,1764,289,1776,289,1782,290,1793,295,1797,298,1806,307,1809,311,1814,323,1815,328,1815,340,1814,346,1809,357,1806,362,1797,370,1793,374,1782,378,1776,379xm1956,379l1944,379,1938,378,1927,374,1922,370,1914,362,1910,357,1906,346,1905,340,1905,328,1906,323,1910,311,1914,307,1922,298,1927,295,1938,290,1944,289,1956,289,1961,290,1972,295,1977,298,1986,307,1989,311,1994,323,1995,328,1995,340,1994,346,1989,357,1986,362,1977,370,1972,374,1961,378,1956,379xe" filled="true" fillcolor="#bdb4d4" stroked="false">
                <v:path arrowok="t"/>
                <v:fill type="solid"/>
                <w10:wrap type="topAndBottom"/>
              </v:shape>
            </w:pict>
          </mc:Fallback>
        </mc:AlternateContent>
      </w:r>
    </w:p>
    <w:p>
      <w:pPr>
        <w:pStyle w:val="Heading3"/>
        <w:jc w:val="both"/>
      </w:pPr>
      <w:r>
        <w:rPr>
          <w:color w:val="534089"/>
        </w:rPr>
        <w:t>AN </w:t>
      </w:r>
      <w:r>
        <w:rPr>
          <w:color w:val="534089"/>
          <w:spacing w:val="-2"/>
        </w:rPr>
        <w:t>OVERVIEW</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20096">
                <wp:simplePos x="0" y="0"/>
                <wp:positionH relativeFrom="page">
                  <wp:posOffset>981075</wp:posOffset>
                </wp:positionH>
                <wp:positionV relativeFrom="paragraph">
                  <wp:posOffset>45738</wp:posOffset>
                </wp:positionV>
                <wp:extent cx="5810250" cy="1905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473pt;width:457.499964pt;height:1.5pt;mso-position-horizontal-relative:page;mso-position-vertical-relative:paragraph;z-index:-15696384;mso-wrap-distance-left:0;mso-wrap-distance-right:0" id="docshape72" filled="true" fillcolor="#534089" stroked="false">
                <v:fill type="solid"/>
                <w10:wrap type="topAndBottom"/>
              </v:rect>
            </w:pict>
          </mc:Fallback>
        </mc:AlternateContent>
      </w:r>
    </w:p>
    <w:p>
      <w:pPr>
        <w:pStyle w:val="BodyText"/>
        <w:spacing w:line="249" w:lineRule="auto" w:before="215"/>
        <w:ind w:right="98"/>
      </w:pPr>
      <w:r>
        <w:rPr/>
        <w:t>There is little question that estrogen is the most effective of available remedies for women who suffer from bothersome vasomotor symptoms (VMS) such as hot flushes and night sweats or from consequences </w:t>
      </w:r>
      <w:r>
        <w:rPr/>
        <w:t>of atrophy of reproductive tract tissues. However, in the 1990s, the focus of postmenopausal hormone therapy (HT) changed from short-term use for menopausal symptoms to long-term utilization as a preventive strategy against</w:t>
      </w:r>
      <w:r>
        <w:rPr>
          <w:spacing w:val="-4"/>
        </w:rPr>
        <w:t> </w:t>
      </w:r>
      <w:r>
        <w:rPr/>
        <w:t>various</w:t>
      </w:r>
      <w:r>
        <w:rPr>
          <w:spacing w:val="-4"/>
        </w:rPr>
        <w:t> </w:t>
      </w:r>
      <w:r>
        <w:rPr/>
        <w:t>diseases,</w:t>
      </w:r>
      <w:r>
        <w:rPr>
          <w:spacing w:val="-4"/>
        </w:rPr>
        <w:t> </w:t>
      </w:r>
      <w:r>
        <w:rPr/>
        <w:t>including</w:t>
      </w:r>
      <w:r>
        <w:rPr>
          <w:spacing w:val="-4"/>
        </w:rPr>
        <w:t> </w:t>
      </w:r>
      <w:r>
        <w:rPr/>
        <w:t>cardiovascular</w:t>
      </w:r>
      <w:r>
        <w:rPr>
          <w:spacing w:val="-4"/>
        </w:rPr>
        <w:t> </w:t>
      </w:r>
      <w:r>
        <w:rPr/>
        <w:t>disease</w:t>
      </w:r>
      <w:r>
        <w:rPr>
          <w:spacing w:val="-4"/>
        </w:rPr>
        <w:t> </w:t>
      </w:r>
      <w:r>
        <w:rPr/>
        <w:t>(CVD),</w:t>
      </w:r>
      <w:r>
        <w:rPr>
          <w:spacing w:val="-4"/>
        </w:rPr>
        <w:t> </w:t>
      </w:r>
      <w:r>
        <w:rPr/>
        <w:t>dementia, and osteoporosis. This was due to biologic plausibility and observational data. The skeletal benefits in preventing osteoporosis are clear. However, long-term use of HT for the sole purpose of targeting CVD and dementia was challenged by a sequence of seminal clinical trials, with Women’s Health Initiative (WHI) being at the forefront. Not only did the clinical trial data indicate that HT did not protect against CVD, nor mitigate the risk of aging-related dementia, but, on the contrary, raised concerns regarding the potential for harm as evident in an increased risk of thrombotic phenomenon,</w:t>
      </w:r>
      <w:r>
        <w:rPr>
          <w:spacing w:val="2"/>
        </w:rPr>
        <w:t> </w:t>
      </w:r>
      <w:r>
        <w:rPr/>
        <w:t>stroke,</w:t>
      </w:r>
      <w:r>
        <w:rPr>
          <w:spacing w:val="2"/>
        </w:rPr>
        <w:t> </w:t>
      </w:r>
      <w:r>
        <w:rPr/>
        <w:t>and</w:t>
      </w:r>
      <w:r>
        <w:rPr>
          <w:spacing w:val="2"/>
        </w:rPr>
        <w:t> </w:t>
      </w:r>
      <w:r>
        <w:rPr/>
        <w:t>breast</w:t>
      </w:r>
      <w:r>
        <w:rPr>
          <w:spacing w:val="2"/>
        </w:rPr>
        <w:t> </w:t>
      </w:r>
      <w:r>
        <w:rPr/>
        <w:t>cancer</w:t>
      </w:r>
      <w:r>
        <w:rPr>
          <w:spacing w:val="2"/>
        </w:rPr>
        <w:t> </w:t>
      </w:r>
      <w:r>
        <w:rPr/>
        <w:t>in</w:t>
      </w:r>
      <w:r>
        <w:rPr>
          <w:spacing w:val="2"/>
        </w:rPr>
        <w:t> </w:t>
      </w:r>
      <w:r>
        <w:rPr/>
        <w:t>women</w:t>
      </w:r>
      <w:r>
        <w:rPr>
          <w:spacing w:val="2"/>
        </w:rPr>
        <w:t> </w:t>
      </w:r>
      <w:r>
        <w:rPr/>
        <w:t>who</w:t>
      </w:r>
      <w:r>
        <w:rPr>
          <w:spacing w:val="2"/>
        </w:rPr>
        <w:t> </w:t>
      </w:r>
      <w:r>
        <w:rPr/>
        <w:t>initiated</w:t>
      </w:r>
      <w:r>
        <w:rPr>
          <w:spacing w:val="2"/>
        </w:rPr>
        <w:t> </w:t>
      </w:r>
      <w:r>
        <w:rPr/>
        <w:t>HT</w:t>
      </w:r>
      <w:r>
        <w:rPr>
          <w:spacing w:val="2"/>
        </w:rPr>
        <w:t> </w:t>
      </w:r>
      <w:r>
        <w:rPr/>
        <w:t>that</w:t>
      </w:r>
      <w:r>
        <w:rPr>
          <w:spacing w:val="2"/>
        </w:rPr>
        <w:t> </w:t>
      </w:r>
      <w:r>
        <w:rPr>
          <w:spacing w:val="-5"/>
        </w:rPr>
        <w:t>was</w:t>
      </w:r>
    </w:p>
    <w:p>
      <w:pPr>
        <w:pStyle w:val="BodyText"/>
        <w:spacing w:after="0" w:line="249" w:lineRule="auto"/>
        <w:sectPr>
          <w:pgSz w:w="12240" w:h="15840"/>
          <w:pgMar w:top="1820" w:bottom="280" w:left="1440" w:right="1440"/>
        </w:sectPr>
      </w:pPr>
    </w:p>
    <w:p>
      <w:pPr>
        <w:pStyle w:val="BodyText"/>
        <w:spacing w:line="249" w:lineRule="auto"/>
        <w:ind w:right="100"/>
      </w:pPr>
      <w:r>
        <w:rPr/>
        <w:t>over 10 years from menopause. In addition, the Women’s Health Initiative Memory Study (WHIMS) noted the incidence of cognitive </w:t>
      </w:r>
      <w:r>
        <w:rPr/>
        <w:t>deterioration</w:t>
      </w:r>
      <w:r>
        <w:rPr>
          <w:spacing w:val="40"/>
        </w:rPr>
        <w:t> </w:t>
      </w:r>
      <w:r>
        <w:rPr/>
        <w:t>was higher in the hormone-using postmenopausal women compared to placebo. The ensuing decades following publication of WHI findings witnessed passionate and widespread quests attempting to unravel potential mechanisms</w:t>
      </w:r>
      <w:r>
        <w:rPr>
          <w:spacing w:val="-1"/>
        </w:rPr>
        <w:t> </w:t>
      </w:r>
      <w:r>
        <w:rPr/>
        <w:t>that</w:t>
      </w:r>
      <w:r>
        <w:rPr>
          <w:spacing w:val="-1"/>
        </w:rPr>
        <w:t> </w:t>
      </w:r>
      <w:r>
        <w:rPr/>
        <w:t>could</w:t>
      </w:r>
      <w:r>
        <w:rPr>
          <w:spacing w:val="-1"/>
        </w:rPr>
        <w:t> </w:t>
      </w:r>
      <w:r>
        <w:rPr/>
        <w:t>explain</w:t>
      </w:r>
      <w:r>
        <w:rPr>
          <w:spacing w:val="-1"/>
        </w:rPr>
        <w:t> </w:t>
      </w:r>
      <w:r>
        <w:rPr/>
        <w:t>HT-related</w:t>
      </w:r>
      <w:r>
        <w:rPr>
          <w:spacing w:val="-1"/>
        </w:rPr>
        <w:t> </w:t>
      </w:r>
      <w:r>
        <w:rPr/>
        <w:t>harm;</w:t>
      </w:r>
      <w:r>
        <w:rPr>
          <w:spacing w:val="-1"/>
        </w:rPr>
        <w:t> </w:t>
      </w:r>
      <w:r>
        <w:rPr/>
        <w:t>for</w:t>
      </w:r>
      <w:r>
        <w:rPr>
          <w:spacing w:val="-1"/>
        </w:rPr>
        <w:t> </w:t>
      </w:r>
      <w:r>
        <w:rPr/>
        <w:t>a</w:t>
      </w:r>
      <w:r>
        <w:rPr>
          <w:spacing w:val="-1"/>
        </w:rPr>
        <w:t> </w:t>
      </w:r>
      <w:r>
        <w:rPr/>
        <w:t>brief</w:t>
      </w:r>
      <w:r>
        <w:rPr>
          <w:spacing w:val="-1"/>
        </w:rPr>
        <w:t> </w:t>
      </w:r>
      <w:r>
        <w:rPr/>
        <w:t>period,</w:t>
      </w:r>
      <w:r>
        <w:rPr>
          <w:spacing w:val="-1"/>
        </w:rPr>
        <w:t> </w:t>
      </w:r>
      <w:r>
        <w:rPr/>
        <w:t>the</w:t>
      </w:r>
      <w:r>
        <w:rPr>
          <w:spacing w:val="-1"/>
        </w:rPr>
        <w:t> </w:t>
      </w:r>
      <w:r>
        <w:rPr/>
        <w:t>field of</w:t>
      </w:r>
      <w:r>
        <w:rPr>
          <w:spacing w:val="-2"/>
        </w:rPr>
        <w:t> </w:t>
      </w:r>
      <w:r>
        <w:rPr/>
        <w:t>menopause</w:t>
      </w:r>
      <w:r>
        <w:rPr>
          <w:spacing w:val="-2"/>
        </w:rPr>
        <w:t> </w:t>
      </w:r>
      <w:r>
        <w:rPr/>
        <w:t>was</w:t>
      </w:r>
      <w:r>
        <w:rPr>
          <w:spacing w:val="-2"/>
        </w:rPr>
        <w:t> </w:t>
      </w:r>
      <w:r>
        <w:rPr/>
        <w:t>rendered</w:t>
      </w:r>
      <w:r>
        <w:rPr>
          <w:spacing w:val="-2"/>
        </w:rPr>
        <w:t> </w:t>
      </w:r>
      <w:r>
        <w:rPr/>
        <w:t>complex</w:t>
      </w:r>
      <w:r>
        <w:rPr>
          <w:spacing w:val="-2"/>
        </w:rPr>
        <w:t> </w:t>
      </w:r>
      <w:r>
        <w:rPr/>
        <w:t>and</w:t>
      </w:r>
      <w:r>
        <w:rPr>
          <w:spacing w:val="-2"/>
        </w:rPr>
        <w:t> </w:t>
      </w:r>
      <w:r>
        <w:rPr/>
        <w:t>decision-making</w:t>
      </w:r>
      <w:r>
        <w:rPr>
          <w:spacing w:val="-2"/>
        </w:rPr>
        <w:t> </w:t>
      </w:r>
      <w:r>
        <w:rPr/>
        <w:t>by</w:t>
      </w:r>
      <w:r>
        <w:rPr>
          <w:spacing w:val="-2"/>
        </w:rPr>
        <w:t> </w:t>
      </w:r>
      <w:r>
        <w:rPr/>
        <w:t>clinicians</w:t>
      </w:r>
      <w:r>
        <w:rPr>
          <w:spacing w:val="-2"/>
        </w:rPr>
        <w:t> </w:t>
      </w:r>
      <w:r>
        <w:rPr/>
        <w:t>and patients very difficult. In this section, we offer a comprehensive review of the literature, including more recent data and analyses, to help serve as a guide for the practicing clinician caring for postmenopausal women.</w:t>
      </w:r>
    </w:p>
    <w:p>
      <w:pPr>
        <w:pStyle w:val="BodyText"/>
        <w:spacing w:before="0"/>
        <w:ind w:left="0"/>
        <w:jc w:val="left"/>
        <w:rPr>
          <w:sz w:val="20"/>
        </w:rPr>
      </w:pPr>
    </w:p>
    <w:p>
      <w:pPr>
        <w:pStyle w:val="BodyText"/>
        <w:spacing w:before="123"/>
        <w:ind w:left="0"/>
        <w:jc w:val="left"/>
        <w:rPr>
          <w:sz w:val="20"/>
        </w:rPr>
      </w:pPr>
      <w:r>
        <w:rPr>
          <w:sz w:val="20"/>
        </w:rPr>
        <mc:AlternateContent>
          <mc:Choice Requires="wps">
            <w:drawing>
              <wp:anchor distT="0" distB="0" distL="0" distR="0" allowOverlap="1" layoutInCell="1" locked="0" behindDoc="1" simplePos="0" relativeHeight="487621120">
                <wp:simplePos x="0" y="0"/>
                <wp:positionH relativeFrom="page">
                  <wp:posOffset>981075</wp:posOffset>
                </wp:positionH>
                <wp:positionV relativeFrom="paragraph">
                  <wp:posOffset>239600</wp:posOffset>
                </wp:positionV>
                <wp:extent cx="285750" cy="5715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285750" cy="57150"/>
                        </a:xfrm>
                        <a:custGeom>
                          <a:avLst/>
                          <a:gdLst/>
                          <a:ahLst/>
                          <a:cxnLst/>
                          <a:rect l="l" t="t" r="r" b="b"/>
                          <a:pathLst>
                            <a:path w="285750" h="57150">
                              <a:moveTo>
                                <a:pt x="32364" y="57148"/>
                              </a:moveTo>
                              <a:lnTo>
                                <a:pt x="24785" y="57148"/>
                              </a:lnTo>
                              <a:lnTo>
                                <a:pt x="21140" y="56424"/>
                              </a:lnTo>
                              <a:lnTo>
                                <a:pt x="0" y="32364"/>
                              </a:lnTo>
                              <a:lnTo>
                                <a:pt x="0" y="24785"/>
                              </a:lnTo>
                              <a:lnTo>
                                <a:pt x="24785" y="0"/>
                              </a:lnTo>
                              <a:lnTo>
                                <a:pt x="32364" y="0"/>
                              </a:lnTo>
                              <a:lnTo>
                                <a:pt x="57149" y="24785"/>
                              </a:lnTo>
                              <a:lnTo>
                                <a:pt x="57149" y="32364"/>
                              </a:lnTo>
                              <a:lnTo>
                                <a:pt x="32364" y="57148"/>
                              </a:lnTo>
                              <a:close/>
                            </a:path>
                            <a:path w="285750" h="57150">
                              <a:moveTo>
                                <a:pt x="146569" y="57148"/>
                              </a:moveTo>
                              <a:lnTo>
                                <a:pt x="138990" y="57148"/>
                              </a:lnTo>
                              <a:lnTo>
                                <a:pt x="135345" y="56424"/>
                              </a:lnTo>
                              <a:lnTo>
                                <a:pt x="114204" y="32364"/>
                              </a:lnTo>
                              <a:lnTo>
                                <a:pt x="114204" y="24785"/>
                              </a:lnTo>
                              <a:lnTo>
                                <a:pt x="138990" y="0"/>
                              </a:lnTo>
                              <a:lnTo>
                                <a:pt x="146569" y="0"/>
                              </a:lnTo>
                              <a:lnTo>
                                <a:pt x="171354" y="24785"/>
                              </a:lnTo>
                              <a:lnTo>
                                <a:pt x="171354" y="32364"/>
                              </a:lnTo>
                              <a:lnTo>
                                <a:pt x="146569" y="57148"/>
                              </a:lnTo>
                              <a:close/>
                            </a:path>
                            <a:path w="285750" h="57150">
                              <a:moveTo>
                                <a:pt x="260773" y="57148"/>
                              </a:moveTo>
                              <a:lnTo>
                                <a:pt x="253195" y="57148"/>
                              </a:lnTo>
                              <a:lnTo>
                                <a:pt x="249550" y="56424"/>
                              </a:lnTo>
                              <a:lnTo>
                                <a:pt x="228409" y="32364"/>
                              </a:lnTo>
                              <a:lnTo>
                                <a:pt x="228409" y="24785"/>
                              </a:lnTo>
                              <a:lnTo>
                                <a:pt x="253195" y="0"/>
                              </a:lnTo>
                              <a:lnTo>
                                <a:pt x="260773" y="0"/>
                              </a:lnTo>
                              <a:lnTo>
                                <a:pt x="285559" y="24785"/>
                              </a:lnTo>
                              <a:lnTo>
                                <a:pt x="285559" y="32364"/>
                              </a:lnTo>
                              <a:lnTo>
                                <a:pt x="260773" y="57148"/>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866201pt;width:22.5pt;height:4.5pt;mso-position-horizontal-relative:page;mso-position-vertical-relative:paragraph;z-index:-15695360;mso-wrap-distance-left:0;mso-wrap-distance-right:0" id="docshape73" coordorigin="1545,377" coordsize="450,90" path="m1596,467l1584,467,1578,466,1567,462,1562,458,1554,450,1551,445,1546,434,1545,428,1545,416,1546,411,1551,400,1554,395,1562,386,1567,383,1578,378,1584,377,1596,377,1602,378,1613,383,1618,386,1626,395,1629,400,1634,411,1635,416,1635,428,1634,434,1629,445,1626,450,1618,458,1613,462,1602,466,1596,467xm1776,467l1764,467,1758,466,1747,462,1742,458,1734,450,1731,445,1726,434,1725,428,1725,416,1726,411,1731,400,1734,395,1742,386,1747,383,1758,378,1764,377,1776,377,1782,378,1793,383,1797,386,1806,395,1809,400,1814,411,1815,416,1815,428,1814,434,1809,445,1806,450,1797,458,1793,462,1782,466,1776,467xm1956,467l1944,467,1938,466,1927,462,1922,458,1914,450,1910,445,1906,434,1905,428,1905,416,1906,411,1910,400,1914,395,1922,386,1927,383,1938,378,1944,377,1956,377,1961,378,1972,383,1977,386,1986,395,1989,400,1994,411,1995,416,1995,428,1994,434,1989,445,1986,450,1977,458,1972,462,1961,466,1956,467xe" filled="true" fillcolor="#bdb4d4" stroked="false">
                <v:path arrowok="t"/>
                <v:fill type="solid"/>
                <w10:wrap type="topAndBottom"/>
              </v:shape>
            </w:pict>
          </mc:Fallback>
        </mc:AlternateContent>
      </w:r>
    </w:p>
    <w:p>
      <w:pPr>
        <w:pStyle w:val="Heading3"/>
      </w:pPr>
      <w:r>
        <w:rPr>
          <w:color w:val="534089"/>
        </w:rPr>
        <w:t>MENOPAUSAL</w:t>
      </w:r>
      <w:r>
        <w:rPr>
          <w:color w:val="534089"/>
          <w:spacing w:val="-12"/>
        </w:rPr>
        <w:t> </w:t>
      </w:r>
      <w:r>
        <w:rPr>
          <w:color w:val="534089"/>
        </w:rPr>
        <w:t>HORMONE</w:t>
      </w:r>
      <w:r>
        <w:rPr>
          <w:color w:val="534089"/>
          <w:spacing w:val="-11"/>
        </w:rPr>
        <w:t> </w:t>
      </w:r>
      <w:r>
        <w:rPr>
          <w:color w:val="534089"/>
          <w:spacing w:val="-2"/>
        </w:rPr>
        <w:t>THERAPY</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21632">
                <wp:simplePos x="0" y="0"/>
                <wp:positionH relativeFrom="page">
                  <wp:posOffset>981075</wp:posOffset>
                </wp:positionH>
                <wp:positionV relativeFrom="paragraph">
                  <wp:posOffset>45739</wp:posOffset>
                </wp:positionV>
                <wp:extent cx="5810250" cy="1905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1519pt;width:457.499964pt;height:1.5pt;mso-position-horizontal-relative:page;mso-position-vertical-relative:paragraph;z-index:-15694848;mso-wrap-distance-left:0;mso-wrap-distance-right:0" id="docshape74" filled="true" fillcolor="#534089" stroked="false">
                <v:fill type="solid"/>
                <w10:wrap type="topAndBottom"/>
              </v:rect>
            </w:pict>
          </mc:Fallback>
        </mc:AlternateContent>
      </w:r>
    </w:p>
    <w:p>
      <w:pPr>
        <w:spacing w:before="213"/>
        <w:ind w:left="99" w:right="0" w:firstLine="0"/>
        <w:jc w:val="left"/>
        <w:rPr>
          <w:rFonts w:ascii="Arial"/>
          <w:b/>
          <w:sz w:val="30"/>
        </w:rPr>
      </w:pPr>
      <w:r>
        <w:rPr>
          <w:rFonts w:ascii="Arial"/>
          <w:b/>
          <w:color w:val="2674AE"/>
          <w:sz w:val="30"/>
        </w:rPr>
        <w:t>History</w:t>
      </w:r>
      <w:r>
        <w:rPr>
          <w:rFonts w:ascii="Arial"/>
          <w:b/>
          <w:color w:val="2674AE"/>
          <w:sz w:val="30"/>
          <w:vertAlign w:val="superscript"/>
        </w:rPr>
        <w:t>1-</w:t>
      </w:r>
      <w:r>
        <w:rPr>
          <w:rFonts w:ascii="Arial"/>
          <w:b/>
          <w:color w:val="2674AE"/>
          <w:spacing w:val="-10"/>
          <w:sz w:val="30"/>
          <w:vertAlign w:val="superscript"/>
        </w:rPr>
        <w:t>4</w:t>
      </w:r>
    </w:p>
    <w:p>
      <w:pPr>
        <w:pStyle w:val="BodyText"/>
        <w:spacing w:line="249" w:lineRule="auto" w:before="167"/>
        <w:ind w:right="97"/>
      </w:pPr>
      <w:r>
        <w:rPr/>
        <w:t>The existence of hormones was unknown 200 years ago. In the last half of the 19th century, a scattering of chemists and physiologists began </w:t>
      </w:r>
      <w:r>
        <w:rPr/>
        <w:t>to produce hormonally active extracts from glands, bile, and urine of animals. Adventurous clinicians used these extracts to treat patients—for example, supplying thyroid hormone to treat severely hypothyroid individuals—and the specialty of endocrinology was born. The word “endocrine” was adopted to designate the “glands of internal secretion,” the multiple sources of hormones.</w:t>
      </w:r>
    </w:p>
    <w:p>
      <w:pPr>
        <w:pStyle w:val="BodyText"/>
        <w:spacing w:line="249" w:lineRule="auto" w:before="9"/>
        <w:ind w:right="97" w:firstLine="450"/>
      </w:pPr>
      <w:r>
        <w:rPr/>
        <w:t>Charles-Édouard Brown-Séquard, the son of a French woman and an American sea captain, was born on the island of Mauritius. Speaking </w:t>
      </w:r>
      <w:r>
        <w:rPr/>
        <w:t>fluent English</w:t>
      </w:r>
      <w:r>
        <w:rPr>
          <w:spacing w:val="-1"/>
        </w:rPr>
        <w:t> </w:t>
      </w:r>
      <w:r>
        <w:rPr/>
        <w:t>and</w:t>
      </w:r>
      <w:r>
        <w:rPr>
          <w:spacing w:val="-1"/>
        </w:rPr>
        <w:t> </w:t>
      </w:r>
      <w:r>
        <w:rPr/>
        <w:t>French,</w:t>
      </w:r>
      <w:r>
        <w:rPr>
          <w:spacing w:val="-1"/>
        </w:rPr>
        <w:t> </w:t>
      </w:r>
      <w:r>
        <w:rPr/>
        <w:t>he</w:t>
      </w:r>
      <w:r>
        <w:rPr>
          <w:spacing w:val="-1"/>
        </w:rPr>
        <w:t> </w:t>
      </w:r>
      <w:r>
        <w:rPr/>
        <w:t>practiced</w:t>
      </w:r>
      <w:r>
        <w:rPr>
          <w:spacing w:val="-1"/>
        </w:rPr>
        <w:t> </w:t>
      </w:r>
      <w:r>
        <w:rPr/>
        <w:t>medicine</w:t>
      </w:r>
      <w:r>
        <w:rPr>
          <w:spacing w:val="-1"/>
        </w:rPr>
        <w:t> </w:t>
      </w:r>
      <w:r>
        <w:rPr/>
        <w:t>and</w:t>
      </w:r>
      <w:r>
        <w:rPr>
          <w:spacing w:val="-1"/>
        </w:rPr>
        <w:t> </w:t>
      </w:r>
      <w:r>
        <w:rPr/>
        <w:t>lectured</w:t>
      </w:r>
      <w:r>
        <w:rPr>
          <w:spacing w:val="-1"/>
        </w:rPr>
        <w:t> </w:t>
      </w:r>
      <w:r>
        <w:rPr/>
        <w:t>in</w:t>
      </w:r>
      <w:r>
        <w:rPr>
          <w:spacing w:val="-1"/>
        </w:rPr>
        <w:t> </w:t>
      </w:r>
      <w:r>
        <w:rPr/>
        <w:t>London</w:t>
      </w:r>
      <w:r>
        <w:rPr>
          <w:spacing w:val="-1"/>
        </w:rPr>
        <w:t> </w:t>
      </w:r>
      <w:r>
        <w:rPr/>
        <w:t>and</w:t>
      </w:r>
      <w:r>
        <w:rPr>
          <w:spacing w:val="-1"/>
        </w:rPr>
        <w:t> </w:t>
      </w:r>
      <w:r>
        <w:rPr/>
        <w:t>New York before settling in Paris. Brown-Séquard reported in 1889 that he was rejuvenated by the self-administration of extracts from dog testicles, most likely a placebo effect considering the scant amount of testosterone he</w:t>
      </w:r>
      <w:r>
        <w:rPr>
          <w:spacing w:val="40"/>
        </w:rPr>
        <w:t> </w:t>
      </w:r>
      <w:r>
        <w:rPr/>
        <w:t>could have extracted using his aqueous method, and he suggested that ovarian extracts would have the same revitalizing effect in women. Initial efforts to treat women around the end of the 19th century were largely unsuccessful, but in 1897, ovarian extract was reported to be effective for menopausal hot flushing.</w:t>
      </w:r>
      <w:r>
        <w:rPr>
          <w:vertAlign w:val="superscript"/>
        </w:rPr>
        <w:t>5</w:t>
      </w:r>
    </w:p>
    <w:p>
      <w:pPr>
        <w:pStyle w:val="BodyText"/>
        <w:spacing w:after="0" w:line="249" w:lineRule="auto"/>
        <w:sectPr>
          <w:pgSz w:w="12240" w:h="15840"/>
          <w:pgMar w:top="1380" w:bottom="280" w:left="1440" w:right="1440"/>
        </w:sectPr>
      </w:pPr>
    </w:p>
    <w:p>
      <w:pPr>
        <w:pStyle w:val="BodyText"/>
        <w:spacing w:line="249" w:lineRule="auto"/>
        <w:ind w:right="98" w:firstLine="450"/>
      </w:pPr>
      <w:r>
        <w:rPr/>
        <w:t>The first American attempt to treat menopausal symptoms is attributed to E.L. Severinghaus and J. Evans of Madison, Wisconsin, who administered a derivative from the amniotic fluid of cattle in 1929.</w:t>
      </w:r>
      <w:r>
        <w:rPr>
          <w:vertAlign w:val="superscript"/>
        </w:rPr>
        <w:t>2,6</w:t>
      </w:r>
      <w:r>
        <w:rPr>
          <w:vertAlign w:val="baseline"/>
        </w:rPr>
        <w:t> In </w:t>
      </w:r>
      <w:r>
        <w:rPr>
          <w:vertAlign w:val="baseline"/>
        </w:rPr>
        <w:t>the 1930s, the ovarian hormones were isolated, and the “estrin” products and the synthetic estrogens, stilbestrol and ethinyl estradiol (EE), were administered to menopausal women. Edgar Allen and Edward Doisy were the first to isolate the ovarian hormone, estrogen. Allen was born in Colorado,</w:t>
      </w:r>
      <w:r>
        <w:rPr>
          <w:spacing w:val="-8"/>
          <w:vertAlign w:val="baseline"/>
        </w:rPr>
        <w:t> </w:t>
      </w:r>
      <w:r>
        <w:rPr>
          <w:vertAlign w:val="baseline"/>
        </w:rPr>
        <w:t>educated</w:t>
      </w:r>
      <w:r>
        <w:rPr>
          <w:spacing w:val="-8"/>
          <w:vertAlign w:val="baseline"/>
        </w:rPr>
        <w:t> </w:t>
      </w:r>
      <w:r>
        <w:rPr>
          <w:vertAlign w:val="baseline"/>
        </w:rPr>
        <w:t>at</w:t>
      </w:r>
      <w:r>
        <w:rPr>
          <w:spacing w:val="-8"/>
          <w:vertAlign w:val="baseline"/>
        </w:rPr>
        <w:t> </w:t>
      </w:r>
      <w:r>
        <w:rPr>
          <w:vertAlign w:val="baseline"/>
        </w:rPr>
        <w:t>Brown</w:t>
      </w:r>
      <w:r>
        <w:rPr>
          <w:spacing w:val="-8"/>
          <w:vertAlign w:val="baseline"/>
        </w:rPr>
        <w:t> </w:t>
      </w:r>
      <w:r>
        <w:rPr>
          <w:vertAlign w:val="baseline"/>
        </w:rPr>
        <w:t>University,</w:t>
      </w:r>
      <w:r>
        <w:rPr>
          <w:spacing w:val="-8"/>
          <w:vertAlign w:val="baseline"/>
        </w:rPr>
        <w:t> </w:t>
      </w:r>
      <w:r>
        <w:rPr>
          <w:vertAlign w:val="baseline"/>
        </w:rPr>
        <w:t>and</w:t>
      </w:r>
      <w:r>
        <w:rPr>
          <w:spacing w:val="-9"/>
          <w:vertAlign w:val="baseline"/>
        </w:rPr>
        <w:t> </w:t>
      </w:r>
      <w:r>
        <w:rPr>
          <w:vertAlign w:val="baseline"/>
        </w:rPr>
        <w:t>served</w:t>
      </w:r>
      <w:r>
        <w:rPr>
          <w:spacing w:val="-8"/>
          <w:vertAlign w:val="baseline"/>
        </w:rPr>
        <w:t> </w:t>
      </w:r>
      <w:r>
        <w:rPr>
          <w:vertAlign w:val="baseline"/>
        </w:rPr>
        <w:t>in</w:t>
      </w:r>
      <w:r>
        <w:rPr>
          <w:spacing w:val="-8"/>
          <w:vertAlign w:val="baseline"/>
        </w:rPr>
        <w:t> </w:t>
      </w:r>
      <w:r>
        <w:rPr>
          <w:vertAlign w:val="baseline"/>
        </w:rPr>
        <w:t>France</w:t>
      </w:r>
      <w:r>
        <w:rPr>
          <w:spacing w:val="-8"/>
          <w:vertAlign w:val="baseline"/>
        </w:rPr>
        <w:t> </w:t>
      </w:r>
      <w:r>
        <w:rPr>
          <w:vertAlign w:val="baseline"/>
        </w:rPr>
        <w:t>during</w:t>
      </w:r>
      <w:r>
        <w:rPr>
          <w:spacing w:val="-8"/>
          <w:vertAlign w:val="baseline"/>
        </w:rPr>
        <w:t> </w:t>
      </w:r>
      <w:r>
        <w:rPr>
          <w:vertAlign w:val="baseline"/>
        </w:rPr>
        <w:t>World War</w:t>
      </w:r>
      <w:r>
        <w:rPr>
          <w:spacing w:val="-4"/>
          <w:vertAlign w:val="baseline"/>
        </w:rPr>
        <w:t> </w:t>
      </w:r>
      <w:r>
        <w:rPr>
          <w:vertAlign w:val="baseline"/>
        </w:rPr>
        <w:t>I.</w:t>
      </w:r>
      <w:r>
        <w:rPr>
          <w:spacing w:val="-5"/>
          <w:vertAlign w:val="baseline"/>
        </w:rPr>
        <w:t> </w:t>
      </w:r>
      <w:r>
        <w:rPr>
          <w:vertAlign w:val="baseline"/>
        </w:rPr>
        <w:t>In</w:t>
      </w:r>
      <w:r>
        <w:rPr>
          <w:spacing w:val="-4"/>
          <w:vertAlign w:val="baseline"/>
        </w:rPr>
        <w:t> </w:t>
      </w:r>
      <w:r>
        <w:rPr>
          <w:vertAlign w:val="baseline"/>
        </w:rPr>
        <w:t>1933,</w:t>
      </w:r>
      <w:r>
        <w:rPr>
          <w:spacing w:val="-4"/>
          <w:vertAlign w:val="baseline"/>
        </w:rPr>
        <w:t> </w:t>
      </w:r>
      <w:r>
        <w:rPr>
          <w:vertAlign w:val="baseline"/>
        </w:rPr>
        <w:t>he</w:t>
      </w:r>
      <w:r>
        <w:rPr>
          <w:spacing w:val="-4"/>
          <w:vertAlign w:val="baseline"/>
        </w:rPr>
        <w:t> </w:t>
      </w:r>
      <w:r>
        <w:rPr>
          <w:vertAlign w:val="baseline"/>
        </w:rPr>
        <w:t>became</w:t>
      </w:r>
      <w:r>
        <w:rPr>
          <w:spacing w:val="-4"/>
          <w:vertAlign w:val="baseline"/>
        </w:rPr>
        <w:t> </w:t>
      </w:r>
      <w:r>
        <w:rPr>
          <w:vertAlign w:val="baseline"/>
        </w:rPr>
        <w:t>the</w:t>
      </w:r>
      <w:r>
        <w:rPr>
          <w:spacing w:val="-4"/>
          <w:vertAlign w:val="baseline"/>
        </w:rPr>
        <w:t> </w:t>
      </w:r>
      <w:r>
        <w:rPr>
          <w:vertAlign w:val="baseline"/>
        </w:rPr>
        <w:t>chairperson</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Department</w:t>
      </w:r>
      <w:r>
        <w:rPr>
          <w:spacing w:val="-4"/>
          <w:vertAlign w:val="baseline"/>
        </w:rPr>
        <w:t> </w:t>
      </w:r>
      <w:r>
        <w:rPr>
          <w:vertAlign w:val="baseline"/>
        </w:rPr>
        <w:t>of</w:t>
      </w:r>
      <w:r>
        <w:rPr>
          <w:spacing w:val="-4"/>
          <w:vertAlign w:val="baseline"/>
        </w:rPr>
        <w:t> </w:t>
      </w:r>
      <w:r>
        <w:rPr>
          <w:vertAlign w:val="baseline"/>
        </w:rPr>
        <w:t>Anatomy</w:t>
      </w:r>
      <w:r>
        <w:rPr>
          <w:spacing w:val="-4"/>
          <w:vertAlign w:val="baseline"/>
        </w:rPr>
        <w:t> </w:t>
      </w:r>
      <w:r>
        <w:rPr>
          <w:vertAlign w:val="baseline"/>
        </w:rPr>
        <w:t>at Yale University. Doisy was born in Illinois and educated at the University of Illinois and Harvard. During World War I, he was assigned to the Rockefeller</w:t>
      </w:r>
      <w:r>
        <w:rPr>
          <w:spacing w:val="-8"/>
          <w:vertAlign w:val="baseline"/>
        </w:rPr>
        <w:t> </w:t>
      </w:r>
      <w:r>
        <w:rPr>
          <w:vertAlign w:val="baseline"/>
        </w:rPr>
        <w:t>Institute</w:t>
      </w:r>
      <w:r>
        <w:rPr>
          <w:spacing w:val="-8"/>
          <w:vertAlign w:val="baseline"/>
        </w:rPr>
        <w:t> </w:t>
      </w:r>
      <w:r>
        <w:rPr>
          <w:vertAlign w:val="baseline"/>
        </w:rPr>
        <w:t>in</w:t>
      </w:r>
      <w:r>
        <w:rPr>
          <w:spacing w:val="-8"/>
          <w:vertAlign w:val="baseline"/>
        </w:rPr>
        <w:t> </w:t>
      </w:r>
      <w:r>
        <w:rPr>
          <w:vertAlign w:val="baseline"/>
        </w:rPr>
        <w:t>New</w:t>
      </w:r>
      <w:r>
        <w:rPr>
          <w:spacing w:val="-8"/>
          <w:vertAlign w:val="baseline"/>
        </w:rPr>
        <w:t> </w:t>
      </w:r>
      <w:r>
        <w:rPr>
          <w:vertAlign w:val="baseline"/>
        </w:rPr>
        <w:t>York</w:t>
      </w:r>
      <w:r>
        <w:rPr>
          <w:spacing w:val="-8"/>
          <w:vertAlign w:val="baseline"/>
        </w:rPr>
        <w:t> </w:t>
      </w:r>
      <w:r>
        <w:rPr>
          <w:vertAlign w:val="baseline"/>
        </w:rPr>
        <w:t>City</w:t>
      </w:r>
      <w:r>
        <w:rPr>
          <w:spacing w:val="-8"/>
          <w:vertAlign w:val="baseline"/>
        </w:rPr>
        <w:t> </w:t>
      </w:r>
      <w:r>
        <w:rPr>
          <w:vertAlign w:val="baseline"/>
        </w:rPr>
        <w:t>and</w:t>
      </w:r>
      <w:r>
        <w:rPr>
          <w:spacing w:val="-8"/>
          <w:vertAlign w:val="baseline"/>
        </w:rPr>
        <w:t> </w:t>
      </w:r>
      <w:r>
        <w:rPr>
          <w:vertAlign w:val="baseline"/>
        </w:rPr>
        <w:t>then</w:t>
      </w:r>
      <w:r>
        <w:rPr>
          <w:spacing w:val="-8"/>
          <w:vertAlign w:val="baseline"/>
        </w:rPr>
        <w:t> </w:t>
      </w:r>
      <w:r>
        <w:rPr>
          <w:vertAlign w:val="baseline"/>
        </w:rPr>
        <w:t>to</w:t>
      </w:r>
      <w:r>
        <w:rPr>
          <w:spacing w:val="-8"/>
          <w:vertAlign w:val="baseline"/>
        </w:rPr>
        <w:t> </w:t>
      </w:r>
      <w:r>
        <w:rPr>
          <w:vertAlign w:val="baseline"/>
        </w:rPr>
        <w:t>the</w:t>
      </w:r>
      <w:r>
        <w:rPr>
          <w:spacing w:val="-8"/>
          <w:vertAlign w:val="baseline"/>
        </w:rPr>
        <w:t> </w:t>
      </w:r>
      <w:r>
        <w:rPr>
          <w:vertAlign w:val="baseline"/>
        </w:rPr>
        <w:t>Walter</w:t>
      </w:r>
      <w:r>
        <w:rPr>
          <w:spacing w:val="-8"/>
          <w:vertAlign w:val="baseline"/>
        </w:rPr>
        <w:t> </w:t>
      </w:r>
      <w:r>
        <w:rPr>
          <w:vertAlign w:val="baseline"/>
        </w:rPr>
        <w:t>Reed</w:t>
      </w:r>
      <w:r>
        <w:rPr>
          <w:spacing w:val="-8"/>
          <w:vertAlign w:val="baseline"/>
        </w:rPr>
        <w:t> </w:t>
      </w:r>
      <w:r>
        <w:rPr>
          <w:vertAlign w:val="baseline"/>
        </w:rPr>
        <w:t>Hospital in Washington, DC. Doisy was the first chairman of biochemistry at the St Louis University School of Medicine. He received the Nobel Prize in Medicine,</w:t>
      </w:r>
      <w:r>
        <w:rPr>
          <w:spacing w:val="-3"/>
          <w:vertAlign w:val="baseline"/>
        </w:rPr>
        <w:t> </w:t>
      </w:r>
      <w:r>
        <w:rPr>
          <w:vertAlign w:val="baseline"/>
        </w:rPr>
        <w:t>along</w:t>
      </w:r>
      <w:r>
        <w:rPr>
          <w:spacing w:val="-3"/>
          <w:vertAlign w:val="baseline"/>
        </w:rPr>
        <w:t> </w:t>
      </w:r>
      <w:r>
        <w:rPr>
          <w:vertAlign w:val="baseline"/>
        </w:rPr>
        <w:t>with</w:t>
      </w:r>
      <w:r>
        <w:rPr>
          <w:spacing w:val="-3"/>
          <w:vertAlign w:val="baseline"/>
        </w:rPr>
        <w:t> </w:t>
      </w:r>
      <w:r>
        <w:rPr>
          <w:vertAlign w:val="baseline"/>
        </w:rPr>
        <w:t>Henrik</w:t>
      </w:r>
      <w:r>
        <w:rPr>
          <w:spacing w:val="-3"/>
          <w:vertAlign w:val="baseline"/>
        </w:rPr>
        <w:t> </w:t>
      </w:r>
      <w:r>
        <w:rPr>
          <w:vertAlign w:val="baseline"/>
        </w:rPr>
        <w:t>Dam,</w:t>
      </w:r>
      <w:r>
        <w:rPr>
          <w:spacing w:val="-3"/>
          <w:vertAlign w:val="baseline"/>
        </w:rPr>
        <w:t> </w:t>
      </w:r>
      <w:r>
        <w:rPr>
          <w:vertAlign w:val="baseline"/>
        </w:rPr>
        <w:t>in</w:t>
      </w:r>
      <w:r>
        <w:rPr>
          <w:spacing w:val="-3"/>
          <w:vertAlign w:val="baseline"/>
        </w:rPr>
        <w:t> </w:t>
      </w:r>
      <w:r>
        <w:rPr>
          <w:vertAlign w:val="baseline"/>
        </w:rPr>
        <w:t>1943</w:t>
      </w:r>
      <w:r>
        <w:rPr>
          <w:spacing w:val="-3"/>
          <w:vertAlign w:val="baseline"/>
        </w:rPr>
        <w:t> </w:t>
      </w:r>
      <w:r>
        <w:rPr>
          <w:vertAlign w:val="baseline"/>
        </w:rPr>
        <w:t>for</w:t>
      </w:r>
      <w:r>
        <w:rPr>
          <w:spacing w:val="-3"/>
          <w:vertAlign w:val="baseline"/>
        </w:rPr>
        <w:t> </w:t>
      </w:r>
      <w:r>
        <w:rPr>
          <w:vertAlign w:val="baseline"/>
        </w:rPr>
        <w:t>his</w:t>
      </w:r>
      <w:r>
        <w:rPr>
          <w:spacing w:val="-3"/>
          <w:vertAlign w:val="baseline"/>
        </w:rPr>
        <w:t> </w:t>
      </w:r>
      <w:r>
        <w:rPr>
          <w:vertAlign w:val="baseline"/>
        </w:rPr>
        <w:t>isolation</w:t>
      </w:r>
      <w:r>
        <w:rPr>
          <w:spacing w:val="-3"/>
          <w:vertAlign w:val="baseline"/>
        </w:rPr>
        <w:t> </w:t>
      </w:r>
      <w:r>
        <w:rPr>
          <w:vertAlign w:val="baseline"/>
        </w:rPr>
        <w:t>and</w:t>
      </w:r>
      <w:r>
        <w:rPr>
          <w:spacing w:val="-3"/>
          <w:vertAlign w:val="baseline"/>
        </w:rPr>
        <w:t> </w:t>
      </w:r>
      <w:r>
        <w:rPr>
          <w:vertAlign w:val="baseline"/>
        </w:rPr>
        <w:t>synthesis</w:t>
      </w:r>
      <w:r>
        <w:rPr>
          <w:spacing w:val="-3"/>
          <w:vertAlign w:val="baseline"/>
        </w:rPr>
        <w:t> </w:t>
      </w:r>
      <w:r>
        <w:rPr>
          <w:vertAlign w:val="baseline"/>
        </w:rPr>
        <w:t>of vitamin K.</w:t>
      </w:r>
    </w:p>
    <w:p>
      <w:pPr>
        <w:pStyle w:val="BodyText"/>
        <w:spacing w:line="249" w:lineRule="auto" w:before="19"/>
        <w:ind w:right="100" w:firstLine="450"/>
      </w:pPr>
      <w:r>
        <w:rPr/>
        <w:t>In 1919, Allen and Doisy, both discharged from the army after World War I, joined the faculty at the Washington University School of Medicine in St Louis and began working together. Although later they ended up at different institutions, they continued their collaboration. In 1923 and </w:t>
      </w:r>
      <w:r>
        <w:rPr/>
        <w:t>1924, Allen and Doisy reported the isolation and administration of “an ovarian hormone” from pig ovaries.</w:t>
      </w:r>
    </w:p>
    <w:p>
      <w:pPr>
        <w:pStyle w:val="BodyText"/>
        <w:spacing w:line="249" w:lineRule="auto" w:before="8"/>
        <w:ind w:right="97" w:firstLine="450"/>
      </w:pPr>
      <w:r>
        <w:rPr/>
        <w:t>In 1926, Sir Alan S. Parkes and C.W. Bellerby coined the basic word “estrin” to designate the hormone or hormones that induce estrus in</w:t>
      </w:r>
      <w:r>
        <w:rPr>
          <w:spacing w:val="40"/>
        </w:rPr>
        <w:t> </w:t>
      </w:r>
      <w:r>
        <w:rPr/>
        <w:t>animals, the time when female mammals are fertile and receptive to males. Doisy and his students Veler and Thayer in St Louis isolated a few milligrams of estrogen in crystalline form in 1929 from large amounts of urine from pregnant women. In 1932, this terminology was extended to include the principal estrogens in humans, estrone, estradiol, and estriol </w:t>
      </w:r>
      <w:r>
        <w:rPr/>
        <w:t>at the first meeting of the International Conference on the Standardization of Sex Hormones in London, although significant amounts of pure estradiol were not isolated until 1936. At this meeting, A. Girard from France introduced a new reagent to isolate crystalline estrogen from mare’s urine, which</w:t>
      </w:r>
      <w:r>
        <w:rPr>
          <w:spacing w:val="-1"/>
        </w:rPr>
        <w:t> </w:t>
      </w:r>
      <w:r>
        <w:rPr/>
        <w:t>enabled</w:t>
      </w:r>
      <w:r>
        <w:rPr>
          <w:spacing w:val="-1"/>
        </w:rPr>
        <w:t> </w:t>
      </w:r>
      <w:r>
        <w:rPr/>
        <w:t>chemists</w:t>
      </w:r>
      <w:r>
        <w:rPr>
          <w:spacing w:val="-1"/>
        </w:rPr>
        <w:t> </w:t>
      </w:r>
      <w:r>
        <w:rPr/>
        <w:t>to</w:t>
      </w:r>
      <w:r>
        <w:rPr>
          <w:spacing w:val="-1"/>
        </w:rPr>
        <w:t> </w:t>
      </w:r>
      <w:r>
        <w:rPr/>
        <w:t>overcome</w:t>
      </w:r>
      <w:r>
        <w:rPr>
          <w:spacing w:val="-1"/>
        </w:rPr>
        <w:t> </w:t>
      </w:r>
      <w:r>
        <w:rPr/>
        <w:t>the</w:t>
      </w:r>
      <w:r>
        <w:rPr>
          <w:spacing w:val="-1"/>
        </w:rPr>
        <w:t> </w:t>
      </w:r>
      <w:r>
        <w:rPr/>
        <w:t>inability</w:t>
      </w:r>
      <w:r>
        <w:rPr>
          <w:spacing w:val="-1"/>
        </w:rPr>
        <w:t> </w:t>
      </w:r>
      <w:r>
        <w:rPr/>
        <w:t>to</w:t>
      </w:r>
      <w:r>
        <w:rPr>
          <w:spacing w:val="-1"/>
        </w:rPr>
        <w:t> </w:t>
      </w:r>
      <w:r>
        <w:rPr/>
        <w:t>isolate</w:t>
      </w:r>
      <w:r>
        <w:rPr>
          <w:spacing w:val="-1"/>
        </w:rPr>
        <w:t> </w:t>
      </w:r>
      <w:r>
        <w:rPr/>
        <w:t>more</w:t>
      </w:r>
      <w:r>
        <w:rPr>
          <w:spacing w:val="-1"/>
        </w:rPr>
        <w:t> </w:t>
      </w:r>
      <w:r>
        <w:rPr/>
        <w:t>than</w:t>
      </w:r>
      <w:r>
        <w:rPr>
          <w:spacing w:val="-1"/>
        </w:rPr>
        <w:t> </w:t>
      </w:r>
      <w:r>
        <w:rPr/>
        <w:t>a</w:t>
      </w:r>
      <w:r>
        <w:rPr>
          <w:spacing w:val="-1"/>
        </w:rPr>
        <w:t> </w:t>
      </w:r>
      <w:r>
        <w:rPr/>
        <w:t>few milligrams of estrogen.</w:t>
      </w:r>
      <w:r>
        <w:rPr>
          <w:vertAlign w:val="superscript"/>
        </w:rPr>
        <w:t>7</w:t>
      </w:r>
    </w:p>
    <w:p>
      <w:pPr>
        <w:pStyle w:val="BodyText"/>
        <w:spacing w:after="0" w:line="249" w:lineRule="auto"/>
        <w:sectPr>
          <w:pgSz w:w="12240" w:h="15840"/>
          <w:pgMar w:top="1380" w:bottom="280" w:left="1440" w:right="1440"/>
        </w:sectPr>
      </w:pPr>
    </w:p>
    <w:p>
      <w:pPr>
        <w:pStyle w:val="BodyText"/>
        <w:spacing w:line="249" w:lineRule="auto"/>
        <w:ind w:right="98" w:firstLine="450"/>
      </w:pPr>
      <w:r>
        <w:rPr/>
        <w:t>In the 1920s, George W. Corner at the University of Rochester invited Willard Myron Allen, an organic chemist who was then a medical student, to join him in the study of the corpus luteum. Within 2 years, they had a pure extract; however, it was not until 1934 that crystalline progesterone was isolated. It took the corpora lutea of 50,000 pigs to yield a few milligrams. At the Second International Conference on the Standardization of Sex Hormones in London, Corner and Allen proposed the </w:t>
      </w:r>
      <w:r>
        <w:rPr/>
        <w:t>name </w:t>
      </w:r>
      <w:r>
        <w:rPr>
          <w:i/>
        </w:rPr>
        <w:t>progestin</w:t>
      </w:r>
      <w:r>
        <w:rPr/>
        <w:t>.</w:t>
      </w:r>
      <w:r>
        <w:rPr>
          <w:spacing w:val="-5"/>
        </w:rPr>
        <w:t> </w:t>
      </w:r>
      <w:r>
        <w:rPr/>
        <w:t>Others</w:t>
      </w:r>
      <w:r>
        <w:rPr>
          <w:spacing w:val="-3"/>
        </w:rPr>
        <w:t> </w:t>
      </w:r>
      <w:r>
        <w:rPr/>
        <w:t>proposed</w:t>
      </w:r>
      <w:r>
        <w:rPr>
          <w:spacing w:val="-3"/>
        </w:rPr>
        <w:t> </w:t>
      </w:r>
      <w:r>
        <w:rPr/>
        <w:t>luteosterone,</w:t>
      </w:r>
      <w:r>
        <w:rPr>
          <w:spacing w:val="-3"/>
        </w:rPr>
        <w:t> </w:t>
      </w:r>
      <w:r>
        <w:rPr/>
        <w:t>and,</w:t>
      </w:r>
      <w:r>
        <w:rPr>
          <w:spacing w:val="-3"/>
        </w:rPr>
        <w:t> </w:t>
      </w:r>
      <w:r>
        <w:rPr/>
        <w:t>at</w:t>
      </w:r>
      <w:r>
        <w:rPr>
          <w:spacing w:val="-3"/>
        </w:rPr>
        <w:t> </w:t>
      </w:r>
      <w:r>
        <w:rPr/>
        <w:t>a</w:t>
      </w:r>
      <w:r>
        <w:rPr>
          <w:spacing w:val="-3"/>
        </w:rPr>
        <w:t> </w:t>
      </w:r>
      <w:r>
        <w:rPr/>
        <w:t>cocktail</w:t>
      </w:r>
      <w:r>
        <w:rPr>
          <w:spacing w:val="-3"/>
        </w:rPr>
        <w:t> </w:t>
      </w:r>
      <w:r>
        <w:rPr/>
        <w:t>party,</w:t>
      </w:r>
      <w:r>
        <w:rPr>
          <w:spacing w:val="-3"/>
        </w:rPr>
        <w:t> </w:t>
      </w:r>
      <w:r>
        <w:rPr/>
        <w:t>the</w:t>
      </w:r>
      <w:r>
        <w:rPr>
          <w:spacing w:val="-3"/>
        </w:rPr>
        <w:t> </w:t>
      </w:r>
      <w:r>
        <w:rPr/>
        <w:t>various biochemists agreed to call the chemical “progesterone.”</w:t>
      </w:r>
      <w:r>
        <w:rPr>
          <w:vertAlign w:val="superscript"/>
        </w:rPr>
        <w:t>7</w:t>
      </w:r>
    </w:p>
    <w:p>
      <w:pPr>
        <w:pStyle w:val="BodyText"/>
        <w:spacing w:line="249" w:lineRule="auto" w:before="11"/>
        <w:ind w:right="99" w:firstLine="450"/>
      </w:pPr>
      <w:r>
        <w:rPr/>
        <w:t>By the 1940s, hormones were being administered to patients, but supplies were very limited and hormones were incredibly expensive. Progesterone, for example, costs $200 per gram. “To secure barely enough androsterone to cover the head of a pin, Adolph Butenandt had had to </w:t>
      </w:r>
      <w:r>
        <w:rPr/>
        <w:t>start with nearly four thousand gallons of urine; to obtain less than one</w:t>
      </w:r>
      <w:r>
        <w:rPr>
          <w:spacing w:val="40"/>
        </w:rPr>
        <w:t> </w:t>
      </w:r>
      <w:r>
        <w:rPr/>
        <w:t>hundredth of an ounce of pure testosterone crystals, Ernst Laqueur had had to process nearly a ton of bulls’ testicles. It took a full ton of cholesterol, from the spinal cords or brains of cattle or from the grease of sheep’s wool, to yield just 20 lb of the starting material from which progesterone could ultimately be obtained. Edward Doisy had had to process ovaries of more than 80,000 sows to get just 12,000ths of a gram of estradiol.”</w:t>
      </w:r>
      <w:r>
        <w:rPr>
          <w:vertAlign w:val="superscript"/>
        </w:rPr>
        <w:t>8</w:t>
      </w:r>
    </w:p>
    <w:p>
      <w:pPr>
        <w:pStyle w:val="BodyText"/>
        <w:spacing w:before="0"/>
        <w:ind w:left="0"/>
        <w:jc w:val="left"/>
        <w:rPr>
          <w:sz w:val="20"/>
        </w:rPr>
      </w:pPr>
    </w:p>
    <w:p>
      <w:pPr>
        <w:pStyle w:val="BodyText"/>
        <w:spacing w:before="148"/>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92"/>
        <w:gridCol w:w="2657"/>
      </w:tblGrid>
      <w:tr>
        <w:trPr>
          <w:trHeight w:val="449" w:hRule="atLeast"/>
        </w:trPr>
        <w:tc>
          <w:tcPr>
            <w:tcW w:w="9149" w:type="dxa"/>
            <w:gridSpan w:val="2"/>
            <w:shd w:val="clear" w:color="auto" w:fill="256E60"/>
          </w:tcPr>
          <w:p>
            <w:pPr>
              <w:pStyle w:val="TableParagraph"/>
              <w:tabs>
                <w:tab w:pos="1605" w:val="left" w:leader="none"/>
              </w:tabs>
              <w:spacing w:before="93"/>
              <w:rPr>
                <w:rFonts w:ascii="Arial"/>
                <w:sz w:val="22"/>
              </w:rPr>
            </w:pPr>
            <w:r>
              <w:rPr>
                <w:rFonts w:ascii="Arial"/>
                <w:b/>
                <w:color w:val="FFFFFF"/>
                <w:sz w:val="22"/>
              </w:rPr>
              <w:t>TABLE</w:t>
            </w:r>
            <w:r>
              <w:rPr>
                <w:rFonts w:ascii="Arial"/>
                <w:b/>
                <w:color w:val="FFFFFF"/>
                <w:spacing w:val="-2"/>
                <w:sz w:val="22"/>
              </w:rPr>
              <w:t> </w:t>
            </w:r>
            <w:r>
              <w:rPr>
                <w:rFonts w:ascii="Arial"/>
                <w:b/>
                <w:color w:val="FFFFFF"/>
                <w:spacing w:val="-4"/>
                <w:sz w:val="22"/>
              </w:rPr>
              <w:t>22.1</w:t>
            </w:r>
            <w:r>
              <w:rPr>
                <w:rFonts w:ascii="Arial"/>
                <w:b/>
                <w:color w:val="FFFFFF"/>
                <w:sz w:val="22"/>
              </w:rPr>
              <w:tab/>
            </w:r>
            <w:r>
              <w:rPr>
                <w:rFonts w:ascii="Arial"/>
                <w:color w:val="FFFFFF"/>
                <w:sz w:val="22"/>
              </w:rPr>
              <w:t>Menopausal</w:t>
            </w:r>
            <w:r>
              <w:rPr>
                <w:rFonts w:ascii="Arial"/>
                <w:color w:val="FFFFFF"/>
                <w:spacing w:val="22"/>
                <w:sz w:val="22"/>
              </w:rPr>
              <w:t> </w:t>
            </w:r>
            <w:r>
              <w:rPr>
                <w:rFonts w:ascii="Arial"/>
                <w:color w:val="FFFFFF"/>
                <w:sz w:val="22"/>
              </w:rPr>
              <w:t>Hormone</w:t>
            </w:r>
            <w:r>
              <w:rPr>
                <w:rFonts w:ascii="Arial"/>
                <w:color w:val="FFFFFF"/>
                <w:spacing w:val="22"/>
                <w:sz w:val="22"/>
              </w:rPr>
              <w:t> </w:t>
            </w:r>
            <w:r>
              <w:rPr>
                <w:rFonts w:ascii="Arial"/>
                <w:color w:val="FFFFFF"/>
                <w:spacing w:val="-2"/>
                <w:sz w:val="22"/>
              </w:rPr>
              <w:t>Therapy</w:t>
            </w:r>
          </w:p>
        </w:tc>
      </w:tr>
      <w:tr>
        <w:trPr>
          <w:trHeight w:val="539" w:hRule="atLeast"/>
        </w:trPr>
        <w:tc>
          <w:tcPr>
            <w:tcW w:w="6492" w:type="dxa"/>
            <w:tcBorders>
              <w:bottom w:val="single" w:sz="6" w:space="0" w:color="256E60"/>
            </w:tcBorders>
            <w:shd w:val="clear" w:color="auto" w:fill="DDE6E3"/>
          </w:tcPr>
          <w:p>
            <w:pPr>
              <w:pStyle w:val="TableParagraph"/>
              <w:spacing w:before="138"/>
              <w:rPr>
                <w:rFonts w:ascii="Arial"/>
                <w:b/>
                <w:sz w:val="22"/>
              </w:rPr>
            </w:pPr>
            <w:r>
              <w:rPr>
                <w:rFonts w:ascii="Arial"/>
                <w:b/>
                <w:color w:val="1C5349"/>
                <w:sz w:val="22"/>
              </w:rPr>
              <w:t>Composition</w:t>
            </w:r>
            <w:r>
              <w:rPr>
                <w:rFonts w:ascii="Arial"/>
                <w:b/>
                <w:color w:val="1C5349"/>
                <w:spacing w:val="20"/>
                <w:sz w:val="22"/>
              </w:rPr>
              <w:t> </w:t>
            </w:r>
            <w:r>
              <w:rPr>
                <w:rFonts w:ascii="Arial"/>
                <w:b/>
                <w:color w:val="1C5349"/>
                <w:sz w:val="22"/>
              </w:rPr>
              <w:t>of</w:t>
            </w:r>
            <w:r>
              <w:rPr>
                <w:rFonts w:ascii="Arial"/>
                <w:b/>
                <w:color w:val="1C5349"/>
                <w:spacing w:val="20"/>
                <w:sz w:val="22"/>
              </w:rPr>
              <w:t> </w:t>
            </w:r>
            <w:r>
              <w:rPr>
                <w:rFonts w:ascii="Arial"/>
                <w:b/>
                <w:color w:val="1C5349"/>
                <w:sz w:val="22"/>
              </w:rPr>
              <w:t>Conjugated</w:t>
            </w:r>
            <w:r>
              <w:rPr>
                <w:rFonts w:ascii="Arial"/>
                <w:b/>
                <w:color w:val="1C5349"/>
                <w:spacing w:val="20"/>
                <w:sz w:val="22"/>
              </w:rPr>
              <w:t> </w:t>
            </w:r>
            <w:r>
              <w:rPr>
                <w:rFonts w:ascii="Arial"/>
                <w:b/>
                <w:color w:val="1C5349"/>
                <w:sz w:val="22"/>
              </w:rPr>
              <w:t>Estrogens</w:t>
            </w:r>
            <w:r>
              <w:rPr>
                <w:rFonts w:ascii="Arial"/>
                <w:b/>
                <w:color w:val="1C5349"/>
                <w:spacing w:val="20"/>
                <w:sz w:val="22"/>
              </w:rPr>
              <w:t> </w:t>
            </w:r>
            <w:r>
              <w:rPr>
                <w:rFonts w:ascii="Arial"/>
                <w:b/>
                <w:color w:val="1C5349"/>
                <w:spacing w:val="-2"/>
                <w:sz w:val="22"/>
              </w:rPr>
              <w:t>(Premarin)</w:t>
            </w:r>
          </w:p>
        </w:tc>
        <w:tc>
          <w:tcPr>
            <w:tcW w:w="2657" w:type="dxa"/>
            <w:tcBorders>
              <w:bottom w:val="single" w:sz="6" w:space="0" w:color="256E60"/>
            </w:tcBorders>
            <w:shd w:val="clear" w:color="auto" w:fill="DDE6E3"/>
          </w:tcPr>
          <w:p>
            <w:pPr>
              <w:pStyle w:val="TableParagraph"/>
              <w:spacing w:before="0"/>
              <w:ind w:left="0"/>
              <w:rPr>
                <w:sz w:val="28"/>
              </w:rPr>
            </w:pPr>
          </w:p>
        </w:tc>
      </w:tr>
      <w:tr>
        <w:trPr>
          <w:trHeight w:val="554" w:hRule="atLeast"/>
        </w:trPr>
        <w:tc>
          <w:tcPr>
            <w:tcW w:w="6492" w:type="dxa"/>
            <w:tcBorders>
              <w:top w:val="single" w:sz="6" w:space="0" w:color="256E60"/>
              <w:bottom w:val="single" w:sz="6" w:space="0" w:color="1C5349"/>
            </w:tcBorders>
          </w:tcPr>
          <w:p>
            <w:pPr>
              <w:pStyle w:val="TableParagraph"/>
              <w:rPr>
                <w:sz w:val="22"/>
              </w:rPr>
            </w:pPr>
            <w:r>
              <w:rPr>
                <w:sz w:val="22"/>
              </w:rPr>
              <w:t>Sodium</w:t>
            </w:r>
            <w:r>
              <w:rPr>
                <w:spacing w:val="14"/>
                <w:sz w:val="22"/>
              </w:rPr>
              <w:t> </w:t>
            </w:r>
            <w:r>
              <w:rPr>
                <w:sz w:val="22"/>
              </w:rPr>
              <w:t>estrone</w:t>
            </w:r>
            <w:r>
              <w:rPr>
                <w:spacing w:val="14"/>
                <w:sz w:val="22"/>
              </w:rPr>
              <w:t> </w:t>
            </w:r>
            <w:r>
              <w:rPr>
                <w:spacing w:val="-2"/>
                <w:sz w:val="22"/>
              </w:rPr>
              <w:t>sulfate</w:t>
            </w:r>
          </w:p>
        </w:tc>
        <w:tc>
          <w:tcPr>
            <w:tcW w:w="2657" w:type="dxa"/>
            <w:tcBorders>
              <w:top w:val="single" w:sz="6" w:space="0" w:color="256E60"/>
              <w:bottom w:val="single" w:sz="6" w:space="0" w:color="1C5349"/>
            </w:tcBorders>
          </w:tcPr>
          <w:p>
            <w:pPr>
              <w:pStyle w:val="TableParagraph"/>
              <w:ind w:left="1107"/>
              <w:rPr>
                <w:sz w:val="22"/>
              </w:rPr>
            </w:pPr>
            <w:r>
              <w:rPr>
                <w:spacing w:val="-2"/>
                <w:sz w:val="22"/>
              </w:rPr>
              <w:t>49.3%</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13"/>
                <w:sz w:val="22"/>
              </w:rPr>
              <w:t> </w:t>
            </w:r>
            <w:r>
              <w:rPr>
                <w:sz w:val="22"/>
              </w:rPr>
              <w:t>equilin</w:t>
            </w:r>
            <w:r>
              <w:rPr>
                <w:spacing w:val="14"/>
                <w:sz w:val="22"/>
              </w:rPr>
              <w:t> </w:t>
            </w:r>
            <w:r>
              <w:rPr>
                <w:spacing w:val="-2"/>
                <w:sz w:val="22"/>
              </w:rPr>
              <w:t>sulfate</w:t>
            </w:r>
          </w:p>
        </w:tc>
        <w:tc>
          <w:tcPr>
            <w:tcW w:w="2657" w:type="dxa"/>
            <w:tcBorders>
              <w:top w:val="single" w:sz="6" w:space="0" w:color="1C5349"/>
              <w:bottom w:val="single" w:sz="6" w:space="0" w:color="1C5349"/>
            </w:tcBorders>
          </w:tcPr>
          <w:p>
            <w:pPr>
              <w:pStyle w:val="TableParagraph"/>
              <w:ind w:left="1107"/>
              <w:rPr>
                <w:sz w:val="22"/>
              </w:rPr>
            </w:pPr>
            <w:r>
              <w:rPr>
                <w:spacing w:val="-2"/>
                <w:sz w:val="22"/>
              </w:rPr>
              <w:t>22.4%</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33"/>
                <w:sz w:val="22"/>
              </w:rPr>
              <w:t> </w:t>
            </w:r>
            <w:r>
              <w:rPr>
                <w:sz w:val="22"/>
              </w:rPr>
              <w:t>17a-dihydroequilin</w:t>
            </w:r>
            <w:r>
              <w:rPr>
                <w:spacing w:val="33"/>
                <w:sz w:val="22"/>
              </w:rPr>
              <w:t> </w:t>
            </w:r>
            <w:r>
              <w:rPr>
                <w:spacing w:val="-2"/>
                <w:sz w:val="22"/>
              </w:rPr>
              <w:t>sulfate</w:t>
            </w:r>
          </w:p>
        </w:tc>
        <w:tc>
          <w:tcPr>
            <w:tcW w:w="2657" w:type="dxa"/>
            <w:tcBorders>
              <w:top w:val="single" w:sz="6" w:space="0" w:color="1C5349"/>
              <w:bottom w:val="single" w:sz="6" w:space="0" w:color="1C5349"/>
            </w:tcBorders>
          </w:tcPr>
          <w:p>
            <w:pPr>
              <w:pStyle w:val="TableParagraph"/>
              <w:ind w:left="1107"/>
              <w:rPr>
                <w:sz w:val="22"/>
              </w:rPr>
            </w:pPr>
            <w:r>
              <w:rPr>
                <w:spacing w:val="-2"/>
                <w:sz w:val="22"/>
              </w:rPr>
              <w:t>13.8%</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25"/>
                <w:sz w:val="22"/>
              </w:rPr>
              <w:t> </w:t>
            </w:r>
            <w:r>
              <w:rPr>
                <w:sz w:val="22"/>
              </w:rPr>
              <w:t>17a-estradiol</w:t>
            </w:r>
            <w:r>
              <w:rPr>
                <w:spacing w:val="25"/>
                <w:sz w:val="22"/>
              </w:rPr>
              <w:t> </w:t>
            </w:r>
            <w:r>
              <w:rPr>
                <w:spacing w:val="-2"/>
                <w:sz w:val="22"/>
              </w:rPr>
              <w:t>sulfate</w:t>
            </w:r>
          </w:p>
        </w:tc>
        <w:tc>
          <w:tcPr>
            <w:tcW w:w="2657" w:type="dxa"/>
            <w:tcBorders>
              <w:top w:val="single" w:sz="6" w:space="0" w:color="1C5349"/>
              <w:bottom w:val="single" w:sz="6" w:space="0" w:color="1C5349"/>
            </w:tcBorders>
          </w:tcPr>
          <w:p>
            <w:pPr>
              <w:pStyle w:val="TableParagraph"/>
              <w:ind w:left="1107"/>
              <w:rPr>
                <w:sz w:val="22"/>
              </w:rPr>
            </w:pPr>
            <w:r>
              <w:rPr>
                <w:spacing w:val="-4"/>
                <w:sz w:val="22"/>
              </w:rPr>
              <w:t>4.5%</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26"/>
                <w:sz w:val="22"/>
              </w:rPr>
              <w:t> </w:t>
            </w:r>
            <w:r>
              <w:rPr>
                <w:sz w:val="22"/>
              </w:rPr>
              <w:t>Δ8,9-dehydroestrone</w:t>
            </w:r>
            <w:r>
              <w:rPr>
                <w:spacing w:val="26"/>
                <w:sz w:val="22"/>
              </w:rPr>
              <w:t> </w:t>
            </w:r>
            <w:r>
              <w:rPr>
                <w:spacing w:val="-2"/>
                <w:sz w:val="22"/>
              </w:rPr>
              <w:t>sulfate</w:t>
            </w:r>
          </w:p>
        </w:tc>
        <w:tc>
          <w:tcPr>
            <w:tcW w:w="2657" w:type="dxa"/>
            <w:tcBorders>
              <w:top w:val="single" w:sz="6" w:space="0" w:color="1C5349"/>
              <w:bottom w:val="single" w:sz="6" w:space="0" w:color="1C5349"/>
            </w:tcBorders>
          </w:tcPr>
          <w:p>
            <w:pPr>
              <w:pStyle w:val="TableParagraph"/>
              <w:ind w:left="1107"/>
              <w:rPr>
                <w:sz w:val="22"/>
              </w:rPr>
            </w:pPr>
            <w:r>
              <w:rPr>
                <w:spacing w:val="-4"/>
                <w:sz w:val="22"/>
              </w:rPr>
              <w:t>3.5%</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16"/>
                <w:sz w:val="22"/>
              </w:rPr>
              <w:t> </w:t>
            </w:r>
            <w:r>
              <w:rPr>
                <w:sz w:val="22"/>
              </w:rPr>
              <w:t>equilenin</w:t>
            </w:r>
            <w:r>
              <w:rPr>
                <w:spacing w:val="16"/>
                <w:sz w:val="22"/>
              </w:rPr>
              <w:t> </w:t>
            </w:r>
            <w:r>
              <w:rPr>
                <w:spacing w:val="-2"/>
                <w:sz w:val="22"/>
              </w:rPr>
              <w:t>sulfate</w:t>
            </w:r>
          </w:p>
        </w:tc>
        <w:tc>
          <w:tcPr>
            <w:tcW w:w="2657" w:type="dxa"/>
            <w:tcBorders>
              <w:top w:val="single" w:sz="6" w:space="0" w:color="1C5349"/>
              <w:bottom w:val="single" w:sz="6" w:space="0" w:color="1C5349"/>
            </w:tcBorders>
          </w:tcPr>
          <w:p>
            <w:pPr>
              <w:pStyle w:val="TableParagraph"/>
              <w:ind w:left="1107"/>
              <w:rPr>
                <w:sz w:val="22"/>
              </w:rPr>
            </w:pPr>
            <w:r>
              <w:rPr>
                <w:spacing w:val="-4"/>
                <w:sz w:val="22"/>
              </w:rPr>
              <w:t>2.2%</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24"/>
                <w:sz w:val="22"/>
              </w:rPr>
              <w:t> </w:t>
            </w:r>
            <w:r>
              <w:rPr>
                <w:sz w:val="22"/>
              </w:rPr>
              <w:t>17β-dihydroequilin</w:t>
            </w:r>
            <w:r>
              <w:rPr>
                <w:spacing w:val="25"/>
                <w:sz w:val="22"/>
              </w:rPr>
              <w:t> </w:t>
            </w:r>
            <w:r>
              <w:rPr>
                <w:spacing w:val="-2"/>
                <w:sz w:val="22"/>
              </w:rPr>
              <w:t>sulfate</w:t>
            </w:r>
          </w:p>
        </w:tc>
        <w:tc>
          <w:tcPr>
            <w:tcW w:w="2657" w:type="dxa"/>
            <w:tcBorders>
              <w:top w:val="single" w:sz="6" w:space="0" w:color="1C5349"/>
              <w:bottom w:val="single" w:sz="6" w:space="0" w:color="1C5349"/>
            </w:tcBorders>
          </w:tcPr>
          <w:p>
            <w:pPr>
              <w:pStyle w:val="TableParagraph"/>
              <w:ind w:left="1107"/>
              <w:rPr>
                <w:sz w:val="22"/>
              </w:rPr>
            </w:pPr>
            <w:r>
              <w:rPr>
                <w:spacing w:val="-4"/>
                <w:sz w:val="22"/>
              </w:rPr>
              <w:t>1.7%</w:t>
            </w:r>
          </w:p>
        </w:tc>
      </w:tr>
    </w:tbl>
    <w:p>
      <w:pPr>
        <w:pStyle w:val="TableParagraph"/>
        <w:spacing w:after="0"/>
        <w:rPr>
          <w:sz w:val="22"/>
        </w:rPr>
        <w:sectPr>
          <w:pgSz w:w="12240" w:h="15840"/>
          <w:pgMar w:top="1380" w:bottom="1344" w:left="1440" w:right="1440"/>
        </w:sect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92"/>
        <w:gridCol w:w="2657"/>
      </w:tblGrid>
      <w:tr>
        <w:trPr>
          <w:trHeight w:val="539" w:hRule="atLeast"/>
        </w:trPr>
        <w:tc>
          <w:tcPr>
            <w:tcW w:w="6492" w:type="dxa"/>
            <w:tcBorders>
              <w:bottom w:val="single" w:sz="6" w:space="0" w:color="256E60"/>
            </w:tcBorders>
            <w:shd w:val="clear" w:color="auto" w:fill="DDE6E3"/>
          </w:tcPr>
          <w:p>
            <w:pPr>
              <w:pStyle w:val="TableParagraph"/>
              <w:spacing w:before="138"/>
              <w:rPr>
                <w:rFonts w:ascii="Arial"/>
                <w:b/>
                <w:sz w:val="22"/>
              </w:rPr>
            </w:pPr>
            <w:r>
              <w:rPr>
                <w:rFonts w:ascii="Arial"/>
                <w:b/>
                <w:color w:val="1C5349"/>
                <w:sz w:val="22"/>
              </w:rPr>
              <w:t>Composition</w:t>
            </w:r>
            <w:r>
              <w:rPr>
                <w:rFonts w:ascii="Arial"/>
                <w:b/>
                <w:color w:val="1C5349"/>
                <w:spacing w:val="20"/>
                <w:sz w:val="22"/>
              </w:rPr>
              <w:t> </w:t>
            </w:r>
            <w:r>
              <w:rPr>
                <w:rFonts w:ascii="Arial"/>
                <w:b/>
                <w:color w:val="1C5349"/>
                <w:sz w:val="22"/>
              </w:rPr>
              <w:t>of</w:t>
            </w:r>
            <w:r>
              <w:rPr>
                <w:rFonts w:ascii="Arial"/>
                <w:b/>
                <w:color w:val="1C5349"/>
                <w:spacing w:val="20"/>
                <w:sz w:val="22"/>
              </w:rPr>
              <w:t> </w:t>
            </w:r>
            <w:r>
              <w:rPr>
                <w:rFonts w:ascii="Arial"/>
                <w:b/>
                <w:color w:val="1C5349"/>
                <w:sz w:val="22"/>
              </w:rPr>
              <w:t>Conjugated</w:t>
            </w:r>
            <w:r>
              <w:rPr>
                <w:rFonts w:ascii="Arial"/>
                <w:b/>
                <w:color w:val="1C5349"/>
                <w:spacing w:val="20"/>
                <w:sz w:val="22"/>
              </w:rPr>
              <w:t> </w:t>
            </w:r>
            <w:r>
              <w:rPr>
                <w:rFonts w:ascii="Arial"/>
                <w:b/>
                <w:color w:val="1C5349"/>
                <w:sz w:val="22"/>
              </w:rPr>
              <w:t>Estrogens</w:t>
            </w:r>
            <w:r>
              <w:rPr>
                <w:rFonts w:ascii="Arial"/>
                <w:b/>
                <w:color w:val="1C5349"/>
                <w:spacing w:val="20"/>
                <w:sz w:val="22"/>
              </w:rPr>
              <w:t> </w:t>
            </w:r>
            <w:r>
              <w:rPr>
                <w:rFonts w:ascii="Arial"/>
                <w:b/>
                <w:color w:val="1C5349"/>
                <w:spacing w:val="-2"/>
                <w:sz w:val="22"/>
              </w:rPr>
              <w:t>(Premarin)</w:t>
            </w:r>
          </w:p>
        </w:tc>
        <w:tc>
          <w:tcPr>
            <w:tcW w:w="2657" w:type="dxa"/>
            <w:tcBorders>
              <w:bottom w:val="single" w:sz="6" w:space="0" w:color="256E60"/>
            </w:tcBorders>
            <w:shd w:val="clear" w:color="auto" w:fill="DDE6E3"/>
          </w:tcPr>
          <w:p>
            <w:pPr>
              <w:pStyle w:val="TableParagraph"/>
              <w:spacing w:before="0"/>
              <w:ind w:left="0"/>
              <w:rPr>
                <w:sz w:val="28"/>
              </w:rPr>
            </w:pPr>
          </w:p>
        </w:tc>
      </w:tr>
      <w:tr>
        <w:trPr>
          <w:trHeight w:val="554" w:hRule="atLeast"/>
        </w:trPr>
        <w:tc>
          <w:tcPr>
            <w:tcW w:w="6492" w:type="dxa"/>
            <w:tcBorders>
              <w:top w:val="single" w:sz="6" w:space="0" w:color="256E60"/>
              <w:bottom w:val="single" w:sz="6" w:space="0" w:color="1C5349"/>
            </w:tcBorders>
          </w:tcPr>
          <w:p>
            <w:pPr>
              <w:pStyle w:val="TableParagraph"/>
              <w:rPr>
                <w:sz w:val="22"/>
              </w:rPr>
            </w:pPr>
            <w:r>
              <w:rPr>
                <w:sz w:val="22"/>
              </w:rPr>
              <w:t>Sodium</w:t>
            </w:r>
            <w:r>
              <w:rPr>
                <w:spacing w:val="36"/>
                <w:sz w:val="22"/>
              </w:rPr>
              <w:t> </w:t>
            </w:r>
            <w:r>
              <w:rPr>
                <w:sz w:val="22"/>
              </w:rPr>
              <w:t>17a-dihydroequilenin</w:t>
            </w:r>
            <w:r>
              <w:rPr>
                <w:spacing w:val="36"/>
                <w:sz w:val="22"/>
              </w:rPr>
              <w:t> </w:t>
            </w:r>
            <w:r>
              <w:rPr>
                <w:spacing w:val="-2"/>
                <w:sz w:val="22"/>
              </w:rPr>
              <w:t>sulfate</w:t>
            </w:r>
          </w:p>
        </w:tc>
        <w:tc>
          <w:tcPr>
            <w:tcW w:w="2657" w:type="dxa"/>
            <w:tcBorders>
              <w:top w:val="single" w:sz="6" w:space="0" w:color="256E60"/>
              <w:bottom w:val="single" w:sz="6" w:space="0" w:color="1C5349"/>
            </w:tcBorders>
          </w:tcPr>
          <w:p>
            <w:pPr>
              <w:pStyle w:val="TableParagraph"/>
              <w:ind w:left="27"/>
              <w:jc w:val="center"/>
              <w:rPr>
                <w:sz w:val="22"/>
              </w:rPr>
            </w:pPr>
            <w:r>
              <w:rPr>
                <w:spacing w:val="-4"/>
                <w:sz w:val="22"/>
              </w:rPr>
              <w:t>1.2%</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19"/>
                <w:sz w:val="22"/>
              </w:rPr>
              <w:t> </w:t>
            </w:r>
            <w:r>
              <w:rPr>
                <w:sz w:val="22"/>
              </w:rPr>
              <w:t>17β-estradiol</w:t>
            </w:r>
            <w:r>
              <w:rPr>
                <w:spacing w:val="19"/>
                <w:sz w:val="22"/>
              </w:rPr>
              <w:t> </w:t>
            </w:r>
            <w:r>
              <w:rPr>
                <w:spacing w:val="-2"/>
                <w:sz w:val="22"/>
              </w:rPr>
              <w:t>sulfate</w:t>
            </w:r>
          </w:p>
        </w:tc>
        <w:tc>
          <w:tcPr>
            <w:tcW w:w="2657" w:type="dxa"/>
            <w:tcBorders>
              <w:top w:val="single" w:sz="6" w:space="0" w:color="1C5349"/>
              <w:bottom w:val="single" w:sz="6" w:space="0" w:color="1C5349"/>
            </w:tcBorders>
          </w:tcPr>
          <w:p>
            <w:pPr>
              <w:pStyle w:val="TableParagraph"/>
              <w:ind w:left="27"/>
              <w:jc w:val="center"/>
              <w:rPr>
                <w:sz w:val="22"/>
              </w:rPr>
            </w:pPr>
            <w:r>
              <w:rPr>
                <w:spacing w:val="-4"/>
                <w:sz w:val="22"/>
              </w:rPr>
              <w:t>0.9%</w:t>
            </w:r>
          </w:p>
        </w:tc>
      </w:tr>
      <w:tr>
        <w:trPr>
          <w:trHeight w:val="554" w:hRule="atLeast"/>
        </w:trPr>
        <w:tc>
          <w:tcPr>
            <w:tcW w:w="6492" w:type="dxa"/>
            <w:tcBorders>
              <w:top w:val="single" w:sz="6" w:space="0" w:color="1C5349"/>
              <w:bottom w:val="single" w:sz="6" w:space="0" w:color="1C5349"/>
            </w:tcBorders>
          </w:tcPr>
          <w:p>
            <w:pPr>
              <w:pStyle w:val="TableParagraph"/>
              <w:rPr>
                <w:sz w:val="22"/>
              </w:rPr>
            </w:pPr>
            <w:r>
              <w:rPr>
                <w:sz w:val="22"/>
              </w:rPr>
              <w:t>Sodium</w:t>
            </w:r>
            <w:r>
              <w:rPr>
                <w:spacing w:val="26"/>
                <w:sz w:val="22"/>
              </w:rPr>
              <w:t> </w:t>
            </w:r>
            <w:r>
              <w:rPr>
                <w:sz w:val="22"/>
              </w:rPr>
              <w:t>17β-dihydroequilenin</w:t>
            </w:r>
            <w:r>
              <w:rPr>
                <w:spacing w:val="27"/>
                <w:sz w:val="22"/>
              </w:rPr>
              <w:t> </w:t>
            </w:r>
            <w:r>
              <w:rPr>
                <w:spacing w:val="-2"/>
                <w:sz w:val="22"/>
              </w:rPr>
              <w:t>sulfate</w:t>
            </w:r>
          </w:p>
        </w:tc>
        <w:tc>
          <w:tcPr>
            <w:tcW w:w="2657" w:type="dxa"/>
            <w:tcBorders>
              <w:top w:val="single" w:sz="6" w:space="0" w:color="1C5349"/>
              <w:bottom w:val="single" w:sz="6" w:space="0" w:color="1C5349"/>
            </w:tcBorders>
          </w:tcPr>
          <w:p>
            <w:pPr>
              <w:pStyle w:val="TableParagraph"/>
              <w:ind w:left="27"/>
              <w:jc w:val="center"/>
              <w:rPr>
                <w:sz w:val="22"/>
              </w:rPr>
            </w:pPr>
            <w:r>
              <w:rPr>
                <w:spacing w:val="-4"/>
                <w:sz w:val="22"/>
              </w:rPr>
              <w:t>0.5%</w:t>
            </w:r>
          </w:p>
        </w:tc>
      </w:tr>
    </w:tbl>
    <w:p>
      <w:pPr>
        <w:pStyle w:val="BodyText"/>
        <w:spacing w:before="133"/>
        <w:ind w:left="0"/>
        <w:jc w:val="left"/>
      </w:pPr>
    </w:p>
    <w:p>
      <w:pPr>
        <w:pStyle w:val="BodyText"/>
        <w:spacing w:line="249" w:lineRule="auto" w:before="1"/>
        <w:ind w:right="98" w:firstLine="450"/>
      </w:pPr>
      <w:r>
        <w:rPr/>
        <w:t>In the 1930s, the Ayerst Company was extracting estrogens from the urine of pregnant women. Limited by the problems of supply, low activity, and bad taste and odor, Gordon A. Grant, head of biochemistry for Ayerst, suggested in 1939 that they use urine from horses. The process produced sodium salts from the sulfate esters of the various estrogens, yielding </w:t>
      </w:r>
      <w:r>
        <w:rPr/>
        <w:t>a water-soluble conjugate. </w:t>
      </w:r>
      <w:r>
        <w:rPr>
          <w:b/>
        </w:rPr>
        <w:t>Premarin </w:t>
      </w:r>
      <w:r>
        <w:rPr/>
        <w:t>(</w:t>
      </w:r>
      <w:r>
        <w:rPr>
          <w:b/>
        </w:rPr>
        <w:t>conjugated estrogens</w:t>
      </w:r>
      <w:r>
        <w:rPr/>
        <w:t>) </w:t>
      </w:r>
      <w:r>
        <w:rPr>
          <w:b/>
        </w:rPr>
        <w:t>was approved in Canada in 1941 and in the United States in 1942 for the treatment of symptoms associated with menopause.</w:t>
      </w:r>
      <w:r>
        <w:rPr>
          <w:vertAlign w:val="superscript"/>
        </w:rPr>
        <w:t>9</w:t>
      </w:r>
      <w:r>
        <w:rPr>
          <w:vertAlign w:val="baseline"/>
        </w:rPr>
        <w:t> The tablets were and are still designated as variations of 1.25 mg, based on the equivalent amounts of Premarin and estrone (1.25 mg) that could produce the same effect in the Allen-Doisy bioassay (amount required to produce an increase in rat</w:t>
      </w:r>
      <w:r>
        <w:rPr>
          <w:spacing w:val="80"/>
          <w:w w:val="150"/>
          <w:vertAlign w:val="baseline"/>
        </w:rPr>
        <w:t> </w:t>
      </w:r>
      <w:r>
        <w:rPr>
          <w:vertAlign w:val="baseline"/>
        </w:rPr>
        <w:t>uterine weight). It was not until 1972 that the first quantitative analysis of Premarin was performed, based on gas chromatography. Studies indicate that there is a large number of steroids in Premarin, even androgens and progestins, but only 10 estrogens are present in sufficient quantity to have clinical effects (</w:t>
      </w:r>
      <w:r>
        <w:rPr>
          <w:b/>
          <w:color w:val="256E60"/>
          <w:vertAlign w:val="baseline"/>
        </w:rPr>
        <w:t>Table 22.1</w:t>
      </w:r>
      <w:r>
        <w:rPr>
          <w:vertAlign w:val="baseline"/>
        </w:rPr>
        <w:t>).</w:t>
      </w:r>
    </w:p>
    <w:p>
      <w:pPr>
        <w:pStyle w:val="BodyText"/>
        <w:spacing w:before="0"/>
        <w:ind w:left="0"/>
        <w:jc w:val="left"/>
        <w:rPr>
          <w:sz w:val="20"/>
        </w:rPr>
      </w:pPr>
    </w:p>
    <w:p>
      <w:pPr>
        <w:pStyle w:val="BodyText"/>
        <w:spacing w:before="130"/>
        <w:ind w:left="0"/>
        <w:jc w:val="left"/>
        <w:rPr>
          <w:sz w:val="20"/>
        </w:rPr>
      </w:pPr>
      <w:r>
        <w:rPr>
          <w:sz w:val="20"/>
        </w:rPr>
        <mc:AlternateContent>
          <mc:Choice Requires="wps">
            <w:drawing>
              <wp:anchor distT="0" distB="0" distL="0" distR="0" allowOverlap="1" layoutInCell="1" locked="0" behindDoc="1" simplePos="0" relativeHeight="487622144">
                <wp:simplePos x="0" y="0"/>
                <wp:positionH relativeFrom="page">
                  <wp:posOffset>981075</wp:posOffset>
                </wp:positionH>
                <wp:positionV relativeFrom="paragraph">
                  <wp:posOffset>244307</wp:posOffset>
                </wp:positionV>
                <wp:extent cx="285750" cy="5715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285750" cy="57150"/>
                        </a:xfrm>
                        <a:custGeom>
                          <a:avLst/>
                          <a:gdLst/>
                          <a:ahLst/>
                          <a:cxnLst/>
                          <a:rect l="l" t="t" r="r" b="b"/>
                          <a:pathLst>
                            <a:path w="285750" h="57150">
                              <a:moveTo>
                                <a:pt x="32364" y="57148"/>
                              </a:moveTo>
                              <a:lnTo>
                                <a:pt x="24785" y="57148"/>
                              </a:lnTo>
                              <a:lnTo>
                                <a:pt x="21140" y="56419"/>
                              </a:lnTo>
                              <a:lnTo>
                                <a:pt x="0" y="32363"/>
                              </a:lnTo>
                              <a:lnTo>
                                <a:pt x="0" y="24782"/>
                              </a:lnTo>
                              <a:lnTo>
                                <a:pt x="24785" y="0"/>
                              </a:lnTo>
                              <a:lnTo>
                                <a:pt x="32364" y="0"/>
                              </a:lnTo>
                              <a:lnTo>
                                <a:pt x="57149" y="24782"/>
                              </a:lnTo>
                              <a:lnTo>
                                <a:pt x="57149" y="32363"/>
                              </a:lnTo>
                              <a:lnTo>
                                <a:pt x="32364" y="57148"/>
                              </a:lnTo>
                              <a:close/>
                            </a:path>
                            <a:path w="285750" h="57150">
                              <a:moveTo>
                                <a:pt x="146569" y="57148"/>
                              </a:moveTo>
                              <a:lnTo>
                                <a:pt x="138990" y="57148"/>
                              </a:lnTo>
                              <a:lnTo>
                                <a:pt x="135345" y="56419"/>
                              </a:lnTo>
                              <a:lnTo>
                                <a:pt x="114204" y="32363"/>
                              </a:lnTo>
                              <a:lnTo>
                                <a:pt x="114204" y="24782"/>
                              </a:lnTo>
                              <a:lnTo>
                                <a:pt x="138990" y="0"/>
                              </a:lnTo>
                              <a:lnTo>
                                <a:pt x="146569" y="0"/>
                              </a:lnTo>
                              <a:lnTo>
                                <a:pt x="171354" y="24782"/>
                              </a:lnTo>
                              <a:lnTo>
                                <a:pt x="171354" y="32363"/>
                              </a:lnTo>
                              <a:lnTo>
                                <a:pt x="146569" y="57148"/>
                              </a:lnTo>
                              <a:close/>
                            </a:path>
                            <a:path w="285750" h="57150">
                              <a:moveTo>
                                <a:pt x="260773" y="57148"/>
                              </a:moveTo>
                              <a:lnTo>
                                <a:pt x="253195" y="57148"/>
                              </a:lnTo>
                              <a:lnTo>
                                <a:pt x="249550" y="56419"/>
                              </a:lnTo>
                              <a:lnTo>
                                <a:pt x="228409" y="32363"/>
                              </a:lnTo>
                              <a:lnTo>
                                <a:pt x="228409" y="24782"/>
                              </a:lnTo>
                              <a:lnTo>
                                <a:pt x="253195" y="0"/>
                              </a:lnTo>
                              <a:lnTo>
                                <a:pt x="260773" y="0"/>
                              </a:lnTo>
                              <a:lnTo>
                                <a:pt x="285559" y="24782"/>
                              </a:lnTo>
                              <a:lnTo>
                                <a:pt x="285559" y="32363"/>
                              </a:lnTo>
                              <a:lnTo>
                                <a:pt x="260773" y="57148"/>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236801pt;width:22.5pt;height:4.5pt;mso-position-horizontal-relative:page;mso-position-vertical-relative:paragraph;z-index:-15694336;mso-wrap-distance-left:0;mso-wrap-distance-right:0" id="docshape75" coordorigin="1545,385" coordsize="450,90" path="m1596,475l1584,475,1578,474,1567,469,1562,466,1554,457,1551,452,1546,441,1545,436,1545,424,1546,418,1551,407,1554,402,1562,394,1567,390,1578,386,1584,385,1596,385,1602,386,1613,390,1618,394,1626,402,1629,407,1634,418,1635,424,1635,436,1634,441,1629,452,1626,457,1618,466,1613,469,1602,474,1596,475xm1776,475l1764,475,1758,474,1747,469,1742,466,1734,457,1731,452,1726,441,1725,436,1725,424,1726,418,1731,407,1734,402,1742,394,1747,390,1758,386,1764,385,1776,385,1782,386,1793,390,1797,394,1806,402,1809,407,1814,418,1815,424,1815,436,1814,441,1809,452,1806,457,1797,466,1793,469,1782,474,1776,475xm1956,475l1944,475,1938,474,1927,469,1922,466,1914,457,1910,452,1906,441,1905,436,1905,424,1906,418,1910,407,1914,402,1922,394,1927,390,1938,386,1944,385,1956,385,1961,386,1972,390,1977,394,1986,402,1989,407,1994,418,1995,424,1995,436,1994,441,1989,452,1986,457,1977,466,1972,469,1961,474,1956,475xe" filled="true" fillcolor="#bdb4d4" stroked="false">
                <v:path arrowok="t"/>
                <v:fill type="solid"/>
                <w10:wrap type="topAndBottom"/>
              </v:shape>
            </w:pict>
          </mc:Fallback>
        </mc:AlternateContent>
      </w:r>
    </w:p>
    <w:p>
      <w:pPr>
        <w:pStyle w:val="Heading3"/>
        <w:spacing w:line="249" w:lineRule="auto" w:after="59"/>
        <w:ind w:right="255"/>
      </w:pPr>
      <w:r>
        <w:rPr>
          <w:color w:val="534089"/>
        </w:rPr>
        <w:t>ESTROGEN</w:t>
      </w:r>
      <w:r>
        <w:rPr>
          <w:color w:val="534089"/>
          <w:spacing w:val="-15"/>
        </w:rPr>
        <w:t> </w:t>
      </w:r>
      <w:r>
        <w:rPr>
          <w:color w:val="534089"/>
        </w:rPr>
        <w:t>FORMULATIONS</w:t>
      </w:r>
      <w:r>
        <w:rPr>
          <w:color w:val="534089"/>
          <w:spacing w:val="-15"/>
        </w:rPr>
        <w:t> </w:t>
      </w:r>
      <w:r>
        <w:rPr>
          <w:color w:val="534089"/>
        </w:rPr>
        <w:t>AND</w:t>
      </w:r>
      <w:r>
        <w:rPr>
          <w:color w:val="534089"/>
          <w:spacing w:val="-15"/>
        </w:rPr>
        <w:t> </w:t>
      </w:r>
      <w:r>
        <w:rPr>
          <w:color w:val="534089"/>
        </w:rPr>
        <w:t>ROUTES</w:t>
      </w:r>
      <w:r>
        <w:rPr>
          <w:color w:val="534089"/>
          <w:spacing w:val="-15"/>
        </w:rPr>
        <w:t> </w:t>
      </w:r>
      <w:r>
        <w:rPr>
          <w:color w:val="534089"/>
        </w:rPr>
        <w:t>OF </w:t>
      </w:r>
      <w:r>
        <w:rPr>
          <w:color w:val="534089"/>
          <w:spacing w:val="-2"/>
        </w:rPr>
        <w:t>ADMINISTRATION</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92" name="Group 92"/>
                <wp:cNvGraphicFramePr>
                  <a:graphicFrameLocks/>
                </wp:cNvGraphicFramePr>
                <a:graphic>
                  <a:graphicData uri="http://schemas.microsoft.com/office/word/2010/wordprocessingGroup">
                    <wpg:wgp>
                      <wpg:cNvPr id="92" name="Group 92"/>
                      <wpg:cNvGrpSpPr/>
                      <wpg:grpSpPr>
                        <a:xfrm>
                          <a:off x="0" y="0"/>
                          <a:ext cx="5810250" cy="19050"/>
                          <a:chExt cx="5810250" cy="19050"/>
                        </a:xfrm>
                      </wpg:grpSpPr>
                      <wps:wsp>
                        <wps:cNvPr id="93" name="Graphic 93"/>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76" coordorigin="0,0" coordsize="9150,30">
                <v:rect style="position:absolute;left:0;top:0;width:9150;height:30" id="docshape77" filled="true" fillcolor="#534089" stroked="false">
                  <v:fill type="solid"/>
                </v:rect>
              </v:group>
            </w:pict>
          </mc:Fallback>
        </mc:AlternateContent>
      </w:r>
      <w:r>
        <w:rPr>
          <w:rFonts w:ascii="Arial"/>
          <w:position w:val="0"/>
          <w:sz w:val="2"/>
        </w:rPr>
      </w:r>
    </w:p>
    <w:p>
      <w:pPr>
        <w:spacing w:before="213"/>
        <w:ind w:left="99" w:right="0" w:firstLine="0"/>
        <w:jc w:val="left"/>
        <w:rPr>
          <w:rFonts w:ascii="Arial"/>
          <w:b/>
          <w:sz w:val="30"/>
        </w:rPr>
      </w:pPr>
      <w:r>
        <w:rPr>
          <w:rFonts w:ascii="Arial"/>
          <w:b/>
          <w:color w:val="2674AE"/>
          <w:sz w:val="30"/>
        </w:rPr>
        <w:t>Oral </w:t>
      </w:r>
      <w:r>
        <w:rPr>
          <w:rFonts w:ascii="Arial"/>
          <w:b/>
          <w:color w:val="2674AE"/>
          <w:spacing w:val="-2"/>
          <w:sz w:val="30"/>
        </w:rPr>
        <w:t>Administration</w:t>
      </w:r>
    </w:p>
    <w:p>
      <w:pPr>
        <w:pStyle w:val="BodyText"/>
        <w:spacing w:line="249" w:lineRule="auto" w:before="167"/>
        <w:ind w:right="106"/>
      </w:pPr>
      <w:r>
        <w:rPr/>
        <w:t>An understanding of the relative potencies of commercially available estrogens is of great importance when prescribing estrogen, and the clinician should be familiar with the following potencies (</w:t>
      </w:r>
      <w:r>
        <w:rPr>
          <w:b/>
          <w:color w:val="256E60"/>
        </w:rPr>
        <w:t>Table 22.2</w:t>
      </w:r>
      <w:r>
        <w:rPr/>
        <w:t>).</w:t>
      </w:r>
    </w:p>
    <w:p>
      <w:pPr>
        <w:pStyle w:val="BodyText"/>
        <w:spacing w:line="249" w:lineRule="auto" w:before="3"/>
        <w:ind w:right="101" w:firstLine="450"/>
      </w:pPr>
      <w:r>
        <w:rPr/>
        <w:t>The 17a-ethinyl group of EE (by resisting metabolism) </w:t>
      </w:r>
      <w:r>
        <w:rPr/>
        <w:t>enhances</w:t>
      </w:r>
      <w:r>
        <w:rPr>
          <w:spacing w:val="80"/>
        </w:rPr>
        <w:t> </w:t>
      </w:r>
      <w:r>
        <w:rPr/>
        <w:t>hepatic effects, because no matter by which route it is administered, liver function</w:t>
      </w:r>
      <w:r>
        <w:rPr>
          <w:spacing w:val="58"/>
        </w:rPr>
        <w:t> </w:t>
      </w:r>
      <w:r>
        <w:rPr/>
        <w:t>is</w:t>
      </w:r>
      <w:r>
        <w:rPr>
          <w:spacing w:val="58"/>
        </w:rPr>
        <w:t> </w:t>
      </w:r>
      <w:r>
        <w:rPr/>
        <w:t>affected.</w:t>
      </w:r>
      <w:r>
        <w:rPr>
          <w:vertAlign w:val="superscript"/>
        </w:rPr>
        <w:t>10</w:t>
      </w:r>
      <w:r>
        <w:rPr>
          <w:spacing w:val="63"/>
          <w:vertAlign w:val="baseline"/>
        </w:rPr>
        <w:t> </w:t>
      </w:r>
      <w:r>
        <w:rPr>
          <w:vertAlign w:val="baseline"/>
        </w:rPr>
        <w:t>The</w:t>
      </w:r>
      <w:r>
        <w:rPr>
          <w:spacing w:val="63"/>
          <w:vertAlign w:val="baseline"/>
        </w:rPr>
        <w:t> </w:t>
      </w:r>
      <w:r>
        <w:rPr>
          <w:vertAlign w:val="baseline"/>
        </w:rPr>
        <w:t>same</w:t>
      </w:r>
      <w:r>
        <w:rPr>
          <w:spacing w:val="63"/>
          <w:vertAlign w:val="baseline"/>
        </w:rPr>
        <w:t> </w:t>
      </w:r>
      <w:r>
        <w:rPr>
          <w:vertAlign w:val="baseline"/>
        </w:rPr>
        <w:t>is</w:t>
      </w:r>
      <w:r>
        <w:rPr>
          <w:spacing w:val="63"/>
          <w:vertAlign w:val="baseline"/>
        </w:rPr>
        <w:t> </w:t>
      </w:r>
      <w:r>
        <w:rPr>
          <w:vertAlign w:val="baseline"/>
        </w:rPr>
        <w:t>true</w:t>
      </w:r>
      <w:r>
        <w:rPr>
          <w:spacing w:val="63"/>
          <w:vertAlign w:val="baseline"/>
        </w:rPr>
        <w:t> </w:t>
      </w:r>
      <w:r>
        <w:rPr>
          <w:vertAlign w:val="baseline"/>
        </w:rPr>
        <w:t>for</w:t>
      </w:r>
      <w:r>
        <w:rPr>
          <w:spacing w:val="63"/>
          <w:vertAlign w:val="baseline"/>
        </w:rPr>
        <w:t> </w:t>
      </w:r>
      <w:r>
        <w:rPr>
          <w:vertAlign w:val="baseline"/>
        </w:rPr>
        <w:t>conjugated</w:t>
      </w:r>
      <w:r>
        <w:rPr>
          <w:spacing w:val="63"/>
          <w:vertAlign w:val="baseline"/>
        </w:rPr>
        <w:t> </w:t>
      </w:r>
      <w:r>
        <w:rPr>
          <w:vertAlign w:val="baseline"/>
        </w:rPr>
        <w:t>equine</w:t>
      </w:r>
      <w:r>
        <w:rPr>
          <w:spacing w:val="63"/>
          <w:vertAlign w:val="baseline"/>
        </w:rPr>
        <w:t> </w:t>
      </w:r>
      <w:r>
        <w:rPr>
          <w:spacing w:val="-2"/>
          <w:vertAlign w:val="baseline"/>
        </w:rPr>
        <w:t>estrogens</w:t>
      </w:r>
    </w:p>
    <w:p>
      <w:pPr>
        <w:pStyle w:val="BodyText"/>
        <w:spacing w:after="0" w:line="249" w:lineRule="auto"/>
        <w:sectPr>
          <w:type w:val="continuous"/>
          <w:pgSz w:w="12240" w:h="15840"/>
          <w:pgMar w:top="1420" w:bottom="280" w:left="1440" w:right="1440"/>
        </w:sectPr>
      </w:pPr>
    </w:p>
    <w:p>
      <w:pPr>
        <w:pStyle w:val="BodyText"/>
        <w:spacing w:line="249" w:lineRule="auto"/>
        <w:ind w:right="100"/>
      </w:pPr>
      <w:r>
        <w:rPr/>
        <w:t>(CEEs). Contrary to the case with estradiol, the liver appears to preferentially extract EE and CEEs, regardless of the route of administration. Thus, the route of administration appears to influence the metabolic responses only in the case of specific estrogens, most notably </w:t>
      </w:r>
      <w:r>
        <w:rPr>
          <w:spacing w:val="-2"/>
        </w:rPr>
        <w:t>estradiol.</w:t>
      </w:r>
    </w:p>
    <w:p>
      <w:pPr>
        <w:pStyle w:val="BodyText"/>
        <w:spacing w:before="0"/>
        <w:ind w:left="0"/>
        <w:jc w:val="left"/>
        <w:rPr>
          <w:sz w:val="20"/>
        </w:rPr>
      </w:pPr>
    </w:p>
    <w:p>
      <w:pPr>
        <w:pStyle w:val="BodyText"/>
        <w:spacing w:before="141"/>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0"/>
        <w:gridCol w:w="1417"/>
        <w:gridCol w:w="1944"/>
        <w:gridCol w:w="1370"/>
      </w:tblGrid>
      <w:tr>
        <w:trPr>
          <w:trHeight w:val="449" w:hRule="atLeast"/>
        </w:trPr>
        <w:tc>
          <w:tcPr>
            <w:tcW w:w="4420" w:type="dxa"/>
            <w:shd w:val="clear" w:color="auto" w:fill="256E60"/>
          </w:tcPr>
          <w:p>
            <w:pPr>
              <w:pStyle w:val="TableParagraph"/>
              <w:tabs>
                <w:tab w:pos="1605" w:val="left" w:leader="none"/>
              </w:tabs>
              <w:spacing w:before="93"/>
              <w:ind w:right="-15"/>
              <w:rPr>
                <w:rFonts w:ascii="Arial"/>
                <w:sz w:val="22"/>
              </w:rPr>
            </w:pPr>
            <w:r>
              <w:rPr>
                <w:rFonts w:ascii="Arial"/>
                <w:b/>
                <w:color w:val="FFFFFF"/>
                <w:sz w:val="22"/>
              </w:rPr>
              <w:t>TABLE</w:t>
            </w:r>
            <w:r>
              <w:rPr>
                <w:rFonts w:ascii="Arial"/>
                <w:b/>
                <w:color w:val="FFFFFF"/>
                <w:spacing w:val="-2"/>
                <w:sz w:val="22"/>
              </w:rPr>
              <w:t> </w:t>
            </w:r>
            <w:r>
              <w:rPr>
                <w:rFonts w:ascii="Arial"/>
                <w:b/>
                <w:color w:val="FFFFFF"/>
                <w:spacing w:val="-4"/>
                <w:sz w:val="22"/>
              </w:rPr>
              <w:t>22.2</w:t>
            </w:r>
            <w:r>
              <w:rPr>
                <w:rFonts w:ascii="Arial"/>
                <w:b/>
                <w:color w:val="FFFFFF"/>
                <w:sz w:val="22"/>
              </w:rPr>
              <w:tab/>
            </w:r>
            <w:r>
              <w:rPr>
                <w:rFonts w:ascii="Arial"/>
                <w:color w:val="FFFFFF"/>
                <w:sz w:val="22"/>
              </w:rPr>
              <w:t>Relative</w:t>
            </w:r>
            <w:r>
              <w:rPr>
                <w:rFonts w:ascii="Arial"/>
                <w:color w:val="FFFFFF"/>
                <w:spacing w:val="17"/>
                <w:sz w:val="22"/>
              </w:rPr>
              <w:t> </w:t>
            </w:r>
            <w:r>
              <w:rPr>
                <w:rFonts w:ascii="Arial"/>
                <w:color w:val="FFFFFF"/>
                <w:sz w:val="22"/>
              </w:rPr>
              <w:t>Estrogen</w:t>
            </w:r>
            <w:r>
              <w:rPr>
                <w:rFonts w:ascii="Arial"/>
                <w:color w:val="FFFFFF"/>
                <w:spacing w:val="18"/>
                <w:sz w:val="22"/>
              </w:rPr>
              <w:t> </w:t>
            </w:r>
            <w:r>
              <w:rPr>
                <w:rFonts w:ascii="Arial"/>
                <w:color w:val="FFFFFF"/>
                <w:spacing w:val="-2"/>
                <w:sz w:val="22"/>
              </w:rPr>
              <w:t>Potencies</w:t>
            </w:r>
          </w:p>
        </w:tc>
        <w:tc>
          <w:tcPr>
            <w:tcW w:w="4731" w:type="dxa"/>
            <w:gridSpan w:val="3"/>
            <w:shd w:val="clear" w:color="auto" w:fill="256E60"/>
          </w:tcPr>
          <w:p>
            <w:pPr>
              <w:pStyle w:val="TableParagraph"/>
              <w:spacing w:before="0"/>
              <w:ind w:left="0"/>
              <w:rPr>
                <w:sz w:val="24"/>
              </w:rPr>
            </w:pPr>
          </w:p>
        </w:tc>
      </w:tr>
      <w:tr>
        <w:trPr>
          <w:trHeight w:val="539" w:hRule="atLeast"/>
        </w:trPr>
        <w:tc>
          <w:tcPr>
            <w:tcW w:w="4420" w:type="dxa"/>
            <w:tcBorders>
              <w:bottom w:val="single" w:sz="6" w:space="0" w:color="256E60"/>
            </w:tcBorders>
            <w:shd w:val="clear" w:color="auto" w:fill="DDE6E3"/>
          </w:tcPr>
          <w:p>
            <w:pPr>
              <w:pStyle w:val="TableParagraph"/>
              <w:spacing w:before="138"/>
              <w:rPr>
                <w:rFonts w:ascii="Arial"/>
                <w:b/>
                <w:sz w:val="22"/>
              </w:rPr>
            </w:pPr>
            <w:r>
              <w:rPr>
                <w:rFonts w:ascii="Arial"/>
                <w:b/>
                <w:color w:val="1C5349"/>
                <w:spacing w:val="-2"/>
                <w:sz w:val="22"/>
              </w:rPr>
              <w:t>Estrogen</w:t>
            </w:r>
          </w:p>
        </w:tc>
        <w:tc>
          <w:tcPr>
            <w:tcW w:w="1417" w:type="dxa"/>
            <w:tcBorders>
              <w:bottom w:val="single" w:sz="6" w:space="0" w:color="256E60"/>
            </w:tcBorders>
            <w:shd w:val="clear" w:color="auto" w:fill="DDE6E3"/>
          </w:tcPr>
          <w:p>
            <w:pPr>
              <w:pStyle w:val="TableParagraph"/>
              <w:spacing w:before="138"/>
              <w:ind w:left="-1"/>
              <w:rPr>
                <w:rFonts w:ascii="Arial"/>
                <w:b/>
                <w:sz w:val="22"/>
              </w:rPr>
            </w:pPr>
            <w:r>
              <w:rPr>
                <w:rFonts w:ascii="Arial"/>
                <w:b/>
                <w:color w:val="1C5349"/>
                <w:sz w:val="22"/>
              </w:rPr>
              <w:t>FSH</w:t>
            </w:r>
            <w:r>
              <w:rPr>
                <w:rFonts w:ascii="Arial"/>
                <w:b/>
                <w:color w:val="1C5349"/>
                <w:spacing w:val="9"/>
                <w:sz w:val="22"/>
              </w:rPr>
              <w:t> </w:t>
            </w:r>
            <w:r>
              <w:rPr>
                <w:rFonts w:ascii="Arial"/>
                <w:b/>
                <w:color w:val="1C5349"/>
                <w:spacing w:val="-2"/>
                <w:sz w:val="22"/>
              </w:rPr>
              <w:t>Levels</w:t>
            </w:r>
          </w:p>
        </w:tc>
        <w:tc>
          <w:tcPr>
            <w:tcW w:w="1944" w:type="dxa"/>
            <w:tcBorders>
              <w:bottom w:val="single" w:sz="6" w:space="0" w:color="256E60"/>
            </w:tcBorders>
            <w:shd w:val="clear" w:color="auto" w:fill="DDE6E3"/>
          </w:tcPr>
          <w:p>
            <w:pPr>
              <w:pStyle w:val="TableParagraph"/>
              <w:spacing w:before="138"/>
              <w:ind w:left="202"/>
              <w:rPr>
                <w:rFonts w:ascii="Arial"/>
                <w:b/>
                <w:sz w:val="22"/>
              </w:rPr>
            </w:pPr>
            <w:r>
              <w:rPr>
                <w:rFonts w:ascii="Arial"/>
                <w:b/>
                <w:color w:val="1C5349"/>
                <w:sz w:val="22"/>
              </w:rPr>
              <w:t>Liver</w:t>
            </w:r>
            <w:r>
              <w:rPr>
                <w:rFonts w:ascii="Arial"/>
                <w:b/>
                <w:color w:val="1C5349"/>
                <w:spacing w:val="11"/>
                <w:sz w:val="22"/>
              </w:rPr>
              <w:t> </w:t>
            </w:r>
            <w:r>
              <w:rPr>
                <w:rFonts w:ascii="Arial"/>
                <w:b/>
                <w:color w:val="1C5349"/>
                <w:spacing w:val="-2"/>
                <w:sz w:val="22"/>
              </w:rPr>
              <w:t>Proteins</w:t>
            </w:r>
          </w:p>
        </w:tc>
        <w:tc>
          <w:tcPr>
            <w:tcW w:w="1370" w:type="dxa"/>
            <w:tcBorders>
              <w:bottom w:val="single" w:sz="6" w:space="0" w:color="256E60"/>
            </w:tcBorders>
            <w:shd w:val="clear" w:color="auto" w:fill="DDE6E3"/>
          </w:tcPr>
          <w:p>
            <w:pPr>
              <w:pStyle w:val="TableParagraph"/>
              <w:spacing w:before="138"/>
              <w:ind w:left="238"/>
              <w:rPr>
                <w:rFonts w:ascii="Arial"/>
                <w:b/>
                <w:sz w:val="22"/>
              </w:rPr>
            </w:pPr>
            <w:r>
              <w:rPr>
                <w:rFonts w:ascii="Arial"/>
                <w:b/>
                <w:color w:val="1C5349"/>
                <w:spacing w:val="-4"/>
                <w:sz w:val="22"/>
              </w:rPr>
              <w:t>Bone</w:t>
            </w:r>
          </w:p>
        </w:tc>
      </w:tr>
      <w:tr>
        <w:trPr>
          <w:trHeight w:val="554" w:hRule="atLeast"/>
        </w:trPr>
        <w:tc>
          <w:tcPr>
            <w:tcW w:w="4420" w:type="dxa"/>
            <w:tcBorders>
              <w:top w:val="single" w:sz="6" w:space="0" w:color="256E60"/>
              <w:bottom w:val="single" w:sz="6" w:space="0" w:color="1C5349"/>
            </w:tcBorders>
          </w:tcPr>
          <w:p>
            <w:pPr>
              <w:pStyle w:val="TableParagraph"/>
              <w:rPr>
                <w:sz w:val="22"/>
              </w:rPr>
            </w:pPr>
            <w:r>
              <w:rPr>
                <w:sz w:val="22"/>
              </w:rPr>
              <w:t>Conjugated</w:t>
            </w:r>
            <w:r>
              <w:rPr>
                <w:spacing w:val="19"/>
                <w:sz w:val="22"/>
              </w:rPr>
              <w:t> </w:t>
            </w:r>
            <w:r>
              <w:rPr>
                <w:sz w:val="22"/>
              </w:rPr>
              <w:t>estrogens</w:t>
            </w:r>
            <w:r>
              <w:rPr>
                <w:spacing w:val="19"/>
                <w:sz w:val="22"/>
              </w:rPr>
              <w:t> </w:t>
            </w:r>
            <w:r>
              <w:rPr>
                <w:spacing w:val="-4"/>
                <w:sz w:val="22"/>
              </w:rPr>
              <w:t>(CE)</w:t>
            </w:r>
          </w:p>
        </w:tc>
        <w:tc>
          <w:tcPr>
            <w:tcW w:w="1417" w:type="dxa"/>
            <w:tcBorders>
              <w:top w:val="single" w:sz="6" w:space="0" w:color="256E60"/>
              <w:bottom w:val="single" w:sz="6" w:space="0" w:color="1C5349"/>
            </w:tcBorders>
          </w:tcPr>
          <w:p>
            <w:pPr>
              <w:pStyle w:val="TableParagraph"/>
              <w:ind w:left="-1"/>
              <w:rPr>
                <w:sz w:val="22"/>
              </w:rPr>
            </w:pPr>
            <w:r>
              <w:rPr>
                <w:sz w:val="22"/>
              </w:rPr>
              <w:t>1.0</w:t>
            </w:r>
            <w:r>
              <w:rPr>
                <w:spacing w:val="6"/>
                <w:sz w:val="22"/>
              </w:rPr>
              <w:t> </w:t>
            </w:r>
            <w:r>
              <w:rPr>
                <w:spacing w:val="-5"/>
                <w:sz w:val="22"/>
              </w:rPr>
              <w:t>mg</w:t>
            </w:r>
          </w:p>
        </w:tc>
        <w:tc>
          <w:tcPr>
            <w:tcW w:w="1944" w:type="dxa"/>
            <w:tcBorders>
              <w:top w:val="single" w:sz="6" w:space="0" w:color="256E60"/>
              <w:bottom w:val="single" w:sz="6" w:space="0" w:color="1C5349"/>
            </w:tcBorders>
          </w:tcPr>
          <w:p>
            <w:pPr>
              <w:pStyle w:val="TableParagraph"/>
              <w:ind w:left="202"/>
              <w:rPr>
                <w:sz w:val="22"/>
              </w:rPr>
            </w:pPr>
            <w:r>
              <w:rPr>
                <w:sz w:val="22"/>
              </w:rPr>
              <w:t>0.625</w:t>
            </w:r>
            <w:r>
              <w:rPr>
                <w:spacing w:val="10"/>
                <w:sz w:val="22"/>
              </w:rPr>
              <w:t> </w:t>
            </w:r>
            <w:r>
              <w:rPr>
                <w:spacing w:val="-5"/>
                <w:sz w:val="22"/>
              </w:rPr>
              <w:t>mg</w:t>
            </w:r>
          </w:p>
        </w:tc>
        <w:tc>
          <w:tcPr>
            <w:tcW w:w="1370" w:type="dxa"/>
            <w:tcBorders>
              <w:top w:val="single" w:sz="6" w:space="0" w:color="256E60"/>
              <w:bottom w:val="single" w:sz="6" w:space="0" w:color="1C5349"/>
            </w:tcBorders>
          </w:tcPr>
          <w:p>
            <w:pPr>
              <w:pStyle w:val="TableParagraph"/>
              <w:ind w:left="238"/>
              <w:rPr>
                <w:sz w:val="22"/>
              </w:rPr>
            </w:pPr>
            <w:r>
              <w:rPr>
                <w:sz w:val="22"/>
              </w:rPr>
              <w:t>0.625</w:t>
            </w:r>
            <w:r>
              <w:rPr>
                <w:spacing w:val="10"/>
                <w:sz w:val="22"/>
              </w:rPr>
              <w:t> </w:t>
            </w:r>
            <w:r>
              <w:rPr>
                <w:spacing w:val="-5"/>
                <w:sz w:val="22"/>
              </w:rPr>
              <w:t>mg</w:t>
            </w:r>
          </w:p>
        </w:tc>
      </w:tr>
      <w:tr>
        <w:trPr>
          <w:trHeight w:val="554" w:hRule="atLeast"/>
        </w:trPr>
        <w:tc>
          <w:tcPr>
            <w:tcW w:w="4420" w:type="dxa"/>
            <w:tcBorders>
              <w:top w:val="single" w:sz="6" w:space="0" w:color="1C5349"/>
              <w:bottom w:val="single" w:sz="6" w:space="0" w:color="1C5349"/>
            </w:tcBorders>
          </w:tcPr>
          <w:p>
            <w:pPr>
              <w:pStyle w:val="TableParagraph"/>
              <w:rPr>
                <w:sz w:val="22"/>
              </w:rPr>
            </w:pPr>
            <w:r>
              <w:rPr>
                <w:sz w:val="22"/>
              </w:rPr>
              <w:t>Micronized</w:t>
            </w:r>
            <w:r>
              <w:rPr>
                <w:spacing w:val="21"/>
                <w:sz w:val="22"/>
              </w:rPr>
              <w:t> </w:t>
            </w:r>
            <w:r>
              <w:rPr>
                <w:spacing w:val="-2"/>
                <w:sz w:val="22"/>
              </w:rPr>
              <w:t>estradiol</w:t>
            </w:r>
          </w:p>
        </w:tc>
        <w:tc>
          <w:tcPr>
            <w:tcW w:w="1417" w:type="dxa"/>
            <w:tcBorders>
              <w:top w:val="single" w:sz="6" w:space="0" w:color="1C5349"/>
              <w:bottom w:val="single" w:sz="6" w:space="0" w:color="1C5349"/>
            </w:tcBorders>
          </w:tcPr>
          <w:p>
            <w:pPr>
              <w:pStyle w:val="TableParagraph"/>
              <w:ind w:left="-1"/>
              <w:rPr>
                <w:sz w:val="22"/>
              </w:rPr>
            </w:pPr>
            <w:r>
              <w:rPr>
                <w:sz w:val="22"/>
              </w:rPr>
              <w:t>1.0</w:t>
            </w:r>
            <w:r>
              <w:rPr>
                <w:spacing w:val="6"/>
                <w:sz w:val="22"/>
              </w:rPr>
              <w:t> </w:t>
            </w:r>
            <w:r>
              <w:rPr>
                <w:spacing w:val="-5"/>
                <w:sz w:val="22"/>
              </w:rPr>
              <w:t>mg</w:t>
            </w:r>
          </w:p>
        </w:tc>
        <w:tc>
          <w:tcPr>
            <w:tcW w:w="1944" w:type="dxa"/>
            <w:tcBorders>
              <w:top w:val="single" w:sz="6" w:space="0" w:color="1C5349"/>
              <w:bottom w:val="single" w:sz="6" w:space="0" w:color="1C5349"/>
            </w:tcBorders>
          </w:tcPr>
          <w:p>
            <w:pPr>
              <w:pStyle w:val="TableParagraph"/>
              <w:ind w:left="202"/>
              <w:rPr>
                <w:sz w:val="22"/>
              </w:rPr>
            </w:pPr>
            <w:r>
              <w:rPr>
                <w:sz w:val="22"/>
              </w:rPr>
              <w:t>1.0</w:t>
            </w:r>
            <w:r>
              <w:rPr>
                <w:spacing w:val="6"/>
                <w:sz w:val="22"/>
              </w:rPr>
              <w:t> </w:t>
            </w:r>
            <w:r>
              <w:rPr>
                <w:spacing w:val="-5"/>
                <w:sz w:val="22"/>
              </w:rPr>
              <w:t>mg</w:t>
            </w:r>
          </w:p>
        </w:tc>
        <w:tc>
          <w:tcPr>
            <w:tcW w:w="1370" w:type="dxa"/>
            <w:tcBorders>
              <w:top w:val="single" w:sz="6" w:space="0" w:color="1C5349"/>
              <w:bottom w:val="single" w:sz="6" w:space="0" w:color="1C5349"/>
            </w:tcBorders>
          </w:tcPr>
          <w:p>
            <w:pPr>
              <w:pStyle w:val="TableParagraph"/>
              <w:ind w:left="238"/>
              <w:rPr>
                <w:sz w:val="22"/>
              </w:rPr>
            </w:pPr>
            <w:r>
              <w:rPr>
                <w:sz w:val="22"/>
              </w:rPr>
              <w:t>1.0</w:t>
            </w:r>
            <w:r>
              <w:rPr>
                <w:spacing w:val="6"/>
                <w:sz w:val="22"/>
              </w:rPr>
              <w:t> </w:t>
            </w:r>
            <w:r>
              <w:rPr>
                <w:spacing w:val="-5"/>
                <w:sz w:val="22"/>
              </w:rPr>
              <w:t>mg</w:t>
            </w:r>
          </w:p>
        </w:tc>
      </w:tr>
      <w:tr>
        <w:trPr>
          <w:trHeight w:val="554" w:hRule="atLeast"/>
        </w:trPr>
        <w:tc>
          <w:tcPr>
            <w:tcW w:w="4420" w:type="dxa"/>
            <w:tcBorders>
              <w:top w:val="single" w:sz="6" w:space="0" w:color="1C5349"/>
              <w:bottom w:val="single" w:sz="6" w:space="0" w:color="1C5349"/>
            </w:tcBorders>
          </w:tcPr>
          <w:p>
            <w:pPr>
              <w:pStyle w:val="TableParagraph"/>
              <w:rPr>
                <w:sz w:val="22"/>
              </w:rPr>
            </w:pPr>
            <w:r>
              <w:rPr>
                <w:sz w:val="22"/>
              </w:rPr>
              <w:t>Estropipate</w:t>
            </w:r>
            <w:r>
              <w:rPr>
                <w:spacing w:val="18"/>
                <w:sz w:val="22"/>
              </w:rPr>
              <w:t> </w:t>
            </w:r>
            <w:r>
              <w:rPr>
                <w:sz w:val="22"/>
              </w:rPr>
              <w:t>(piperazine</w:t>
            </w:r>
            <w:r>
              <w:rPr>
                <w:spacing w:val="19"/>
                <w:sz w:val="22"/>
              </w:rPr>
              <w:t> </w:t>
            </w:r>
            <w:r>
              <w:rPr>
                <w:sz w:val="22"/>
              </w:rPr>
              <w:t>estrone</w:t>
            </w:r>
            <w:r>
              <w:rPr>
                <w:spacing w:val="18"/>
                <w:sz w:val="22"/>
              </w:rPr>
              <w:t> </w:t>
            </w:r>
            <w:r>
              <w:rPr>
                <w:spacing w:val="-2"/>
                <w:sz w:val="22"/>
              </w:rPr>
              <w:t>sulfate)</w:t>
            </w:r>
          </w:p>
        </w:tc>
        <w:tc>
          <w:tcPr>
            <w:tcW w:w="1417" w:type="dxa"/>
            <w:tcBorders>
              <w:top w:val="single" w:sz="6" w:space="0" w:color="1C5349"/>
              <w:bottom w:val="single" w:sz="6" w:space="0" w:color="1C5349"/>
            </w:tcBorders>
          </w:tcPr>
          <w:p>
            <w:pPr>
              <w:pStyle w:val="TableParagraph"/>
              <w:ind w:left="-1"/>
              <w:rPr>
                <w:sz w:val="22"/>
              </w:rPr>
            </w:pPr>
            <w:r>
              <w:rPr>
                <w:sz w:val="22"/>
              </w:rPr>
              <w:t>1.0</w:t>
            </w:r>
            <w:r>
              <w:rPr>
                <w:spacing w:val="6"/>
                <w:sz w:val="22"/>
              </w:rPr>
              <w:t> </w:t>
            </w:r>
            <w:r>
              <w:rPr>
                <w:spacing w:val="-5"/>
                <w:sz w:val="22"/>
              </w:rPr>
              <w:t>mg</w:t>
            </w:r>
          </w:p>
        </w:tc>
        <w:tc>
          <w:tcPr>
            <w:tcW w:w="1944" w:type="dxa"/>
            <w:tcBorders>
              <w:top w:val="single" w:sz="6" w:space="0" w:color="1C5349"/>
              <w:bottom w:val="single" w:sz="6" w:space="0" w:color="1C5349"/>
            </w:tcBorders>
          </w:tcPr>
          <w:p>
            <w:pPr>
              <w:pStyle w:val="TableParagraph"/>
              <w:ind w:left="202"/>
              <w:rPr>
                <w:sz w:val="22"/>
              </w:rPr>
            </w:pPr>
            <w:r>
              <w:rPr>
                <w:sz w:val="22"/>
              </w:rPr>
              <w:t>1.25</w:t>
            </w:r>
            <w:r>
              <w:rPr>
                <w:spacing w:val="8"/>
                <w:sz w:val="22"/>
              </w:rPr>
              <w:t> </w:t>
            </w:r>
            <w:r>
              <w:rPr>
                <w:spacing w:val="-5"/>
                <w:sz w:val="22"/>
              </w:rPr>
              <w:t>mg</w:t>
            </w:r>
          </w:p>
        </w:tc>
        <w:tc>
          <w:tcPr>
            <w:tcW w:w="1370" w:type="dxa"/>
            <w:tcBorders>
              <w:top w:val="single" w:sz="6" w:space="0" w:color="1C5349"/>
              <w:bottom w:val="single" w:sz="6" w:space="0" w:color="1C5349"/>
            </w:tcBorders>
          </w:tcPr>
          <w:p>
            <w:pPr>
              <w:pStyle w:val="TableParagraph"/>
              <w:ind w:left="238"/>
              <w:rPr>
                <w:sz w:val="22"/>
              </w:rPr>
            </w:pPr>
            <w:r>
              <w:rPr>
                <w:sz w:val="22"/>
              </w:rPr>
              <w:t>1.25</w:t>
            </w:r>
            <w:r>
              <w:rPr>
                <w:spacing w:val="8"/>
                <w:sz w:val="22"/>
              </w:rPr>
              <w:t> </w:t>
            </w:r>
            <w:r>
              <w:rPr>
                <w:spacing w:val="-5"/>
                <w:sz w:val="22"/>
              </w:rPr>
              <w:t>mg</w:t>
            </w:r>
          </w:p>
        </w:tc>
      </w:tr>
      <w:tr>
        <w:trPr>
          <w:trHeight w:val="554" w:hRule="atLeast"/>
        </w:trPr>
        <w:tc>
          <w:tcPr>
            <w:tcW w:w="4420" w:type="dxa"/>
            <w:tcBorders>
              <w:top w:val="single" w:sz="6" w:space="0" w:color="1C5349"/>
              <w:bottom w:val="single" w:sz="6" w:space="0" w:color="1C5349"/>
            </w:tcBorders>
          </w:tcPr>
          <w:p>
            <w:pPr>
              <w:pStyle w:val="TableParagraph"/>
              <w:rPr>
                <w:sz w:val="22"/>
              </w:rPr>
            </w:pPr>
            <w:r>
              <w:rPr>
                <w:sz w:val="22"/>
              </w:rPr>
              <w:t>Ethinyl</w:t>
            </w:r>
            <w:r>
              <w:rPr>
                <w:spacing w:val="15"/>
                <w:sz w:val="22"/>
              </w:rPr>
              <w:t> </w:t>
            </w:r>
            <w:r>
              <w:rPr>
                <w:sz w:val="22"/>
              </w:rPr>
              <w:t>estradiol</w:t>
            </w:r>
            <w:r>
              <w:rPr>
                <w:spacing w:val="15"/>
                <w:sz w:val="22"/>
              </w:rPr>
              <w:t> </w:t>
            </w:r>
            <w:r>
              <w:rPr>
                <w:spacing w:val="-4"/>
                <w:sz w:val="22"/>
              </w:rPr>
              <w:t>(EE)</w:t>
            </w:r>
          </w:p>
        </w:tc>
        <w:tc>
          <w:tcPr>
            <w:tcW w:w="1417" w:type="dxa"/>
            <w:tcBorders>
              <w:top w:val="single" w:sz="6" w:space="0" w:color="1C5349"/>
              <w:bottom w:val="single" w:sz="6" w:space="0" w:color="1C5349"/>
            </w:tcBorders>
          </w:tcPr>
          <w:p>
            <w:pPr>
              <w:pStyle w:val="TableParagraph"/>
              <w:ind w:left="-1"/>
              <w:rPr>
                <w:sz w:val="22"/>
              </w:rPr>
            </w:pPr>
            <w:r>
              <w:rPr>
                <w:sz w:val="22"/>
              </w:rPr>
              <w:t>5.0</w:t>
            </w:r>
            <w:r>
              <w:rPr>
                <w:spacing w:val="6"/>
                <w:sz w:val="22"/>
              </w:rPr>
              <w:t> </w:t>
            </w:r>
            <w:r>
              <w:rPr>
                <w:spacing w:val="-5"/>
                <w:sz w:val="22"/>
              </w:rPr>
              <w:t>μg</w:t>
            </w:r>
          </w:p>
        </w:tc>
        <w:tc>
          <w:tcPr>
            <w:tcW w:w="1944" w:type="dxa"/>
            <w:tcBorders>
              <w:top w:val="single" w:sz="6" w:space="0" w:color="1C5349"/>
              <w:bottom w:val="single" w:sz="6" w:space="0" w:color="1C5349"/>
            </w:tcBorders>
          </w:tcPr>
          <w:p>
            <w:pPr>
              <w:pStyle w:val="TableParagraph"/>
              <w:ind w:left="202"/>
              <w:rPr>
                <w:sz w:val="22"/>
              </w:rPr>
            </w:pPr>
            <w:r>
              <w:rPr>
                <w:w w:val="110"/>
                <w:sz w:val="22"/>
              </w:rPr>
              <w:t>2-10</w:t>
            </w:r>
            <w:r>
              <w:rPr>
                <w:spacing w:val="-1"/>
                <w:w w:val="110"/>
                <w:sz w:val="22"/>
              </w:rPr>
              <w:t> </w:t>
            </w:r>
            <w:r>
              <w:rPr>
                <w:spacing w:val="-5"/>
                <w:w w:val="110"/>
                <w:sz w:val="22"/>
              </w:rPr>
              <w:t>μg</w:t>
            </w:r>
          </w:p>
        </w:tc>
        <w:tc>
          <w:tcPr>
            <w:tcW w:w="1370" w:type="dxa"/>
            <w:tcBorders>
              <w:top w:val="single" w:sz="6" w:space="0" w:color="1C5349"/>
              <w:bottom w:val="single" w:sz="6" w:space="0" w:color="1C5349"/>
            </w:tcBorders>
          </w:tcPr>
          <w:p>
            <w:pPr>
              <w:pStyle w:val="TableParagraph"/>
              <w:ind w:left="238"/>
              <w:rPr>
                <w:sz w:val="22"/>
              </w:rPr>
            </w:pPr>
            <w:r>
              <w:rPr>
                <w:sz w:val="22"/>
              </w:rPr>
              <w:t>5.0</w:t>
            </w:r>
            <w:r>
              <w:rPr>
                <w:spacing w:val="6"/>
                <w:sz w:val="22"/>
              </w:rPr>
              <w:t> </w:t>
            </w:r>
            <w:r>
              <w:rPr>
                <w:spacing w:val="-5"/>
                <w:sz w:val="22"/>
              </w:rPr>
              <w:t>μg</w:t>
            </w:r>
          </w:p>
        </w:tc>
      </w:tr>
      <w:tr>
        <w:trPr>
          <w:trHeight w:val="554" w:hRule="atLeast"/>
        </w:trPr>
        <w:tc>
          <w:tcPr>
            <w:tcW w:w="4420" w:type="dxa"/>
            <w:tcBorders>
              <w:top w:val="single" w:sz="6" w:space="0" w:color="1C5349"/>
              <w:bottom w:val="single" w:sz="6" w:space="0" w:color="1C5349"/>
            </w:tcBorders>
          </w:tcPr>
          <w:p>
            <w:pPr>
              <w:pStyle w:val="TableParagraph"/>
              <w:rPr>
                <w:sz w:val="22"/>
              </w:rPr>
            </w:pPr>
            <w:r>
              <w:rPr>
                <w:sz w:val="22"/>
              </w:rPr>
              <w:t>Estradiol</w:t>
            </w:r>
            <w:r>
              <w:rPr>
                <w:spacing w:val="16"/>
                <w:sz w:val="22"/>
              </w:rPr>
              <w:t> </w:t>
            </w:r>
            <w:r>
              <w:rPr>
                <w:spacing w:val="-2"/>
                <w:sz w:val="22"/>
              </w:rPr>
              <w:t>valerate</w:t>
            </w:r>
          </w:p>
        </w:tc>
        <w:tc>
          <w:tcPr>
            <w:tcW w:w="1417" w:type="dxa"/>
            <w:tcBorders>
              <w:top w:val="single" w:sz="6" w:space="0" w:color="1C5349"/>
              <w:bottom w:val="single" w:sz="6" w:space="0" w:color="1C5349"/>
            </w:tcBorders>
          </w:tcPr>
          <w:p>
            <w:pPr>
              <w:pStyle w:val="TableParagraph"/>
              <w:ind w:left="-1"/>
              <w:rPr>
                <w:sz w:val="22"/>
              </w:rPr>
            </w:pPr>
            <w:r>
              <w:rPr>
                <w:spacing w:val="-10"/>
                <w:sz w:val="22"/>
              </w:rPr>
              <w:t>—</w:t>
            </w:r>
          </w:p>
        </w:tc>
        <w:tc>
          <w:tcPr>
            <w:tcW w:w="1944" w:type="dxa"/>
            <w:tcBorders>
              <w:top w:val="single" w:sz="6" w:space="0" w:color="1C5349"/>
              <w:bottom w:val="single" w:sz="6" w:space="0" w:color="1C5349"/>
            </w:tcBorders>
          </w:tcPr>
          <w:p>
            <w:pPr>
              <w:pStyle w:val="TableParagraph"/>
              <w:ind w:left="202"/>
              <w:rPr>
                <w:sz w:val="22"/>
              </w:rPr>
            </w:pPr>
            <w:r>
              <w:rPr>
                <w:spacing w:val="-10"/>
                <w:sz w:val="22"/>
              </w:rPr>
              <w:t>—</w:t>
            </w:r>
          </w:p>
        </w:tc>
        <w:tc>
          <w:tcPr>
            <w:tcW w:w="1370" w:type="dxa"/>
            <w:tcBorders>
              <w:top w:val="single" w:sz="6" w:space="0" w:color="1C5349"/>
              <w:bottom w:val="single" w:sz="6" w:space="0" w:color="1C5349"/>
            </w:tcBorders>
          </w:tcPr>
          <w:p>
            <w:pPr>
              <w:pStyle w:val="TableParagraph"/>
              <w:ind w:left="238"/>
              <w:rPr>
                <w:sz w:val="22"/>
              </w:rPr>
            </w:pPr>
            <w:r>
              <w:rPr>
                <w:sz w:val="22"/>
              </w:rPr>
              <w:t>1.0</w:t>
            </w:r>
            <w:r>
              <w:rPr>
                <w:spacing w:val="6"/>
                <w:sz w:val="22"/>
              </w:rPr>
              <w:t> </w:t>
            </w:r>
            <w:r>
              <w:rPr>
                <w:spacing w:val="-5"/>
                <w:sz w:val="22"/>
              </w:rPr>
              <w:t>mg</w:t>
            </w:r>
          </w:p>
        </w:tc>
      </w:tr>
      <w:tr>
        <w:trPr>
          <w:trHeight w:val="554" w:hRule="atLeast"/>
        </w:trPr>
        <w:tc>
          <w:tcPr>
            <w:tcW w:w="4420" w:type="dxa"/>
            <w:tcBorders>
              <w:top w:val="single" w:sz="6" w:space="0" w:color="1C5349"/>
              <w:bottom w:val="single" w:sz="6" w:space="0" w:color="1C5349"/>
            </w:tcBorders>
          </w:tcPr>
          <w:p>
            <w:pPr>
              <w:pStyle w:val="TableParagraph"/>
              <w:rPr>
                <w:sz w:val="22"/>
              </w:rPr>
            </w:pPr>
            <w:r>
              <w:rPr>
                <w:sz w:val="22"/>
              </w:rPr>
              <w:t>Esterified</w:t>
            </w:r>
            <w:r>
              <w:rPr>
                <w:spacing w:val="18"/>
                <w:sz w:val="22"/>
              </w:rPr>
              <w:t> </w:t>
            </w:r>
            <w:r>
              <w:rPr>
                <w:spacing w:val="-2"/>
                <w:sz w:val="22"/>
              </w:rPr>
              <w:t>estrogens</w:t>
            </w:r>
          </w:p>
        </w:tc>
        <w:tc>
          <w:tcPr>
            <w:tcW w:w="1417" w:type="dxa"/>
            <w:tcBorders>
              <w:top w:val="single" w:sz="6" w:space="0" w:color="1C5349"/>
              <w:bottom w:val="single" w:sz="6" w:space="0" w:color="1C5349"/>
            </w:tcBorders>
          </w:tcPr>
          <w:p>
            <w:pPr>
              <w:pStyle w:val="TableParagraph"/>
              <w:ind w:left="-1"/>
              <w:rPr>
                <w:sz w:val="22"/>
              </w:rPr>
            </w:pPr>
            <w:r>
              <w:rPr>
                <w:spacing w:val="-10"/>
                <w:sz w:val="22"/>
              </w:rPr>
              <w:t>—</w:t>
            </w:r>
          </w:p>
        </w:tc>
        <w:tc>
          <w:tcPr>
            <w:tcW w:w="1944" w:type="dxa"/>
            <w:tcBorders>
              <w:top w:val="single" w:sz="6" w:space="0" w:color="1C5349"/>
              <w:bottom w:val="single" w:sz="6" w:space="0" w:color="1C5349"/>
            </w:tcBorders>
          </w:tcPr>
          <w:p>
            <w:pPr>
              <w:pStyle w:val="TableParagraph"/>
              <w:ind w:left="202"/>
              <w:rPr>
                <w:sz w:val="22"/>
              </w:rPr>
            </w:pPr>
            <w:r>
              <w:rPr>
                <w:spacing w:val="-10"/>
                <w:sz w:val="22"/>
              </w:rPr>
              <w:t>—</w:t>
            </w:r>
          </w:p>
        </w:tc>
        <w:tc>
          <w:tcPr>
            <w:tcW w:w="1370" w:type="dxa"/>
            <w:tcBorders>
              <w:top w:val="single" w:sz="6" w:space="0" w:color="1C5349"/>
              <w:bottom w:val="single" w:sz="6" w:space="0" w:color="1C5349"/>
            </w:tcBorders>
          </w:tcPr>
          <w:p>
            <w:pPr>
              <w:pStyle w:val="TableParagraph"/>
              <w:ind w:left="238"/>
              <w:rPr>
                <w:sz w:val="22"/>
              </w:rPr>
            </w:pPr>
            <w:r>
              <w:rPr>
                <w:sz w:val="22"/>
              </w:rPr>
              <w:t>0.625</w:t>
            </w:r>
            <w:r>
              <w:rPr>
                <w:spacing w:val="10"/>
                <w:sz w:val="22"/>
              </w:rPr>
              <w:t> </w:t>
            </w:r>
            <w:r>
              <w:rPr>
                <w:spacing w:val="-5"/>
                <w:sz w:val="22"/>
              </w:rPr>
              <w:t>mg</w:t>
            </w:r>
          </w:p>
        </w:tc>
      </w:tr>
      <w:tr>
        <w:trPr>
          <w:trHeight w:val="554" w:hRule="atLeast"/>
        </w:trPr>
        <w:tc>
          <w:tcPr>
            <w:tcW w:w="4420" w:type="dxa"/>
            <w:tcBorders>
              <w:top w:val="single" w:sz="6" w:space="0" w:color="1C5349"/>
              <w:bottom w:val="single" w:sz="6" w:space="0" w:color="1C5349"/>
            </w:tcBorders>
          </w:tcPr>
          <w:p>
            <w:pPr>
              <w:pStyle w:val="TableParagraph"/>
              <w:rPr>
                <w:sz w:val="22"/>
              </w:rPr>
            </w:pPr>
            <w:r>
              <w:rPr>
                <w:sz w:val="22"/>
              </w:rPr>
              <w:t>Transdermal</w:t>
            </w:r>
            <w:r>
              <w:rPr>
                <w:spacing w:val="15"/>
                <w:sz w:val="22"/>
              </w:rPr>
              <w:t> </w:t>
            </w:r>
            <w:r>
              <w:rPr>
                <w:spacing w:val="-2"/>
                <w:sz w:val="22"/>
              </w:rPr>
              <w:t>estradiol</w:t>
            </w:r>
          </w:p>
        </w:tc>
        <w:tc>
          <w:tcPr>
            <w:tcW w:w="1417" w:type="dxa"/>
            <w:tcBorders>
              <w:top w:val="single" w:sz="6" w:space="0" w:color="1C5349"/>
              <w:bottom w:val="single" w:sz="6" w:space="0" w:color="1C5349"/>
            </w:tcBorders>
          </w:tcPr>
          <w:p>
            <w:pPr>
              <w:pStyle w:val="TableParagraph"/>
              <w:ind w:left="-1"/>
              <w:rPr>
                <w:sz w:val="22"/>
              </w:rPr>
            </w:pPr>
            <w:r>
              <w:rPr>
                <w:spacing w:val="-10"/>
                <w:sz w:val="22"/>
              </w:rPr>
              <w:t>—</w:t>
            </w:r>
          </w:p>
        </w:tc>
        <w:tc>
          <w:tcPr>
            <w:tcW w:w="1944" w:type="dxa"/>
            <w:tcBorders>
              <w:top w:val="single" w:sz="6" w:space="0" w:color="1C5349"/>
              <w:bottom w:val="single" w:sz="6" w:space="0" w:color="1C5349"/>
            </w:tcBorders>
          </w:tcPr>
          <w:p>
            <w:pPr>
              <w:pStyle w:val="TableParagraph"/>
              <w:ind w:left="202"/>
              <w:rPr>
                <w:sz w:val="22"/>
              </w:rPr>
            </w:pPr>
            <w:r>
              <w:rPr>
                <w:spacing w:val="-10"/>
                <w:sz w:val="22"/>
              </w:rPr>
              <w:t>—</w:t>
            </w:r>
          </w:p>
        </w:tc>
        <w:tc>
          <w:tcPr>
            <w:tcW w:w="1370" w:type="dxa"/>
            <w:tcBorders>
              <w:top w:val="single" w:sz="6" w:space="0" w:color="1C5349"/>
              <w:bottom w:val="single" w:sz="6" w:space="0" w:color="1C5349"/>
            </w:tcBorders>
          </w:tcPr>
          <w:p>
            <w:pPr>
              <w:pStyle w:val="TableParagraph"/>
              <w:ind w:left="238"/>
              <w:rPr>
                <w:sz w:val="22"/>
              </w:rPr>
            </w:pPr>
            <w:r>
              <w:rPr>
                <w:sz w:val="22"/>
              </w:rPr>
              <w:t>50</w:t>
            </w:r>
            <w:r>
              <w:rPr>
                <w:spacing w:val="5"/>
                <w:sz w:val="22"/>
              </w:rPr>
              <w:t> </w:t>
            </w:r>
            <w:r>
              <w:rPr>
                <w:spacing w:val="-5"/>
                <w:sz w:val="22"/>
              </w:rPr>
              <w:t>μg</w:t>
            </w:r>
          </w:p>
        </w:tc>
      </w:tr>
      <w:tr>
        <w:trPr>
          <w:trHeight w:val="584" w:hRule="atLeast"/>
        </w:trPr>
        <w:tc>
          <w:tcPr>
            <w:tcW w:w="4420" w:type="dxa"/>
            <w:tcBorders>
              <w:top w:val="single" w:sz="6" w:space="0" w:color="1C5349"/>
              <w:bottom w:val="single" w:sz="6" w:space="0" w:color="1C5349"/>
            </w:tcBorders>
          </w:tcPr>
          <w:p>
            <w:pPr>
              <w:pStyle w:val="TableParagraph"/>
              <w:spacing w:before="126"/>
              <w:rPr>
                <w:position w:val="9"/>
                <w:sz w:val="17"/>
              </w:rPr>
            </w:pPr>
            <w:r>
              <w:rPr>
                <w:spacing w:val="-2"/>
                <w:sz w:val="22"/>
              </w:rPr>
              <w:t>Estetrol</w:t>
            </w:r>
            <w:r>
              <w:rPr>
                <w:spacing w:val="-2"/>
                <w:position w:val="9"/>
                <w:sz w:val="17"/>
              </w:rPr>
              <w:t>a</w:t>
            </w:r>
          </w:p>
        </w:tc>
        <w:tc>
          <w:tcPr>
            <w:tcW w:w="1417" w:type="dxa"/>
            <w:tcBorders>
              <w:top w:val="single" w:sz="6" w:space="0" w:color="1C5349"/>
              <w:bottom w:val="single" w:sz="6" w:space="0" w:color="1C5349"/>
            </w:tcBorders>
          </w:tcPr>
          <w:p>
            <w:pPr>
              <w:pStyle w:val="TableParagraph"/>
              <w:spacing w:before="0"/>
              <w:ind w:left="0"/>
              <w:rPr>
                <w:sz w:val="24"/>
              </w:rPr>
            </w:pPr>
          </w:p>
        </w:tc>
        <w:tc>
          <w:tcPr>
            <w:tcW w:w="1944" w:type="dxa"/>
            <w:tcBorders>
              <w:top w:val="single" w:sz="6" w:space="0" w:color="1C5349"/>
              <w:bottom w:val="single" w:sz="6" w:space="0" w:color="1C5349"/>
            </w:tcBorders>
          </w:tcPr>
          <w:p>
            <w:pPr>
              <w:pStyle w:val="TableParagraph"/>
              <w:spacing w:before="0"/>
              <w:ind w:left="0"/>
              <w:rPr>
                <w:sz w:val="24"/>
              </w:rPr>
            </w:pPr>
          </w:p>
        </w:tc>
        <w:tc>
          <w:tcPr>
            <w:tcW w:w="1370" w:type="dxa"/>
            <w:tcBorders>
              <w:top w:val="single" w:sz="6" w:space="0" w:color="1C5349"/>
              <w:bottom w:val="single" w:sz="6" w:space="0" w:color="1C5349"/>
            </w:tcBorders>
          </w:tcPr>
          <w:p>
            <w:pPr>
              <w:pStyle w:val="TableParagraph"/>
              <w:spacing w:before="0"/>
              <w:ind w:left="0"/>
              <w:rPr>
                <w:sz w:val="24"/>
              </w:rPr>
            </w:pPr>
          </w:p>
        </w:tc>
      </w:tr>
    </w:tbl>
    <w:p>
      <w:pPr>
        <w:spacing w:before="164"/>
        <w:ind w:left="99" w:right="0" w:firstLine="0"/>
        <w:jc w:val="left"/>
        <w:rPr>
          <w:sz w:val="22"/>
        </w:rPr>
      </w:pPr>
      <w:r>
        <w:rPr>
          <w:sz w:val="22"/>
        </w:rPr>
        <w:t>FSH,</w:t>
      </w:r>
      <w:r>
        <w:rPr>
          <w:spacing w:val="22"/>
          <w:sz w:val="22"/>
        </w:rPr>
        <w:t> </w:t>
      </w:r>
      <w:r>
        <w:rPr>
          <w:sz w:val="22"/>
        </w:rPr>
        <w:t>follicle-stimulating</w:t>
      </w:r>
      <w:r>
        <w:rPr>
          <w:spacing w:val="22"/>
          <w:sz w:val="22"/>
        </w:rPr>
        <w:t> </w:t>
      </w:r>
      <w:r>
        <w:rPr>
          <w:spacing w:val="-2"/>
          <w:sz w:val="22"/>
        </w:rPr>
        <w:t>hormone.</w:t>
      </w:r>
    </w:p>
    <w:p>
      <w:pPr>
        <w:spacing w:before="49"/>
        <w:ind w:left="99" w:right="0" w:firstLine="0"/>
        <w:jc w:val="left"/>
        <w:rPr>
          <w:sz w:val="22"/>
        </w:rPr>
      </w:pPr>
      <w:r>
        <w:rPr>
          <w:w w:val="105"/>
          <w:position w:val="9"/>
          <w:sz w:val="17"/>
        </w:rPr>
        <w:t>a</w:t>
      </w:r>
      <w:r>
        <w:rPr>
          <w:w w:val="105"/>
          <w:sz w:val="22"/>
        </w:rPr>
        <w:t>Potency</w:t>
      </w:r>
      <w:r>
        <w:rPr>
          <w:spacing w:val="-10"/>
          <w:w w:val="105"/>
          <w:sz w:val="22"/>
        </w:rPr>
        <w:t> </w:t>
      </w:r>
      <w:r>
        <w:rPr>
          <w:w w:val="105"/>
          <w:sz w:val="22"/>
        </w:rPr>
        <w:t>is</w:t>
      </w:r>
      <w:r>
        <w:rPr>
          <w:spacing w:val="-10"/>
          <w:w w:val="105"/>
          <w:sz w:val="22"/>
        </w:rPr>
        <w:t> </w:t>
      </w:r>
      <w:r>
        <w:rPr>
          <w:w w:val="105"/>
          <w:sz w:val="22"/>
        </w:rPr>
        <w:t>~10-20%</w:t>
      </w:r>
      <w:r>
        <w:rPr>
          <w:spacing w:val="-10"/>
          <w:w w:val="105"/>
          <w:sz w:val="22"/>
        </w:rPr>
        <w:t> </w:t>
      </w:r>
      <w:r>
        <w:rPr>
          <w:w w:val="105"/>
          <w:sz w:val="22"/>
        </w:rPr>
        <w:t>less</w:t>
      </w:r>
      <w:r>
        <w:rPr>
          <w:spacing w:val="-9"/>
          <w:w w:val="105"/>
          <w:sz w:val="22"/>
        </w:rPr>
        <w:t> </w:t>
      </w:r>
      <w:r>
        <w:rPr>
          <w:w w:val="105"/>
          <w:sz w:val="22"/>
        </w:rPr>
        <w:t>than</w:t>
      </w:r>
      <w:r>
        <w:rPr>
          <w:spacing w:val="-10"/>
          <w:w w:val="105"/>
          <w:sz w:val="22"/>
        </w:rPr>
        <w:t> </w:t>
      </w:r>
      <w:r>
        <w:rPr>
          <w:w w:val="105"/>
          <w:sz w:val="22"/>
        </w:rPr>
        <w:t>of</w:t>
      </w:r>
      <w:r>
        <w:rPr>
          <w:spacing w:val="-10"/>
          <w:w w:val="105"/>
          <w:sz w:val="22"/>
        </w:rPr>
        <w:t> </w:t>
      </w:r>
      <w:r>
        <w:rPr>
          <w:spacing w:val="-5"/>
          <w:w w:val="105"/>
          <w:sz w:val="22"/>
        </w:rPr>
        <w:t>EE.</w:t>
      </w:r>
    </w:p>
    <w:p>
      <w:pPr>
        <w:spacing w:line="256" w:lineRule="auto" w:before="62"/>
        <w:ind w:left="99" w:right="255" w:firstLine="0"/>
        <w:jc w:val="left"/>
        <w:rPr>
          <w:sz w:val="22"/>
        </w:rPr>
      </w:pPr>
      <w:r>
        <w:rPr>
          <w:sz w:val="22"/>
        </w:rPr>
        <w:t>Data from Dennerstein L, Lehert P, Burger H, Dudley E. Mood and the menopausal transition. </w:t>
      </w:r>
      <w:r>
        <w:rPr>
          <w:i/>
          <w:sz w:val="22"/>
        </w:rPr>
        <w:t>J </w:t>
      </w:r>
      <w:r>
        <w:rPr>
          <w:i/>
          <w:sz w:val="22"/>
        </w:rPr>
        <w:t>Nerv</w:t>
      </w:r>
      <w:r>
        <w:rPr>
          <w:i/>
          <w:sz w:val="22"/>
        </w:rPr>
        <w:t> Ment Dis</w:t>
      </w:r>
      <w:r>
        <w:rPr>
          <w:sz w:val="22"/>
        </w:rPr>
        <w:t>. 1999;187(11):685-691; Smith-DiJulio K, Woods NF, Mitchell ES. Well-being during the menopausal transition and early postmenopause: a within-stage analysis. </w:t>
      </w:r>
      <w:r>
        <w:rPr>
          <w:i/>
          <w:sz w:val="22"/>
        </w:rPr>
        <w:t>Womens Health Issues</w:t>
      </w:r>
      <w:r>
        <w:rPr>
          <w:sz w:val="22"/>
        </w:rPr>
        <w:t>.</w:t>
      </w:r>
    </w:p>
    <w:p>
      <w:pPr>
        <w:spacing w:line="256" w:lineRule="auto" w:before="0"/>
        <w:ind w:left="99" w:right="0" w:firstLine="0"/>
        <w:jc w:val="left"/>
        <w:rPr>
          <w:sz w:val="22"/>
        </w:rPr>
      </w:pPr>
      <w:r>
        <w:rPr>
          <w:sz w:val="22"/>
        </w:rPr>
        <w:t>2008;18(4):310-318; Woods NF, Mitchell ES, Percival DB, Smith-DiJulio K. Is the menopausal transition stressful? Observations of perceived stress from the Seattle Midlife Women’s Health Study. </w:t>
      </w:r>
      <w:r>
        <w:rPr>
          <w:i/>
          <w:sz w:val="22"/>
        </w:rPr>
        <w:t>Menopause</w:t>
      </w:r>
      <w:r>
        <w:rPr>
          <w:sz w:val="22"/>
        </w:rPr>
        <w:t>. 2009;16(1):90-97; Avis NE, McKinlay SM. A longitudinal analysis of women’s </w:t>
      </w:r>
      <w:r>
        <w:rPr>
          <w:sz w:val="22"/>
        </w:rPr>
        <w:t>attitudes toward the menopause: results from the Massachusetts Women’s Health Study. </w:t>
      </w:r>
      <w:r>
        <w:rPr>
          <w:i/>
          <w:sz w:val="22"/>
        </w:rPr>
        <w:t>Maturitas</w:t>
      </w:r>
      <w:r>
        <w:rPr>
          <w:sz w:val="22"/>
        </w:rPr>
        <w:t>.</w:t>
      </w:r>
    </w:p>
    <w:p>
      <w:pPr>
        <w:spacing w:line="256" w:lineRule="auto" w:before="0"/>
        <w:ind w:left="99" w:right="151" w:firstLine="0"/>
        <w:jc w:val="left"/>
        <w:rPr>
          <w:sz w:val="22"/>
        </w:rPr>
      </w:pPr>
      <w:r>
        <w:rPr>
          <w:sz w:val="22"/>
        </w:rPr>
        <w:t>1991;13(1):65-79; Morse CA, Smith A, Dennerstein L, Green A, Hopper J, Burger H. The </w:t>
      </w:r>
      <w:r>
        <w:rPr>
          <w:sz w:val="22"/>
        </w:rPr>
        <w:t>treatment-seeking woman at menopause. </w:t>
      </w:r>
      <w:r>
        <w:rPr>
          <w:i/>
          <w:sz w:val="22"/>
        </w:rPr>
        <w:t>Maturitas</w:t>
      </w:r>
      <w:r>
        <w:rPr>
          <w:sz w:val="22"/>
        </w:rPr>
        <w:t>. 1994;18(3):161-173; and Defey D, Storch E, Cardozo S, Díaz O, Fernandez G. The menopause: women’s psychology and health care. </w:t>
      </w:r>
      <w:r>
        <w:rPr>
          <w:i/>
          <w:sz w:val="22"/>
        </w:rPr>
        <w:t>Soc Sci Med</w:t>
      </w:r>
      <w:r>
        <w:rPr>
          <w:sz w:val="22"/>
        </w:rPr>
        <w:t>.</w:t>
      </w:r>
    </w:p>
    <w:p>
      <w:pPr>
        <w:spacing w:line="251" w:lineRule="exact" w:before="0"/>
        <w:ind w:left="99" w:right="0" w:firstLine="0"/>
        <w:jc w:val="left"/>
        <w:rPr>
          <w:sz w:val="22"/>
        </w:rPr>
      </w:pPr>
      <w:r>
        <w:rPr>
          <w:sz w:val="22"/>
        </w:rPr>
        <w:t>1996;42(10):1447-</w:t>
      </w:r>
      <w:r>
        <w:rPr>
          <w:spacing w:val="-2"/>
          <w:sz w:val="22"/>
        </w:rPr>
        <w:t>1456.</w:t>
      </w:r>
    </w:p>
    <w:p>
      <w:pPr>
        <w:pStyle w:val="BodyText"/>
        <w:spacing w:before="209"/>
        <w:ind w:left="0"/>
        <w:jc w:val="left"/>
        <w:rPr>
          <w:sz w:val="22"/>
        </w:rPr>
      </w:pPr>
    </w:p>
    <w:p>
      <w:pPr>
        <w:pStyle w:val="BodyText"/>
        <w:spacing w:line="249" w:lineRule="auto" w:before="1"/>
        <w:ind w:firstLine="450"/>
        <w:jc w:val="left"/>
      </w:pPr>
      <w:r>
        <w:rPr/>
        <w:t>A major factor in the potency differences among the various estrogens</w:t>
      </w:r>
      <w:r>
        <w:rPr>
          <w:spacing w:val="40"/>
        </w:rPr>
        <w:t> </w:t>
      </w:r>
      <w:r>
        <w:rPr/>
        <w:t>(estradiol,</w:t>
      </w:r>
      <w:r>
        <w:rPr>
          <w:spacing w:val="44"/>
          <w:w w:val="150"/>
        </w:rPr>
        <w:t> </w:t>
      </w:r>
      <w:r>
        <w:rPr/>
        <w:t>estrone,</w:t>
      </w:r>
      <w:r>
        <w:rPr>
          <w:spacing w:val="47"/>
          <w:w w:val="150"/>
        </w:rPr>
        <w:t> </w:t>
      </w:r>
      <w:r>
        <w:rPr/>
        <w:t>estriol;</w:t>
      </w:r>
      <w:r>
        <w:rPr>
          <w:spacing w:val="47"/>
          <w:w w:val="150"/>
        </w:rPr>
        <w:t> </w:t>
      </w:r>
      <w:r>
        <w:rPr>
          <w:b/>
          <w:color w:val="256E60"/>
        </w:rPr>
        <w:t>Figure</w:t>
      </w:r>
      <w:r>
        <w:rPr>
          <w:b/>
          <w:color w:val="256E60"/>
          <w:spacing w:val="75"/>
        </w:rPr>
        <w:t> </w:t>
      </w:r>
      <w:r>
        <w:rPr>
          <w:b/>
          <w:color w:val="256E60"/>
        </w:rPr>
        <w:t>22.1</w:t>
      </w:r>
      <w:r>
        <w:rPr/>
        <w:t>)</w:t>
      </w:r>
      <w:r>
        <w:rPr>
          <w:spacing w:val="51"/>
          <w:w w:val="150"/>
        </w:rPr>
        <w:t> </w:t>
      </w:r>
      <w:r>
        <w:rPr/>
        <w:t>is</w:t>
      </w:r>
      <w:r>
        <w:rPr>
          <w:spacing w:val="52"/>
          <w:w w:val="150"/>
        </w:rPr>
        <w:t> </w:t>
      </w:r>
      <w:r>
        <w:rPr/>
        <w:t>the</w:t>
      </w:r>
      <w:r>
        <w:rPr>
          <w:spacing w:val="52"/>
          <w:w w:val="150"/>
        </w:rPr>
        <w:t> </w:t>
      </w:r>
      <w:r>
        <w:rPr/>
        <w:t>length</w:t>
      </w:r>
      <w:r>
        <w:rPr>
          <w:spacing w:val="52"/>
          <w:w w:val="150"/>
        </w:rPr>
        <w:t> </w:t>
      </w:r>
      <w:r>
        <w:rPr/>
        <w:t>of</w:t>
      </w:r>
      <w:r>
        <w:rPr>
          <w:spacing w:val="52"/>
          <w:w w:val="150"/>
        </w:rPr>
        <w:t> </w:t>
      </w:r>
      <w:r>
        <w:rPr/>
        <w:t>time</w:t>
      </w:r>
      <w:r>
        <w:rPr>
          <w:spacing w:val="52"/>
          <w:w w:val="150"/>
        </w:rPr>
        <w:t> </w:t>
      </w:r>
      <w:r>
        <w:rPr/>
        <w:t>that</w:t>
      </w:r>
      <w:r>
        <w:rPr>
          <w:spacing w:val="52"/>
          <w:w w:val="150"/>
        </w:rPr>
        <w:t> </w:t>
      </w:r>
      <w:r>
        <w:rPr>
          <w:spacing w:val="-5"/>
        </w:rPr>
        <w:t>the</w:t>
      </w:r>
    </w:p>
    <w:p>
      <w:pPr>
        <w:pStyle w:val="BodyText"/>
        <w:spacing w:after="0" w:line="249" w:lineRule="auto"/>
        <w:jc w:val="left"/>
        <w:sectPr>
          <w:pgSz w:w="12240" w:h="15840"/>
          <w:pgMar w:top="1380" w:bottom="280" w:left="1440" w:right="1440"/>
        </w:sectPr>
      </w:pPr>
    </w:p>
    <w:p>
      <w:pPr>
        <w:pStyle w:val="BodyText"/>
        <w:spacing w:line="249" w:lineRule="auto"/>
        <w:ind w:right="97"/>
      </w:pPr>
      <w:r>
        <w:rPr/>
        <w:t>estrogen binds to its receptor. The higher rate of dissociation with the weak estrogen (estriol) can be compensated for by continuous application or higher doses to allow prolonged binding and activity. Estriol has only 20% to 30% affinity for the estrogen receptor (ER) compared with estradiol; therefore, it is rapidly cleared from a cell. However, if the effective concentration is kept equivalent to that of estradiol, it can produce a similar biologic response.</w:t>
      </w:r>
      <w:r>
        <w:rPr>
          <w:vertAlign w:val="superscript"/>
        </w:rPr>
        <w:t>11</w:t>
      </w:r>
      <w:r>
        <w:rPr>
          <w:vertAlign w:val="baseline"/>
        </w:rPr>
        <w:t> However, at least two studies have been unable </w:t>
      </w:r>
      <w:r>
        <w:rPr>
          <w:vertAlign w:val="baseline"/>
        </w:rPr>
        <w:t>to demonstrate prevention of bone loss with the administration of 2-mg estriol daily, suggesting that target organ response may vary, even in biologically equivalent doses to estradiol.</w:t>
      </w:r>
      <w:r>
        <w:rPr>
          <w:vertAlign w:val="superscript"/>
        </w:rPr>
        <w:t>12,13</w:t>
      </w:r>
      <w:r>
        <w:rPr>
          <w:vertAlign w:val="baseline"/>
        </w:rPr>
        <w:t> Because estriol protects the rat against breast tumors induced by various chemical carcinogens, it has been hypothesized that a higher estriol level protects against the more potent and harmful effects of estrone and estradiol.</w:t>
      </w:r>
      <w:r>
        <w:rPr>
          <w:vertAlign w:val="superscript"/>
        </w:rPr>
        <w:t>14</w:t>
      </w:r>
      <w:r>
        <w:rPr>
          <w:vertAlign w:val="baseline"/>
        </w:rPr>
        <w:t> But antagonism of estradiol occurs only within a very narrow range of the ratio of estradiol to estriol, a range that is rarely encountered either physiologically or pharmacologically.</w:t>
      </w:r>
      <w:r>
        <w:rPr>
          <w:vertAlign w:val="superscript"/>
        </w:rPr>
        <w:t>15</w:t>
      </w:r>
      <w:r>
        <w:rPr>
          <w:vertAlign w:val="baseline"/>
        </w:rPr>
        <w:t> Commercial preparations containing estriol, estradiol, and estrone comprise sufficient amounts of estrone and estradiol to produce standard clinical effects.</w:t>
      </w:r>
      <w:r>
        <w:rPr>
          <w:vertAlign w:val="superscript"/>
        </w:rPr>
        <w:t>16</w:t>
      </w:r>
    </w:p>
    <w:p>
      <w:pPr>
        <w:pStyle w:val="BodyText"/>
        <w:spacing w:before="0"/>
        <w:ind w:left="0"/>
        <w:jc w:val="left"/>
        <w:rPr>
          <w:sz w:val="20"/>
        </w:rPr>
      </w:pPr>
    </w:p>
    <w:p>
      <w:pPr>
        <w:pStyle w:val="BodyText"/>
        <w:spacing w:before="133"/>
        <w:ind w:left="0"/>
        <w:jc w:val="left"/>
        <w:rPr>
          <w:sz w:val="20"/>
        </w:rPr>
      </w:pPr>
      <w:r>
        <w:rPr>
          <w:sz w:val="20"/>
        </w:rPr>
        <w:drawing>
          <wp:anchor distT="0" distB="0" distL="0" distR="0" allowOverlap="1" layoutInCell="1" locked="0" behindDoc="1" simplePos="0" relativeHeight="487623168">
            <wp:simplePos x="0" y="0"/>
            <wp:positionH relativeFrom="page">
              <wp:posOffset>981075</wp:posOffset>
            </wp:positionH>
            <wp:positionV relativeFrom="paragraph">
              <wp:posOffset>245854</wp:posOffset>
            </wp:positionV>
            <wp:extent cx="4076700" cy="3000375"/>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9" cstate="print"/>
                    <a:stretch>
                      <a:fillRect/>
                    </a:stretch>
                  </pic:blipFill>
                  <pic:spPr>
                    <a:xfrm>
                      <a:off x="0" y="0"/>
                      <a:ext cx="4076700" cy="30003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23680">
                <wp:simplePos x="0" y="0"/>
                <wp:positionH relativeFrom="page">
                  <wp:posOffset>981075</wp:posOffset>
                </wp:positionH>
                <wp:positionV relativeFrom="paragraph">
                  <wp:posOffset>3436729</wp:posOffset>
                </wp:positionV>
                <wp:extent cx="856615" cy="5715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856615" cy="57150"/>
                        </a:xfrm>
                        <a:custGeom>
                          <a:avLst/>
                          <a:gdLst/>
                          <a:ahLst/>
                          <a:cxnLst/>
                          <a:rect l="l" t="t" r="r" b="b"/>
                          <a:pathLst>
                            <a:path w="856615" h="57150">
                              <a:moveTo>
                                <a:pt x="32364" y="57145"/>
                              </a:moveTo>
                              <a:lnTo>
                                <a:pt x="24785" y="57145"/>
                              </a:lnTo>
                              <a:lnTo>
                                <a:pt x="21140" y="56419"/>
                              </a:lnTo>
                              <a:lnTo>
                                <a:pt x="0" y="32361"/>
                              </a:lnTo>
                              <a:lnTo>
                                <a:pt x="0" y="24785"/>
                              </a:lnTo>
                              <a:lnTo>
                                <a:pt x="24785" y="0"/>
                              </a:lnTo>
                              <a:lnTo>
                                <a:pt x="32364" y="0"/>
                              </a:lnTo>
                              <a:lnTo>
                                <a:pt x="57149" y="24785"/>
                              </a:lnTo>
                              <a:lnTo>
                                <a:pt x="57149" y="32361"/>
                              </a:lnTo>
                              <a:lnTo>
                                <a:pt x="32364" y="57145"/>
                              </a:lnTo>
                              <a:close/>
                            </a:path>
                            <a:path w="856615" h="57150">
                              <a:moveTo>
                                <a:pt x="146569" y="57145"/>
                              </a:moveTo>
                              <a:lnTo>
                                <a:pt x="138990" y="57145"/>
                              </a:lnTo>
                              <a:lnTo>
                                <a:pt x="135345" y="56419"/>
                              </a:lnTo>
                              <a:lnTo>
                                <a:pt x="114204" y="32361"/>
                              </a:lnTo>
                              <a:lnTo>
                                <a:pt x="114204" y="24785"/>
                              </a:lnTo>
                              <a:lnTo>
                                <a:pt x="138990" y="0"/>
                              </a:lnTo>
                              <a:lnTo>
                                <a:pt x="146569" y="0"/>
                              </a:lnTo>
                              <a:lnTo>
                                <a:pt x="171354" y="24785"/>
                              </a:lnTo>
                              <a:lnTo>
                                <a:pt x="171354" y="32361"/>
                              </a:lnTo>
                              <a:lnTo>
                                <a:pt x="146569" y="57145"/>
                              </a:lnTo>
                              <a:close/>
                            </a:path>
                            <a:path w="856615" h="57150">
                              <a:moveTo>
                                <a:pt x="260773" y="57145"/>
                              </a:moveTo>
                              <a:lnTo>
                                <a:pt x="253195" y="57145"/>
                              </a:lnTo>
                              <a:lnTo>
                                <a:pt x="249550" y="56419"/>
                              </a:lnTo>
                              <a:lnTo>
                                <a:pt x="228409" y="32361"/>
                              </a:lnTo>
                              <a:lnTo>
                                <a:pt x="228409" y="24785"/>
                              </a:lnTo>
                              <a:lnTo>
                                <a:pt x="253195" y="0"/>
                              </a:lnTo>
                              <a:lnTo>
                                <a:pt x="260773" y="0"/>
                              </a:lnTo>
                              <a:lnTo>
                                <a:pt x="285559" y="24785"/>
                              </a:lnTo>
                              <a:lnTo>
                                <a:pt x="285559" y="32361"/>
                              </a:lnTo>
                              <a:lnTo>
                                <a:pt x="260773" y="57145"/>
                              </a:lnTo>
                              <a:close/>
                            </a:path>
                            <a:path w="856615" h="57150">
                              <a:moveTo>
                                <a:pt x="374978" y="57145"/>
                              </a:moveTo>
                              <a:lnTo>
                                <a:pt x="367399" y="57145"/>
                              </a:lnTo>
                              <a:lnTo>
                                <a:pt x="363754" y="56419"/>
                              </a:lnTo>
                              <a:lnTo>
                                <a:pt x="342614" y="32361"/>
                              </a:lnTo>
                              <a:lnTo>
                                <a:pt x="342614" y="24785"/>
                              </a:lnTo>
                              <a:lnTo>
                                <a:pt x="367399" y="0"/>
                              </a:lnTo>
                              <a:lnTo>
                                <a:pt x="374978" y="0"/>
                              </a:lnTo>
                              <a:lnTo>
                                <a:pt x="399764" y="24785"/>
                              </a:lnTo>
                              <a:lnTo>
                                <a:pt x="399764" y="32361"/>
                              </a:lnTo>
                              <a:lnTo>
                                <a:pt x="374978" y="57145"/>
                              </a:lnTo>
                              <a:close/>
                            </a:path>
                            <a:path w="856615" h="57150">
                              <a:moveTo>
                                <a:pt x="489183" y="57145"/>
                              </a:moveTo>
                              <a:lnTo>
                                <a:pt x="481604" y="57145"/>
                              </a:lnTo>
                              <a:lnTo>
                                <a:pt x="477959" y="56419"/>
                              </a:lnTo>
                              <a:lnTo>
                                <a:pt x="456818" y="32361"/>
                              </a:lnTo>
                              <a:lnTo>
                                <a:pt x="456818" y="24785"/>
                              </a:lnTo>
                              <a:lnTo>
                                <a:pt x="481604" y="0"/>
                              </a:lnTo>
                              <a:lnTo>
                                <a:pt x="489183" y="0"/>
                              </a:lnTo>
                              <a:lnTo>
                                <a:pt x="513968" y="24785"/>
                              </a:lnTo>
                              <a:lnTo>
                                <a:pt x="513968" y="32361"/>
                              </a:lnTo>
                              <a:lnTo>
                                <a:pt x="489183" y="57145"/>
                              </a:lnTo>
                              <a:close/>
                            </a:path>
                            <a:path w="856615" h="57150">
                              <a:moveTo>
                                <a:pt x="603387" y="57145"/>
                              </a:moveTo>
                              <a:lnTo>
                                <a:pt x="595809" y="57145"/>
                              </a:lnTo>
                              <a:lnTo>
                                <a:pt x="592164" y="56419"/>
                              </a:lnTo>
                              <a:lnTo>
                                <a:pt x="571023" y="32361"/>
                              </a:lnTo>
                              <a:lnTo>
                                <a:pt x="571023" y="24785"/>
                              </a:lnTo>
                              <a:lnTo>
                                <a:pt x="595809" y="0"/>
                              </a:lnTo>
                              <a:lnTo>
                                <a:pt x="603387" y="0"/>
                              </a:lnTo>
                              <a:lnTo>
                                <a:pt x="628173" y="24785"/>
                              </a:lnTo>
                              <a:lnTo>
                                <a:pt x="628173" y="32361"/>
                              </a:lnTo>
                              <a:lnTo>
                                <a:pt x="603387" y="57145"/>
                              </a:lnTo>
                              <a:close/>
                            </a:path>
                            <a:path w="856615" h="57150">
                              <a:moveTo>
                                <a:pt x="717592" y="57145"/>
                              </a:moveTo>
                              <a:lnTo>
                                <a:pt x="710014" y="57145"/>
                              </a:lnTo>
                              <a:lnTo>
                                <a:pt x="706369" y="56419"/>
                              </a:lnTo>
                              <a:lnTo>
                                <a:pt x="685228" y="32361"/>
                              </a:lnTo>
                              <a:lnTo>
                                <a:pt x="685228" y="24785"/>
                              </a:lnTo>
                              <a:lnTo>
                                <a:pt x="710014" y="0"/>
                              </a:lnTo>
                              <a:lnTo>
                                <a:pt x="717592" y="0"/>
                              </a:lnTo>
                              <a:lnTo>
                                <a:pt x="742378" y="24785"/>
                              </a:lnTo>
                              <a:lnTo>
                                <a:pt x="742378" y="32361"/>
                              </a:lnTo>
                              <a:lnTo>
                                <a:pt x="717592" y="57145"/>
                              </a:lnTo>
                              <a:close/>
                            </a:path>
                            <a:path w="856615" h="57150">
                              <a:moveTo>
                                <a:pt x="831797" y="57145"/>
                              </a:moveTo>
                              <a:lnTo>
                                <a:pt x="824218" y="57145"/>
                              </a:lnTo>
                              <a:lnTo>
                                <a:pt x="820573" y="56419"/>
                              </a:lnTo>
                              <a:lnTo>
                                <a:pt x="799433" y="32361"/>
                              </a:lnTo>
                              <a:lnTo>
                                <a:pt x="799433" y="24785"/>
                              </a:lnTo>
                              <a:lnTo>
                                <a:pt x="824218" y="0"/>
                              </a:lnTo>
                              <a:lnTo>
                                <a:pt x="831797" y="0"/>
                              </a:lnTo>
                              <a:lnTo>
                                <a:pt x="856583" y="24785"/>
                              </a:lnTo>
                              <a:lnTo>
                                <a:pt x="856583" y="32361"/>
                              </a:lnTo>
                              <a:lnTo>
                                <a:pt x="831797" y="57145"/>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70.608612pt;width:67.45pt;height:4.5pt;mso-position-horizontal-relative:page;mso-position-vertical-relative:paragraph;z-index:-15692800;mso-wrap-distance-left:0;mso-wrap-distance-right:0" id="docshape78" coordorigin="1545,5412" coordsize="1349,90" path="m1596,5502l1584,5502,1578,5501,1567,5496,1562,5493,1554,5485,1551,5480,1546,5469,1545,5463,1545,5451,1546,5445,1551,5434,1554,5430,1562,5421,1567,5418,1578,5413,1584,5412,1596,5412,1602,5413,1613,5418,1618,5421,1626,5430,1629,5434,1634,5445,1635,5451,1635,5463,1634,5469,1629,5480,1626,5485,1618,5493,1613,5496,1602,5501,1596,5502xm1776,5502l1764,5502,1758,5501,1747,5496,1742,5493,1734,5485,1731,5480,1726,5469,1725,5463,1725,5451,1726,5445,1731,5434,1734,5430,1742,5421,1747,5418,1758,5413,1764,5412,1776,5412,1782,5413,1793,5418,1797,5421,1806,5430,1809,5434,1814,5445,1815,5451,1815,5463,1814,5469,1809,5480,1806,5485,1797,5493,1793,5496,1782,5501,1776,5502xm1956,5502l1944,5502,1938,5501,1927,5496,1922,5493,1914,5485,1910,5480,1906,5469,1905,5463,1905,5451,1906,5445,1910,5434,1914,5430,1922,5421,1927,5418,1938,5413,1944,5412,1956,5412,1961,5413,1972,5418,1977,5421,1986,5430,1989,5434,1994,5445,1995,5451,1995,5463,1994,5469,1989,5480,1986,5485,1977,5493,1972,5496,1961,5501,1956,5502xm2136,5502l2124,5502,2118,5501,2107,5496,2102,5493,2094,5485,2090,5480,2086,5469,2085,5463,2085,5451,2086,5445,2090,5434,2094,5430,2102,5421,2107,5418,2118,5413,2124,5412,2136,5412,2141,5413,2152,5418,2157,5421,2166,5430,2169,5434,2173,5445,2175,5451,2175,5463,2173,5469,2169,5480,2166,5485,2157,5493,2152,5496,2141,5501,2136,5502xm2315,5502l2303,5502,2298,5501,2287,5496,2282,5493,2273,5485,2270,5480,2266,5469,2264,5463,2264,5451,2266,5445,2270,5434,2273,5430,2282,5421,2287,5418,2298,5413,2303,5412,2315,5412,2321,5413,2332,5418,2337,5421,2345,5430,2349,5434,2353,5445,2354,5451,2354,5463,2353,5469,2349,5480,2345,5485,2337,5493,2332,5496,2321,5501,2315,5502xm2495,5502l2483,5502,2478,5501,2467,5496,2462,5493,2453,5485,2450,5480,2445,5469,2444,5463,2444,5451,2445,5445,2450,5434,2453,5430,2462,5421,2467,5418,2478,5413,2483,5412,2495,5412,2501,5413,2512,5418,2517,5421,2525,5430,2529,5434,2533,5445,2534,5451,2534,5463,2533,5469,2529,5480,2525,5485,2517,5493,2512,5496,2501,5501,2495,5502xm2675,5502l2663,5502,2657,5501,2646,5496,2641,5493,2633,5485,2630,5480,2625,5469,2624,5463,2624,5451,2625,5445,2630,5434,2633,5430,2641,5421,2646,5418,2657,5413,2663,5412,2675,5412,2681,5413,2692,5418,2697,5421,2705,5430,2708,5434,2713,5445,2714,5451,2714,5463,2713,5469,2708,5480,2705,5485,2697,5493,2692,5496,2681,5501,2675,5502xm2855,5502l2843,5502,2837,5501,2826,5496,2821,5493,2813,5485,2810,5480,2805,5469,2804,5463,2804,5451,2805,5445,2810,5434,2813,5430,2821,5421,2826,5418,2837,5413,2843,5412,2855,5412,2861,5413,2872,5418,2877,5421,2885,5430,2888,5434,2893,5445,2894,5451,2894,5463,2893,5469,2888,5480,2885,5485,2877,5493,2872,5496,2861,5501,2855,5502xe" filled="true" fillcolor="#2b816f" stroked="false">
                <v:path arrowok="t"/>
                <v:fill type="solid"/>
                <w10:wrap type="topAndBottom"/>
              </v:shape>
            </w:pict>
          </mc:Fallback>
        </mc:AlternateContent>
      </w:r>
    </w:p>
    <w:p>
      <w:pPr>
        <w:pStyle w:val="BodyText"/>
        <w:spacing w:before="46"/>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22.1</w:t>
      </w:r>
    </w:p>
    <w:p>
      <w:pPr>
        <w:spacing w:after="0"/>
        <w:jc w:val="left"/>
        <w:rPr>
          <w:rFonts w:ascii="Arial"/>
          <w:b/>
          <w:sz w:val="22"/>
        </w:rPr>
        <w:sectPr>
          <w:pgSz w:w="12240" w:h="15840"/>
          <w:pgMar w:top="1380" w:bottom="280" w:left="1440" w:right="1440"/>
        </w:sectPr>
      </w:pPr>
    </w:p>
    <w:p>
      <w:pPr>
        <w:pStyle w:val="BodyText"/>
        <w:spacing w:line="249" w:lineRule="auto"/>
        <w:ind w:right="101" w:firstLine="450"/>
      </w:pPr>
      <w:r>
        <w:rPr/>
        <w:t>Esterified estrogens are synthetically prepared from plant precursors</w:t>
      </w:r>
      <w:r>
        <w:rPr>
          <w:spacing w:val="40"/>
        </w:rPr>
        <w:t> </w:t>
      </w:r>
      <w:r>
        <w:rPr/>
        <w:t>and are composed mostly of sodium estrone sulfate with a 6% to 15% component of sodium equilin sulfate. Estradiol valerate is rapidly hydrolyzed to estradiol; therefore, the pharmacology and effects are comparable at similar dosages.</w:t>
      </w:r>
      <w:r>
        <w:rPr>
          <w:vertAlign w:val="superscript"/>
        </w:rPr>
        <w:t>17</w:t>
      </w:r>
      <w:r>
        <w:rPr>
          <w:vertAlign w:val="baseline"/>
        </w:rPr>
        <w:t> However, a recent Swedish study noted that the peak level of thrombin is significantly higher with use of EE versus estradiol valerate, indicating that estradiol valerate would have a </w:t>
      </w:r>
      <w:r>
        <w:rPr>
          <w:vertAlign w:val="baseline"/>
        </w:rPr>
        <w:t>lower thrombotic risk. Nevertheless, estradiol valerate in hormonal contraceptive pills remains sparse in the United States.</w:t>
      </w:r>
    </w:p>
    <w:p>
      <w:pPr>
        <w:pStyle w:val="BodyText"/>
        <w:spacing w:line="249" w:lineRule="auto" w:before="11"/>
        <w:ind w:right="108" w:firstLine="450"/>
      </w:pPr>
      <w:r>
        <w:rPr/>
        <w:t>In recent years, estetrol (E4), yet another naturally occurring </w:t>
      </w:r>
      <w:r>
        <w:rPr/>
        <w:t>estrogen, has gained attention for its therapeutic potential for women’s health. E4 is unique to pregnancy, being produced exclusively in the fetal liver and can be detected in maternal blood at levels that are much lower than in the fetal circulation.</w:t>
      </w:r>
      <w:r>
        <w:rPr>
          <w:vertAlign w:val="superscript"/>
        </w:rPr>
        <w:t>18</w:t>
      </w:r>
      <w:r>
        <w:rPr>
          <w:vertAlign w:val="baseline"/>
        </w:rPr>
        <w:t> In potency, E4 is 10 to 20 times weaker than that of EE.</w:t>
      </w:r>
      <w:r>
        <w:rPr>
          <w:vertAlign w:val="superscript"/>
        </w:rPr>
        <w:t>19,20</w:t>
      </w:r>
      <w:r>
        <w:rPr>
          <w:vertAlign w:val="baseline"/>
        </w:rPr>
        <w:t> While E4 is available only as a Food and Drug Administration (FDA)-approved contraceptive formulation, its effectiveness in menopause management is actively being explored.</w:t>
      </w:r>
      <w:r>
        <w:rPr>
          <w:vertAlign w:val="superscript"/>
        </w:rPr>
        <w:t>21</w:t>
      </w:r>
    </w:p>
    <w:p>
      <w:pPr>
        <w:pStyle w:val="BodyText"/>
        <w:spacing w:before="53"/>
        <w:ind w:left="0"/>
        <w:jc w:val="left"/>
      </w:pPr>
    </w:p>
    <w:p>
      <w:pPr>
        <w:spacing w:before="0"/>
        <w:ind w:left="99" w:right="0" w:firstLine="0"/>
        <w:jc w:val="both"/>
        <w:rPr>
          <w:rFonts w:ascii="Arial"/>
          <w:b/>
          <w:sz w:val="30"/>
        </w:rPr>
      </w:pPr>
      <w:r>
        <w:rPr>
          <w:rFonts w:ascii="Arial"/>
          <w:b/>
          <w:color w:val="2674AE"/>
          <w:sz w:val="30"/>
        </w:rPr>
        <w:t>Transdermal</w:t>
      </w:r>
      <w:r>
        <w:rPr>
          <w:rFonts w:ascii="Arial"/>
          <w:b/>
          <w:color w:val="2674AE"/>
          <w:spacing w:val="-9"/>
          <w:sz w:val="30"/>
        </w:rPr>
        <w:t> </w:t>
      </w:r>
      <w:r>
        <w:rPr>
          <w:rFonts w:ascii="Arial"/>
          <w:b/>
          <w:color w:val="2674AE"/>
          <w:sz w:val="30"/>
        </w:rPr>
        <w:t>Estrogen</w:t>
      </w:r>
      <w:r>
        <w:rPr>
          <w:rFonts w:ascii="Arial"/>
          <w:b/>
          <w:color w:val="2674AE"/>
          <w:spacing w:val="-8"/>
          <w:sz w:val="30"/>
        </w:rPr>
        <w:t> </w:t>
      </w:r>
      <w:r>
        <w:rPr>
          <w:rFonts w:ascii="Arial"/>
          <w:b/>
          <w:color w:val="2674AE"/>
          <w:spacing w:val="-2"/>
          <w:sz w:val="30"/>
        </w:rPr>
        <w:t>Administration</w:t>
      </w:r>
    </w:p>
    <w:p>
      <w:pPr>
        <w:pStyle w:val="BodyText"/>
        <w:spacing w:line="249" w:lineRule="auto" w:before="167"/>
        <w:ind w:right="98"/>
      </w:pPr>
      <w:r>
        <w:rPr/>
        <w:t>Transdermal</w:t>
      </w:r>
      <w:r>
        <w:rPr>
          <w:spacing w:val="-1"/>
        </w:rPr>
        <w:t> </w:t>
      </w:r>
      <w:r>
        <w:rPr/>
        <w:t>estradiol</w:t>
      </w:r>
      <w:r>
        <w:rPr>
          <w:spacing w:val="-1"/>
        </w:rPr>
        <w:t> </w:t>
      </w:r>
      <w:r>
        <w:rPr/>
        <w:t>can</w:t>
      </w:r>
      <w:r>
        <w:rPr>
          <w:spacing w:val="-1"/>
        </w:rPr>
        <w:t> </w:t>
      </w:r>
      <w:r>
        <w:rPr/>
        <w:t>also</w:t>
      </w:r>
      <w:r>
        <w:rPr>
          <w:spacing w:val="-1"/>
        </w:rPr>
        <w:t> </w:t>
      </w:r>
      <w:r>
        <w:rPr/>
        <w:t>be</w:t>
      </w:r>
      <w:r>
        <w:rPr>
          <w:spacing w:val="-1"/>
        </w:rPr>
        <w:t> </w:t>
      </w:r>
      <w:r>
        <w:rPr/>
        <w:t>administered</w:t>
      </w:r>
      <w:r>
        <w:rPr>
          <w:spacing w:val="-1"/>
        </w:rPr>
        <w:t> </w:t>
      </w:r>
      <w:r>
        <w:rPr/>
        <w:t>by</w:t>
      </w:r>
      <w:r>
        <w:rPr>
          <w:spacing w:val="-1"/>
        </w:rPr>
        <w:t> </w:t>
      </w:r>
      <w:r>
        <w:rPr/>
        <w:t>a</w:t>
      </w:r>
      <w:r>
        <w:rPr>
          <w:spacing w:val="-1"/>
        </w:rPr>
        <w:t> </w:t>
      </w:r>
      <w:r>
        <w:rPr/>
        <w:t>patch,</w:t>
      </w:r>
      <w:r>
        <w:rPr>
          <w:spacing w:val="-1"/>
        </w:rPr>
        <w:t> </w:t>
      </w:r>
      <w:r>
        <w:rPr/>
        <w:t>gel,</w:t>
      </w:r>
      <w:r>
        <w:rPr>
          <w:spacing w:val="-1"/>
        </w:rPr>
        <w:t> </w:t>
      </w:r>
      <w:r>
        <w:rPr/>
        <w:t>emulsion,</w:t>
      </w:r>
      <w:r>
        <w:rPr>
          <w:spacing w:val="-1"/>
        </w:rPr>
        <w:t> </w:t>
      </w:r>
      <w:r>
        <w:rPr/>
        <w:t>or spray. The patches first used for transdermal administration of </w:t>
      </w:r>
      <w:r>
        <w:rPr/>
        <w:t>estrogen contained an alcohol reservoir; estrogen was released through a semipermeable membrane attached to the skin with an adhesive. In the current generation of estrogen patches, the hormone is dissolved and distributed throughout the adhesive matrix, which has less skin reactions than traditional patches, even in tropical environments.</w:t>
      </w:r>
      <w:r>
        <w:rPr>
          <w:vertAlign w:val="superscript"/>
        </w:rPr>
        <w:t>22</w:t>
      </w:r>
      <w:r>
        <w:rPr>
          <w:vertAlign w:val="baseline"/>
        </w:rPr>
        <w:t> The patches are designated according to the amount of estradiol delivered per day with formulations delivering as little as 14 μg to as much as 100 μg daily and are available in various doses and various trade names. (Climara and Vivelle</w:t>
      </w:r>
      <w:r>
        <w:rPr>
          <w:spacing w:val="40"/>
          <w:vertAlign w:val="baseline"/>
        </w:rPr>
        <w:t> </w:t>
      </w:r>
      <w:r>
        <w:rPr>
          <w:vertAlign w:val="baseline"/>
        </w:rPr>
        <w:t>are commonly available in the United States.) The gel is similarly available under various trade names (Divigel, EstroGel, Estreva Gel) and in various doses and can be applied once daily on an arm, anywhere from the wrist to the shoulder, or the thigh, without rubbing or massaging and alternating sides.</w:t>
      </w:r>
      <w:r>
        <w:rPr>
          <w:vertAlign w:val="superscript"/>
        </w:rPr>
        <w:t>23,24</w:t>
      </w:r>
      <w:r>
        <w:rPr>
          <w:spacing w:val="-3"/>
          <w:vertAlign w:val="baseline"/>
        </w:rPr>
        <w:t> </w:t>
      </w:r>
      <w:r>
        <w:rPr>
          <w:vertAlign w:val="baseline"/>
        </w:rPr>
        <w:t>The</w:t>
      </w:r>
      <w:r>
        <w:rPr>
          <w:spacing w:val="-2"/>
          <w:vertAlign w:val="baseline"/>
        </w:rPr>
        <w:t> </w:t>
      </w:r>
      <w:r>
        <w:rPr>
          <w:vertAlign w:val="baseline"/>
        </w:rPr>
        <w:t>emulsion,</w:t>
      </w:r>
      <w:r>
        <w:rPr>
          <w:spacing w:val="-2"/>
          <w:vertAlign w:val="baseline"/>
        </w:rPr>
        <w:t> </w:t>
      </w:r>
      <w:r>
        <w:rPr>
          <w:vertAlign w:val="baseline"/>
        </w:rPr>
        <w:t>Estrasorb,</w:t>
      </w:r>
      <w:r>
        <w:rPr>
          <w:spacing w:val="-2"/>
          <w:vertAlign w:val="baseline"/>
        </w:rPr>
        <w:t> </w:t>
      </w:r>
      <w:r>
        <w:rPr>
          <w:vertAlign w:val="baseline"/>
        </w:rPr>
        <w:t>is</w:t>
      </w:r>
      <w:r>
        <w:rPr>
          <w:spacing w:val="-2"/>
          <w:vertAlign w:val="baseline"/>
        </w:rPr>
        <w:t> </w:t>
      </w:r>
      <w:r>
        <w:rPr>
          <w:vertAlign w:val="baseline"/>
        </w:rPr>
        <w:t>packaged</w:t>
      </w:r>
      <w:r>
        <w:rPr>
          <w:spacing w:val="-2"/>
          <w:vertAlign w:val="baseline"/>
        </w:rPr>
        <w:t> </w:t>
      </w:r>
      <w:r>
        <w:rPr>
          <w:vertAlign w:val="baseline"/>
        </w:rPr>
        <w:t>in</w:t>
      </w:r>
      <w:r>
        <w:rPr>
          <w:spacing w:val="-2"/>
          <w:vertAlign w:val="baseline"/>
        </w:rPr>
        <w:t> </w:t>
      </w:r>
      <w:r>
        <w:rPr>
          <w:vertAlign w:val="baseline"/>
        </w:rPr>
        <w:t>foil</w:t>
      </w:r>
      <w:r>
        <w:rPr>
          <w:spacing w:val="-2"/>
          <w:vertAlign w:val="baseline"/>
        </w:rPr>
        <w:t> </w:t>
      </w:r>
      <w:r>
        <w:rPr>
          <w:vertAlign w:val="baseline"/>
        </w:rPr>
        <w:t>pouches;</w:t>
      </w:r>
      <w:r>
        <w:rPr>
          <w:spacing w:val="-2"/>
          <w:vertAlign w:val="baseline"/>
        </w:rPr>
        <w:t> </w:t>
      </w:r>
      <w:r>
        <w:rPr>
          <w:vertAlign w:val="baseline"/>
        </w:rPr>
        <w:t>usually,</w:t>
      </w:r>
      <w:r>
        <w:rPr>
          <w:spacing w:val="-2"/>
          <w:vertAlign w:val="baseline"/>
        </w:rPr>
        <w:t> </w:t>
      </w:r>
      <w:r>
        <w:rPr>
          <w:vertAlign w:val="baseline"/>
        </w:rPr>
        <w:t>two packets</w:t>
      </w:r>
      <w:r>
        <w:rPr>
          <w:spacing w:val="64"/>
          <w:vertAlign w:val="baseline"/>
        </w:rPr>
        <w:t> </w:t>
      </w:r>
      <w:r>
        <w:rPr>
          <w:vertAlign w:val="baseline"/>
        </w:rPr>
        <w:t>are</w:t>
      </w:r>
      <w:r>
        <w:rPr>
          <w:spacing w:val="66"/>
          <w:vertAlign w:val="baseline"/>
        </w:rPr>
        <w:t> </w:t>
      </w:r>
      <w:r>
        <w:rPr>
          <w:vertAlign w:val="baseline"/>
        </w:rPr>
        <w:t>applied</w:t>
      </w:r>
      <w:r>
        <w:rPr>
          <w:spacing w:val="66"/>
          <w:vertAlign w:val="baseline"/>
        </w:rPr>
        <w:t> </w:t>
      </w:r>
      <w:r>
        <w:rPr>
          <w:vertAlign w:val="baseline"/>
        </w:rPr>
        <w:t>daily,</w:t>
      </w:r>
      <w:r>
        <w:rPr>
          <w:spacing w:val="66"/>
          <w:vertAlign w:val="baseline"/>
        </w:rPr>
        <w:t> </w:t>
      </w:r>
      <w:r>
        <w:rPr>
          <w:vertAlign w:val="baseline"/>
        </w:rPr>
        <w:t>one</w:t>
      </w:r>
      <w:r>
        <w:rPr>
          <w:spacing w:val="66"/>
          <w:vertAlign w:val="baseline"/>
        </w:rPr>
        <w:t> </w:t>
      </w:r>
      <w:r>
        <w:rPr>
          <w:vertAlign w:val="baseline"/>
        </w:rPr>
        <w:t>to</w:t>
      </w:r>
      <w:r>
        <w:rPr>
          <w:spacing w:val="67"/>
          <w:vertAlign w:val="baseline"/>
        </w:rPr>
        <w:t> </w:t>
      </w:r>
      <w:r>
        <w:rPr>
          <w:vertAlign w:val="baseline"/>
        </w:rPr>
        <w:t>each</w:t>
      </w:r>
      <w:r>
        <w:rPr>
          <w:spacing w:val="66"/>
          <w:vertAlign w:val="baseline"/>
        </w:rPr>
        <w:t> </w:t>
      </w:r>
      <w:r>
        <w:rPr>
          <w:vertAlign w:val="baseline"/>
        </w:rPr>
        <w:t>thigh,</w:t>
      </w:r>
      <w:r>
        <w:rPr>
          <w:spacing w:val="66"/>
          <w:vertAlign w:val="baseline"/>
        </w:rPr>
        <w:t> </w:t>
      </w:r>
      <w:r>
        <w:rPr>
          <w:vertAlign w:val="baseline"/>
        </w:rPr>
        <w:t>and</w:t>
      </w:r>
      <w:r>
        <w:rPr>
          <w:spacing w:val="66"/>
          <w:vertAlign w:val="baseline"/>
        </w:rPr>
        <w:t> </w:t>
      </w:r>
      <w:r>
        <w:rPr>
          <w:vertAlign w:val="baseline"/>
        </w:rPr>
        <w:t>rubbed</w:t>
      </w:r>
      <w:r>
        <w:rPr>
          <w:spacing w:val="66"/>
          <w:vertAlign w:val="baseline"/>
        </w:rPr>
        <w:t> </w:t>
      </w:r>
      <w:r>
        <w:rPr>
          <w:vertAlign w:val="baseline"/>
        </w:rPr>
        <w:t>in</w:t>
      </w:r>
      <w:r>
        <w:rPr>
          <w:spacing w:val="67"/>
          <w:vertAlign w:val="baseline"/>
        </w:rPr>
        <w:t> </w:t>
      </w:r>
      <w:r>
        <w:rPr>
          <w:spacing w:val="-4"/>
          <w:vertAlign w:val="baseline"/>
        </w:rPr>
        <w:t>thoroughly.</w:t>
      </w:r>
    </w:p>
    <w:p>
      <w:pPr>
        <w:pStyle w:val="BodyText"/>
        <w:spacing w:after="0" w:line="249" w:lineRule="auto"/>
        <w:sectPr>
          <w:pgSz w:w="12240" w:h="15840"/>
          <w:pgMar w:top="1380" w:bottom="280" w:left="1440" w:right="1440"/>
        </w:sectPr>
      </w:pPr>
    </w:p>
    <w:p>
      <w:pPr>
        <w:pStyle w:val="BodyText"/>
        <w:spacing w:line="249" w:lineRule="auto"/>
        <w:ind w:right="97"/>
        <w:rPr>
          <w:b/>
        </w:rPr>
      </w:pPr>
      <w:r>
        <w:rPr/>
        <w:t>Evamist is the transdermal spray, and the usual dose is one spray daily to the forearm. (If more than one dose is required daily, each spray is on </w:t>
      </w:r>
      <w:r>
        <w:rPr/>
        <w:t>a separate site.)</w:t>
      </w:r>
      <w:r>
        <w:rPr>
          <w:vertAlign w:val="superscript"/>
        </w:rPr>
        <w:t>25</w:t>
      </w:r>
      <w:r>
        <w:rPr>
          <w:vertAlign w:val="baseline"/>
        </w:rPr>
        <w:t> Elestrin is available in a metered dispenser. Simultaneous use of sunscreen on the site of administration should be avoided. If dosage is being monitored by blood estradiol levels, blood should be drawn from a site where transdermal estradiol has not been applied for several days. </w:t>
      </w:r>
      <w:r>
        <w:rPr>
          <w:b/>
          <w:vertAlign w:val="baseline"/>
        </w:rPr>
        <w:t>The ideal dose of estrogen is that which allows for systemic symptom relief.</w:t>
      </w:r>
    </w:p>
    <w:p>
      <w:pPr>
        <w:spacing w:before="307"/>
        <w:ind w:left="99" w:right="0" w:firstLine="0"/>
        <w:jc w:val="both"/>
        <w:rPr>
          <w:rFonts w:ascii="Arial"/>
          <w:b/>
          <w:i/>
          <w:sz w:val="22"/>
        </w:rPr>
      </w:pPr>
      <w:r>
        <w:rPr>
          <w:rFonts w:ascii="Arial"/>
          <w:b/>
          <w:i/>
          <w:color w:val="A0234E"/>
          <w:sz w:val="22"/>
        </w:rPr>
        <w:t>Circulating</w:t>
      </w:r>
      <w:r>
        <w:rPr>
          <w:rFonts w:ascii="Arial"/>
          <w:b/>
          <w:i/>
          <w:color w:val="A0234E"/>
          <w:spacing w:val="13"/>
          <w:sz w:val="22"/>
        </w:rPr>
        <w:t> </w:t>
      </w:r>
      <w:r>
        <w:rPr>
          <w:rFonts w:ascii="Arial"/>
          <w:b/>
          <w:i/>
          <w:color w:val="A0234E"/>
          <w:sz w:val="22"/>
        </w:rPr>
        <w:t>Estradiol</w:t>
      </w:r>
      <w:r>
        <w:rPr>
          <w:rFonts w:ascii="Arial"/>
          <w:b/>
          <w:i/>
          <w:color w:val="A0234E"/>
          <w:spacing w:val="13"/>
          <w:sz w:val="22"/>
        </w:rPr>
        <w:t> </w:t>
      </w:r>
      <w:r>
        <w:rPr>
          <w:rFonts w:ascii="Arial"/>
          <w:b/>
          <w:i/>
          <w:color w:val="A0234E"/>
          <w:sz w:val="22"/>
        </w:rPr>
        <w:t>Levels</w:t>
      </w:r>
      <w:r>
        <w:rPr>
          <w:rFonts w:ascii="Arial"/>
          <w:b/>
          <w:i/>
          <w:color w:val="A0234E"/>
          <w:spacing w:val="14"/>
          <w:sz w:val="22"/>
        </w:rPr>
        <w:t> </w:t>
      </w:r>
      <w:r>
        <w:rPr>
          <w:rFonts w:ascii="Arial"/>
          <w:b/>
          <w:i/>
          <w:color w:val="A0234E"/>
          <w:sz w:val="22"/>
        </w:rPr>
        <w:t>in</w:t>
      </w:r>
      <w:r>
        <w:rPr>
          <w:rFonts w:ascii="Arial"/>
          <w:b/>
          <w:i/>
          <w:color w:val="A0234E"/>
          <w:spacing w:val="13"/>
          <w:sz w:val="22"/>
        </w:rPr>
        <w:t> </w:t>
      </w:r>
      <w:r>
        <w:rPr>
          <w:rFonts w:ascii="Arial"/>
          <w:b/>
          <w:i/>
          <w:color w:val="A0234E"/>
          <w:sz w:val="22"/>
        </w:rPr>
        <w:t>Users</w:t>
      </w:r>
      <w:r>
        <w:rPr>
          <w:rFonts w:ascii="Arial"/>
          <w:b/>
          <w:i/>
          <w:color w:val="A0234E"/>
          <w:spacing w:val="14"/>
          <w:sz w:val="22"/>
        </w:rPr>
        <w:t> </w:t>
      </w:r>
      <w:r>
        <w:rPr>
          <w:rFonts w:ascii="Arial"/>
          <w:b/>
          <w:i/>
          <w:color w:val="A0234E"/>
          <w:sz w:val="22"/>
        </w:rPr>
        <w:t>of</w:t>
      </w:r>
      <w:r>
        <w:rPr>
          <w:rFonts w:ascii="Arial"/>
          <w:b/>
          <w:i/>
          <w:color w:val="A0234E"/>
          <w:spacing w:val="13"/>
          <w:sz w:val="22"/>
        </w:rPr>
        <w:t> </w:t>
      </w:r>
      <w:r>
        <w:rPr>
          <w:rFonts w:ascii="Arial"/>
          <w:b/>
          <w:i/>
          <w:color w:val="A0234E"/>
          <w:sz w:val="22"/>
        </w:rPr>
        <w:t>Oral</w:t>
      </w:r>
      <w:r>
        <w:rPr>
          <w:rFonts w:ascii="Arial"/>
          <w:b/>
          <w:i/>
          <w:color w:val="A0234E"/>
          <w:spacing w:val="13"/>
          <w:sz w:val="22"/>
        </w:rPr>
        <w:t> </w:t>
      </w:r>
      <w:r>
        <w:rPr>
          <w:rFonts w:ascii="Arial"/>
          <w:b/>
          <w:i/>
          <w:color w:val="A0234E"/>
          <w:sz w:val="22"/>
        </w:rPr>
        <w:t>Versus</w:t>
      </w:r>
      <w:r>
        <w:rPr>
          <w:rFonts w:ascii="Arial"/>
          <w:b/>
          <w:i/>
          <w:color w:val="A0234E"/>
          <w:spacing w:val="14"/>
          <w:sz w:val="22"/>
        </w:rPr>
        <w:t> </w:t>
      </w:r>
      <w:r>
        <w:rPr>
          <w:rFonts w:ascii="Arial"/>
          <w:b/>
          <w:i/>
          <w:color w:val="A0234E"/>
          <w:sz w:val="22"/>
        </w:rPr>
        <w:t>Transdermal</w:t>
      </w:r>
      <w:r>
        <w:rPr>
          <w:rFonts w:ascii="Arial"/>
          <w:b/>
          <w:i/>
          <w:color w:val="A0234E"/>
          <w:spacing w:val="13"/>
          <w:sz w:val="22"/>
        </w:rPr>
        <w:t> </w:t>
      </w:r>
      <w:r>
        <w:rPr>
          <w:rFonts w:ascii="Arial"/>
          <w:b/>
          <w:i/>
          <w:color w:val="A0234E"/>
          <w:spacing w:val="-2"/>
          <w:sz w:val="22"/>
        </w:rPr>
        <w:t>Estrogen</w:t>
      </w:r>
    </w:p>
    <w:p>
      <w:pPr>
        <w:pStyle w:val="BodyText"/>
        <w:spacing w:line="249" w:lineRule="auto" w:before="123"/>
        <w:ind w:right="97"/>
      </w:pPr>
      <w:r>
        <w:rPr/>
        <w:t>The concentration of estrogen in the hepatic portal system after oral administration is 4 to 5 times higher than that in the periphery.</w:t>
      </w:r>
      <w:r>
        <w:rPr>
          <w:vertAlign w:val="superscript"/>
        </w:rPr>
        <w:t>26</w:t>
      </w:r>
      <w:r>
        <w:rPr>
          <w:vertAlign w:val="baseline"/>
        </w:rPr>
        <w:t> Because </w:t>
      </w:r>
      <w:r>
        <w:rPr>
          <w:vertAlign w:val="baseline"/>
        </w:rPr>
        <w:t>of first-pass metabolism in the liver, oral estradiol results in a circulating estrone-to-estradiol ratio of approximately 5; with transdermal administration, the ratio is 1. The first-pass effect has important lipoprotein effects.</w:t>
      </w:r>
      <w:r>
        <w:rPr>
          <w:spacing w:val="-5"/>
          <w:vertAlign w:val="baseline"/>
        </w:rPr>
        <w:t> </w:t>
      </w:r>
      <w:r>
        <w:rPr>
          <w:vertAlign w:val="baseline"/>
        </w:rPr>
        <w:t>For example, studies have demonstrated an increase in high-density lipoprotein (HDL) and decrease in low-density lipoprotein (LDL) and cholesterol with oral estrogens (discussed earlier in this chapter), an effect that is less prominent with transdermal estrogen administration.</w:t>
      </w:r>
      <w:r>
        <w:rPr>
          <w:vertAlign w:val="superscript"/>
        </w:rPr>
        <w:t>27,28</w:t>
      </w:r>
      <w:r>
        <w:rPr>
          <w:vertAlign w:val="baseline"/>
        </w:rPr>
        <w:t> However,</w:t>
      </w:r>
      <w:r>
        <w:rPr>
          <w:spacing w:val="-2"/>
          <w:vertAlign w:val="baseline"/>
        </w:rPr>
        <w:t> </w:t>
      </w:r>
      <w:r>
        <w:rPr>
          <w:vertAlign w:val="baseline"/>
        </w:rPr>
        <w:t>English</w:t>
      </w:r>
      <w:r>
        <w:rPr>
          <w:spacing w:val="-2"/>
          <w:vertAlign w:val="baseline"/>
        </w:rPr>
        <w:t> </w:t>
      </w:r>
      <w:r>
        <w:rPr>
          <w:vertAlign w:val="baseline"/>
        </w:rPr>
        <w:t>data</w:t>
      </w:r>
      <w:r>
        <w:rPr>
          <w:spacing w:val="-2"/>
          <w:vertAlign w:val="baseline"/>
        </w:rPr>
        <w:t> </w:t>
      </w:r>
      <w:r>
        <w:rPr>
          <w:vertAlign w:val="baseline"/>
        </w:rPr>
        <w:t>indicate</w:t>
      </w:r>
      <w:r>
        <w:rPr>
          <w:spacing w:val="-2"/>
          <w:vertAlign w:val="baseline"/>
        </w:rPr>
        <w:t> </w:t>
      </w:r>
      <w:r>
        <w:rPr>
          <w:vertAlign w:val="baseline"/>
        </w:rPr>
        <w:t>that</w:t>
      </w:r>
      <w:r>
        <w:rPr>
          <w:spacing w:val="-2"/>
          <w:vertAlign w:val="baseline"/>
        </w:rPr>
        <w:t> </w:t>
      </w:r>
      <w:r>
        <w:rPr>
          <w:vertAlign w:val="baseline"/>
        </w:rPr>
        <w:t>the</w:t>
      </w:r>
      <w:r>
        <w:rPr>
          <w:spacing w:val="-2"/>
          <w:vertAlign w:val="baseline"/>
        </w:rPr>
        <w:t> </w:t>
      </w:r>
      <w:r>
        <w:rPr>
          <w:vertAlign w:val="baseline"/>
        </w:rPr>
        <w:t>transdermal</w:t>
      </w:r>
      <w:r>
        <w:rPr>
          <w:spacing w:val="-2"/>
          <w:vertAlign w:val="baseline"/>
        </w:rPr>
        <w:t> </w:t>
      </w:r>
      <w:r>
        <w:rPr>
          <w:vertAlign w:val="baseline"/>
        </w:rPr>
        <w:t>administration</w:t>
      </w:r>
      <w:r>
        <w:rPr>
          <w:spacing w:val="-2"/>
          <w:vertAlign w:val="baseline"/>
        </w:rPr>
        <w:t> </w:t>
      </w:r>
      <w:r>
        <w:rPr>
          <w:vertAlign w:val="baseline"/>
        </w:rPr>
        <w:t>of</w:t>
      </w:r>
      <w:r>
        <w:rPr>
          <w:spacing w:val="-2"/>
          <w:vertAlign w:val="baseline"/>
        </w:rPr>
        <w:t> </w:t>
      </w:r>
      <w:r>
        <w:rPr>
          <w:vertAlign w:val="baseline"/>
        </w:rPr>
        <w:t>50-μg estradiol twice a week is as effective as 0.625-mg oral conjugated</w:t>
      </w:r>
      <w:r>
        <w:rPr>
          <w:spacing w:val="40"/>
          <w:vertAlign w:val="baseline"/>
        </w:rPr>
        <w:t> </w:t>
      </w:r>
      <w:r>
        <w:rPr>
          <w:vertAlign w:val="baseline"/>
        </w:rPr>
        <w:t>estrogens, when combined with a progestin in sequential regimens, on bone mineral density (BMD) and lipids over a duration of 3 years.</w:t>
      </w:r>
      <w:r>
        <w:rPr>
          <w:vertAlign w:val="superscript"/>
        </w:rPr>
        <w:t>29</w:t>
      </w:r>
      <w:r>
        <w:rPr>
          <w:vertAlign w:val="baseline"/>
        </w:rPr>
        <w:t> Standard doses of estrogen administered transdermally (50 μg) protect against fractures as do standard doses of oral formulations.</w:t>
      </w:r>
      <w:r>
        <w:rPr>
          <w:vertAlign w:val="superscript"/>
        </w:rPr>
        <w:t>30</w:t>
      </w:r>
      <w:r>
        <w:rPr>
          <w:vertAlign w:val="baseline"/>
        </w:rPr>
        <w:t> However, although lower doses of estrogens can provide effective suppression of VMS as well as improve BMD, data on fracture risk reduction with low-dose regimens are lacking.</w:t>
      </w:r>
      <w:r>
        <w:rPr>
          <w:vertAlign w:val="superscript"/>
        </w:rPr>
        <w:t>31</w:t>
      </w:r>
    </w:p>
    <w:p>
      <w:pPr>
        <w:pStyle w:val="BodyText"/>
        <w:spacing w:line="249" w:lineRule="auto" w:before="22"/>
        <w:ind w:right="101" w:firstLine="450"/>
      </w:pPr>
      <w:r>
        <w:rPr/>
        <w:t>Studies comparing circulating estradiol levels in women receiving </w:t>
      </w:r>
      <w:r>
        <w:rPr/>
        <w:t>oral or transdermal estrogen reveal that while estradiol levels are in therapeutic range for bone protection, there exists substantial variation among individuals.</w:t>
      </w:r>
      <w:r>
        <w:rPr>
          <w:vertAlign w:val="superscript"/>
        </w:rPr>
        <w:t>32</w:t>
      </w:r>
      <w:r>
        <w:rPr>
          <w:vertAlign w:val="baseline"/>
        </w:rPr>
        <w:t> Furthermore, due to the chemical components of CEEs</w:t>
      </w:r>
      <w:r>
        <w:rPr>
          <w:spacing w:val="40"/>
          <w:vertAlign w:val="baseline"/>
        </w:rPr>
        <w:t> </w:t>
      </w:r>
      <w:r>
        <w:rPr>
          <w:vertAlign w:val="baseline"/>
        </w:rPr>
        <w:t>(which are not measurable in serum samples on routine assays), it is difficult to measure a therapeutic level of estrogen in CEE users. In addition, individual women metabolize estrogen differently, depending on the route of administration, liver function, body composition, body size, potential</w:t>
      </w:r>
      <w:r>
        <w:rPr>
          <w:spacing w:val="63"/>
          <w:vertAlign w:val="baseline"/>
        </w:rPr>
        <w:t>  </w:t>
      </w:r>
      <w:r>
        <w:rPr>
          <w:vertAlign w:val="baseline"/>
        </w:rPr>
        <w:t>medication</w:t>
      </w:r>
      <w:r>
        <w:rPr>
          <w:spacing w:val="64"/>
          <w:vertAlign w:val="baseline"/>
        </w:rPr>
        <w:t>  </w:t>
      </w:r>
      <w:r>
        <w:rPr>
          <w:vertAlign w:val="baseline"/>
        </w:rPr>
        <w:t>interactions,</w:t>
      </w:r>
      <w:r>
        <w:rPr>
          <w:spacing w:val="63"/>
          <w:vertAlign w:val="baseline"/>
        </w:rPr>
        <w:t>  </w:t>
      </w:r>
      <w:r>
        <w:rPr>
          <w:vertAlign w:val="baseline"/>
        </w:rPr>
        <w:t>skin</w:t>
      </w:r>
      <w:r>
        <w:rPr>
          <w:spacing w:val="64"/>
          <w:vertAlign w:val="baseline"/>
        </w:rPr>
        <w:t>  </w:t>
      </w:r>
      <w:r>
        <w:rPr>
          <w:vertAlign w:val="baseline"/>
        </w:rPr>
        <w:t>absorption</w:t>
      </w:r>
      <w:r>
        <w:rPr>
          <w:spacing w:val="63"/>
          <w:vertAlign w:val="baseline"/>
        </w:rPr>
        <w:t>  </w:t>
      </w:r>
      <w:r>
        <w:rPr>
          <w:vertAlign w:val="baseline"/>
        </w:rPr>
        <w:t>(for</w:t>
      </w:r>
      <w:r>
        <w:rPr>
          <w:spacing w:val="64"/>
          <w:vertAlign w:val="baseline"/>
        </w:rPr>
        <w:t>  </w:t>
      </w:r>
      <w:r>
        <w:rPr>
          <w:spacing w:val="-2"/>
          <w:vertAlign w:val="baseline"/>
        </w:rPr>
        <w:t>transdermal</w:t>
      </w:r>
    </w:p>
    <w:p>
      <w:pPr>
        <w:pStyle w:val="BodyText"/>
        <w:spacing w:after="0" w:line="249" w:lineRule="auto"/>
        <w:sectPr>
          <w:pgSz w:w="12240" w:h="15840"/>
          <w:pgMar w:top="1380" w:bottom="280" w:left="1440" w:right="1440"/>
        </w:sectPr>
      </w:pPr>
    </w:p>
    <w:p>
      <w:pPr>
        <w:pStyle w:val="BodyText"/>
        <w:spacing w:line="249" w:lineRule="auto"/>
        <w:ind w:right="98"/>
      </w:pPr>
      <w:r>
        <w:rPr/>
        <w:t>preparations), and the presence of binding proteins; all these can contribute to individual variations in serum estradiol levels.</w:t>
      </w:r>
      <w:r>
        <w:rPr>
          <w:vertAlign w:val="superscript"/>
        </w:rPr>
        <w:t>33</w:t>
      </w:r>
      <w:r>
        <w:rPr>
          <w:vertAlign w:val="baseline"/>
        </w:rPr>
        <w:t> The only way </w:t>
      </w:r>
      <w:r>
        <w:rPr>
          <w:vertAlign w:val="baseline"/>
        </w:rPr>
        <w:t>to accurately compare clinical effectiveness of oral and transdermal estrogen delivery is to determine if the two methods of administration yield comparable blood levels; however, the first-pass hepatic effect may account for differences in clinical effectiveness, and this is difficult to quantify. The first-pass effect is particularly pronounced with oral estrogen formulations and raises sex hormone-binding globulin (SHBG) levels such that total serum estradiol levels are greatly affected. A potential advantage of transdermal treatment, because it has minimal to no effect on SHBG levels, is that it does not reduce the free unbound testosterone levels (which may have implications for sexual function in a subset of users) as are observed with oral estrogen therapy (ET).</w:t>
      </w:r>
      <w:r>
        <w:rPr>
          <w:vertAlign w:val="superscript"/>
        </w:rPr>
        <w:t>32</w:t>
      </w:r>
    </w:p>
    <w:p>
      <w:pPr>
        <w:spacing w:before="314"/>
        <w:ind w:left="99" w:right="0" w:firstLine="0"/>
        <w:jc w:val="left"/>
        <w:rPr>
          <w:rFonts w:ascii="Arial"/>
          <w:b/>
          <w:i/>
          <w:sz w:val="22"/>
        </w:rPr>
      </w:pPr>
      <w:r>
        <w:rPr>
          <w:rFonts w:ascii="Arial"/>
          <w:b/>
          <w:i/>
          <w:color w:val="A0234E"/>
          <w:sz w:val="22"/>
        </w:rPr>
        <w:t>Systemic</w:t>
      </w:r>
      <w:r>
        <w:rPr>
          <w:rFonts w:ascii="Arial"/>
          <w:b/>
          <w:i/>
          <w:color w:val="A0234E"/>
          <w:spacing w:val="14"/>
          <w:sz w:val="22"/>
        </w:rPr>
        <w:t> </w:t>
      </w:r>
      <w:r>
        <w:rPr>
          <w:rFonts w:ascii="Arial"/>
          <w:b/>
          <w:i/>
          <w:color w:val="A0234E"/>
          <w:sz w:val="22"/>
        </w:rPr>
        <w:t>Effects</w:t>
      </w:r>
      <w:r>
        <w:rPr>
          <w:rFonts w:ascii="Arial"/>
          <w:b/>
          <w:i/>
          <w:color w:val="A0234E"/>
          <w:spacing w:val="14"/>
          <w:sz w:val="22"/>
        </w:rPr>
        <w:t> </w:t>
      </w:r>
      <w:r>
        <w:rPr>
          <w:rFonts w:ascii="Arial"/>
          <w:b/>
          <w:i/>
          <w:color w:val="A0234E"/>
          <w:sz w:val="22"/>
        </w:rPr>
        <w:t>of</w:t>
      </w:r>
      <w:r>
        <w:rPr>
          <w:rFonts w:ascii="Arial"/>
          <w:b/>
          <w:i/>
          <w:color w:val="A0234E"/>
          <w:spacing w:val="14"/>
          <w:sz w:val="22"/>
        </w:rPr>
        <w:t> </w:t>
      </w:r>
      <w:r>
        <w:rPr>
          <w:rFonts w:ascii="Arial"/>
          <w:b/>
          <w:i/>
          <w:color w:val="A0234E"/>
          <w:sz w:val="22"/>
        </w:rPr>
        <w:t>Hormone</w:t>
      </w:r>
      <w:r>
        <w:rPr>
          <w:rFonts w:ascii="Arial"/>
          <w:b/>
          <w:i/>
          <w:color w:val="A0234E"/>
          <w:spacing w:val="14"/>
          <w:sz w:val="22"/>
        </w:rPr>
        <w:t> </w:t>
      </w:r>
      <w:r>
        <w:rPr>
          <w:rFonts w:ascii="Arial"/>
          <w:b/>
          <w:i/>
          <w:color w:val="A0234E"/>
          <w:spacing w:val="-2"/>
          <w:sz w:val="22"/>
        </w:rPr>
        <w:t>Therapy</w:t>
      </w:r>
    </w:p>
    <w:p>
      <w:pPr>
        <w:spacing w:before="122"/>
        <w:ind w:left="99" w:right="0" w:firstLine="0"/>
        <w:jc w:val="left"/>
        <w:rPr>
          <w:rFonts w:ascii="Arial"/>
          <w:b/>
          <w:sz w:val="22"/>
        </w:rPr>
      </w:pPr>
      <w:r>
        <w:rPr>
          <w:rFonts w:ascii="Arial"/>
          <w:b/>
          <w:sz w:val="22"/>
        </w:rPr>
        <w:t>Clotting</w:t>
      </w:r>
      <w:r>
        <w:rPr>
          <w:rFonts w:ascii="Arial"/>
          <w:b/>
          <w:spacing w:val="17"/>
          <w:sz w:val="22"/>
        </w:rPr>
        <w:t> </w:t>
      </w:r>
      <w:r>
        <w:rPr>
          <w:rFonts w:ascii="Arial"/>
          <w:b/>
          <w:spacing w:val="-2"/>
          <w:sz w:val="22"/>
        </w:rPr>
        <w:t>Factors</w:t>
      </w:r>
    </w:p>
    <w:p>
      <w:pPr>
        <w:pStyle w:val="BodyText"/>
        <w:spacing w:line="249" w:lineRule="auto" w:before="19"/>
        <w:ind w:right="99"/>
      </w:pPr>
      <w:r>
        <w:rPr/>
        <w:t>First-pass hepatic metabolism affects the synthesis of clotting proteins, markers of coagulation and fibrinolysis that can influence the risk </w:t>
      </w:r>
      <w:r>
        <w:rPr/>
        <w:t>of thrombosis and coronary heart disease (CHD) events. Oral estrogen increases factor VII and prothrombin 1 and 2 fragments, whereas transdermal estrogen decreases factor VII.</w:t>
      </w:r>
      <w:r>
        <w:rPr>
          <w:vertAlign w:val="superscript"/>
        </w:rPr>
        <w:t>34-37</w:t>
      </w:r>
      <w:r>
        <w:rPr>
          <w:vertAlign w:val="baseline"/>
        </w:rPr>
        <w:t> Oral estrogen also increases circulating levels of matrix metalloproteinases, MMP-2 and MMP-9, enzymes</w:t>
      </w:r>
      <w:r>
        <w:rPr>
          <w:spacing w:val="-4"/>
          <w:vertAlign w:val="baseline"/>
        </w:rPr>
        <w:t> </w:t>
      </w:r>
      <w:r>
        <w:rPr>
          <w:vertAlign w:val="baseline"/>
        </w:rPr>
        <w:t>that</w:t>
      </w:r>
      <w:r>
        <w:rPr>
          <w:spacing w:val="-4"/>
          <w:vertAlign w:val="baseline"/>
        </w:rPr>
        <w:t> </w:t>
      </w:r>
      <w:r>
        <w:rPr>
          <w:vertAlign w:val="baseline"/>
        </w:rPr>
        <w:t>are</w:t>
      </w:r>
      <w:r>
        <w:rPr>
          <w:spacing w:val="-4"/>
          <w:vertAlign w:val="baseline"/>
        </w:rPr>
        <w:t> </w:t>
      </w:r>
      <w:r>
        <w:rPr>
          <w:vertAlign w:val="baseline"/>
        </w:rPr>
        <w:t>associated</w:t>
      </w:r>
      <w:r>
        <w:rPr>
          <w:spacing w:val="-4"/>
          <w:vertAlign w:val="baseline"/>
        </w:rPr>
        <w:t> </w:t>
      </w:r>
      <w:r>
        <w:rPr>
          <w:vertAlign w:val="baseline"/>
        </w:rPr>
        <w:t>with</w:t>
      </w:r>
      <w:r>
        <w:rPr>
          <w:spacing w:val="-4"/>
          <w:vertAlign w:val="baseline"/>
        </w:rPr>
        <w:t> </w:t>
      </w:r>
      <w:r>
        <w:rPr>
          <w:vertAlign w:val="baseline"/>
        </w:rPr>
        <w:t>a</w:t>
      </w:r>
      <w:r>
        <w:rPr>
          <w:spacing w:val="-4"/>
          <w:vertAlign w:val="baseline"/>
        </w:rPr>
        <w:t> </w:t>
      </w:r>
      <w:r>
        <w:rPr>
          <w:vertAlign w:val="baseline"/>
        </w:rPr>
        <w:t>tendency</w:t>
      </w:r>
      <w:r>
        <w:rPr>
          <w:spacing w:val="-4"/>
          <w:vertAlign w:val="baseline"/>
        </w:rPr>
        <w:t> </w:t>
      </w:r>
      <w:r>
        <w:rPr>
          <w:vertAlign w:val="baseline"/>
        </w:rPr>
        <w:t>for</w:t>
      </w:r>
      <w:r>
        <w:rPr>
          <w:spacing w:val="-4"/>
          <w:vertAlign w:val="baseline"/>
        </w:rPr>
        <w:t> </w:t>
      </w:r>
      <w:r>
        <w:rPr>
          <w:vertAlign w:val="baseline"/>
        </w:rPr>
        <w:t>clotting.</w:t>
      </w:r>
      <w:r>
        <w:rPr>
          <w:vertAlign w:val="superscript"/>
        </w:rPr>
        <w:t>38</w:t>
      </w:r>
      <w:r>
        <w:rPr>
          <w:spacing w:val="-6"/>
          <w:vertAlign w:val="baseline"/>
        </w:rPr>
        <w:t> </w:t>
      </w:r>
      <w:r>
        <w:rPr>
          <w:vertAlign w:val="baseline"/>
        </w:rPr>
        <w:t>However,</w:t>
      </w:r>
      <w:r>
        <w:rPr>
          <w:spacing w:val="-5"/>
          <w:vertAlign w:val="baseline"/>
        </w:rPr>
        <w:t> </w:t>
      </w:r>
      <w:r>
        <w:rPr>
          <w:vertAlign w:val="baseline"/>
        </w:rPr>
        <w:t>what</w:t>
      </w:r>
      <w:r>
        <w:rPr>
          <w:spacing w:val="-5"/>
          <w:vertAlign w:val="baseline"/>
        </w:rPr>
        <w:t> </w:t>
      </w:r>
      <w:r>
        <w:rPr>
          <w:vertAlign w:val="baseline"/>
        </w:rPr>
        <w:t>is important is to understand the different effects of oral and transdermal delivery on clotting factors and how they translate into clinical differences and cardiovascular risk.</w:t>
      </w:r>
    </w:p>
    <w:p>
      <w:pPr>
        <w:spacing w:before="311"/>
        <w:ind w:left="99" w:right="0" w:firstLine="0"/>
        <w:jc w:val="left"/>
        <w:rPr>
          <w:rFonts w:ascii="Arial"/>
          <w:b/>
          <w:sz w:val="22"/>
        </w:rPr>
      </w:pPr>
      <w:r>
        <w:rPr>
          <w:rFonts w:ascii="Arial"/>
          <w:b/>
          <w:sz w:val="22"/>
        </w:rPr>
        <w:t>Risk</w:t>
      </w:r>
      <w:r>
        <w:rPr>
          <w:rFonts w:ascii="Arial"/>
          <w:b/>
          <w:spacing w:val="6"/>
          <w:sz w:val="22"/>
        </w:rPr>
        <w:t> </w:t>
      </w:r>
      <w:r>
        <w:rPr>
          <w:rFonts w:ascii="Arial"/>
          <w:b/>
          <w:sz w:val="22"/>
        </w:rPr>
        <w:t>of</w:t>
      </w:r>
      <w:r>
        <w:rPr>
          <w:rFonts w:ascii="Arial"/>
          <w:b/>
          <w:spacing w:val="6"/>
          <w:sz w:val="22"/>
        </w:rPr>
        <w:t> </w:t>
      </w:r>
      <w:r>
        <w:rPr>
          <w:rFonts w:ascii="Arial"/>
          <w:b/>
          <w:sz w:val="22"/>
        </w:rPr>
        <w:t>Venous</w:t>
      </w:r>
      <w:r>
        <w:rPr>
          <w:rFonts w:ascii="Arial"/>
          <w:b/>
          <w:spacing w:val="7"/>
          <w:sz w:val="22"/>
        </w:rPr>
        <w:t> </w:t>
      </w:r>
      <w:r>
        <w:rPr>
          <w:rFonts w:ascii="Arial"/>
          <w:b/>
          <w:spacing w:val="-2"/>
          <w:sz w:val="22"/>
        </w:rPr>
        <w:t>Thromboembolism</w:t>
      </w:r>
    </w:p>
    <w:p>
      <w:pPr>
        <w:pStyle w:val="BodyText"/>
        <w:spacing w:line="249" w:lineRule="auto" w:before="18"/>
        <w:ind w:right="101"/>
      </w:pPr>
      <w:r>
        <w:rPr/>
        <w:t>Resistance to activated protein C (APC) is an important marker for venous thrombosis; this risk is particularly exaggerated in individuals </w:t>
      </w:r>
      <w:r>
        <w:rPr/>
        <w:t>with</w:t>
      </w:r>
      <w:r>
        <w:rPr>
          <w:spacing w:val="40"/>
        </w:rPr>
        <w:t> </w:t>
      </w:r>
      <w:r>
        <w:rPr/>
        <w:t>inherited thrombogenic mutations but can happen even in the absence of these mutations. Oral estrogen increases APC resistance, whereas transdermal estrogen has no significant effect on this marker.</w:t>
      </w:r>
      <w:r>
        <w:rPr>
          <w:vertAlign w:val="superscript"/>
        </w:rPr>
        <w:t>39,40</w:t>
      </w:r>
      <w:r>
        <w:rPr>
          <w:vertAlign w:val="baseline"/>
        </w:rPr>
        <w:t> Based on this difference, one would predict that transdermal delivery of estrogen would be less likely than oral delivery of estrogen to be associated with venous thromboembolism (VTE).</w:t>
      </w:r>
    </w:p>
    <w:p>
      <w:pPr>
        <w:pStyle w:val="BodyText"/>
        <w:spacing w:after="0" w:line="249" w:lineRule="auto"/>
        <w:sectPr>
          <w:pgSz w:w="12240" w:h="15840"/>
          <w:pgMar w:top="1380" w:bottom="280" w:left="1440" w:right="1440"/>
        </w:sectPr>
      </w:pPr>
    </w:p>
    <w:p>
      <w:pPr>
        <w:pStyle w:val="BodyText"/>
        <w:spacing w:line="249" w:lineRule="auto"/>
        <w:ind w:right="98" w:firstLine="450"/>
      </w:pPr>
      <w:r>
        <w:rPr/>
        <w:t>A French case-control study (epidemiologic studies of the link between the transdermal route of administration and a relatively rare event are possible in France because of the popularity of the transdermal </w:t>
      </w:r>
      <w:r>
        <w:rPr/>
        <w:t>method) reported no increased risk of VTE in users of transdermal estrogen, as compared with a 4-fold increase in oral estrogen users.</w:t>
      </w:r>
      <w:r>
        <w:rPr>
          <w:vertAlign w:val="superscript"/>
        </w:rPr>
        <w:t>41-43</w:t>
      </w:r>
      <w:r>
        <w:rPr>
          <w:vertAlign w:val="baseline"/>
        </w:rPr>
        <w:t> In addition, an English nested case-control study reported that transdermal delivery of estrogen did not increase the risk for VTE, regardless of the type of</w:t>
      </w:r>
      <w:r>
        <w:rPr>
          <w:spacing w:val="40"/>
          <w:vertAlign w:val="baseline"/>
        </w:rPr>
        <w:t> </w:t>
      </w:r>
      <w:r>
        <w:rPr>
          <w:vertAlign w:val="baseline"/>
        </w:rPr>
        <w:t>estrogen used, whereas among oral estrogen formulation, CEE had a much higher rate of VTE compared to oral estradiol.</w:t>
      </w:r>
      <w:r>
        <w:rPr>
          <w:vertAlign w:val="superscript"/>
        </w:rPr>
        <w:t>44</w:t>
      </w:r>
      <w:r>
        <w:rPr>
          <w:vertAlign w:val="baseline"/>
        </w:rPr>
        <w:t> Estrogen users who carried a factor V Leiden mutation or a prothrombin mutation had a 25-fold higher risk of VTE than did women who did not use estrogen and did not have either mutation. The women with a prothrombotic mutation who used transdermal estrogen had a VTE risk that was similar to that of women with a prothrombotic mutation who did not use estrogen. The French E3N prospective cohort study also reported an increased risk of VTE with</w:t>
      </w:r>
      <w:r>
        <w:rPr>
          <w:spacing w:val="40"/>
          <w:vertAlign w:val="baseline"/>
        </w:rPr>
        <w:t> </w:t>
      </w:r>
      <w:r>
        <w:rPr>
          <w:vertAlign w:val="baseline"/>
        </w:rPr>
        <w:t>current users of oral therapy, a hazard ratio (HR) of 1.7 (confidence interval [CI] = 1.1-2.8), a ratio that is similar to the usual 2-fold increase repeatedly documented in the literature, and no increase with transdermal estrogen.</w:t>
      </w:r>
      <w:r>
        <w:rPr>
          <w:vertAlign w:val="superscript"/>
        </w:rPr>
        <w:t>45</w:t>
      </w:r>
      <w:r>
        <w:rPr>
          <w:vertAlign w:val="baseline"/>
        </w:rPr>
        <w:t> Analysis of the WHI trials noted that despite an increase in APC resistance, this did not explain the increase in ischemic stroke noted in oral HT users.</w:t>
      </w:r>
      <w:r>
        <w:rPr>
          <w:vertAlign w:val="superscript"/>
        </w:rPr>
        <w:t>46,47</w:t>
      </w:r>
      <w:r>
        <w:rPr>
          <w:spacing w:val="-7"/>
          <w:vertAlign w:val="baseline"/>
        </w:rPr>
        <w:t> </w:t>
      </w:r>
      <w:r>
        <w:rPr>
          <w:vertAlign w:val="baseline"/>
        </w:rPr>
        <w:t>Venous</w:t>
      </w:r>
      <w:r>
        <w:rPr>
          <w:spacing w:val="-6"/>
          <w:vertAlign w:val="baseline"/>
        </w:rPr>
        <w:t> </w:t>
      </w:r>
      <w:r>
        <w:rPr>
          <w:vertAlign w:val="baseline"/>
        </w:rPr>
        <w:t>thrombosis</w:t>
      </w:r>
      <w:r>
        <w:rPr>
          <w:spacing w:val="-6"/>
          <w:vertAlign w:val="baseline"/>
        </w:rPr>
        <w:t> </w:t>
      </w:r>
      <w:r>
        <w:rPr>
          <w:vertAlign w:val="baseline"/>
        </w:rPr>
        <w:t>is</w:t>
      </w:r>
      <w:r>
        <w:rPr>
          <w:spacing w:val="-6"/>
          <w:vertAlign w:val="baseline"/>
        </w:rPr>
        <w:t> </w:t>
      </w:r>
      <w:r>
        <w:rPr>
          <w:vertAlign w:val="baseline"/>
        </w:rPr>
        <w:t>discussed</w:t>
      </w:r>
      <w:r>
        <w:rPr>
          <w:spacing w:val="-6"/>
          <w:vertAlign w:val="baseline"/>
        </w:rPr>
        <w:t> </w:t>
      </w:r>
      <w:r>
        <w:rPr>
          <w:vertAlign w:val="baseline"/>
        </w:rPr>
        <w:t>in</w:t>
      </w:r>
      <w:r>
        <w:rPr>
          <w:spacing w:val="-6"/>
          <w:vertAlign w:val="baseline"/>
        </w:rPr>
        <w:t> </w:t>
      </w:r>
      <w:r>
        <w:rPr>
          <w:vertAlign w:val="baseline"/>
        </w:rPr>
        <w:t>more</w:t>
      </w:r>
      <w:r>
        <w:rPr>
          <w:spacing w:val="-6"/>
          <w:vertAlign w:val="baseline"/>
        </w:rPr>
        <w:t> </w:t>
      </w:r>
      <w:r>
        <w:rPr>
          <w:vertAlign w:val="baseline"/>
        </w:rPr>
        <w:t>detail</w:t>
      </w:r>
      <w:r>
        <w:rPr>
          <w:spacing w:val="-5"/>
          <w:vertAlign w:val="baseline"/>
        </w:rPr>
        <w:t> </w:t>
      </w:r>
      <w:r>
        <w:rPr>
          <w:vertAlign w:val="baseline"/>
        </w:rPr>
        <w:t>later</w:t>
      </w:r>
      <w:r>
        <w:rPr>
          <w:spacing w:val="-6"/>
          <w:vertAlign w:val="baseline"/>
        </w:rPr>
        <w:t> </w:t>
      </w:r>
      <w:r>
        <w:rPr>
          <w:vertAlign w:val="baseline"/>
        </w:rPr>
        <w:t>in</w:t>
      </w:r>
      <w:r>
        <w:rPr>
          <w:spacing w:val="-6"/>
          <w:vertAlign w:val="baseline"/>
        </w:rPr>
        <w:t> </w:t>
      </w:r>
      <w:r>
        <w:rPr>
          <w:vertAlign w:val="baseline"/>
        </w:rPr>
        <w:t>this</w:t>
      </w:r>
      <w:r>
        <w:rPr>
          <w:spacing w:val="-6"/>
          <w:vertAlign w:val="baseline"/>
        </w:rPr>
        <w:t> </w:t>
      </w:r>
      <w:r>
        <w:rPr>
          <w:spacing w:val="-2"/>
          <w:vertAlign w:val="baseline"/>
        </w:rPr>
        <w:t>chapter.</w:t>
      </w:r>
    </w:p>
    <w:p>
      <w:pPr>
        <w:spacing w:before="324"/>
        <w:ind w:left="99" w:right="0" w:firstLine="0"/>
        <w:jc w:val="both"/>
        <w:rPr>
          <w:rFonts w:ascii="Arial"/>
          <w:b/>
          <w:sz w:val="22"/>
        </w:rPr>
      </w:pPr>
      <w:r>
        <w:rPr>
          <w:rFonts w:ascii="Arial"/>
          <w:b/>
          <w:sz w:val="22"/>
        </w:rPr>
        <w:t>Lipids</w:t>
      </w:r>
      <w:r>
        <w:rPr>
          <w:rFonts w:ascii="Arial"/>
          <w:b/>
          <w:spacing w:val="13"/>
          <w:sz w:val="22"/>
        </w:rPr>
        <w:t> </w:t>
      </w:r>
      <w:r>
        <w:rPr>
          <w:rFonts w:ascii="Arial"/>
          <w:b/>
          <w:sz w:val="22"/>
        </w:rPr>
        <w:t>and</w:t>
      </w:r>
      <w:r>
        <w:rPr>
          <w:rFonts w:ascii="Arial"/>
          <w:b/>
          <w:spacing w:val="13"/>
          <w:sz w:val="22"/>
        </w:rPr>
        <w:t> </w:t>
      </w:r>
      <w:r>
        <w:rPr>
          <w:rFonts w:ascii="Arial"/>
          <w:b/>
          <w:sz w:val="22"/>
        </w:rPr>
        <w:t>Hepatic</w:t>
      </w:r>
      <w:r>
        <w:rPr>
          <w:rFonts w:ascii="Arial"/>
          <w:b/>
          <w:spacing w:val="13"/>
          <w:sz w:val="22"/>
        </w:rPr>
        <w:t> </w:t>
      </w:r>
      <w:r>
        <w:rPr>
          <w:rFonts w:ascii="Arial"/>
          <w:b/>
          <w:spacing w:val="-2"/>
          <w:sz w:val="22"/>
        </w:rPr>
        <w:t>Enzymes</w:t>
      </w:r>
    </w:p>
    <w:p>
      <w:pPr>
        <w:pStyle w:val="BodyText"/>
        <w:spacing w:line="249" w:lineRule="auto" w:before="18"/>
        <w:ind w:right="97"/>
      </w:pPr>
      <w:r>
        <w:rPr/>
        <w:t>Both oral and transdermal estrogens reduce total cholesterol, LDL cholesterol, and lipoprotein(a). Compared with transdermal estrogen, </w:t>
      </w:r>
      <w:r>
        <w:rPr/>
        <w:t>oral estrogen produces significantly greater elevations in HDL cholesterol and increases triglycerides, whereas transdermal estrogen decreases triglyceride levels.</w:t>
      </w:r>
      <w:r>
        <w:rPr>
          <w:vertAlign w:val="superscript"/>
        </w:rPr>
        <w:t>34,36,48-50</w:t>
      </w:r>
      <w:r>
        <w:rPr>
          <w:vertAlign w:val="baseline"/>
        </w:rPr>
        <w:t> Indeed, triglyceride levels that were markedly elevated in response to oral therapy return to normal when treatment route is changed</w:t>
      </w:r>
      <w:r>
        <w:rPr>
          <w:spacing w:val="40"/>
          <w:vertAlign w:val="baseline"/>
        </w:rPr>
        <w:t> </w:t>
      </w:r>
      <w:r>
        <w:rPr>
          <w:vertAlign w:val="baseline"/>
        </w:rPr>
        <w:t>to transdermal administration.</w:t>
      </w:r>
      <w:r>
        <w:rPr>
          <w:vertAlign w:val="superscript"/>
        </w:rPr>
        <w:t>51</w:t>
      </w:r>
      <w:r>
        <w:rPr>
          <w:vertAlign w:val="baseline"/>
        </w:rPr>
        <w:t> In addition, oral ET is associated with an increased risk of gallstones.</w:t>
      </w:r>
      <w:r>
        <w:rPr>
          <w:vertAlign w:val="superscript"/>
        </w:rPr>
        <w:t>52</w:t>
      </w:r>
      <w:r>
        <w:rPr>
          <w:vertAlign w:val="baseline"/>
        </w:rPr>
        <w:t> This risk is present in current and former estrogen</w:t>
      </w:r>
      <w:r>
        <w:rPr>
          <w:spacing w:val="-3"/>
          <w:vertAlign w:val="baseline"/>
        </w:rPr>
        <w:t> </w:t>
      </w:r>
      <w:r>
        <w:rPr>
          <w:vertAlign w:val="baseline"/>
        </w:rPr>
        <w:t>users</w:t>
      </w:r>
      <w:r>
        <w:rPr>
          <w:spacing w:val="-3"/>
          <w:vertAlign w:val="baseline"/>
        </w:rPr>
        <w:t> </w:t>
      </w:r>
      <w:r>
        <w:rPr>
          <w:vertAlign w:val="baseline"/>
        </w:rPr>
        <w:t>and</w:t>
      </w:r>
      <w:r>
        <w:rPr>
          <w:spacing w:val="-3"/>
          <w:vertAlign w:val="baseline"/>
        </w:rPr>
        <w:t> </w:t>
      </w:r>
      <w:r>
        <w:rPr>
          <w:vertAlign w:val="baseline"/>
        </w:rPr>
        <w:t>is</w:t>
      </w:r>
      <w:r>
        <w:rPr>
          <w:spacing w:val="-3"/>
          <w:vertAlign w:val="baseline"/>
        </w:rPr>
        <w:t> </w:t>
      </w:r>
      <w:r>
        <w:rPr>
          <w:vertAlign w:val="baseline"/>
        </w:rPr>
        <w:t>somewhat</w:t>
      </w:r>
      <w:r>
        <w:rPr>
          <w:spacing w:val="-3"/>
          <w:vertAlign w:val="baseline"/>
        </w:rPr>
        <w:t> </w:t>
      </w:r>
      <w:r>
        <w:rPr>
          <w:vertAlign w:val="baseline"/>
        </w:rPr>
        <w:t>attenuated</w:t>
      </w:r>
      <w:r>
        <w:rPr>
          <w:spacing w:val="-3"/>
          <w:vertAlign w:val="baseline"/>
        </w:rPr>
        <w:t> </w:t>
      </w:r>
      <w:r>
        <w:rPr>
          <w:vertAlign w:val="baseline"/>
        </w:rPr>
        <w:t>with</w:t>
      </w:r>
      <w:r>
        <w:rPr>
          <w:spacing w:val="-3"/>
          <w:vertAlign w:val="baseline"/>
        </w:rPr>
        <w:t> </w:t>
      </w:r>
      <w:r>
        <w:rPr>
          <w:vertAlign w:val="baseline"/>
        </w:rPr>
        <w:t>the</w:t>
      </w:r>
      <w:r>
        <w:rPr>
          <w:spacing w:val="-3"/>
          <w:vertAlign w:val="baseline"/>
        </w:rPr>
        <w:t> </w:t>
      </w:r>
      <w:r>
        <w:rPr>
          <w:vertAlign w:val="baseline"/>
        </w:rPr>
        <w:t>addition</w:t>
      </w:r>
      <w:r>
        <w:rPr>
          <w:spacing w:val="-3"/>
          <w:vertAlign w:val="baseline"/>
        </w:rPr>
        <w:t> </w:t>
      </w:r>
      <w:r>
        <w:rPr>
          <w:vertAlign w:val="baseline"/>
        </w:rPr>
        <w:t>of</w:t>
      </w:r>
      <w:r>
        <w:rPr>
          <w:spacing w:val="-3"/>
          <w:vertAlign w:val="baseline"/>
        </w:rPr>
        <w:t> </w:t>
      </w:r>
      <w:r>
        <w:rPr>
          <w:vertAlign w:val="baseline"/>
        </w:rPr>
        <w:t>progestin-to-estrogen therapy.</w:t>
      </w:r>
      <w:r>
        <w:rPr>
          <w:vertAlign w:val="superscript"/>
        </w:rPr>
        <w:t>52</w:t>
      </w:r>
    </w:p>
    <w:p>
      <w:pPr>
        <w:spacing w:before="297"/>
        <w:ind w:left="99" w:right="0" w:firstLine="0"/>
        <w:jc w:val="both"/>
        <w:rPr>
          <w:rFonts w:ascii="Arial"/>
          <w:b/>
          <w:sz w:val="22"/>
        </w:rPr>
      </w:pPr>
      <w:r>
        <w:rPr>
          <w:rFonts w:ascii="Arial"/>
          <w:b/>
          <w:sz w:val="22"/>
        </w:rPr>
        <w:t>Inflammatory</w:t>
      </w:r>
      <w:r>
        <w:rPr>
          <w:rFonts w:ascii="Arial"/>
          <w:b/>
          <w:spacing w:val="28"/>
          <w:sz w:val="22"/>
        </w:rPr>
        <w:t> </w:t>
      </w:r>
      <w:r>
        <w:rPr>
          <w:rFonts w:ascii="Arial"/>
          <w:b/>
          <w:spacing w:val="-2"/>
          <w:sz w:val="22"/>
        </w:rPr>
        <w:t>Markers</w:t>
      </w:r>
    </w:p>
    <w:p>
      <w:pPr>
        <w:spacing w:after="0"/>
        <w:jc w:val="both"/>
        <w:rPr>
          <w:rFonts w:ascii="Arial"/>
          <w:b/>
          <w:sz w:val="22"/>
        </w:rPr>
        <w:sectPr>
          <w:pgSz w:w="12240" w:h="15840"/>
          <w:pgMar w:top="1380" w:bottom="280" w:left="1440" w:right="1440"/>
        </w:sectPr>
      </w:pPr>
    </w:p>
    <w:p>
      <w:pPr>
        <w:pStyle w:val="BodyText"/>
        <w:spacing w:line="249" w:lineRule="auto"/>
        <w:ind w:right="99"/>
      </w:pPr>
      <w:r>
        <w:rPr/>
        <w:t>Women on oral estrogen have increased levels of C-reactive protein (CRP), whereas those taking transdermal estrogen do not.</w:t>
      </w:r>
      <w:r>
        <w:rPr>
          <w:vertAlign w:val="superscript"/>
        </w:rPr>
        <w:t>34,36,48,53-56</w:t>
      </w:r>
      <w:r>
        <w:rPr>
          <w:vertAlign w:val="baseline"/>
        </w:rPr>
        <w:t> However, </w:t>
      </w:r>
      <w:r>
        <w:rPr>
          <w:vertAlign w:val="baseline"/>
        </w:rPr>
        <w:t>oral HT, while increasing CRP, reduces the circulating levels of other inflammatory markers (E-selectin, intercellular adhesion molecule-1, vascular</w:t>
      </w:r>
      <w:r>
        <w:rPr>
          <w:spacing w:val="-5"/>
          <w:vertAlign w:val="baseline"/>
        </w:rPr>
        <w:t> </w:t>
      </w:r>
      <w:r>
        <w:rPr>
          <w:vertAlign w:val="baseline"/>
        </w:rPr>
        <w:t>cell</w:t>
      </w:r>
      <w:r>
        <w:rPr>
          <w:spacing w:val="-5"/>
          <w:vertAlign w:val="baseline"/>
        </w:rPr>
        <w:t> </w:t>
      </w:r>
      <w:r>
        <w:rPr>
          <w:vertAlign w:val="baseline"/>
        </w:rPr>
        <w:t>adhesion</w:t>
      </w:r>
      <w:r>
        <w:rPr>
          <w:spacing w:val="-5"/>
          <w:vertAlign w:val="baseline"/>
        </w:rPr>
        <w:t> </w:t>
      </w:r>
      <w:r>
        <w:rPr>
          <w:vertAlign w:val="baseline"/>
        </w:rPr>
        <w:t>molecule-1,</w:t>
      </w:r>
      <w:r>
        <w:rPr>
          <w:spacing w:val="-5"/>
          <w:vertAlign w:val="baseline"/>
        </w:rPr>
        <w:t> </w:t>
      </w:r>
      <w:r>
        <w:rPr>
          <w:vertAlign w:val="baseline"/>
        </w:rPr>
        <w:t>monocyte</w:t>
      </w:r>
      <w:r>
        <w:rPr>
          <w:spacing w:val="-5"/>
          <w:vertAlign w:val="baseline"/>
        </w:rPr>
        <w:t> </w:t>
      </w:r>
      <w:r>
        <w:rPr>
          <w:vertAlign w:val="baseline"/>
        </w:rPr>
        <w:t>chemoattractant</w:t>
      </w:r>
      <w:r>
        <w:rPr>
          <w:spacing w:val="-5"/>
          <w:vertAlign w:val="baseline"/>
        </w:rPr>
        <w:t> </w:t>
      </w:r>
      <w:r>
        <w:rPr>
          <w:vertAlign w:val="baseline"/>
        </w:rPr>
        <w:t>protein-1,</w:t>
      </w:r>
      <w:r>
        <w:rPr>
          <w:spacing w:val="-5"/>
          <w:vertAlign w:val="baseline"/>
        </w:rPr>
        <w:t> </w:t>
      </w:r>
      <w:r>
        <w:rPr>
          <w:vertAlign w:val="baseline"/>
        </w:rPr>
        <w:t>and tumor necrosis factor-a) with inconsistent effects on interleukin-6 (IL-6).</w:t>
      </w:r>
      <w:r>
        <w:rPr>
          <w:vertAlign w:val="superscript"/>
        </w:rPr>
        <w:t>53,57</w:t>
      </w:r>
      <w:r>
        <w:rPr>
          <w:vertAlign w:val="baseline"/>
        </w:rPr>
        <w:t> Transdermal estrogen does not affect the levels of these inflammatory markers. It is not certain that the decrease in CRP levels with statins and the increase with oral estrogen are instrumental in clinical outcomes or reflect other effects.</w:t>
      </w:r>
    </w:p>
    <w:p>
      <w:pPr>
        <w:spacing w:line="249" w:lineRule="auto" w:before="12"/>
        <w:ind w:left="99" w:right="99" w:firstLine="450"/>
        <w:jc w:val="both"/>
        <w:rPr>
          <w:sz w:val="30"/>
        </w:rPr>
      </w:pPr>
      <w:r>
        <w:rPr>
          <w:sz w:val="30"/>
        </w:rPr>
        <w:t>A longitudinal study of 346 postmenopausal women taking oral </w:t>
      </w:r>
      <w:r>
        <w:rPr>
          <w:sz w:val="30"/>
        </w:rPr>
        <w:t>HT reported that elevated CRP was a strong predictor of future cardiac events, but only in those with increased IL-6 levels.</w:t>
      </w:r>
      <w:r>
        <w:rPr>
          <w:sz w:val="30"/>
          <w:vertAlign w:val="superscript"/>
        </w:rPr>
        <w:t>55</w:t>
      </w:r>
      <w:r>
        <w:rPr>
          <w:sz w:val="30"/>
          <w:vertAlign w:val="baseline"/>
        </w:rPr>
        <w:t> An increase in CRP alone</w:t>
      </w:r>
      <w:r>
        <w:rPr>
          <w:spacing w:val="40"/>
          <w:sz w:val="30"/>
          <w:vertAlign w:val="baseline"/>
        </w:rPr>
        <w:t> </w:t>
      </w:r>
      <w:r>
        <w:rPr>
          <w:sz w:val="30"/>
          <w:vertAlign w:val="baseline"/>
        </w:rPr>
        <w:t>was not associated with an excess of events. </w:t>
      </w:r>
      <w:r>
        <w:rPr>
          <w:b/>
          <w:sz w:val="30"/>
          <w:vertAlign w:val="baseline"/>
        </w:rPr>
        <w:t>The difference in CRP levels between</w:t>
      </w:r>
      <w:r>
        <w:rPr>
          <w:b/>
          <w:spacing w:val="-5"/>
          <w:sz w:val="30"/>
          <w:vertAlign w:val="baseline"/>
        </w:rPr>
        <w:t> </w:t>
      </w:r>
      <w:r>
        <w:rPr>
          <w:b/>
          <w:sz w:val="30"/>
          <w:vertAlign w:val="baseline"/>
        </w:rPr>
        <w:t>users</w:t>
      </w:r>
      <w:r>
        <w:rPr>
          <w:b/>
          <w:spacing w:val="-5"/>
          <w:sz w:val="30"/>
          <w:vertAlign w:val="baseline"/>
        </w:rPr>
        <w:t> </w:t>
      </w:r>
      <w:r>
        <w:rPr>
          <w:b/>
          <w:sz w:val="30"/>
          <w:vertAlign w:val="baseline"/>
        </w:rPr>
        <w:t>of</w:t>
      </w:r>
      <w:r>
        <w:rPr>
          <w:b/>
          <w:spacing w:val="-5"/>
          <w:sz w:val="30"/>
          <w:vertAlign w:val="baseline"/>
        </w:rPr>
        <w:t> </w:t>
      </w:r>
      <w:r>
        <w:rPr>
          <w:b/>
          <w:sz w:val="30"/>
          <w:vertAlign w:val="baseline"/>
        </w:rPr>
        <w:t>oral</w:t>
      </w:r>
      <w:r>
        <w:rPr>
          <w:b/>
          <w:spacing w:val="-5"/>
          <w:sz w:val="30"/>
          <w:vertAlign w:val="baseline"/>
        </w:rPr>
        <w:t> </w:t>
      </w:r>
      <w:r>
        <w:rPr>
          <w:b/>
          <w:sz w:val="30"/>
          <w:vertAlign w:val="baseline"/>
        </w:rPr>
        <w:t>versus</w:t>
      </w:r>
      <w:r>
        <w:rPr>
          <w:b/>
          <w:spacing w:val="-5"/>
          <w:sz w:val="30"/>
          <w:vertAlign w:val="baseline"/>
        </w:rPr>
        <w:t> </w:t>
      </w:r>
      <w:r>
        <w:rPr>
          <w:b/>
          <w:sz w:val="30"/>
          <w:vertAlign w:val="baseline"/>
        </w:rPr>
        <w:t>transdermal</w:t>
      </w:r>
      <w:r>
        <w:rPr>
          <w:b/>
          <w:spacing w:val="-5"/>
          <w:sz w:val="30"/>
          <w:vertAlign w:val="baseline"/>
        </w:rPr>
        <w:t> </w:t>
      </w:r>
      <w:r>
        <w:rPr>
          <w:b/>
          <w:sz w:val="30"/>
          <w:vertAlign w:val="baseline"/>
        </w:rPr>
        <w:t>therapy,</w:t>
      </w:r>
      <w:r>
        <w:rPr>
          <w:b/>
          <w:spacing w:val="-5"/>
          <w:sz w:val="30"/>
          <w:vertAlign w:val="baseline"/>
        </w:rPr>
        <w:t> </w:t>
      </w:r>
      <w:r>
        <w:rPr>
          <w:b/>
          <w:sz w:val="30"/>
          <w:vertAlign w:val="baseline"/>
        </w:rPr>
        <w:t>especially</w:t>
      </w:r>
      <w:r>
        <w:rPr>
          <w:b/>
          <w:spacing w:val="-5"/>
          <w:sz w:val="30"/>
          <w:vertAlign w:val="baseline"/>
        </w:rPr>
        <w:t> </w:t>
      </w:r>
      <w:r>
        <w:rPr>
          <w:b/>
          <w:sz w:val="30"/>
          <w:vertAlign w:val="baseline"/>
        </w:rPr>
        <w:t>in</w:t>
      </w:r>
      <w:r>
        <w:rPr>
          <w:b/>
          <w:spacing w:val="-5"/>
          <w:sz w:val="30"/>
          <w:vertAlign w:val="baseline"/>
        </w:rPr>
        <w:t> </w:t>
      </w:r>
      <w:r>
        <w:rPr>
          <w:b/>
          <w:sz w:val="30"/>
          <w:vertAlign w:val="baseline"/>
        </w:rPr>
        <w:t>younger postmenopausal women, is of little clinical significance. </w:t>
      </w:r>
      <w:r>
        <w:rPr>
          <w:sz w:val="30"/>
          <w:vertAlign w:val="baseline"/>
        </w:rPr>
        <w:t>In fact, in the Estrogen Replacement on Progression of Coronary Atherosclerosis trial, estrogen-induced increases in CRP had no effect on disease progression, as measured by serial angiograms.</w:t>
      </w:r>
      <w:r>
        <w:rPr>
          <w:sz w:val="30"/>
          <w:vertAlign w:val="superscript"/>
        </w:rPr>
        <w:t>56</w:t>
      </w:r>
      <w:r>
        <w:rPr>
          <w:sz w:val="30"/>
          <w:vertAlign w:val="baseline"/>
        </w:rPr>
        <w:t> A study from the WHI confirmed the correlation between baseline levels of CRP and an elevated risk of CHD, </w:t>
      </w:r>
      <w:r>
        <w:rPr>
          <w:b/>
          <w:sz w:val="30"/>
          <w:vertAlign w:val="baseline"/>
        </w:rPr>
        <w:t>but the increase in CRP induced by oral HT did not further increase the risk</w:t>
      </w:r>
      <w:r>
        <w:rPr>
          <w:sz w:val="30"/>
          <w:vertAlign w:val="baseline"/>
        </w:rPr>
        <w:t>.</w:t>
      </w:r>
      <w:r>
        <w:rPr>
          <w:sz w:val="30"/>
          <w:vertAlign w:val="superscript"/>
        </w:rPr>
        <w:t>48</w:t>
      </w:r>
      <w:r>
        <w:rPr>
          <w:sz w:val="30"/>
          <w:vertAlign w:val="baseline"/>
        </w:rPr>
        <w:t> While CRP may cause endothelial inflammation and subsequent atherosclerosis, it may also very well be elevated secondary to first-pass hepatic metabolism (ie, pharmacologic effect); unlike IL-6, its elevation has an overall pro-inflammatory effect.</w:t>
      </w:r>
      <w:r>
        <w:rPr>
          <w:sz w:val="30"/>
          <w:vertAlign w:val="superscript"/>
        </w:rPr>
        <w:t>47</w:t>
      </w:r>
    </w:p>
    <w:p>
      <w:pPr>
        <w:spacing w:before="317"/>
        <w:ind w:left="99" w:right="0" w:firstLine="0"/>
        <w:jc w:val="both"/>
        <w:rPr>
          <w:rFonts w:ascii="Arial"/>
          <w:b/>
          <w:sz w:val="22"/>
        </w:rPr>
      </w:pPr>
      <w:r>
        <w:rPr>
          <w:rFonts w:ascii="Arial"/>
          <w:b/>
          <w:sz w:val="22"/>
        </w:rPr>
        <w:t>Cardiovascular</w:t>
      </w:r>
      <w:r>
        <w:rPr>
          <w:rFonts w:ascii="Arial"/>
          <w:b/>
          <w:spacing w:val="25"/>
          <w:sz w:val="22"/>
        </w:rPr>
        <w:t> </w:t>
      </w:r>
      <w:r>
        <w:rPr>
          <w:rFonts w:ascii="Arial"/>
          <w:b/>
          <w:sz w:val="22"/>
        </w:rPr>
        <w:t>Disease</w:t>
      </w:r>
      <w:r>
        <w:rPr>
          <w:rFonts w:ascii="Arial"/>
          <w:b/>
          <w:spacing w:val="25"/>
          <w:sz w:val="22"/>
        </w:rPr>
        <w:t> </w:t>
      </w:r>
      <w:r>
        <w:rPr>
          <w:rFonts w:ascii="Arial"/>
          <w:b/>
          <w:spacing w:val="-4"/>
          <w:sz w:val="22"/>
        </w:rPr>
        <w:t>Risk</w:t>
      </w:r>
    </w:p>
    <w:p>
      <w:pPr>
        <w:pStyle w:val="BodyText"/>
        <w:spacing w:line="249" w:lineRule="auto" w:before="18"/>
        <w:ind w:right="105"/>
      </w:pPr>
      <w:r>
        <w:rPr/>
        <w:t>Both oral and transdermal administration of HT are associated with </w:t>
      </w:r>
      <w:r>
        <w:rPr/>
        <w:t>a decrease in myocardial infarction risk in observational studies.</w:t>
      </w:r>
      <w:r>
        <w:rPr>
          <w:vertAlign w:val="superscript"/>
        </w:rPr>
        <w:t>58</w:t>
      </w:r>
      <w:r>
        <w:rPr>
          <w:vertAlign w:val="baseline"/>
        </w:rPr>
        <w:t> However, the WHI trials and postintervention data offer additional insight and are discussed in further detail later in this chapter.</w:t>
      </w:r>
    </w:p>
    <w:p>
      <w:pPr>
        <w:spacing w:before="289"/>
        <w:ind w:left="99" w:right="0" w:firstLine="0"/>
        <w:jc w:val="both"/>
        <w:rPr>
          <w:rFonts w:ascii="Arial"/>
          <w:b/>
          <w:sz w:val="22"/>
        </w:rPr>
      </w:pPr>
      <w:r>
        <w:rPr>
          <w:rFonts w:ascii="Arial"/>
          <w:b/>
          <w:sz w:val="22"/>
        </w:rPr>
        <w:t>Metabolic</w:t>
      </w:r>
      <w:r>
        <w:rPr>
          <w:rFonts w:ascii="Arial"/>
          <w:b/>
          <w:spacing w:val="21"/>
          <w:sz w:val="22"/>
        </w:rPr>
        <w:t> </w:t>
      </w:r>
      <w:r>
        <w:rPr>
          <w:rFonts w:ascii="Arial"/>
          <w:b/>
          <w:spacing w:val="-2"/>
          <w:sz w:val="22"/>
        </w:rPr>
        <w:t>Syndrome</w:t>
      </w:r>
    </w:p>
    <w:p>
      <w:pPr>
        <w:pStyle w:val="BodyText"/>
        <w:spacing w:line="249" w:lineRule="auto" w:before="18"/>
        <w:ind w:right="100"/>
      </w:pPr>
      <w:r>
        <w:rPr/>
        <w:t>The menopausal transition itself is associated with increased likelihood </w:t>
      </w:r>
      <w:r>
        <w:rPr/>
        <w:t>of metabolic dysfunction. However, in a review of several randomized controlled</w:t>
      </w:r>
      <w:r>
        <w:rPr>
          <w:spacing w:val="13"/>
        </w:rPr>
        <w:t> </w:t>
      </w:r>
      <w:r>
        <w:rPr/>
        <w:t>trials</w:t>
      </w:r>
      <w:r>
        <w:rPr>
          <w:spacing w:val="16"/>
        </w:rPr>
        <w:t> </w:t>
      </w:r>
      <w:r>
        <w:rPr/>
        <w:t>(RCTs),</w:t>
      </w:r>
      <w:r>
        <w:rPr>
          <w:spacing w:val="16"/>
        </w:rPr>
        <w:t> </w:t>
      </w:r>
      <w:r>
        <w:rPr/>
        <w:t>it</w:t>
      </w:r>
      <w:r>
        <w:rPr>
          <w:spacing w:val="16"/>
        </w:rPr>
        <w:t> </w:t>
      </w:r>
      <w:r>
        <w:rPr/>
        <w:t>was</w:t>
      </w:r>
      <w:r>
        <w:rPr>
          <w:spacing w:val="15"/>
        </w:rPr>
        <w:t> </w:t>
      </w:r>
      <w:r>
        <w:rPr/>
        <w:t>noted</w:t>
      </w:r>
      <w:r>
        <w:rPr>
          <w:spacing w:val="16"/>
        </w:rPr>
        <w:t> </w:t>
      </w:r>
      <w:r>
        <w:rPr/>
        <w:t>that</w:t>
      </w:r>
      <w:r>
        <w:rPr>
          <w:spacing w:val="16"/>
        </w:rPr>
        <w:t> </w:t>
      </w:r>
      <w:r>
        <w:rPr/>
        <w:t>overall</w:t>
      </w:r>
      <w:r>
        <w:rPr>
          <w:spacing w:val="16"/>
        </w:rPr>
        <w:t> </w:t>
      </w:r>
      <w:r>
        <w:rPr/>
        <w:t>effects</w:t>
      </w:r>
      <w:r>
        <w:rPr>
          <w:spacing w:val="15"/>
        </w:rPr>
        <w:t> </w:t>
      </w:r>
      <w:r>
        <w:rPr/>
        <w:t>on</w:t>
      </w:r>
      <w:r>
        <w:rPr>
          <w:spacing w:val="16"/>
        </w:rPr>
        <w:t> </w:t>
      </w:r>
      <w:r>
        <w:rPr/>
        <w:t>markers</w:t>
      </w:r>
      <w:r>
        <w:rPr>
          <w:spacing w:val="16"/>
        </w:rPr>
        <w:t> </w:t>
      </w:r>
      <w:r>
        <w:rPr/>
        <w:t>of</w:t>
      </w:r>
      <w:r>
        <w:rPr>
          <w:spacing w:val="16"/>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100"/>
      </w:pPr>
      <w:r>
        <w:rPr/>
        <w:t>metabolic syndrome, including insulin resistance, suggested a neutral </w:t>
      </w:r>
      <w:r>
        <w:rPr/>
        <w:t>or improved metabolic profile.</w:t>
      </w:r>
      <w:r>
        <w:rPr>
          <w:vertAlign w:val="superscript"/>
        </w:rPr>
        <w:t>59</w:t>
      </w:r>
      <w:r>
        <w:rPr>
          <w:vertAlign w:val="baseline"/>
        </w:rPr>
        <w:t> Despite this favorable effect, in women with the metabolic syndrome, caution is recommended given the increased risk of cardiovascular events, as noted in a nested case-control study of CHD in the WHI trials.</w:t>
      </w:r>
      <w:r>
        <w:rPr>
          <w:vertAlign w:val="superscript"/>
        </w:rPr>
        <w:t>59,60</w:t>
      </w:r>
      <w:r>
        <w:rPr>
          <w:vertAlign w:val="baseline"/>
        </w:rPr>
        <w:t> Transdermal estradiol has minimal effects on inflammation, coagulation, and insulin sensitivity.</w:t>
      </w:r>
      <w:r>
        <w:rPr>
          <w:vertAlign w:val="superscript"/>
        </w:rPr>
        <w:t>60,61</w:t>
      </w:r>
      <w:r>
        <w:rPr>
          <w:vertAlign w:val="baseline"/>
        </w:rPr>
        <w:t> In a randomized, double-blind, placebo-controlled trial, improvements in cardiac autonomic control and endothelial function indices were noted in healthy perimenopausal and early postmenopausal women following 12-month treatment with transdermal estrogen and intermittent progesterone regimen compared to placebo.</w:t>
      </w:r>
      <w:r>
        <w:rPr>
          <w:vertAlign w:val="superscript"/>
        </w:rPr>
        <w:t>62</w:t>
      </w:r>
      <w:r>
        <w:rPr>
          <w:vertAlign w:val="baseline"/>
        </w:rPr>
        <w:t> In addition, an analysis of the Women’s Health Initiative Observational Study (WHI-OS) noted that newly diagnosed hypertension was less in women who utilized transdermal estradiol or oral estrone preparations versus CEE that was not altered by the presence of a progestational agent (HR = 0.85; 95% CI = 0.73-1.00 and HR = 0.83, 95% CI = 0.72-0.96, respectively).</w:t>
      </w:r>
      <w:r>
        <w:rPr>
          <w:vertAlign w:val="superscript"/>
        </w:rPr>
        <w:t>63</w:t>
      </w:r>
    </w:p>
    <w:p>
      <w:pPr>
        <w:spacing w:before="318"/>
        <w:ind w:left="99" w:right="0" w:firstLine="0"/>
        <w:jc w:val="left"/>
        <w:rPr>
          <w:rFonts w:ascii="Arial"/>
          <w:b/>
          <w:sz w:val="22"/>
        </w:rPr>
      </w:pPr>
      <w:r>
        <w:rPr>
          <w:rFonts w:ascii="Arial"/>
          <w:b/>
          <w:sz w:val="22"/>
        </w:rPr>
        <w:t>Effects</w:t>
      </w:r>
      <w:r>
        <w:rPr>
          <w:rFonts w:ascii="Arial"/>
          <w:b/>
          <w:spacing w:val="10"/>
          <w:sz w:val="22"/>
        </w:rPr>
        <w:t> </w:t>
      </w:r>
      <w:r>
        <w:rPr>
          <w:rFonts w:ascii="Arial"/>
          <w:b/>
          <w:sz w:val="22"/>
        </w:rPr>
        <w:t>in</w:t>
      </w:r>
      <w:r>
        <w:rPr>
          <w:rFonts w:ascii="Arial"/>
          <w:b/>
          <w:spacing w:val="10"/>
          <w:sz w:val="22"/>
        </w:rPr>
        <w:t> </w:t>
      </w:r>
      <w:r>
        <w:rPr>
          <w:rFonts w:ascii="Arial"/>
          <w:b/>
          <w:spacing w:val="-2"/>
          <w:sz w:val="22"/>
        </w:rPr>
        <w:t>Smokers</w:t>
      </w:r>
    </w:p>
    <w:p>
      <w:pPr>
        <w:pStyle w:val="BodyText"/>
        <w:spacing w:line="249" w:lineRule="auto" w:before="18"/>
        <w:ind w:right="97"/>
      </w:pPr>
      <w:r>
        <w:rPr/>
        <w:t>Limited evidence suggests that postmenopausal women who smoke may have a better response to transdermal estrogen than to oral </w:t>
      </w:r>
      <w:r>
        <w:rPr/>
        <w:t>estrogen, including greater reductions in total peripheral resistance, vascular sympathetic tone, and norepinephrine levels and increased vascular responsivity.</w:t>
      </w:r>
      <w:r>
        <w:rPr>
          <w:vertAlign w:val="superscript"/>
        </w:rPr>
        <w:t>64</w:t>
      </w:r>
      <w:r>
        <w:rPr>
          <w:vertAlign w:val="baseline"/>
        </w:rPr>
        <w:t> Smokers receiving transdermal estradiol have decreased plasma</w:t>
      </w:r>
      <w:r>
        <w:rPr>
          <w:spacing w:val="57"/>
          <w:w w:val="150"/>
          <w:vertAlign w:val="baseline"/>
        </w:rPr>
        <w:t> </w:t>
      </w:r>
      <w:r>
        <w:rPr>
          <w:vertAlign w:val="baseline"/>
        </w:rPr>
        <w:t>viscosity</w:t>
      </w:r>
      <w:r>
        <w:rPr>
          <w:spacing w:val="57"/>
          <w:w w:val="150"/>
          <w:vertAlign w:val="baseline"/>
        </w:rPr>
        <w:t> </w:t>
      </w:r>
      <w:r>
        <w:rPr>
          <w:vertAlign w:val="baseline"/>
        </w:rPr>
        <w:t>and</w:t>
      </w:r>
      <w:r>
        <w:rPr>
          <w:spacing w:val="57"/>
          <w:w w:val="150"/>
          <w:vertAlign w:val="baseline"/>
        </w:rPr>
        <w:t> </w:t>
      </w:r>
      <w:r>
        <w:rPr>
          <w:vertAlign w:val="baseline"/>
        </w:rPr>
        <w:t>thromboxane</w:t>
      </w:r>
      <w:r>
        <w:rPr>
          <w:spacing w:val="58"/>
          <w:w w:val="150"/>
          <w:vertAlign w:val="baseline"/>
        </w:rPr>
        <w:t> </w:t>
      </w:r>
      <w:r>
        <w:rPr>
          <w:vertAlign w:val="baseline"/>
        </w:rPr>
        <w:t>B</w:t>
      </w:r>
      <w:r>
        <w:rPr>
          <w:vertAlign w:val="subscript"/>
        </w:rPr>
        <w:t>2</w:t>
      </w:r>
      <w:r>
        <w:rPr>
          <w:spacing w:val="49"/>
          <w:w w:val="150"/>
          <w:vertAlign w:val="baseline"/>
        </w:rPr>
        <w:t> </w:t>
      </w:r>
      <w:r>
        <w:rPr>
          <w:vertAlign w:val="baseline"/>
        </w:rPr>
        <w:t>levels.</w:t>
      </w:r>
      <w:r>
        <w:rPr>
          <w:vertAlign w:val="superscript"/>
        </w:rPr>
        <w:t>64</w:t>
      </w:r>
      <w:r>
        <w:rPr>
          <w:spacing w:val="57"/>
          <w:w w:val="150"/>
          <w:vertAlign w:val="baseline"/>
        </w:rPr>
        <w:t> </w:t>
      </w:r>
      <w:r>
        <w:rPr>
          <w:vertAlign w:val="baseline"/>
        </w:rPr>
        <w:t>These</w:t>
      </w:r>
      <w:r>
        <w:rPr>
          <w:spacing w:val="57"/>
          <w:w w:val="150"/>
          <w:vertAlign w:val="baseline"/>
        </w:rPr>
        <w:t> </w:t>
      </w:r>
      <w:r>
        <w:rPr>
          <w:vertAlign w:val="baseline"/>
        </w:rPr>
        <w:t>results</w:t>
      </w:r>
      <w:r>
        <w:rPr>
          <w:spacing w:val="58"/>
          <w:w w:val="150"/>
          <w:vertAlign w:val="baseline"/>
        </w:rPr>
        <w:t> </w:t>
      </w:r>
      <w:r>
        <w:rPr>
          <w:vertAlign w:val="baseline"/>
        </w:rPr>
        <w:t>raise</w:t>
      </w:r>
      <w:r>
        <w:rPr>
          <w:spacing w:val="57"/>
          <w:w w:val="150"/>
          <w:vertAlign w:val="baseline"/>
        </w:rPr>
        <w:t> </w:t>
      </w:r>
      <w:r>
        <w:rPr>
          <w:spacing w:val="-5"/>
          <w:vertAlign w:val="baseline"/>
        </w:rPr>
        <w:t>the</w:t>
      </w:r>
    </w:p>
    <w:p>
      <w:pPr>
        <w:pStyle w:val="BodyText"/>
        <w:spacing w:line="249" w:lineRule="auto" w:before="53"/>
        <w:ind w:right="106"/>
      </w:pPr>
      <w:r>
        <w:rPr/>
        <w:t>possibility, although the data are limited, that smokers may represent </w:t>
      </w:r>
      <w:r>
        <w:rPr/>
        <w:t>a group of women for whom transdermal estrogen would be an advantage.</w:t>
      </w:r>
    </w:p>
    <w:p>
      <w:pPr>
        <w:spacing w:before="286"/>
        <w:ind w:left="99" w:right="0" w:firstLine="0"/>
        <w:jc w:val="left"/>
        <w:rPr>
          <w:rFonts w:ascii="Arial"/>
          <w:b/>
          <w:sz w:val="22"/>
        </w:rPr>
      </w:pPr>
      <w:r>
        <w:rPr>
          <w:rFonts w:ascii="Arial"/>
          <w:b/>
          <w:sz w:val="22"/>
        </w:rPr>
        <w:t>Carbohydrate</w:t>
      </w:r>
      <w:r>
        <w:rPr>
          <w:rFonts w:ascii="Arial"/>
          <w:b/>
          <w:spacing w:val="29"/>
          <w:sz w:val="22"/>
        </w:rPr>
        <w:t> </w:t>
      </w:r>
      <w:r>
        <w:rPr>
          <w:rFonts w:ascii="Arial"/>
          <w:b/>
          <w:spacing w:val="-2"/>
          <w:sz w:val="22"/>
        </w:rPr>
        <w:t>Metabolism</w:t>
      </w:r>
    </w:p>
    <w:p>
      <w:pPr>
        <w:pStyle w:val="BodyText"/>
        <w:spacing w:line="249" w:lineRule="auto" w:before="18"/>
        <w:ind w:right="97"/>
      </w:pPr>
      <w:r>
        <w:rPr/>
        <w:t>There is little difference between the oral and transdermal methods of delivery on carbohydrate metabolism. Both methods have a beneficial impact on central abdominal fat content, glucose levels, and insulin resistance,</w:t>
      </w:r>
      <w:r>
        <w:rPr>
          <w:spacing w:val="-1"/>
        </w:rPr>
        <w:t> </w:t>
      </w:r>
      <w:r>
        <w:rPr/>
        <w:t>associated</w:t>
      </w:r>
      <w:r>
        <w:rPr>
          <w:spacing w:val="-1"/>
        </w:rPr>
        <w:t> </w:t>
      </w:r>
      <w:r>
        <w:rPr/>
        <w:t>with</w:t>
      </w:r>
      <w:r>
        <w:rPr>
          <w:spacing w:val="-1"/>
        </w:rPr>
        <w:t> </w:t>
      </w:r>
      <w:r>
        <w:rPr/>
        <w:t>a</w:t>
      </w:r>
      <w:r>
        <w:rPr>
          <w:spacing w:val="-1"/>
        </w:rPr>
        <w:t> </w:t>
      </w:r>
      <w:r>
        <w:rPr/>
        <w:t>reduced</w:t>
      </w:r>
      <w:r>
        <w:rPr>
          <w:spacing w:val="-1"/>
        </w:rPr>
        <w:t> </w:t>
      </w:r>
      <w:r>
        <w:rPr/>
        <w:t>risk</w:t>
      </w:r>
      <w:r>
        <w:rPr>
          <w:spacing w:val="-1"/>
        </w:rPr>
        <w:t> </w:t>
      </w:r>
      <w:r>
        <w:rPr/>
        <w:t>of</w:t>
      </w:r>
      <w:r>
        <w:rPr>
          <w:spacing w:val="-1"/>
        </w:rPr>
        <w:t> </w:t>
      </w:r>
      <w:r>
        <w:rPr/>
        <w:t>developing</w:t>
      </w:r>
      <w:r>
        <w:rPr>
          <w:spacing w:val="-1"/>
        </w:rPr>
        <w:t> </w:t>
      </w:r>
      <w:r>
        <w:rPr/>
        <w:t>adult-onset</w:t>
      </w:r>
      <w:r>
        <w:rPr>
          <w:spacing w:val="-1"/>
        </w:rPr>
        <w:t> </w:t>
      </w:r>
      <w:r>
        <w:rPr/>
        <w:t>diabetes mellitus.</w:t>
      </w:r>
      <w:r>
        <w:rPr>
          <w:vertAlign w:val="superscript"/>
        </w:rPr>
        <w:t>65-70</w:t>
      </w:r>
      <w:r>
        <w:rPr>
          <w:vertAlign w:val="baseline"/>
        </w:rPr>
        <w:t> The effect of HT on carbohydrate metabolism/diabetes risk is discussed in further detail in “Hormone Therapy” section.</w:t>
      </w:r>
    </w:p>
    <w:p>
      <w:pPr>
        <w:spacing w:before="306"/>
        <w:ind w:left="99" w:right="0" w:firstLine="0"/>
        <w:jc w:val="left"/>
        <w:rPr>
          <w:rFonts w:ascii="Arial"/>
          <w:b/>
          <w:sz w:val="22"/>
        </w:rPr>
      </w:pPr>
      <w:r>
        <w:rPr>
          <w:rFonts w:ascii="Arial"/>
          <w:b/>
          <w:spacing w:val="-2"/>
          <w:sz w:val="22"/>
        </w:rPr>
        <w:t>Skeleton</w:t>
      </w:r>
    </w:p>
    <w:p>
      <w:pPr>
        <w:spacing w:after="0"/>
        <w:jc w:val="left"/>
        <w:rPr>
          <w:rFonts w:ascii="Arial"/>
          <w:b/>
          <w:sz w:val="22"/>
        </w:rPr>
        <w:sectPr>
          <w:pgSz w:w="12240" w:h="15840"/>
          <w:pgMar w:top="1380" w:bottom="280" w:left="1440" w:right="1440"/>
        </w:sectPr>
      </w:pPr>
    </w:p>
    <w:p>
      <w:pPr>
        <w:pStyle w:val="BodyText"/>
        <w:spacing w:line="249" w:lineRule="auto"/>
        <w:ind w:right="112"/>
      </w:pPr>
      <w:r>
        <w:rPr/>
        <w:t>The effects of menopausal hormones on bone metabolism, BMD, and </w:t>
      </w:r>
      <w:r>
        <w:rPr/>
        <w:t>on fracture risk are discussed in Chapter 23.</w:t>
      </w:r>
    </w:p>
    <w:p>
      <w:pPr>
        <w:pStyle w:val="BodyText"/>
        <w:spacing w:before="46"/>
        <w:ind w:left="0"/>
        <w:jc w:val="left"/>
      </w:pPr>
    </w:p>
    <w:p>
      <w:pPr>
        <w:spacing w:before="0"/>
        <w:ind w:left="99" w:right="0" w:firstLine="0"/>
        <w:jc w:val="both"/>
        <w:rPr>
          <w:rFonts w:ascii="Arial"/>
          <w:b/>
          <w:sz w:val="30"/>
        </w:rPr>
      </w:pPr>
      <w:r>
        <w:rPr>
          <w:rFonts w:ascii="Arial"/>
          <w:b/>
          <w:color w:val="2674AE"/>
          <w:sz w:val="30"/>
        </w:rPr>
        <w:t>Estradiol </w:t>
      </w:r>
      <w:r>
        <w:rPr>
          <w:rFonts w:ascii="Arial"/>
          <w:b/>
          <w:color w:val="2674AE"/>
          <w:spacing w:val="-2"/>
          <w:sz w:val="30"/>
        </w:rPr>
        <w:t>Implants</w:t>
      </w:r>
    </w:p>
    <w:p>
      <w:pPr>
        <w:pStyle w:val="BodyText"/>
        <w:spacing w:line="249" w:lineRule="auto" w:before="166"/>
        <w:ind w:right="100"/>
      </w:pPr>
      <w:r>
        <w:rPr/>
        <w:t>Estradiol pellets are available in doses of 25, 50, and 75 mg </w:t>
      </w:r>
      <w:r>
        <w:rPr/>
        <w:t>for subcutaneous administration twice yearly. The 25-mg pellet provides blood levels in the range of 40 to 60 pg/mL, levels that are comparable with those obtained with standard oral doses.</w:t>
      </w:r>
      <w:r>
        <w:rPr>
          <w:vertAlign w:val="superscript"/>
        </w:rPr>
        <w:t>71,72</w:t>
      </w:r>
      <w:r>
        <w:rPr>
          <w:vertAlign w:val="baseline"/>
        </w:rPr>
        <w:t> However, the effect of subcutaneous regimens is cumulative, and after several years, the blood levels are 2 (b.i.d.) to 3 (t.i.d.) times higher and can persist for up to 2 years following last insertion. We believe that estradiol pellets do not confer any advantage over the standard hormone regimens.</w:t>
      </w:r>
      <w:r>
        <w:rPr>
          <w:spacing w:val="-1"/>
          <w:vertAlign w:val="baseline"/>
        </w:rPr>
        <w:t> </w:t>
      </w:r>
      <w:r>
        <w:rPr>
          <w:vertAlign w:val="baseline"/>
        </w:rPr>
        <w:t>We recommend that women receiving estradiol pellets be monitored with blood levels of estradiol. In women in whom serum estradiol levels are greater than 200 pg/mL (or even &gt;100 pg/mL), prolonging intervals between insertions should be considered.</w:t>
      </w:r>
    </w:p>
    <w:p>
      <w:pPr>
        <w:spacing w:before="312"/>
        <w:ind w:left="99" w:right="0" w:firstLine="0"/>
        <w:jc w:val="both"/>
        <w:rPr>
          <w:rFonts w:ascii="Arial"/>
          <w:b/>
          <w:i/>
          <w:sz w:val="22"/>
        </w:rPr>
      </w:pPr>
      <w:r>
        <w:rPr>
          <w:rFonts w:ascii="Arial"/>
          <w:b/>
          <w:i/>
          <w:color w:val="A0234E"/>
          <w:sz w:val="22"/>
        </w:rPr>
        <w:t>Oral</w:t>
      </w:r>
      <w:r>
        <w:rPr>
          <w:rFonts w:ascii="Arial"/>
          <w:b/>
          <w:i/>
          <w:color w:val="A0234E"/>
          <w:spacing w:val="12"/>
          <w:sz w:val="22"/>
        </w:rPr>
        <w:t> </w:t>
      </w:r>
      <w:r>
        <w:rPr>
          <w:rFonts w:ascii="Arial"/>
          <w:b/>
          <w:i/>
          <w:color w:val="A0234E"/>
          <w:sz w:val="22"/>
        </w:rPr>
        <w:t>Versus</w:t>
      </w:r>
      <w:r>
        <w:rPr>
          <w:rFonts w:ascii="Arial"/>
          <w:b/>
          <w:i/>
          <w:color w:val="A0234E"/>
          <w:spacing w:val="13"/>
          <w:sz w:val="22"/>
        </w:rPr>
        <w:t> </w:t>
      </w:r>
      <w:r>
        <w:rPr>
          <w:rFonts w:ascii="Arial"/>
          <w:b/>
          <w:i/>
          <w:color w:val="A0234E"/>
          <w:sz w:val="22"/>
        </w:rPr>
        <w:t>Transdermal</w:t>
      </w:r>
      <w:r>
        <w:rPr>
          <w:rFonts w:ascii="Arial"/>
          <w:b/>
          <w:i/>
          <w:color w:val="A0234E"/>
          <w:spacing w:val="13"/>
          <w:sz w:val="22"/>
        </w:rPr>
        <w:t> </w:t>
      </w:r>
      <w:r>
        <w:rPr>
          <w:rFonts w:ascii="Arial"/>
          <w:b/>
          <w:i/>
          <w:color w:val="A0234E"/>
          <w:spacing w:val="-2"/>
          <w:sz w:val="22"/>
        </w:rPr>
        <w:t>Administration</w:t>
      </w:r>
    </w:p>
    <w:p>
      <w:pPr>
        <w:pStyle w:val="BodyText"/>
        <w:spacing w:line="249" w:lineRule="auto" w:before="124"/>
        <w:ind w:right="101"/>
      </w:pPr>
      <w:r>
        <w:rPr/>
        <w:t>It is difficult to draw conclusions about clinical differences between oral and transdermal hormone delivery based on secondary markers. Epidemiologic studies on clinical events are needed. However, this is a challenge because of the relatively small number of women receiving transdermal estrogen. In addition, the studies must adjust for </w:t>
      </w:r>
      <w:r>
        <w:rPr/>
        <w:t>individual variability of dosing to ensure that circulating estrogen levels in the patients being studied are similar.</w:t>
      </w:r>
    </w:p>
    <w:p>
      <w:pPr>
        <w:pStyle w:val="BodyText"/>
        <w:spacing w:line="249" w:lineRule="auto" w:before="8"/>
        <w:ind w:right="98" w:firstLine="450"/>
      </w:pPr>
      <w:r>
        <w:rPr/>
        <w:t>Given that transdermal route of delivery is suggested to lessen the </w:t>
      </w:r>
      <w:r>
        <w:rPr/>
        <w:t>risk for thrombotic events linked with exogenous estrogen use, it is often preferred by patients and, when applicable, allows monitoring of serum estradiol</w:t>
      </w:r>
      <w:r>
        <w:rPr>
          <w:spacing w:val="-2"/>
        </w:rPr>
        <w:t> </w:t>
      </w:r>
      <w:r>
        <w:rPr/>
        <w:t>levels.</w:t>
      </w:r>
      <w:r>
        <w:rPr>
          <w:spacing w:val="-3"/>
        </w:rPr>
        <w:t> </w:t>
      </w:r>
      <w:r>
        <w:rPr/>
        <w:t>Although</w:t>
      </w:r>
      <w:r>
        <w:rPr>
          <w:spacing w:val="-1"/>
        </w:rPr>
        <w:t> </w:t>
      </w:r>
      <w:r>
        <w:rPr/>
        <w:t>comparison</w:t>
      </w:r>
      <w:r>
        <w:rPr>
          <w:spacing w:val="-1"/>
        </w:rPr>
        <w:t> </w:t>
      </w:r>
      <w:r>
        <w:rPr/>
        <w:t>studies</w:t>
      </w:r>
      <w:r>
        <w:rPr>
          <w:spacing w:val="-1"/>
        </w:rPr>
        <w:t> </w:t>
      </w:r>
      <w:r>
        <w:rPr/>
        <w:t>have</w:t>
      </w:r>
      <w:r>
        <w:rPr>
          <w:spacing w:val="-1"/>
        </w:rPr>
        <w:t> </w:t>
      </w:r>
      <w:r>
        <w:rPr/>
        <w:t>not</w:t>
      </w:r>
      <w:r>
        <w:rPr>
          <w:spacing w:val="-1"/>
        </w:rPr>
        <w:t> </w:t>
      </w:r>
      <w:r>
        <w:rPr/>
        <w:t>been</w:t>
      </w:r>
      <w:r>
        <w:rPr>
          <w:spacing w:val="-1"/>
        </w:rPr>
        <w:t> </w:t>
      </w:r>
      <w:r>
        <w:rPr/>
        <w:t>performed,</w:t>
      </w:r>
      <w:r>
        <w:rPr>
          <w:spacing w:val="-1"/>
        </w:rPr>
        <w:t> </w:t>
      </w:r>
      <w:r>
        <w:rPr/>
        <w:t>it</w:t>
      </w:r>
      <w:r>
        <w:rPr>
          <w:spacing w:val="-1"/>
        </w:rPr>
        <w:t> </w:t>
      </w:r>
      <w:r>
        <w:rPr/>
        <w:t>is reasonable</w:t>
      </w:r>
      <w:r>
        <w:rPr>
          <w:spacing w:val="26"/>
        </w:rPr>
        <w:t> </w:t>
      </w:r>
      <w:r>
        <w:rPr/>
        <w:t>to</w:t>
      </w:r>
      <w:r>
        <w:rPr>
          <w:spacing w:val="28"/>
        </w:rPr>
        <w:t> </w:t>
      </w:r>
      <w:r>
        <w:rPr/>
        <w:t>expect</w:t>
      </w:r>
      <w:r>
        <w:rPr>
          <w:spacing w:val="28"/>
        </w:rPr>
        <w:t> </w:t>
      </w:r>
      <w:r>
        <w:rPr/>
        <w:t>similar</w:t>
      </w:r>
      <w:r>
        <w:rPr>
          <w:spacing w:val="28"/>
        </w:rPr>
        <w:t> </w:t>
      </w:r>
      <w:r>
        <w:rPr/>
        <w:t>pharmacokinetics</w:t>
      </w:r>
      <w:r>
        <w:rPr>
          <w:spacing w:val="28"/>
        </w:rPr>
        <w:t> </w:t>
      </w:r>
      <w:r>
        <w:rPr/>
        <w:t>for</w:t>
      </w:r>
      <w:r>
        <w:rPr>
          <w:spacing w:val="28"/>
        </w:rPr>
        <w:t> </w:t>
      </w:r>
      <w:r>
        <w:rPr/>
        <w:t>all</w:t>
      </w:r>
      <w:r>
        <w:rPr>
          <w:spacing w:val="28"/>
        </w:rPr>
        <w:t> </w:t>
      </w:r>
      <w:r>
        <w:rPr/>
        <w:t>transdermal</w:t>
      </w:r>
      <w:r>
        <w:rPr>
          <w:spacing w:val="28"/>
        </w:rPr>
        <w:t> </w:t>
      </w:r>
      <w:r>
        <w:rPr>
          <w:spacing w:val="-2"/>
        </w:rPr>
        <w:t>methods</w:t>
      </w:r>
    </w:p>
    <w:p>
      <w:pPr>
        <w:pStyle w:val="BodyText"/>
        <w:spacing w:line="249" w:lineRule="auto" w:before="6"/>
        <w:ind w:right="100"/>
      </w:pPr>
      <w:r>
        <w:rPr/>
        <w:t>—more stable/constant estradiol levels, less fluctuation, and theoretical benefits over oral therapy. Furthermore, because of the lack of effects </w:t>
      </w:r>
      <w:r>
        <w:rPr/>
        <w:t>of transdermal delivery on serum SHBG levels and thereby with minimal effect on free androgen levels, transdermal method for estradiol delivery may be preferable in women with impaired sexual function.</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3714750"/>
                <wp:effectExtent l="0" t="0" r="0" b="0"/>
                <wp:docPr id="96" name="Group 96"/>
                <wp:cNvGraphicFramePr>
                  <a:graphicFrameLocks/>
                </wp:cNvGraphicFramePr>
                <a:graphic>
                  <a:graphicData uri="http://schemas.microsoft.com/office/word/2010/wordprocessingGroup">
                    <wpg:wgp>
                      <wpg:cNvPr id="96" name="Group 96"/>
                      <wpg:cNvGrpSpPr/>
                      <wpg:grpSpPr>
                        <a:xfrm>
                          <a:off x="0" y="0"/>
                          <a:ext cx="5810250" cy="3714750"/>
                          <a:chExt cx="5810250" cy="3714750"/>
                        </a:xfrm>
                      </wpg:grpSpPr>
                      <wps:wsp>
                        <wps:cNvPr id="97" name="Graphic 97"/>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98" name="Graphic 98"/>
                        <wps:cNvSpPr/>
                        <wps:spPr>
                          <a:xfrm>
                            <a:off x="0" y="742949"/>
                            <a:ext cx="5810250" cy="2971800"/>
                          </a:xfrm>
                          <a:custGeom>
                            <a:avLst/>
                            <a:gdLst/>
                            <a:ahLst/>
                            <a:cxnLst/>
                            <a:rect l="l" t="t" r="r" b="b"/>
                            <a:pathLst>
                              <a:path w="5810250" h="2971800">
                                <a:moveTo>
                                  <a:pt x="0" y="2971799"/>
                                </a:moveTo>
                                <a:lnTo>
                                  <a:pt x="5810249" y="2971799"/>
                                </a:lnTo>
                                <a:lnTo>
                                  <a:pt x="5810249" y="0"/>
                                </a:lnTo>
                                <a:lnTo>
                                  <a:pt x="0" y="0"/>
                                </a:lnTo>
                                <a:lnTo>
                                  <a:pt x="0" y="2971799"/>
                                </a:lnTo>
                                <a:close/>
                              </a:path>
                            </a:pathLst>
                          </a:custGeom>
                          <a:solidFill>
                            <a:srgbClr val="E9F1CD"/>
                          </a:solidFill>
                        </wps:spPr>
                        <wps:bodyPr wrap="square" lIns="0" tIns="0" rIns="0" bIns="0" rtlCol="0">
                          <a:prstTxWarp prst="textNoShape">
                            <a:avLst/>
                          </a:prstTxWarp>
                          <a:noAutofit/>
                        </wps:bodyPr>
                      </wps:wsp>
                      <wps:wsp>
                        <wps:cNvPr id="99" name="Graphic 99"/>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00" name="Graphic 100"/>
                        <wps:cNvSpPr/>
                        <wps:spPr>
                          <a:xfrm>
                            <a:off x="209549" y="228604"/>
                            <a:ext cx="371475" cy="57150"/>
                          </a:xfrm>
                          <a:custGeom>
                            <a:avLst/>
                            <a:gdLst/>
                            <a:ahLst/>
                            <a:cxnLst/>
                            <a:rect l="l" t="t" r="r" b="b"/>
                            <a:pathLst>
                              <a:path w="371475" h="57150">
                                <a:moveTo>
                                  <a:pt x="32364" y="57140"/>
                                </a:moveTo>
                                <a:lnTo>
                                  <a:pt x="24785" y="57140"/>
                                </a:lnTo>
                                <a:lnTo>
                                  <a:pt x="21140" y="56415"/>
                                </a:lnTo>
                                <a:lnTo>
                                  <a:pt x="0" y="32361"/>
                                </a:lnTo>
                                <a:lnTo>
                                  <a:pt x="0" y="24780"/>
                                </a:lnTo>
                                <a:lnTo>
                                  <a:pt x="24785" y="0"/>
                                </a:lnTo>
                                <a:lnTo>
                                  <a:pt x="32364" y="0"/>
                                </a:lnTo>
                                <a:lnTo>
                                  <a:pt x="57149" y="24780"/>
                                </a:lnTo>
                                <a:lnTo>
                                  <a:pt x="57149" y="32361"/>
                                </a:lnTo>
                                <a:lnTo>
                                  <a:pt x="32364" y="57140"/>
                                </a:lnTo>
                                <a:close/>
                              </a:path>
                              <a:path w="371475" h="57150">
                                <a:moveTo>
                                  <a:pt x="137044" y="57140"/>
                                </a:moveTo>
                                <a:lnTo>
                                  <a:pt x="129465" y="57140"/>
                                </a:lnTo>
                                <a:lnTo>
                                  <a:pt x="125820" y="56415"/>
                                </a:lnTo>
                                <a:lnTo>
                                  <a:pt x="104679" y="32361"/>
                                </a:lnTo>
                                <a:lnTo>
                                  <a:pt x="104679" y="24780"/>
                                </a:lnTo>
                                <a:lnTo>
                                  <a:pt x="129465" y="0"/>
                                </a:lnTo>
                                <a:lnTo>
                                  <a:pt x="137044" y="0"/>
                                </a:lnTo>
                                <a:lnTo>
                                  <a:pt x="161829" y="24780"/>
                                </a:lnTo>
                                <a:lnTo>
                                  <a:pt x="161829" y="32361"/>
                                </a:lnTo>
                                <a:lnTo>
                                  <a:pt x="137044" y="57140"/>
                                </a:lnTo>
                                <a:close/>
                              </a:path>
                              <a:path w="371475" h="57150">
                                <a:moveTo>
                                  <a:pt x="241723" y="57140"/>
                                </a:moveTo>
                                <a:lnTo>
                                  <a:pt x="234145" y="57140"/>
                                </a:lnTo>
                                <a:lnTo>
                                  <a:pt x="230500" y="56415"/>
                                </a:lnTo>
                                <a:lnTo>
                                  <a:pt x="209359" y="32361"/>
                                </a:lnTo>
                                <a:lnTo>
                                  <a:pt x="209359" y="24780"/>
                                </a:lnTo>
                                <a:lnTo>
                                  <a:pt x="234145" y="0"/>
                                </a:lnTo>
                                <a:lnTo>
                                  <a:pt x="241723" y="0"/>
                                </a:lnTo>
                                <a:lnTo>
                                  <a:pt x="266509" y="24780"/>
                                </a:lnTo>
                                <a:lnTo>
                                  <a:pt x="266509" y="32361"/>
                                </a:lnTo>
                                <a:lnTo>
                                  <a:pt x="241723" y="57140"/>
                                </a:lnTo>
                                <a:close/>
                              </a:path>
                              <a:path w="371475" h="57150">
                                <a:moveTo>
                                  <a:pt x="346403" y="57140"/>
                                </a:moveTo>
                                <a:lnTo>
                                  <a:pt x="338824" y="57140"/>
                                </a:lnTo>
                                <a:lnTo>
                                  <a:pt x="335179" y="56415"/>
                                </a:lnTo>
                                <a:lnTo>
                                  <a:pt x="314039" y="32361"/>
                                </a:lnTo>
                                <a:lnTo>
                                  <a:pt x="314039" y="24780"/>
                                </a:lnTo>
                                <a:lnTo>
                                  <a:pt x="338824" y="0"/>
                                </a:lnTo>
                                <a:lnTo>
                                  <a:pt x="346403" y="0"/>
                                </a:lnTo>
                                <a:lnTo>
                                  <a:pt x="371189" y="24780"/>
                                </a:lnTo>
                                <a:lnTo>
                                  <a:pt x="371189" y="32361"/>
                                </a:lnTo>
                                <a:lnTo>
                                  <a:pt x="346403" y="57140"/>
                                </a:lnTo>
                                <a:close/>
                              </a:path>
                            </a:pathLst>
                          </a:custGeom>
                          <a:solidFill>
                            <a:srgbClr val="D0E399"/>
                          </a:solidFill>
                        </wps:spPr>
                        <wps:bodyPr wrap="square" lIns="0" tIns="0" rIns="0" bIns="0" rtlCol="0">
                          <a:prstTxWarp prst="textNoShape">
                            <a:avLst/>
                          </a:prstTxWarp>
                          <a:noAutofit/>
                        </wps:bodyPr>
                      </wps:wsp>
                      <wps:wsp>
                        <wps:cNvPr id="101" name="Graphic 101"/>
                        <wps:cNvSpPr/>
                        <wps:spPr>
                          <a:xfrm>
                            <a:off x="133337" y="1000128"/>
                            <a:ext cx="47625" cy="733425"/>
                          </a:xfrm>
                          <a:custGeom>
                            <a:avLst/>
                            <a:gdLst/>
                            <a:ahLst/>
                            <a:cxnLst/>
                            <a:rect l="l" t="t" r="r" b="b"/>
                            <a:pathLst>
                              <a:path w="47625" h="733425">
                                <a:moveTo>
                                  <a:pt x="47625" y="706437"/>
                                </a:moveTo>
                                <a:lnTo>
                                  <a:pt x="26974" y="685800"/>
                                </a:lnTo>
                                <a:lnTo>
                                  <a:pt x="20662" y="685800"/>
                                </a:lnTo>
                                <a:lnTo>
                                  <a:pt x="0" y="706437"/>
                                </a:lnTo>
                                <a:lnTo>
                                  <a:pt x="0" y="712762"/>
                                </a:lnTo>
                                <a:lnTo>
                                  <a:pt x="20662" y="733412"/>
                                </a:lnTo>
                                <a:lnTo>
                                  <a:pt x="26974" y="733412"/>
                                </a:lnTo>
                                <a:lnTo>
                                  <a:pt x="47625" y="712762"/>
                                </a:lnTo>
                                <a:lnTo>
                                  <a:pt x="47625" y="709612"/>
                                </a:lnTo>
                                <a:lnTo>
                                  <a:pt x="47625" y="706437"/>
                                </a:lnTo>
                                <a:close/>
                              </a:path>
                              <a:path w="47625" h="733425">
                                <a:moveTo>
                                  <a:pt x="47625" y="20650"/>
                                </a:moveTo>
                                <a:lnTo>
                                  <a:pt x="26974" y="0"/>
                                </a:lnTo>
                                <a:lnTo>
                                  <a:pt x="20662" y="0"/>
                                </a:lnTo>
                                <a:lnTo>
                                  <a:pt x="0" y="20650"/>
                                </a:lnTo>
                                <a:lnTo>
                                  <a:pt x="0" y="26962"/>
                                </a:lnTo>
                                <a:lnTo>
                                  <a:pt x="20662" y="47612"/>
                                </a:lnTo>
                                <a:lnTo>
                                  <a:pt x="26974" y="47612"/>
                                </a:lnTo>
                                <a:lnTo>
                                  <a:pt x="47625" y="26962"/>
                                </a:lnTo>
                                <a:lnTo>
                                  <a:pt x="47625" y="23812"/>
                                </a:lnTo>
                                <a:lnTo>
                                  <a:pt x="47625" y="20650"/>
                                </a:lnTo>
                                <a:close/>
                              </a:path>
                            </a:pathLst>
                          </a:custGeom>
                          <a:solidFill>
                            <a:srgbClr val="2B816F"/>
                          </a:solidFill>
                        </wps:spPr>
                        <wps:bodyPr wrap="square" lIns="0" tIns="0" rIns="0" bIns="0" rtlCol="0">
                          <a:prstTxWarp prst="textNoShape">
                            <a:avLst/>
                          </a:prstTxWarp>
                          <a:noAutofit/>
                        </wps:bodyPr>
                      </wps:wsp>
                      <wps:wsp>
                        <wps:cNvPr id="102" name="Graphic 102"/>
                        <wps:cNvSpPr/>
                        <wps:spPr>
                          <a:xfrm>
                            <a:off x="285749" y="2200274"/>
                            <a:ext cx="47625" cy="733425"/>
                          </a:xfrm>
                          <a:custGeom>
                            <a:avLst/>
                            <a:gdLst/>
                            <a:ahLst/>
                            <a:cxnLst/>
                            <a:rect l="l" t="t" r="r" b="b"/>
                            <a:pathLst>
                              <a:path w="47625" h="733425">
                                <a:moveTo>
                                  <a:pt x="47625" y="23812"/>
                                </a:moveTo>
                                <a:lnTo>
                                  <a:pt x="47624" y="26966"/>
                                </a:lnTo>
                                <a:lnTo>
                                  <a:pt x="47020" y="29998"/>
                                </a:lnTo>
                                <a:lnTo>
                                  <a:pt x="45812" y="32909"/>
                                </a:lnTo>
                                <a:lnTo>
                                  <a:pt x="44603" y="35830"/>
                                </a:lnTo>
                                <a:lnTo>
                                  <a:pt x="32925" y="45801"/>
                                </a:lnTo>
                                <a:lnTo>
                                  <a:pt x="30007" y="47002"/>
                                </a:lnTo>
                                <a:lnTo>
                                  <a:pt x="26970" y="47615"/>
                                </a:lnTo>
                                <a:lnTo>
                                  <a:pt x="23812" y="47624"/>
                                </a:lnTo>
                                <a:lnTo>
                                  <a:pt x="20654" y="47615"/>
                                </a:lnTo>
                                <a:lnTo>
                                  <a:pt x="17617" y="47002"/>
                                </a:lnTo>
                                <a:lnTo>
                                  <a:pt x="14699" y="45792"/>
                                </a:lnTo>
                                <a:lnTo>
                                  <a:pt x="11782" y="44592"/>
                                </a:lnTo>
                                <a:lnTo>
                                  <a:pt x="1812" y="32909"/>
                                </a:lnTo>
                                <a:lnTo>
                                  <a:pt x="604" y="29998"/>
                                </a:lnTo>
                                <a:lnTo>
                                  <a:pt x="0" y="26966"/>
                                </a:lnTo>
                                <a:lnTo>
                                  <a:pt x="0" y="23812"/>
                                </a:lnTo>
                                <a:lnTo>
                                  <a:pt x="0" y="20650"/>
                                </a:lnTo>
                                <a:lnTo>
                                  <a:pt x="6974" y="6958"/>
                                </a:lnTo>
                                <a:lnTo>
                                  <a:pt x="9207" y="4725"/>
                                </a:lnTo>
                                <a:lnTo>
                                  <a:pt x="11782" y="3004"/>
                                </a:lnTo>
                                <a:lnTo>
                                  <a:pt x="14699" y="1795"/>
                                </a:lnTo>
                                <a:lnTo>
                                  <a:pt x="17617" y="595"/>
                                </a:lnTo>
                                <a:lnTo>
                                  <a:pt x="20654" y="0"/>
                                </a:lnTo>
                                <a:lnTo>
                                  <a:pt x="23812" y="0"/>
                                </a:lnTo>
                                <a:lnTo>
                                  <a:pt x="26970" y="0"/>
                                </a:lnTo>
                                <a:lnTo>
                                  <a:pt x="30007" y="604"/>
                                </a:lnTo>
                                <a:lnTo>
                                  <a:pt x="32925" y="1804"/>
                                </a:lnTo>
                                <a:lnTo>
                                  <a:pt x="35842" y="3004"/>
                                </a:lnTo>
                                <a:lnTo>
                                  <a:pt x="38417" y="4725"/>
                                </a:lnTo>
                                <a:lnTo>
                                  <a:pt x="40650" y="6958"/>
                                </a:lnTo>
                                <a:lnTo>
                                  <a:pt x="42883" y="9189"/>
                                </a:lnTo>
                                <a:lnTo>
                                  <a:pt x="44603" y="11767"/>
                                </a:lnTo>
                                <a:lnTo>
                                  <a:pt x="45812" y="14678"/>
                                </a:lnTo>
                                <a:lnTo>
                                  <a:pt x="47020" y="17607"/>
                                </a:lnTo>
                                <a:lnTo>
                                  <a:pt x="47624" y="20650"/>
                                </a:lnTo>
                                <a:lnTo>
                                  <a:pt x="47625" y="23812"/>
                                </a:lnTo>
                                <a:close/>
                              </a:path>
                              <a:path w="47625" h="733425">
                                <a:moveTo>
                                  <a:pt x="47625" y="195262"/>
                                </a:moveTo>
                                <a:lnTo>
                                  <a:pt x="47624" y="198416"/>
                                </a:lnTo>
                                <a:lnTo>
                                  <a:pt x="47020" y="201448"/>
                                </a:lnTo>
                                <a:lnTo>
                                  <a:pt x="45812" y="204359"/>
                                </a:lnTo>
                                <a:lnTo>
                                  <a:pt x="44603" y="207289"/>
                                </a:lnTo>
                                <a:lnTo>
                                  <a:pt x="32925" y="217251"/>
                                </a:lnTo>
                                <a:lnTo>
                                  <a:pt x="30007" y="218470"/>
                                </a:lnTo>
                                <a:lnTo>
                                  <a:pt x="26970" y="219074"/>
                                </a:lnTo>
                                <a:lnTo>
                                  <a:pt x="23812" y="219074"/>
                                </a:lnTo>
                                <a:lnTo>
                                  <a:pt x="20654" y="219074"/>
                                </a:lnTo>
                                <a:lnTo>
                                  <a:pt x="17617" y="218470"/>
                                </a:lnTo>
                                <a:lnTo>
                                  <a:pt x="14699" y="217251"/>
                                </a:lnTo>
                                <a:lnTo>
                                  <a:pt x="11782" y="216042"/>
                                </a:lnTo>
                                <a:lnTo>
                                  <a:pt x="0" y="198416"/>
                                </a:lnTo>
                                <a:lnTo>
                                  <a:pt x="0" y="195262"/>
                                </a:lnTo>
                                <a:lnTo>
                                  <a:pt x="0" y="192100"/>
                                </a:lnTo>
                                <a:lnTo>
                                  <a:pt x="6974" y="178426"/>
                                </a:lnTo>
                                <a:lnTo>
                                  <a:pt x="9207" y="176184"/>
                                </a:lnTo>
                                <a:lnTo>
                                  <a:pt x="11782" y="174463"/>
                                </a:lnTo>
                                <a:lnTo>
                                  <a:pt x="14699" y="173254"/>
                                </a:lnTo>
                                <a:lnTo>
                                  <a:pt x="17617" y="172054"/>
                                </a:lnTo>
                                <a:lnTo>
                                  <a:pt x="20654" y="171449"/>
                                </a:lnTo>
                                <a:lnTo>
                                  <a:pt x="23812" y="171449"/>
                                </a:lnTo>
                                <a:lnTo>
                                  <a:pt x="26970" y="171449"/>
                                </a:lnTo>
                                <a:lnTo>
                                  <a:pt x="40650" y="178426"/>
                                </a:lnTo>
                                <a:lnTo>
                                  <a:pt x="42883" y="180649"/>
                                </a:lnTo>
                                <a:lnTo>
                                  <a:pt x="44603" y="183225"/>
                                </a:lnTo>
                                <a:lnTo>
                                  <a:pt x="45812" y="186137"/>
                                </a:lnTo>
                                <a:lnTo>
                                  <a:pt x="47020" y="189057"/>
                                </a:lnTo>
                                <a:lnTo>
                                  <a:pt x="47624" y="192100"/>
                                </a:lnTo>
                                <a:lnTo>
                                  <a:pt x="47625" y="195262"/>
                                </a:lnTo>
                                <a:close/>
                              </a:path>
                              <a:path w="47625" h="733425">
                                <a:moveTo>
                                  <a:pt x="47625" y="366712"/>
                                </a:moveTo>
                                <a:lnTo>
                                  <a:pt x="47624" y="369856"/>
                                </a:lnTo>
                                <a:lnTo>
                                  <a:pt x="47020" y="372888"/>
                                </a:lnTo>
                                <a:lnTo>
                                  <a:pt x="45812" y="375800"/>
                                </a:lnTo>
                                <a:lnTo>
                                  <a:pt x="44603" y="378720"/>
                                </a:lnTo>
                                <a:lnTo>
                                  <a:pt x="23812" y="390524"/>
                                </a:lnTo>
                                <a:lnTo>
                                  <a:pt x="20654" y="390515"/>
                                </a:lnTo>
                                <a:lnTo>
                                  <a:pt x="0" y="369856"/>
                                </a:lnTo>
                                <a:lnTo>
                                  <a:pt x="0" y="366712"/>
                                </a:lnTo>
                                <a:lnTo>
                                  <a:pt x="0" y="363550"/>
                                </a:lnTo>
                                <a:lnTo>
                                  <a:pt x="6974" y="349866"/>
                                </a:lnTo>
                                <a:lnTo>
                                  <a:pt x="9207" y="347625"/>
                                </a:lnTo>
                                <a:lnTo>
                                  <a:pt x="11782" y="345904"/>
                                </a:lnTo>
                                <a:lnTo>
                                  <a:pt x="14699" y="344704"/>
                                </a:lnTo>
                                <a:lnTo>
                                  <a:pt x="17617" y="343504"/>
                                </a:lnTo>
                                <a:lnTo>
                                  <a:pt x="20654" y="342899"/>
                                </a:lnTo>
                                <a:lnTo>
                                  <a:pt x="23812" y="342899"/>
                                </a:lnTo>
                                <a:lnTo>
                                  <a:pt x="26970" y="342899"/>
                                </a:lnTo>
                                <a:lnTo>
                                  <a:pt x="40650" y="349866"/>
                                </a:lnTo>
                                <a:lnTo>
                                  <a:pt x="42883" y="352099"/>
                                </a:lnTo>
                                <a:lnTo>
                                  <a:pt x="44603" y="354675"/>
                                </a:lnTo>
                                <a:lnTo>
                                  <a:pt x="45812" y="357587"/>
                                </a:lnTo>
                                <a:lnTo>
                                  <a:pt x="47020" y="360507"/>
                                </a:lnTo>
                                <a:lnTo>
                                  <a:pt x="47624" y="363550"/>
                                </a:lnTo>
                                <a:lnTo>
                                  <a:pt x="47625" y="366712"/>
                                </a:lnTo>
                                <a:close/>
                              </a:path>
                              <a:path w="47625" h="733425">
                                <a:moveTo>
                                  <a:pt x="47625" y="538162"/>
                                </a:moveTo>
                                <a:lnTo>
                                  <a:pt x="32925" y="560142"/>
                                </a:lnTo>
                                <a:lnTo>
                                  <a:pt x="30007" y="561360"/>
                                </a:lnTo>
                                <a:lnTo>
                                  <a:pt x="26970" y="561965"/>
                                </a:lnTo>
                                <a:lnTo>
                                  <a:pt x="23812" y="561974"/>
                                </a:lnTo>
                                <a:lnTo>
                                  <a:pt x="20654" y="561965"/>
                                </a:lnTo>
                                <a:lnTo>
                                  <a:pt x="17617" y="561360"/>
                                </a:lnTo>
                                <a:lnTo>
                                  <a:pt x="14699" y="560142"/>
                                </a:lnTo>
                                <a:lnTo>
                                  <a:pt x="11782" y="558933"/>
                                </a:lnTo>
                                <a:lnTo>
                                  <a:pt x="0" y="541316"/>
                                </a:lnTo>
                                <a:lnTo>
                                  <a:pt x="0" y="538162"/>
                                </a:lnTo>
                                <a:lnTo>
                                  <a:pt x="0" y="534990"/>
                                </a:lnTo>
                                <a:lnTo>
                                  <a:pt x="6974" y="521307"/>
                                </a:lnTo>
                                <a:lnTo>
                                  <a:pt x="9207" y="519075"/>
                                </a:lnTo>
                                <a:lnTo>
                                  <a:pt x="11782" y="517354"/>
                                </a:lnTo>
                                <a:lnTo>
                                  <a:pt x="14699" y="516145"/>
                                </a:lnTo>
                                <a:lnTo>
                                  <a:pt x="17617" y="514945"/>
                                </a:lnTo>
                                <a:lnTo>
                                  <a:pt x="20654" y="514349"/>
                                </a:lnTo>
                                <a:lnTo>
                                  <a:pt x="23812" y="514349"/>
                                </a:lnTo>
                                <a:lnTo>
                                  <a:pt x="26970" y="514349"/>
                                </a:lnTo>
                                <a:lnTo>
                                  <a:pt x="40650" y="521307"/>
                                </a:lnTo>
                                <a:lnTo>
                                  <a:pt x="42883" y="523531"/>
                                </a:lnTo>
                                <a:lnTo>
                                  <a:pt x="44603" y="526107"/>
                                </a:lnTo>
                                <a:lnTo>
                                  <a:pt x="45812" y="529027"/>
                                </a:lnTo>
                                <a:lnTo>
                                  <a:pt x="47020" y="531949"/>
                                </a:lnTo>
                                <a:lnTo>
                                  <a:pt x="47624" y="534990"/>
                                </a:lnTo>
                                <a:lnTo>
                                  <a:pt x="47625" y="538162"/>
                                </a:lnTo>
                                <a:close/>
                              </a:path>
                              <a:path w="47625" h="733425">
                                <a:moveTo>
                                  <a:pt x="47625" y="709612"/>
                                </a:moveTo>
                                <a:lnTo>
                                  <a:pt x="47624" y="712766"/>
                                </a:lnTo>
                                <a:lnTo>
                                  <a:pt x="47020" y="715797"/>
                                </a:lnTo>
                                <a:lnTo>
                                  <a:pt x="45812" y="718709"/>
                                </a:lnTo>
                                <a:lnTo>
                                  <a:pt x="44603" y="721630"/>
                                </a:lnTo>
                                <a:lnTo>
                                  <a:pt x="32925" y="731601"/>
                                </a:lnTo>
                                <a:lnTo>
                                  <a:pt x="30007" y="732802"/>
                                </a:lnTo>
                                <a:lnTo>
                                  <a:pt x="26970" y="733415"/>
                                </a:lnTo>
                                <a:lnTo>
                                  <a:pt x="23812" y="733424"/>
                                </a:lnTo>
                                <a:lnTo>
                                  <a:pt x="20654" y="733415"/>
                                </a:lnTo>
                                <a:lnTo>
                                  <a:pt x="17617" y="732802"/>
                                </a:lnTo>
                                <a:lnTo>
                                  <a:pt x="14699" y="731592"/>
                                </a:lnTo>
                                <a:lnTo>
                                  <a:pt x="11782" y="730392"/>
                                </a:lnTo>
                                <a:lnTo>
                                  <a:pt x="1812" y="718709"/>
                                </a:lnTo>
                                <a:lnTo>
                                  <a:pt x="604" y="715797"/>
                                </a:lnTo>
                                <a:lnTo>
                                  <a:pt x="0" y="712766"/>
                                </a:lnTo>
                                <a:lnTo>
                                  <a:pt x="0" y="709612"/>
                                </a:lnTo>
                                <a:lnTo>
                                  <a:pt x="0" y="706450"/>
                                </a:lnTo>
                                <a:lnTo>
                                  <a:pt x="604" y="703407"/>
                                </a:lnTo>
                                <a:lnTo>
                                  <a:pt x="1812" y="700497"/>
                                </a:lnTo>
                                <a:lnTo>
                                  <a:pt x="3021" y="697575"/>
                                </a:lnTo>
                                <a:lnTo>
                                  <a:pt x="4741" y="694999"/>
                                </a:lnTo>
                                <a:lnTo>
                                  <a:pt x="6974" y="692776"/>
                                </a:lnTo>
                                <a:lnTo>
                                  <a:pt x="9207" y="690534"/>
                                </a:lnTo>
                                <a:lnTo>
                                  <a:pt x="11782" y="688804"/>
                                </a:lnTo>
                                <a:lnTo>
                                  <a:pt x="14699" y="687604"/>
                                </a:lnTo>
                                <a:lnTo>
                                  <a:pt x="17617" y="686404"/>
                                </a:lnTo>
                                <a:lnTo>
                                  <a:pt x="20654" y="685799"/>
                                </a:lnTo>
                                <a:lnTo>
                                  <a:pt x="23812" y="685799"/>
                                </a:lnTo>
                                <a:lnTo>
                                  <a:pt x="26970" y="685799"/>
                                </a:lnTo>
                                <a:lnTo>
                                  <a:pt x="30007" y="686404"/>
                                </a:lnTo>
                                <a:lnTo>
                                  <a:pt x="32925" y="687613"/>
                                </a:lnTo>
                                <a:lnTo>
                                  <a:pt x="35842" y="688813"/>
                                </a:lnTo>
                                <a:lnTo>
                                  <a:pt x="38417" y="690534"/>
                                </a:lnTo>
                                <a:lnTo>
                                  <a:pt x="40650" y="692776"/>
                                </a:lnTo>
                                <a:lnTo>
                                  <a:pt x="42883" y="694999"/>
                                </a:lnTo>
                                <a:lnTo>
                                  <a:pt x="44603" y="697575"/>
                                </a:lnTo>
                                <a:lnTo>
                                  <a:pt x="45812" y="700497"/>
                                </a:lnTo>
                                <a:lnTo>
                                  <a:pt x="47020" y="703407"/>
                                </a:lnTo>
                                <a:lnTo>
                                  <a:pt x="47624" y="706450"/>
                                </a:lnTo>
                                <a:lnTo>
                                  <a:pt x="47625" y="709612"/>
                                </a:lnTo>
                                <a:close/>
                              </a:path>
                            </a:pathLst>
                          </a:custGeom>
                          <a:ln w="9524">
                            <a:solidFill>
                              <a:srgbClr val="2B816F"/>
                            </a:solidFill>
                            <a:prstDash val="solid"/>
                          </a:ln>
                        </wps:spPr>
                        <wps:bodyPr wrap="square" lIns="0" tIns="0" rIns="0" bIns="0" rtlCol="0">
                          <a:prstTxWarp prst="textNoShape">
                            <a:avLst/>
                          </a:prstTxWarp>
                          <a:noAutofit/>
                        </wps:bodyPr>
                      </wps:wsp>
                      <wps:wsp>
                        <wps:cNvPr id="103" name="Graphic 103"/>
                        <wps:cNvSpPr/>
                        <wps:spPr>
                          <a:xfrm>
                            <a:off x="133349" y="3057524"/>
                            <a:ext cx="47625" cy="47625"/>
                          </a:xfrm>
                          <a:custGeom>
                            <a:avLst/>
                            <a:gdLst/>
                            <a:ahLst/>
                            <a:cxnLst/>
                            <a:rect l="l" t="t" r="r" b="b"/>
                            <a:pathLst>
                              <a:path w="47625" h="47625">
                                <a:moveTo>
                                  <a:pt x="26970" y="47615"/>
                                </a:moveTo>
                                <a:lnTo>
                                  <a:pt x="20654" y="47615"/>
                                </a:lnTo>
                                <a:lnTo>
                                  <a:pt x="17617" y="47002"/>
                                </a:lnTo>
                                <a:lnTo>
                                  <a:pt x="0" y="26966"/>
                                </a:lnTo>
                                <a:lnTo>
                                  <a:pt x="0" y="20640"/>
                                </a:lnTo>
                                <a:lnTo>
                                  <a:pt x="20654" y="0"/>
                                </a:lnTo>
                                <a:lnTo>
                                  <a:pt x="26970" y="0"/>
                                </a:lnTo>
                                <a:lnTo>
                                  <a:pt x="47625" y="23812"/>
                                </a:lnTo>
                                <a:lnTo>
                                  <a:pt x="47624" y="26966"/>
                                </a:lnTo>
                                <a:lnTo>
                                  <a:pt x="26970" y="47615"/>
                                </a:lnTo>
                                <a:close/>
                              </a:path>
                            </a:pathLst>
                          </a:custGeom>
                          <a:solidFill>
                            <a:srgbClr val="2B816F"/>
                          </a:solidFill>
                        </wps:spPr>
                        <wps:bodyPr wrap="square" lIns="0" tIns="0" rIns="0" bIns="0" rtlCol="0">
                          <a:prstTxWarp prst="textNoShape">
                            <a:avLst/>
                          </a:prstTxWarp>
                          <a:noAutofit/>
                        </wps:bodyPr>
                      </wps:wsp>
                      <wps:wsp>
                        <wps:cNvPr id="104" name="Textbox 104"/>
                        <wps:cNvSpPr txBox="1"/>
                        <wps:spPr>
                          <a:xfrm>
                            <a:off x="0" y="742949"/>
                            <a:ext cx="5810250" cy="2971800"/>
                          </a:xfrm>
                          <a:prstGeom prst="rect">
                            <a:avLst/>
                          </a:prstGeom>
                        </wps:spPr>
                        <wps:txbx>
                          <w:txbxContent>
                            <w:p>
                              <w:pPr>
                                <w:spacing w:line="240" w:lineRule="auto" w:before="51"/>
                                <w:rPr>
                                  <w:sz w:val="22"/>
                                </w:rPr>
                              </w:pPr>
                            </w:p>
                            <w:p>
                              <w:pPr>
                                <w:spacing w:line="256" w:lineRule="auto" w:before="0"/>
                                <w:ind w:left="444" w:right="742" w:firstLine="0"/>
                                <w:jc w:val="both"/>
                                <w:rPr>
                                  <w:b/>
                                  <w:sz w:val="22"/>
                                </w:rPr>
                              </w:pPr>
                              <w:r>
                                <w:rPr>
                                  <w:b/>
                                  <w:sz w:val="22"/>
                                </w:rPr>
                                <w:t>Based</w:t>
                              </w:r>
                              <w:r>
                                <w:rPr>
                                  <w:b/>
                                  <w:spacing w:val="40"/>
                                  <w:sz w:val="22"/>
                                </w:rPr>
                                <w:t> </w:t>
                              </w:r>
                              <w:r>
                                <w:rPr>
                                  <w:b/>
                                  <w:sz w:val="22"/>
                                </w:rPr>
                                <w:t>on</w:t>
                              </w:r>
                              <w:r>
                                <w:rPr>
                                  <w:b/>
                                  <w:spacing w:val="40"/>
                                  <w:sz w:val="22"/>
                                </w:rPr>
                                <w:t> </w:t>
                              </w:r>
                              <w:r>
                                <w:rPr>
                                  <w:b/>
                                  <w:sz w:val="22"/>
                                </w:rPr>
                                <w:t>the</w:t>
                              </w:r>
                              <w:r>
                                <w:rPr>
                                  <w:b/>
                                  <w:spacing w:val="40"/>
                                  <w:sz w:val="22"/>
                                </w:rPr>
                                <w:t> </w:t>
                              </w:r>
                              <w:r>
                                <w:rPr>
                                  <w:b/>
                                  <w:sz w:val="22"/>
                                </w:rPr>
                                <w:t>evidence</w:t>
                              </w:r>
                              <w:r>
                                <w:rPr>
                                  <w:b/>
                                  <w:spacing w:val="40"/>
                                  <w:sz w:val="22"/>
                                </w:rPr>
                                <w:t> </w:t>
                              </w:r>
                              <w:r>
                                <w:rPr>
                                  <w:b/>
                                  <w:sz w:val="22"/>
                                </w:rPr>
                                <w:t>to</w:t>
                              </w:r>
                              <w:r>
                                <w:rPr>
                                  <w:b/>
                                  <w:spacing w:val="40"/>
                                  <w:sz w:val="22"/>
                                </w:rPr>
                                <w:t> </w:t>
                              </w:r>
                              <w:r>
                                <w:rPr>
                                  <w:b/>
                                  <w:sz w:val="22"/>
                                </w:rPr>
                                <w:t>date,</w:t>
                              </w:r>
                              <w:r>
                                <w:rPr>
                                  <w:b/>
                                  <w:spacing w:val="40"/>
                                  <w:sz w:val="22"/>
                                </w:rPr>
                                <w:t> </w:t>
                              </w:r>
                              <w:r>
                                <w:rPr>
                                  <w:b/>
                                  <w:sz w:val="22"/>
                                </w:rPr>
                                <w:t>transdermal</w:t>
                              </w:r>
                              <w:r>
                                <w:rPr>
                                  <w:b/>
                                  <w:spacing w:val="40"/>
                                  <w:sz w:val="22"/>
                                </w:rPr>
                                <w:t> </w:t>
                              </w:r>
                              <w:r>
                                <w:rPr>
                                  <w:b/>
                                  <w:sz w:val="22"/>
                                </w:rPr>
                                <w:t>ET</w:t>
                              </w:r>
                              <w:r>
                                <w:rPr>
                                  <w:b/>
                                  <w:spacing w:val="40"/>
                                  <w:sz w:val="22"/>
                                </w:rPr>
                                <w:t> </w:t>
                              </w:r>
                              <w:r>
                                <w:rPr>
                                  <w:b/>
                                  <w:sz w:val="22"/>
                                </w:rPr>
                                <w:t>seems</w:t>
                              </w:r>
                              <w:r>
                                <w:rPr>
                                  <w:b/>
                                  <w:spacing w:val="40"/>
                                  <w:sz w:val="22"/>
                                </w:rPr>
                                <w:t> </w:t>
                              </w:r>
                              <w:r>
                                <w:rPr>
                                  <w:b/>
                                  <w:sz w:val="22"/>
                                </w:rPr>
                                <w:t>a</w:t>
                              </w:r>
                              <w:r>
                                <w:rPr>
                                  <w:b/>
                                  <w:spacing w:val="40"/>
                                  <w:sz w:val="22"/>
                                </w:rPr>
                                <w:t> </w:t>
                              </w:r>
                              <w:r>
                                <w:rPr>
                                  <w:b/>
                                  <w:sz w:val="22"/>
                                </w:rPr>
                                <w:t>preferred</w:t>
                              </w:r>
                              <w:r>
                                <w:rPr>
                                  <w:b/>
                                  <w:spacing w:val="40"/>
                                  <w:sz w:val="22"/>
                                </w:rPr>
                                <w:t> </w:t>
                              </w:r>
                              <w:r>
                                <w:rPr>
                                  <w:b/>
                                  <w:sz w:val="22"/>
                                </w:rPr>
                                <w:t>option</w:t>
                              </w:r>
                              <w:r>
                                <w:rPr>
                                  <w:b/>
                                  <w:spacing w:val="40"/>
                                  <w:sz w:val="22"/>
                                </w:rPr>
                                <w:t> </w:t>
                              </w:r>
                              <w:r>
                                <w:rPr>
                                  <w:b/>
                                  <w:sz w:val="22"/>
                                </w:rPr>
                                <w:t>for women who are deemed eligible for HT use after considering individual woman’s personal</w:t>
                              </w:r>
                              <w:r>
                                <w:rPr>
                                  <w:b/>
                                  <w:spacing w:val="40"/>
                                  <w:sz w:val="22"/>
                                </w:rPr>
                                <w:t> </w:t>
                              </w:r>
                              <w:r>
                                <w:rPr>
                                  <w:b/>
                                  <w:sz w:val="22"/>
                                </w:rPr>
                                <w:t>and</w:t>
                              </w:r>
                              <w:r>
                                <w:rPr>
                                  <w:b/>
                                  <w:spacing w:val="40"/>
                                  <w:sz w:val="22"/>
                                </w:rPr>
                                <w:t> </w:t>
                              </w:r>
                              <w:r>
                                <w:rPr>
                                  <w:b/>
                                  <w:sz w:val="22"/>
                                </w:rPr>
                                <w:t>family</w:t>
                              </w:r>
                              <w:r>
                                <w:rPr>
                                  <w:b/>
                                  <w:spacing w:val="40"/>
                                  <w:sz w:val="22"/>
                                </w:rPr>
                                <w:t> </w:t>
                              </w:r>
                              <w:r>
                                <w:rPr>
                                  <w:b/>
                                  <w:sz w:val="22"/>
                                </w:rPr>
                                <w:t>histories</w:t>
                              </w:r>
                              <w:r>
                                <w:rPr>
                                  <w:b/>
                                  <w:spacing w:val="40"/>
                                  <w:sz w:val="22"/>
                                </w:rPr>
                                <w:t> </w:t>
                              </w:r>
                              <w:r>
                                <w:rPr>
                                  <w:b/>
                                  <w:sz w:val="22"/>
                                </w:rPr>
                                <w:t>and</w:t>
                              </w:r>
                              <w:r>
                                <w:rPr>
                                  <w:b/>
                                  <w:spacing w:val="40"/>
                                  <w:sz w:val="22"/>
                                </w:rPr>
                                <w:t> </w:t>
                              </w:r>
                              <w:r>
                                <w:rPr>
                                  <w:b/>
                                  <w:sz w:val="22"/>
                                </w:rPr>
                                <w:t>ruling</w:t>
                              </w:r>
                              <w:r>
                                <w:rPr>
                                  <w:b/>
                                  <w:spacing w:val="40"/>
                                  <w:sz w:val="22"/>
                                </w:rPr>
                                <w:t> </w:t>
                              </w:r>
                              <w:r>
                                <w:rPr>
                                  <w:b/>
                                  <w:sz w:val="22"/>
                                </w:rPr>
                                <w:t>out</w:t>
                              </w:r>
                              <w:r>
                                <w:rPr>
                                  <w:b/>
                                  <w:spacing w:val="40"/>
                                  <w:sz w:val="22"/>
                                </w:rPr>
                                <w:t> </w:t>
                              </w:r>
                              <w:r>
                                <w:rPr>
                                  <w:b/>
                                  <w:sz w:val="22"/>
                                </w:rPr>
                                <w:t>absolute</w:t>
                              </w:r>
                              <w:r>
                                <w:rPr>
                                  <w:b/>
                                  <w:spacing w:val="40"/>
                                  <w:sz w:val="22"/>
                                </w:rPr>
                                <w:t> </w:t>
                              </w:r>
                              <w:r>
                                <w:rPr>
                                  <w:b/>
                                  <w:sz w:val="22"/>
                                </w:rPr>
                                <w:t>and</w:t>
                              </w:r>
                              <w:r>
                                <w:rPr>
                                  <w:b/>
                                  <w:spacing w:val="40"/>
                                  <w:sz w:val="22"/>
                                </w:rPr>
                                <w:t> </w:t>
                              </w:r>
                              <w:r>
                                <w:rPr>
                                  <w:b/>
                                  <w:sz w:val="22"/>
                                </w:rPr>
                                <w:t>relative contraindications to HT use.</w:t>
                              </w:r>
                            </w:p>
                            <w:p>
                              <w:pPr>
                                <w:spacing w:line="256" w:lineRule="auto" w:before="0"/>
                                <w:ind w:left="444" w:right="750" w:firstLine="0"/>
                                <w:jc w:val="both"/>
                                <w:rPr>
                                  <w:b/>
                                  <w:sz w:val="22"/>
                                </w:rPr>
                              </w:pPr>
                              <w:r>
                                <w:rPr>
                                  <w:b/>
                                  <w:sz w:val="22"/>
                                </w:rPr>
                                <w:t>Sufficient evidence suggests that transdermal route of estrogen administration </w:t>
                              </w:r>
                              <w:r>
                                <w:rPr>
                                  <w:b/>
                                  <w:sz w:val="22"/>
                                </w:rPr>
                                <w:t>be preferentially considered if decision for initiating HT is made after detailed counseling and weighing of risks versus benefits of HT for the following patients:</w:t>
                              </w:r>
                            </w:p>
                            <w:p>
                              <w:pPr>
                                <w:spacing w:line="251" w:lineRule="exact" w:before="0"/>
                                <w:ind w:left="692" w:right="0" w:firstLine="0"/>
                                <w:jc w:val="left"/>
                                <w:rPr>
                                  <w:b/>
                                  <w:sz w:val="22"/>
                                </w:rPr>
                              </w:pPr>
                              <w:r>
                                <w:rPr>
                                  <w:b/>
                                  <w:sz w:val="22"/>
                                </w:rPr>
                                <w:t>Women</w:t>
                              </w:r>
                              <w:r>
                                <w:rPr>
                                  <w:b/>
                                  <w:spacing w:val="7"/>
                                  <w:sz w:val="22"/>
                                </w:rPr>
                                <w:t> </w:t>
                              </w:r>
                              <w:r>
                                <w:rPr>
                                  <w:b/>
                                  <w:sz w:val="22"/>
                                </w:rPr>
                                <w:t>deemed</w:t>
                              </w:r>
                              <w:r>
                                <w:rPr>
                                  <w:b/>
                                  <w:spacing w:val="8"/>
                                  <w:sz w:val="22"/>
                                </w:rPr>
                                <w:t> </w:t>
                              </w:r>
                              <w:r>
                                <w:rPr>
                                  <w:b/>
                                  <w:sz w:val="22"/>
                                </w:rPr>
                                <w:t>at</w:t>
                              </w:r>
                              <w:r>
                                <w:rPr>
                                  <w:b/>
                                  <w:spacing w:val="7"/>
                                  <w:sz w:val="22"/>
                                </w:rPr>
                                <w:t> </w:t>
                              </w:r>
                              <w:r>
                                <w:rPr>
                                  <w:b/>
                                  <w:sz w:val="22"/>
                                </w:rPr>
                                <w:t>risk</w:t>
                              </w:r>
                              <w:r>
                                <w:rPr>
                                  <w:b/>
                                  <w:spacing w:val="8"/>
                                  <w:sz w:val="22"/>
                                </w:rPr>
                                <w:t> </w:t>
                              </w:r>
                              <w:r>
                                <w:rPr>
                                  <w:b/>
                                  <w:sz w:val="22"/>
                                </w:rPr>
                                <w:t>for</w:t>
                              </w:r>
                              <w:r>
                                <w:rPr>
                                  <w:b/>
                                  <w:spacing w:val="7"/>
                                  <w:sz w:val="22"/>
                                </w:rPr>
                                <w:t> </w:t>
                              </w:r>
                              <w:r>
                                <w:rPr>
                                  <w:b/>
                                  <w:spacing w:val="-5"/>
                                  <w:sz w:val="22"/>
                                </w:rPr>
                                <w:t>VTE</w:t>
                              </w:r>
                            </w:p>
                            <w:p>
                              <w:pPr>
                                <w:spacing w:line="256" w:lineRule="auto" w:before="15"/>
                                <w:ind w:left="692" w:right="1346" w:firstLine="0"/>
                                <w:jc w:val="left"/>
                                <w:rPr>
                                  <w:b/>
                                  <w:sz w:val="22"/>
                                </w:rPr>
                              </w:pPr>
                              <w:r>
                                <w:rPr>
                                  <w:b/>
                                  <w:sz w:val="22"/>
                                </w:rPr>
                                <w:t>Women with spontaneous or estrogen-induced </w:t>
                              </w:r>
                              <w:r>
                                <w:rPr>
                                  <w:b/>
                                  <w:sz w:val="22"/>
                                </w:rPr>
                                <w:t>hypertriglyceridemia Women who are obese with metabolic syndrome</w:t>
                              </w:r>
                            </w:p>
                            <w:p>
                              <w:pPr>
                                <w:spacing w:line="256" w:lineRule="auto" w:before="0"/>
                                <w:ind w:left="692" w:right="3670" w:firstLine="0"/>
                                <w:jc w:val="left"/>
                                <w:rPr>
                                  <w:b/>
                                  <w:sz w:val="22"/>
                                </w:rPr>
                              </w:pPr>
                              <w:r>
                                <w:rPr>
                                  <w:b/>
                                  <w:sz w:val="22"/>
                                </w:rPr>
                                <w:t>Women who are diabetic and </w:t>
                              </w:r>
                              <w:r>
                                <w:rPr>
                                  <w:b/>
                                  <w:sz w:val="22"/>
                                </w:rPr>
                                <w:t>hypertensive </w:t>
                              </w:r>
                              <w:r>
                                <w:rPr>
                                  <w:b/>
                                  <w:spacing w:val="-2"/>
                                  <w:sz w:val="22"/>
                                </w:rPr>
                                <w:t>Smokers</w:t>
                              </w:r>
                            </w:p>
                            <w:p>
                              <w:pPr>
                                <w:spacing w:line="256" w:lineRule="auto" w:before="0"/>
                                <w:ind w:left="444" w:right="610" w:firstLine="0"/>
                                <w:jc w:val="left"/>
                                <w:rPr>
                                  <w:b/>
                                  <w:sz w:val="22"/>
                                </w:rPr>
                              </w:pPr>
                              <w:r>
                                <w:rPr>
                                  <w:b/>
                                  <w:sz w:val="22"/>
                                </w:rPr>
                                <w:t>Transdermal</w:t>
                              </w:r>
                              <w:r>
                                <w:rPr>
                                  <w:b/>
                                  <w:spacing w:val="40"/>
                                  <w:sz w:val="22"/>
                                </w:rPr>
                                <w:t> </w:t>
                              </w:r>
                              <w:r>
                                <w:rPr>
                                  <w:b/>
                                  <w:sz w:val="22"/>
                                </w:rPr>
                                <w:t>route</w:t>
                              </w:r>
                              <w:r>
                                <w:rPr>
                                  <w:b/>
                                  <w:spacing w:val="40"/>
                                  <w:sz w:val="22"/>
                                </w:rPr>
                                <w:t> </w:t>
                              </w:r>
                              <w:r>
                                <w:rPr>
                                  <w:b/>
                                  <w:sz w:val="22"/>
                                </w:rPr>
                                <w:t>for</w:t>
                              </w:r>
                              <w:r>
                                <w:rPr>
                                  <w:b/>
                                  <w:spacing w:val="40"/>
                                  <w:sz w:val="22"/>
                                </w:rPr>
                                <w:t> </w:t>
                              </w:r>
                              <w:r>
                                <w:rPr>
                                  <w:b/>
                                  <w:sz w:val="22"/>
                                </w:rPr>
                                <w:t>ET</w:t>
                              </w:r>
                              <w:r>
                                <w:rPr>
                                  <w:b/>
                                  <w:spacing w:val="40"/>
                                  <w:sz w:val="22"/>
                                </w:rPr>
                                <w:t> </w:t>
                              </w:r>
                              <w:r>
                                <w:rPr>
                                  <w:b/>
                                  <w:sz w:val="22"/>
                                </w:rPr>
                                <w:t>should</w:t>
                              </w:r>
                              <w:r>
                                <w:rPr>
                                  <w:b/>
                                  <w:spacing w:val="40"/>
                                  <w:sz w:val="22"/>
                                </w:rPr>
                                <w:t> </w:t>
                              </w:r>
                              <w:r>
                                <w:rPr>
                                  <w:b/>
                                  <w:sz w:val="22"/>
                                </w:rPr>
                                <w:t>be</w:t>
                              </w:r>
                              <w:r>
                                <w:rPr>
                                  <w:b/>
                                  <w:spacing w:val="40"/>
                                  <w:sz w:val="22"/>
                                </w:rPr>
                                <w:t> </w:t>
                              </w:r>
                              <w:r>
                                <w:rPr>
                                  <w:b/>
                                  <w:sz w:val="22"/>
                                </w:rPr>
                                <w:t>preferentially</w:t>
                              </w:r>
                              <w:r>
                                <w:rPr>
                                  <w:b/>
                                  <w:spacing w:val="40"/>
                                  <w:sz w:val="22"/>
                                </w:rPr>
                                <w:t> </w:t>
                              </w:r>
                              <w:r>
                                <w:rPr>
                                  <w:b/>
                                  <w:sz w:val="22"/>
                                </w:rPr>
                                <w:t>considered</w:t>
                              </w:r>
                              <w:r>
                                <w:rPr>
                                  <w:b/>
                                  <w:spacing w:val="40"/>
                                  <w:sz w:val="22"/>
                                </w:rPr>
                                <w:t> </w:t>
                              </w:r>
                              <w:r>
                                <w:rPr>
                                  <w:b/>
                                  <w:sz w:val="22"/>
                                </w:rPr>
                                <w:t>in</w:t>
                              </w:r>
                              <w:r>
                                <w:rPr>
                                  <w:b/>
                                  <w:spacing w:val="40"/>
                                  <w:sz w:val="22"/>
                                </w:rPr>
                                <w:t> </w:t>
                              </w:r>
                              <w:r>
                                <w:rPr>
                                  <w:b/>
                                  <w:sz w:val="22"/>
                                </w:rPr>
                                <w:t>women</w:t>
                              </w:r>
                              <w:r>
                                <w:rPr>
                                  <w:b/>
                                  <w:spacing w:val="40"/>
                                  <w:sz w:val="22"/>
                                </w:rPr>
                                <w:t> </w:t>
                              </w:r>
                              <w:r>
                                <w:rPr>
                                  <w:b/>
                                  <w:sz w:val="22"/>
                                </w:rPr>
                                <w:t>with complaints of hypoactive sexual desire or decreased libido.</w:t>
                              </w:r>
                            </w:p>
                          </w:txbxContent>
                        </wps:txbx>
                        <wps:bodyPr wrap="square" lIns="0" tIns="0" rIns="0" bIns="0" rtlCol="0">
                          <a:noAutofit/>
                        </wps:bodyPr>
                      </wps:wsp>
                      <wps:wsp>
                        <wps:cNvPr id="105" name="Textbox 105"/>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wps:txbx>
                        <wps:bodyPr wrap="square" lIns="0" tIns="0" rIns="0" bIns="0" rtlCol="0">
                          <a:noAutofit/>
                        </wps:bodyPr>
                      </wps:wsp>
                    </wpg:wgp>
                  </a:graphicData>
                </a:graphic>
              </wp:inline>
            </w:drawing>
          </mc:Choice>
          <mc:Fallback>
            <w:pict>
              <v:group style="width:457.5pt;height:292.5pt;mso-position-horizontal-relative:char;mso-position-vertical-relative:line" id="docshapegroup79" coordorigin="0,0" coordsize="9150,5850">
                <v:rect style="position:absolute;left:0;top:0;width:9150;height:30" id="docshape80" filled="true" fillcolor="#d5e699" stroked="false">
                  <v:fill type="solid"/>
                </v:rect>
                <v:rect style="position:absolute;left:0;top:1170;width:9150;height:4680" id="docshape81" filled="true" fillcolor="#e9f1cd" stroked="false">
                  <v:fill type="solid"/>
                </v:rect>
                <v:rect style="position:absolute;left:0;top:90;width:9150;height:1080" id="docshape82" filled="true" fillcolor="#2b816f" stroked="false">
                  <v:fill type="solid"/>
                </v:rect>
                <v:shape style="position:absolute;left:330;top:360;width:585;height:90" id="docshape83" coordorigin="330,360" coordsize="585,90" path="m381,450l369,450,363,449,352,444,347,441,339,433,336,428,331,417,330,411,330,399,331,393,336,382,339,377,347,369,352,366,363,361,369,360,381,360,387,361,398,366,403,369,411,377,414,382,419,393,420,399,420,411,419,417,414,428,411,433,403,441,398,444,387,449,381,450xm546,450l534,450,528,449,517,444,512,441,504,433,501,428,496,417,495,411,495,399,496,393,501,382,504,377,512,369,517,366,528,361,534,360,546,360,552,361,563,366,567,369,576,377,579,382,584,393,585,399,585,411,584,417,579,428,576,433,567,441,563,444,552,449,546,450xm711,450l699,450,693,449,682,444,677,441,669,433,665,428,661,417,660,411,660,399,661,393,665,382,669,377,677,369,682,366,693,361,699,360,711,360,716,361,727,366,732,369,741,377,744,382,749,393,750,399,750,411,749,417,744,428,741,433,732,441,727,444,716,449,711,450xm876,450l864,450,858,449,847,444,842,441,834,433,830,428,826,417,825,411,825,399,826,393,830,382,834,377,842,369,847,366,858,361,864,360,876,360,881,361,892,366,897,369,906,377,909,382,913,393,915,399,915,411,913,417,909,428,906,433,897,441,892,444,881,449,876,450xe" filled="true" fillcolor="#d0e399" stroked="false">
                  <v:path arrowok="t"/>
                  <v:fill type="solid"/>
                </v:shape>
                <v:shape style="position:absolute;left:209;top:1575;width:75;height:1155" id="docshape84" coordorigin="210,1575" coordsize="75,1155" path="m285,2688l284,2683,280,2674,278,2669,271,2662,266,2660,257,2656,252,2655,243,2655,238,2656,229,2660,224,2662,217,2669,215,2674,211,2683,210,2688,210,2697,211,2702,215,2711,217,2715,224,2722,229,2725,238,2729,243,2730,252,2730,257,2729,266,2725,271,2722,278,2715,280,2711,284,2702,285,2697,285,2693,285,2688xm285,1608l284,1603,280,1594,278,1589,271,1582,266,1580,257,1576,252,1575,243,1575,238,1576,229,1580,224,1582,217,1589,215,1594,211,1603,210,1608,210,1617,211,1622,215,1631,217,1635,224,1643,229,1645,238,1649,243,1650,252,1650,257,1649,266,1645,271,1643,278,1635,280,1631,284,1622,285,1617,285,1613,285,1608xe" filled="true" fillcolor="#2b816f" stroked="false">
                  <v:path arrowok="t"/>
                  <v:fill type="solid"/>
                </v:shape>
                <v:shape style="position:absolute;left:450;top:3465;width:75;height:1155" id="docshape85" coordorigin="450,3465" coordsize="75,1155" path="m525,3502l525,3507,524,3512,522,3517,520,3521,518,3525,514,3529,511,3533,506,3535,502,3537,497,3539,492,3540,487,3540,483,3540,478,3539,473,3537,469,3535,464,3533,461,3529,457,3525,455,3521,453,3517,451,3512,450,3507,450,3502,450,3498,451,3493,453,3488,455,3484,457,3479,461,3476,464,3472,469,3470,473,3468,478,3466,483,3465,487,3465,492,3465,497,3466,502,3468,506,3470,511,3472,514,3476,518,3479,520,3484,522,3488,524,3493,525,3498,525,3502xm525,3772l525,3777,524,3782,522,3787,520,3791,518,3795,514,3799,511,3803,506,3805,502,3807,497,3809,492,3810,487,3810,483,3810,478,3809,473,3807,469,3805,464,3803,461,3799,457,3795,455,3791,453,3787,451,3782,450,3777,450,3772,450,3768,451,3763,453,3758,455,3754,457,3749,461,3746,464,3742,469,3740,473,3738,478,3736,483,3735,487,3735,492,3735,497,3736,502,3738,506,3740,511,3742,514,3746,518,3749,520,3754,522,3758,524,3763,525,3768,525,3772xm525,4042l525,4047,524,4052,522,4057,520,4061,518,4065,514,4069,511,4073,506,4075,502,4077,497,4079,492,4080,487,4080,483,4080,478,4079,473,4077,469,4075,464,4073,461,4069,457,4065,455,4061,453,4057,451,4052,450,4047,450,4042,450,4038,451,4033,453,4028,455,4024,457,4019,461,4016,464,4012,469,4010,473,4008,478,4006,483,4005,487,4005,492,4005,497,4006,502,4008,506,4010,511,4012,514,4016,518,4019,520,4024,522,4028,524,4033,525,4038,525,4042xm525,4312l525,4317,524,4322,522,4327,520,4331,518,4335,514,4339,511,4342,506,4345,502,4347,497,4349,492,4350,487,4350,483,4350,478,4349,473,4347,469,4345,464,4342,461,4339,457,4335,455,4331,453,4327,451,4322,450,4317,450,4312,450,4308,451,4303,453,4298,455,4294,457,4289,461,4286,464,4282,469,4280,473,4278,478,4276,483,4275,487,4275,492,4275,497,4276,502,4278,506,4280,511,4282,514,4286,518,4289,520,4294,522,4298,524,4303,525,4308,525,4312xm525,4582l525,4587,524,4592,522,4597,520,4601,518,4605,514,4609,511,4613,506,4615,502,4617,497,4619,492,4620,487,4620,483,4620,478,4619,473,4617,469,4615,464,4613,461,4609,457,4605,455,4601,453,4597,451,4592,450,4587,450,4582,450,4578,451,4573,453,4568,455,4564,457,4559,461,4556,464,4552,469,4550,473,4548,478,4546,483,4545,487,4545,492,4545,497,4546,502,4548,506,4550,511,4552,514,4556,518,4559,520,4564,522,4568,524,4573,525,4578,525,4582xe" filled="false" stroked="true" strokeweight=".75pt" strokecolor="#2b816f">
                  <v:path arrowok="t"/>
                  <v:stroke dashstyle="solid"/>
                </v:shape>
                <v:shape style="position:absolute;left:210;top:4815;width:75;height:75" id="docshape86" coordorigin="210,4815" coordsize="75,75" path="m252,4890l243,4890,238,4889,210,4857,210,4848,243,4815,252,4815,285,4852,285,4857,252,4890xe" filled="true" fillcolor="#2b816f" stroked="false">
                  <v:path arrowok="t"/>
                  <v:fill type="solid"/>
                </v:shape>
                <v:shape style="position:absolute;left:0;top:1170;width:9150;height:4680" type="#_x0000_t202" id="docshape87" filled="false" stroked="false">
                  <v:textbox inset="0,0,0,0">
                    <w:txbxContent>
                      <w:p>
                        <w:pPr>
                          <w:spacing w:line="240" w:lineRule="auto" w:before="51"/>
                          <w:rPr>
                            <w:sz w:val="22"/>
                          </w:rPr>
                        </w:pPr>
                      </w:p>
                      <w:p>
                        <w:pPr>
                          <w:spacing w:line="256" w:lineRule="auto" w:before="0"/>
                          <w:ind w:left="444" w:right="742" w:firstLine="0"/>
                          <w:jc w:val="both"/>
                          <w:rPr>
                            <w:b/>
                            <w:sz w:val="22"/>
                          </w:rPr>
                        </w:pPr>
                        <w:r>
                          <w:rPr>
                            <w:b/>
                            <w:sz w:val="22"/>
                          </w:rPr>
                          <w:t>Based</w:t>
                        </w:r>
                        <w:r>
                          <w:rPr>
                            <w:b/>
                            <w:spacing w:val="40"/>
                            <w:sz w:val="22"/>
                          </w:rPr>
                          <w:t> </w:t>
                        </w:r>
                        <w:r>
                          <w:rPr>
                            <w:b/>
                            <w:sz w:val="22"/>
                          </w:rPr>
                          <w:t>on</w:t>
                        </w:r>
                        <w:r>
                          <w:rPr>
                            <w:b/>
                            <w:spacing w:val="40"/>
                            <w:sz w:val="22"/>
                          </w:rPr>
                          <w:t> </w:t>
                        </w:r>
                        <w:r>
                          <w:rPr>
                            <w:b/>
                            <w:sz w:val="22"/>
                          </w:rPr>
                          <w:t>the</w:t>
                        </w:r>
                        <w:r>
                          <w:rPr>
                            <w:b/>
                            <w:spacing w:val="40"/>
                            <w:sz w:val="22"/>
                          </w:rPr>
                          <w:t> </w:t>
                        </w:r>
                        <w:r>
                          <w:rPr>
                            <w:b/>
                            <w:sz w:val="22"/>
                          </w:rPr>
                          <w:t>evidence</w:t>
                        </w:r>
                        <w:r>
                          <w:rPr>
                            <w:b/>
                            <w:spacing w:val="40"/>
                            <w:sz w:val="22"/>
                          </w:rPr>
                          <w:t> </w:t>
                        </w:r>
                        <w:r>
                          <w:rPr>
                            <w:b/>
                            <w:sz w:val="22"/>
                          </w:rPr>
                          <w:t>to</w:t>
                        </w:r>
                        <w:r>
                          <w:rPr>
                            <w:b/>
                            <w:spacing w:val="40"/>
                            <w:sz w:val="22"/>
                          </w:rPr>
                          <w:t> </w:t>
                        </w:r>
                        <w:r>
                          <w:rPr>
                            <w:b/>
                            <w:sz w:val="22"/>
                          </w:rPr>
                          <w:t>date,</w:t>
                        </w:r>
                        <w:r>
                          <w:rPr>
                            <w:b/>
                            <w:spacing w:val="40"/>
                            <w:sz w:val="22"/>
                          </w:rPr>
                          <w:t> </w:t>
                        </w:r>
                        <w:r>
                          <w:rPr>
                            <w:b/>
                            <w:sz w:val="22"/>
                          </w:rPr>
                          <w:t>transdermal</w:t>
                        </w:r>
                        <w:r>
                          <w:rPr>
                            <w:b/>
                            <w:spacing w:val="40"/>
                            <w:sz w:val="22"/>
                          </w:rPr>
                          <w:t> </w:t>
                        </w:r>
                        <w:r>
                          <w:rPr>
                            <w:b/>
                            <w:sz w:val="22"/>
                          </w:rPr>
                          <w:t>ET</w:t>
                        </w:r>
                        <w:r>
                          <w:rPr>
                            <w:b/>
                            <w:spacing w:val="40"/>
                            <w:sz w:val="22"/>
                          </w:rPr>
                          <w:t> </w:t>
                        </w:r>
                        <w:r>
                          <w:rPr>
                            <w:b/>
                            <w:sz w:val="22"/>
                          </w:rPr>
                          <w:t>seems</w:t>
                        </w:r>
                        <w:r>
                          <w:rPr>
                            <w:b/>
                            <w:spacing w:val="40"/>
                            <w:sz w:val="22"/>
                          </w:rPr>
                          <w:t> </w:t>
                        </w:r>
                        <w:r>
                          <w:rPr>
                            <w:b/>
                            <w:sz w:val="22"/>
                          </w:rPr>
                          <w:t>a</w:t>
                        </w:r>
                        <w:r>
                          <w:rPr>
                            <w:b/>
                            <w:spacing w:val="40"/>
                            <w:sz w:val="22"/>
                          </w:rPr>
                          <w:t> </w:t>
                        </w:r>
                        <w:r>
                          <w:rPr>
                            <w:b/>
                            <w:sz w:val="22"/>
                          </w:rPr>
                          <w:t>preferred</w:t>
                        </w:r>
                        <w:r>
                          <w:rPr>
                            <w:b/>
                            <w:spacing w:val="40"/>
                            <w:sz w:val="22"/>
                          </w:rPr>
                          <w:t> </w:t>
                        </w:r>
                        <w:r>
                          <w:rPr>
                            <w:b/>
                            <w:sz w:val="22"/>
                          </w:rPr>
                          <w:t>option</w:t>
                        </w:r>
                        <w:r>
                          <w:rPr>
                            <w:b/>
                            <w:spacing w:val="40"/>
                            <w:sz w:val="22"/>
                          </w:rPr>
                          <w:t> </w:t>
                        </w:r>
                        <w:r>
                          <w:rPr>
                            <w:b/>
                            <w:sz w:val="22"/>
                          </w:rPr>
                          <w:t>for women who are deemed eligible for HT use after considering individual woman’s personal</w:t>
                        </w:r>
                        <w:r>
                          <w:rPr>
                            <w:b/>
                            <w:spacing w:val="40"/>
                            <w:sz w:val="22"/>
                          </w:rPr>
                          <w:t> </w:t>
                        </w:r>
                        <w:r>
                          <w:rPr>
                            <w:b/>
                            <w:sz w:val="22"/>
                          </w:rPr>
                          <w:t>and</w:t>
                        </w:r>
                        <w:r>
                          <w:rPr>
                            <w:b/>
                            <w:spacing w:val="40"/>
                            <w:sz w:val="22"/>
                          </w:rPr>
                          <w:t> </w:t>
                        </w:r>
                        <w:r>
                          <w:rPr>
                            <w:b/>
                            <w:sz w:val="22"/>
                          </w:rPr>
                          <w:t>family</w:t>
                        </w:r>
                        <w:r>
                          <w:rPr>
                            <w:b/>
                            <w:spacing w:val="40"/>
                            <w:sz w:val="22"/>
                          </w:rPr>
                          <w:t> </w:t>
                        </w:r>
                        <w:r>
                          <w:rPr>
                            <w:b/>
                            <w:sz w:val="22"/>
                          </w:rPr>
                          <w:t>histories</w:t>
                        </w:r>
                        <w:r>
                          <w:rPr>
                            <w:b/>
                            <w:spacing w:val="40"/>
                            <w:sz w:val="22"/>
                          </w:rPr>
                          <w:t> </w:t>
                        </w:r>
                        <w:r>
                          <w:rPr>
                            <w:b/>
                            <w:sz w:val="22"/>
                          </w:rPr>
                          <w:t>and</w:t>
                        </w:r>
                        <w:r>
                          <w:rPr>
                            <w:b/>
                            <w:spacing w:val="40"/>
                            <w:sz w:val="22"/>
                          </w:rPr>
                          <w:t> </w:t>
                        </w:r>
                        <w:r>
                          <w:rPr>
                            <w:b/>
                            <w:sz w:val="22"/>
                          </w:rPr>
                          <w:t>ruling</w:t>
                        </w:r>
                        <w:r>
                          <w:rPr>
                            <w:b/>
                            <w:spacing w:val="40"/>
                            <w:sz w:val="22"/>
                          </w:rPr>
                          <w:t> </w:t>
                        </w:r>
                        <w:r>
                          <w:rPr>
                            <w:b/>
                            <w:sz w:val="22"/>
                          </w:rPr>
                          <w:t>out</w:t>
                        </w:r>
                        <w:r>
                          <w:rPr>
                            <w:b/>
                            <w:spacing w:val="40"/>
                            <w:sz w:val="22"/>
                          </w:rPr>
                          <w:t> </w:t>
                        </w:r>
                        <w:r>
                          <w:rPr>
                            <w:b/>
                            <w:sz w:val="22"/>
                          </w:rPr>
                          <w:t>absolute</w:t>
                        </w:r>
                        <w:r>
                          <w:rPr>
                            <w:b/>
                            <w:spacing w:val="40"/>
                            <w:sz w:val="22"/>
                          </w:rPr>
                          <w:t> </w:t>
                        </w:r>
                        <w:r>
                          <w:rPr>
                            <w:b/>
                            <w:sz w:val="22"/>
                          </w:rPr>
                          <w:t>and</w:t>
                        </w:r>
                        <w:r>
                          <w:rPr>
                            <w:b/>
                            <w:spacing w:val="40"/>
                            <w:sz w:val="22"/>
                          </w:rPr>
                          <w:t> </w:t>
                        </w:r>
                        <w:r>
                          <w:rPr>
                            <w:b/>
                            <w:sz w:val="22"/>
                          </w:rPr>
                          <w:t>relative contraindications to HT use.</w:t>
                        </w:r>
                      </w:p>
                      <w:p>
                        <w:pPr>
                          <w:spacing w:line="256" w:lineRule="auto" w:before="0"/>
                          <w:ind w:left="444" w:right="750" w:firstLine="0"/>
                          <w:jc w:val="both"/>
                          <w:rPr>
                            <w:b/>
                            <w:sz w:val="22"/>
                          </w:rPr>
                        </w:pPr>
                        <w:r>
                          <w:rPr>
                            <w:b/>
                            <w:sz w:val="22"/>
                          </w:rPr>
                          <w:t>Sufficient evidence suggests that transdermal route of estrogen administration </w:t>
                        </w:r>
                        <w:r>
                          <w:rPr>
                            <w:b/>
                            <w:sz w:val="22"/>
                          </w:rPr>
                          <w:t>be preferentially considered if decision for initiating HT is made after detailed counseling and weighing of risks versus benefits of HT for the following patients:</w:t>
                        </w:r>
                      </w:p>
                      <w:p>
                        <w:pPr>
                          <w:spacing w:line="251" w:lineRule="exact" w:before="0"/>
                          <w:ind w:left="692" w:right="0" w:firstLine="0"/>
                          <w:jc w:val="left"/>
                          <w:rPr>
                            <w:b/>
                            <w:sz w:val="22"/>
                          </w:rPr>
                        </w:pPr>
                        <w:r>
                          <w:rPr>
                            <w:b/>
                            <w:sz w:val="22"/>
                          </w:rPr>
                          <w:t>Women</w:t>
                        </w:r>
                        <w:r>
                          <w:rPr>
                            <w:b/>
                            <w:spacing w:val="7"/>
                            <w:sz w:val="22"/>
                          </w:rPr>
                          <w:t> </w:t>
                        </w:r>
                        <w:r>
                          <w:rPr>
                            <w:b/>
                            <w:sz w:val="22"/>
                          </w:rPr>
                          <w:t>deemed</w:t>
                        </w:r>
                        <w:r>
                          <w:rPr>
                            <w:b/>
                            <w:spacing w:val="8"/>
                            <w:sz w:val="22"/>
                          </w:rPr>
                          <w:t> </w:t>
                        </w:r>
                        <w:r>
                          <w:rPr>
                            <w:b/>
                            <w:sz w:val="22"/>
                          </w:rPr>
                          <w:t>at</w:t>
                        </w:r>
                        <w:r>
                          <w:rPr>
                            <w:b/>
                            <w:spacing w:val="7"/>
                            <w:sz w:val="22"/>
                          </w:rPr>
                          <w:t> </w:t>
                        </w:r>
                        <w:r>
                          <w:rPr>
                            <w:b/>
                            <w:sz w:val="22"/>
                          </w:rPr>
                          <w:t>risk</w:t>
                        </w:r>
                        <w:r>
                          <w:rPr>
                            <w:b/>
                            <w:spacing w:val="8"/>
                            <w:sz w:val="22"/>
                          </w:rPr>
                          <w:t> </w:t>
                        </w:r>
                        <w:r>
                          <w:rPr>
                            <w:b/>
                            <w:sz w:val="22"/>
                          </w:rPr>
                          <w:t>for</w:t>
                        </w:r>
                        <w:r>
                          <w:rPr>
                            <w:b/>
                            <w:spacing w:val="7"/>
                            <w:sz w:val="22"/>
                          </w:rPr>
                          <w:t> </w:t>
                        </w:r>
                        <w:r>
                          <w:rPr>
                            <w:b/>
                            <w:spacing w:val="-5"/>
                            <w:sz w:val="22"/>
                          </w:rPr>
                          <w:t>VTE</w:t>
                        </w:r>
                      </w:p>
                      <w:p>
                        <w:pPr>
                          <w:spacing w:line="256" w:lineRule="auto" w:before="15"/>
                          <w:ind w:left="692" w:right="1346" w:firstLine="0"/>
                          <w:jc w:val="left"/>
                          <w:rPr>
                            <w:b/>
                            <w:sz w:val="22"/>
                          </w:rPr>
                        </w:pPr>
                        <w:r>
                          <w:rPr>
                            <w:b/>
                            <w:sz w:val="22"/>
                          </w:rPr>
                          <w:t>Women with spontaneous or estrogen-induced </w:t>
                        </w:r>
                        <w:r>
                          <w:rPr>
                            <w:b/>
                            <w:sz w:val="22"/>
                          </w:rPr>
                          <w:t>hypertriglyceridemia Women who are obese with metabolic syndrome</w:t>
                        </w:r>
                      </w:p>
                      <w:p>
                        <w:pPr>
                          <w:spacing w:line="256" w:lineRule="auto" w:before="0"/>
                          <w:ind w:left="692" w:right="3670" w:firstLine="0"/>
                          <w:jc w:val="left"/>
                          <w:rPr>
                            <w:b/>
                            <w:sz w:val="22"/>
                          </w:rPr>
                        </w:pPr>
                        <w:r>
                          <w:rPr>
                            <w:b/>
                            <w:sz w:val="22"/>
                          </w:rPr>
                          <w:t>Women who are diabetic and </w:t>
                        </w:r>
                        <w:r>
                          <w:rPr>
                            <w:b/>
                            <w:sz w:val="22"/>
                          </w:rPr>
                          <w:t>hypertensive </w:t>
                        </w:r>
                        <w:r>
                          <w:rPr>
                            <w:b/>
                            <w:spacing w:val="-2"/>
                            <w:sz w:val="22"/>
                          </w:rPr>
                          <w:t>Smokers</w:t>
                        </w:r>
                      </w:p>
                      <w:p>
                        <w:pPr>
                          <w:spacing w:line="256" w:lineRule="auto" w:before="0"/>
                          <w:ind w:left="444" w:right="610" w:firstLine="0"/>
                          <w:jc w:val="left"/>
                          <w:rPr>
                            <w:b/>
                            <w:sz w:val="22"/>
                          </w:rPr>
                        </w:pPr>
                        <w:r>
                          <w:rPr>
                            <w:b/>
                            <w:sz w:val="22"/>
                          </w:rPr>
                          <w:t>Transdermal</w:t>
                        </w:r>
                        <w:r>
                          <w:rPr>
                            <w:b/>
                            <w:spacing w:val="40"/>
                            <w:sz w:val="22"/>
                          </w:rPr>
                          <w:t> </w:t>
                        </w:r>
                        <w:r>
                          <w:rPr>
                            <w:b/>
                            <w:sz w:val="22"/>
                          </w:rPr>
                          <w:t>route</w:t>
                        </w:r>
                        <w:r>
                          <w:rPr>
                            <w:b/>
                            <w:spacing w:val="40"/>
                            <w:sz w:val="22"/>
                          </w:rPr>
                          <w:t> </w:t>
                        </w:r>
                        <w:r>
                          <w:rPr>
                            <w:b/>
                            <w:sz w:val="22"/>
                          </w:rPr>
                          <w:t>for</w:t>
                        </w:r>
                        <w:r>
                          <w:rPr>
                            <w:b/>
                            <w:spacing w:val="40"/>
                            <w:sz w:val="22"/>
                          </w:rPr>
                          <w:t> </w:t>
                        </w:r>
                        <w:r>
                          <w:rPr>
                            <w:b/>
                            <w:sz w:val="22"/>
                          </w:rPr>
                          <w:t>ET</w:t>
                        </w:r>
                        <w:r>
                          <w:rPr>
                            <w:b/>
                            <w:spacing w:val="40"/>
                            <w:sz w:val="22"/>
                          </w:rPr>
                          <w:t> </w:t>
                        </w:r>
                        <w:r>
                          <w:rPr>
                            <w:b/>
                            <w:sz w:val="22"/>
                          </w:rPr>
                          <w:t>should</w:t>
                        </w:r>
                        <w:r>
                          <w:rPr>
                            <w:b/>
                            <w:spacing w:val="40"/>
                            <w:sz w:val="22"/>
                          </w:rPr>
                          <w:t> </w:t>
                        </w:r>
                        <w:r>
                          <w:rPr>
                            <w:b/>
                            <w:sz w:val="22"/>
                          </w:rPr>
                          <w:t>be</w:t>
                        </w:r>
                        <w:r>
                          <w:rPr>
                            <w:b/>
                            <w:spacing w:val="40"/>
                            <w:sz w:val="22"/>
                          </w:rPr>
                          <w:t> </w:t>
                        </w:r>
                        <w:r>
                          <w:rPr>
                            <w:b/>
                            <w:sz w:val="22"/>
                          </w:rPr>
                          <w:t>preferentially</w:t>
                        </w:r>
                        <w:r>
                          <w:rPr>
                            <w:b/>
                            <w:spacing w:val="40"/>
                            <w:sz w:val="22"/>
                          </w:rPr>
                          <w:t> </w:t>
                        </w:r>
                        <w:r>
                          <w:rPr>
                            <w:b/>
                            <w:sz w:val="22"/>
                          </w:rPr>
                          <w:t>considered</w:t>
                        </w:r>
                        <w:r>
                          <w:rPr>
                            <w:b/>
                            <w:spacing w:val="40"/>
                            <w:sz w:val="22"/>
                          </w:rPr>
                          <w:t> </w:t>
                        </w:r>
                        <w:r>
                          <w:rPr>
                            <w:b/>
                            <w:sz w:val="22"/>
                          </w:rPr>
                          <w:t>in</w:t>
                        </w:r>
                        <w:r>
                          <w:rPr>
                            <w:b/>
                            <w:spacing w:val="40"/>
                            <w:sz w:val="22"/>
                          </w:rPr>
                          <w:t> </w:t>
                        </w:r>
                        <w:r>
                          <w:rPr>
                            <w:b/>
                            <w:sz w:val="22"/>
                          </w:rPr>
                          <w:t>women</w:t>
                        </w:r>
                        <w:r>
                          <w:rPr>
                            <w:b/>
                            <w:spacing w:val="40"/>
                            <w:sz w:val="22"/>
                          </w:rPr>
                          <w:t> </w:t>
                        </w:r>
                        <w:r>
                          <w:rPr>
                            <w:b/>
                            <w:sz w:val="22"/>
                          </w:rPr>
                          <w:t>with complaints of hypoactive sexual desire or decreased libido.</w:t>
                        </w:r>
                      </w:p>
                    </w:txbxContent>
                  </v:textbox>
                  <w10:wrap type="none"/>
                </v:shape>
                <v:shape style="position:absolute;left:0;top:90;width:9150;height:1080" type="#_x0000_t202" id="docshape88"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v:textbox>
                  <w10:wrap type="none"/>
                </v:shape>
              </v:group>
            </w:pict>
          </mc:Fallback>
        </mc:AlternateContent>
      </w:r>
      <w:r>
        <w:rPr>
          <w:sz w:val="20"/>
        </w:rPr>
      </w:r>
    </w:p>
    <w:p>
      <w:pPr>
        <w:pStyle w:val="BodyText"/>
        <w:spacing w:before="0"/>
        <w:ind w:left="0"/>
        <w:jc w:val="left"/>
      </w:pPr>
    </w:p>
    <w:p>
      <w:pPr>
        <w:pStyle w:val="BodyText"/>
        <w:spacing w:before="193"/>
        <w:ind w:left="0"/>
        <w:jc w:val="left"/>
      </w:pPr>
    </w:p>
    <w:p>
      <w:pPr>
        <w:spacing w:before="0"/>
        <w:ind w:left="99" w:right="0" w:firstLine="0"/>
        <w:jc w:val="left"/>
        <w:rPr>
          <w:rFonts w:ascii="Arial"/>
          <w:b/>
          <w:sz w:val="30"/>
        </w:rPr>
      </w:pPr>
      <w:r>
        <w:rPr>
          <w:rFonts w:ascii="Arial"/>
          <w:b/>
          <w:color w:val="2674AE"/>
          <w:sz w:val="30"/>
        </w:rPr>
        <w:t>Vaginal</w:t>
      </w:r>
      <w:r>
        <w:rPr>
          <w:rFonts w:ascii="Arial"/>
          <w:b/>
          <w:color w:val="2674AE"/>
          <w:spacing w:val="-6"/>
          <w:sz w:val="30"/>
        </w:rPr>
        <w:t> </w:t>
      </w:r>
      <w:r>
        <w:rPr>
          <w:rFonts w:ascii="Arial"/>
          <w:b/>
          <w:color w:val="2674AE"/>
          <w:sz w:val="30"/>
        </w:rPr>
        <w:t>Administration</w:t>
      </w:r>
      <w:r>
        <w:rPr>
          <w:rFonts w:ascii="Arial"/>
          <w:b/>
          <w:color w:val="2674AE"/>
          <w:spacing w:val="-6"/>
          <w:sz w:val="30"/>
        </w:rPr>
        <w:t> </w:t>
      </w:r>
      <w:r>
        <w:rPr>
          <w:rFonts w:ascii="Arial"/>
          <w:b/>
          <w:color w:val="2674AE"/>
          <w:sz w:val="30"/>
        </w:rPr>
        <w:t>of</w:t>
      </w:r>
      <w:r>
        <w:rPr>
          <w:rFonts w:ascii="Arial"/>
          <w:b/>
          <w:color w:val="2674AE"/>
          <w:spacing w:val="-5"/>
          <w:sz w:val="30"/>
        </w:rPr>
        <w:t> </w:t>
      </w:r>
      <w:r>
        <w:rPr>
          <w:rFonts w:ascii="Arial"/>
          <w:b/>
          <w:color w:val="2674AE"/>
          <w:spacing w:val="-2"/>
          <w:sz w:val="30"/>
        </w:rPr>
        <w:t>Estrogen</w:t>
      </w:r>
    </w:p>
    <w:p>
      <w:pPr>
        <w:spacing w:line="369" w:lineRule="auto" w:before="165"/>
        <w:ind w:left="99" w:right="4257" w:firstLine="0"/>
        <w:jc w:val="left"/>
        <w:rPr>
          <w:rFonts w:ascii="Arial"/>
          <w:b/>
          <w:i/>
          <w:sz w:val="22"/>
        </w:rPr>
      </w:pPr>
      <w:r>
        <w:rPr>
          <w:rFonts w:ascii="Arial"/>
          <w:b/>
          <w:i/>
          <w:color w:val="A0234E"/>
          <w:sz w:val="22"/>
        </w:rPr>
        <w:t>Management of Symptoms of Vaginal </w:t>
      </w:r>
      <w:r>
        <w:rPr>
          <w:rFonts w:ascii="Arial"/>
          <w:b/>
          <w:i/>
          <w:color w:val="A0234E"/>
          <w:sz w:val="22"/>
        </w:rPr>
        <w:t>Atrophy</w:t>
      </w:r>
      <w:r>
        <w:rPr>
          <w:rFonts w:ascii="Arial"/>
          <w:b/>
          <w:i/>
          <w:color w:val="A0234E"/>
          <w:sz w:val="22"/>
        </w:rPr>
        <w:t> </w:t>
      </w:r>
      <w:r>
        <w:rPr>
          <w:rFonts w:ascii="Arial"/>
          <w:b/>
          <w:i/>
          <w:color w:val="A0234E"/>
          <w:w w:val="105"/>
          <w:sz w:val="22"/>
        </w:rPr>
        <w:t>Very Low-Dose Method</w:t>
      </w:r>
    </w:p>
    <w:p>
      <w:pPr>
        <w:spacing w:line="249" w:lineRule="auto" w:before="0"/>
        <w:ind w:left="99" w:right="98" w:firstLine="0"/>
        <w:jc w:val="both"/>
        <w:rPr>
          <w:b/>
          <w:sz w:val="30"/>
        </w:rPr>
      </w:pPr>
      <w:r>
        <w:rPr>
          <w:sz w:val="30"/>
        </w:rPr>
        <w:t>For some women, genitourinary symptoms may dominate the </w:t>
      </w:r>
      <w:r>
        <w:rPr>
          <w:sz w:val="30"/>
        </w:rPr>
        <w:t>symptom burden. Others who initiate hormones for managing bothersome VMS may not</w:t>
      </w:r>
      <w:r>
        <w:rPr>
          <w:spacing w:val="-2"/>
          <w:sz w:val="30"/>
        </w:rPr>
        <w:t> </w:t>
      </w:r>
      <w:r>
        <w:rPr>
          <w:sz w:val="30"/>
        </w:rPr>
        <w:t>gain</w:t>
      </w:r>
      <w:r>
        <w:rPr>
          <w:spacing w:val="-2"/>
          <w:sz w:val="30"/>
        </w:rPr>
        <w:t> </w:t>
      </w:r>
      <w:r>
        <w:rPr>
          <w:sz w:val="30"/>
        </w:rPr>
        <w:t>full</w:t>
      </w:r>
      <w:r>
        <w:rPr>
          <w:spacing w:val="-2"/>
          <w:sz w:val="30"/>
        </w:rPr>
        <w:t> </w:t>
      </w:r>
      <w:r>
        <w:rPr>
          <w:sz w:val="30"/>
        </w:rPr>
        <w:t>relief</w:t>
      </w:r>
      <w:r>
        <w:rPr>
          <w:spacing w:val="-2"/>
          <w:sz w:val="30"/>
        </w:rPr>
        <w:t> </w:t>
      </w:r>
      <w:r>
        <w:rPr>
          <w:sz w:val="30"/>
        </w:rPr>
        <w:t>from</w:t>
      </w:r>
      <w:r>
        <w:rPr>
          <w:spacing w:val="-2"/>
          <w:sz w:val="30"/>
        </w:rPr>
        <w:t> </w:t>
      </w:r>
      <w:r>
        <w:rPr>
          <w:sz w:val="30"/>
        </w:rPr>
        <w:t>the</w:t>
      </w:r>
      <w:r>
        <w:rPr>
          <w:spacing w:val="-2"/>
          <w:sz w:val="30"/>
        </w:rPr>
        <w:t> </w:t>
      </w:r>
      <w:r>
        <w:rPr>
          <w:sz w:val="30"/>
        </w:rPr>
        <w:t>symptoms</w:t>
      </w:r>
      <w:r>
        <w:rPr>
          <w:spacing w:val="-2"/>
          <w:sz w:val="30"/>
        </w:rPr>
        <w:t> </w:t>
      </w:r>
      <w:r>
        <w:rPr>
          <w:sz w:val="30"/>
        </w:rPr>
        <w:t>of</w:t>
      </w:r>
      <w:r>
        <w:rPr>
          <w:spacing w:val="-2"/>
          <w:sz w:val="30"/>
        </w:rPr>
        <w:t> </w:t>
      </w:r>
      <w:r>
        <w:rPr>
          <w:sz w:val="30"/>
        </w:rPr>
        <w:t>vaginal</w:t>
      </w:r>
      <w:r>
        <w:rPr>
          <w:spacing w:val="-2"/>
          <w:sz w:val="30"/>
        </w:rPr>
        <w:t> </w:t>
      </w:r>
      <w:r>
        <w:rPr>
          <w:sz w:val="30"/>
        </w:rPr>
        <w:t>atrophy</w:t>
      </w:r>
      <w:r>
        <w:rPr>
          <w:spacing w:val="-2"/>
          <w:sz w:val="30"/>
        </w:rPr>
        <w:t> </w:t>
      </w:r>
      <w:r>
        <w:rPr>
          <w:sz w:val="30"/>
        </w:rPr>
        <w:t>with</w:t>
      </w:r>
      <w:r>
        <w:rPr>
          <w:spacing w:val="-2"/>
          <w:sz w:val="30"/>
        </w:rPr>
        <w:t> </w:t>
      </w:r>
      <w:r>
        <w:rPr>
          <w:sz w:val="30"/>
        </w:rPr>
        <w:t>systemic</w:t>
      </w:r>
      <w:r>
        <w:rPr>
          <w:spacing w:val="-2"/>
          <w:sz w:val="30"/>
        </w:rPr>
        <w:t> </w:t>
      </w:r>
      <w:r>
        <w:rPr>
          <w:sz w:val="30"/>
        </w:rPr>
        <w:t>HT. Local vaginal administration of estrogen makes sense for these patients. Vaginal treatment is especially helpful when a rapid local response is desired. In addition, there are many women who desire the genitourinary effects of estrogen, but either must or wish to avoid systemic therapy. Overall, there is no evidence that one method or preparation is superior to the others in achieving clinical response. </w:t>
      </w:r>
      <w:r>
        <w:rPr>
          <w:b/>
          <w:sz w:val="30"/>
        </w:rPr>
        <w:t>Measurement of vaginal pH from the lateral vaginal wall is a simple and inexpensive way to assess adequate estrogen effects on the vagina. It has been impressive in our experience and others how an acidic pH </w:t>
      </w:r>
      <w:r>
        <w:rPr>
          <w:sz w:val="30"/>
        </w:rPr>
        <w:t>(</w:t>
      </w:r>
      <w:r>
        <w:rPr>
          <w:b/>
          <w:sz w:val="30"/>
        </w:rPr>
        <w:t>&lt;4.5</w:t>
      </w:r>
      <w:r>
        <w:rPr>
          <w:sz w:val="30"/>
        </w:rPr>
        <w:t>) </w:t>
      </w:r>
      <w:r>
        <w:rPr>
          <w:b/>
          <w:sz w:val="30"/>
        </w:rPr>
        <w:t>obtained from the lateral,</w:t>
      </w:r>
      <w:r>
        <w:rPr>
          <w:b/>
          <w:spacing w:val="60"/>
          <w:sz w:val="30"/>
        </w:rPr>
        <w:t> </w:t>
      </w:r>
      <w:r>
        <w:rPr>
          <w:b/>
          <w:sz w:val="30"/>
        </w:rPr>
        <w:t>outer</w:t>
      </w:r>
      <w:r>
        <w:rPr>
          <w:b/>
          <w:spacing w:val="62"/>
          <w:sz w:val="30"/>
        </w:rPr>
        <w:t> </w:t>
      </w:r>
      <w:r>
        <w:rPr>
          <w:b/>
          <w:sz w:val="30"/>
        </w:rPr>
        <w:t>third</w:t>
      </w:r>
      <w:r>
        <w:rPr>
          <w:b/>
          <w:spacing w:val="63"/>
          <w:sz w:val="30"/>
        </w:rPr>
        <w:t> </w:t>
      </w:r>
      <w:r>
        <w:rPr>
          <w:b/>
          <w:sz w:val="30"/>
        </w:rPr>
        <w:t>of</w:t>
      </w:r>
      <w:r>
        <w:rPr>
          <w:b/>
          <w:spacing w:val="62"/>
          <w:sz w:val="30"/>
        </w:rPr>
        <w:t> </w:t>
      </w:r>
      <w:r>
        <w:rPr>
          <w:b/>
          <w:sz w:val="30"/>
        </w:rPr>
        <w:t>the</w:t>
      </w:r>
      <w:r>
        <w:rPr>
          <w:b/>
          <w:spacing w:val="63"/>
          <w:sz w:val="30"/>
        </w:rPr>
        <w:t> </w:t>
      </w:r>
      <w:r>
        <w:rPr>
          <w:b/>
          <w:sz w:val="30"/>
        </w:rPr>
        <w:t>vagina</w:t>
      </w:r>
      <w:r>
        <w:rPr>
          <w:b/>
          <w:spacing w:val="62"/>
          <w:sz w:val="30"/>
        </w:rPr>
        <w:t> </w:t>
      </w:r>
      <w:r>
        <w:rPr>
          <w:b/>
          <w:sz w:val="30"/>
        </w:rPr>
        <w:t>correlates</w:t>
      </w:r>
      <w:r>
        <w:rPr>
          <w:b/>
          <w:spacing w:val="62"/>
          <w:sz w:val="30"/>
        </w:rPr>
        <w:t> </w:t>
      </w:r>
      <w:r>
        <w:rPr>
          <w:b/>
          <w:sz w:val="30"/>
        </w:rPr>
        <w:t>well</w:t>
      </w:r>
      <w:r>
        <w:rPr>
          <w:b/>
          <w:spacing w:val="63"/>
          <w:sz w:val="30"/>
        </w:rPr>
        <w:t> </w:t>
      </w:r>
      <w:r>
        <w:rPr>
          <w:b/>
          <w:sz w:val="30"/>
        </w:rPr>
        <w:t>with</w:t>
      </w:r>
      <w:r>
        <w:rPr>
          <w:b/>
          <w:spacing w:val="62"/>
          <w:sz w:val="30"/>
        </w:rPr>
        <w:t> </w:t>
      </w:r>
      <w:r>
        <w:rPr>
          <w:b/>
          <w:sz w:val="30"/>
        </w:rPr>
        <w:t>good</w:t>
      </w:r>
      <w:r>
        <w:rPr>
          <w:b/>
          <w:spacing w:val="63"/>
          <w:sz w:val="30"/>
        </w:rPr>
        <w:t> </w:t>
      </w:r>
      <w:r>
        <w:rPr>
          <w:b/>
          <w:spacing w:val="-2"/>
          <w:sz w:val="30"/>
        </w:rPr>
        <w:t>estrogen</w:t>
      </w:r>
    </w:p>
    <w:p>
      <w:pPr>
        <w:spacing w:after="0" w:line="249" w:lineRule="auto"/>
        <w:jc w:val="both"/>
        <w:rPr>
          <w:b/>
          <w:sz w:val="30"/>
        </w:rPr>
        <w:sectPr>
          <w:pgSz w:w="12240" w:h="15840"/>
          <w:pgMar w:top="1440" w:bottom="280" w:left="1440" w:right="1440"/>
        </w:sectPr>
      </w:pPr>
    </w:p>
    <w:p>
      <w:pPr>
        <w:pStyle w:val="BodyText"/>
        <w:spacing w:line="249" w:lineRule="auto"/>
        <w:ind w:right="99"/>
      </w:pPr>
      <w:r>
        <w:rPr>
          <w:b/>
        </w:rPr>
        <w:t>effects. </w:t>
      </w:r>
      <w:r>
        <w:rPr/>
        <w:t>Vaginal pH correlates well with vaginal maturation </w:t>
      </w:r>
      <w:r>
        <w:rPr/>
        <w:t>index, symptomatic vulvovaginal atrophy, and visual inspection of the vaginal </w:t>
      </w:r>
      <w:r>
        <w:rPr>
          <w:spacing w:val="-2"/>
        </w:rPr>
        <w:t>epithelium.</w:t>
      </w:r>
      <w:r>
        <w:rPr>
          <w:spacing w:val="-2"/>
          <w:vertAlign w:val="superscript"/>
        </w:rPr>
        <w:t>73-75</w:t>
      </w:r>
    </w:p>
    <w:p>
      <w:pPr>
        <w:pStyle w:val="BodyText"/>
        <w:spacing w:line="249" w:lineRule="auto" w:before="3"/>
        <w:ind w:right="101" w:firstLine="450"/>
        <w:rPr>
          <w:b/>
        </w:rPr>
      </w:pPr>
      <w:r>
        <w:rPr/>
        <w:t>Estrogen in the form of vaginal creams is absorbed very readily from </w:t>
      </w:r>
      <w:r>
        <w:rPr/>
        <w:t>a vagina with immature, atrophic mucosa.</w:t>
      </w:r>
      <w:r>
        <w:rPr>
          <w:vertAlign w:val="superscript"/>
        </w:rPr>
        <w:t>76</w:t>
      </w:r>
      <w:r>
        <w:rPr>
          <w:vertAlign w:val="baseline"/>
        </w:rPr>
        <w:t> Indeed, the initial absorption is rapid, and relatively high circulating levels of estrogen are easily reached. As the vaginal mucosa matures, absorption decreases.</w:t>
      </w:r>
      <w:r>
        <w:rPr>
          <w:vertAlign w:val="superscript"/>
        </w:rPr>
        <w:t>77</w:t>
      </w:r>
      <w:r>
        <w:rPr>
          <w:vertAlign w:val="baseline"/>
        </w:rPr>
        <w:t> This decline takes approximately 3 to 4 months, after which lesser but still significant absorption takes place.</w:t>
      </w:r>
      <w:r>
        <w:rPr>
          <w:vertAlign w:val="superscript"/>
        </w:rPr>
        <w:t>78</w:t>
      </w:r>
      <w:r>
        <w:rPr>
          <w:vertAlign w:val="baseline"/>
        </w:rPr>
        <w:t> Effective treatment of vaginal atrophy with minimal absorption can be achieved with the administration of 0.3-mg conjugated estrogens, b.i.d. to t.i.d. per week.</w:t>
      </w:r>
      <w:r>
        <w:rPr>
          <w:vertAlign w:val="superscript"/>
        </w:rPr>
        <w:t>79,80</w:t>
      </w:r>
      <w:r>
        <w:rPr>
          <w:vertAlign w:val="baseline"/>
        </w:rPr>
        <w:t> Typically, addition of a progestogen is not indicated with local vaginal therapy; however, data regarding endometrial safety for 1 year or more are not available. </w:t>
      </w:r>
      <w:r>
        <w:rPr>
          <w:b/>
          <w:vertAlign w:val="baseline"/>
        </w:rPr>
        <w:t>We believe that treatment with a vaginal cream longer than 12 months requires endometrial surveillance.</w:t>
      </w:r>
    </w:p>
    <w:p>
      <w:pPr>
        <w:pStyle w:val="BodyText"/>
        <w:spacing w:line="249" w:lineRule="auto" w:before="15"/>
        <w:ind w:right="99" w:firstLine="450"/>
      </w:pPr>
      <w:r>
        <w:rPr/>
        <w:t>The amount of estradiol delivered in low-dose tablet form, or a ring is not sufficient to treat menopausal symptoms, but effectively improves local urogenital atrophy and reduces recurrent urinary tract infections (UTIs). This has been accepted as a method to relieve atrophic vaginal symptoms in women with contraindications to estrogen treatment; however, </w:t>
      </w:r>
      <w:r>
        <w:rPr/>
        <w:t>systemic effects do occur, although not deleterious effects.</w:t>
      </w:r>
      <w:r>
        <w:rPr>
          <w:vertAlign w:val="superscript"/>
        </w:rPr>
        <w:t>81</w:t>
      </w:r>
      <w:r>
        <w:rPr>
          <w:vertAlign w:val="baseline"/>
        </w:rPr>
        <w:t> Although vaginal ET is effective at any age, women younger than 60 years may have improved cellular response versus women older than 60 years.</w:t>
      </w:r>
      <w:r>
        <w:rPr>
          <w:vertAlign w:val="superscript"/>
        </w:rPr>
        <w:t>82</w:t>
      </w:r>
    </w:p>
    <w:p>
      <w:pPr>
        <w:pStyle w:val="BodyText"/>
        <w:spacing w:line="249" w:lineRule="auto" w:before="10"/>
        <w:ind w:right="99" w:firstLine="450"/>
      </w:pPr>
      <w:r>
        <w:rPr>
          <w:b/>
        </w:rPr>
        <w:t>Estring </w:t>
      </w:r>
      <w:r>
        <w:rPr/>
        <w:t>is a 55-mm-diameter silicone ring that contains 2-mg estradiol, with a release rate of 7.5 μg/d for 90 days.</w:t>
      </w:r>
      <w:r>
        <w:rPr>
          <w:vertAlign w:val="superscript"/>
        </w:rPr>
        <w:t>83</w:t>
      </w:r>
      <w:r>
        <w:rPr>
          <w:vertAlign w:val="baseline"/>
        </w:rPr>
        <w:t> European studies </w:t>
      </w:r>
      <w:r>
        <w:rPr>
          <w:vertAlign w:val="baseline"/>
        </w:rPr>
        <w:t>have demonstrated</w:t>
      </w:r>
      <w:r>
        <w:rPr>
          <w:spacing w:val="-4"/>
          <w:vertAlign w:val="baseline"/>
        </w:rPr>
        <w:t> </w:t>
      </w:r>
      <w:r>
        <w:rPr>
          <w:vertAlign w:val="baseline"/>
        </w:rPr>
        <w:t>that</w:t>
      </w:r>
      <w:r>
        <w:rPr>
          <w:spacing w:val="-4"/>
          <w:vertAlign w:val="baseline"/>
        </w:rPr>
        <w:t> </w:t>
      </w:r>
      <w:r>
        <w:rPr>
          <w:vertAlign w:val="baseline"/>
        </w:rPr>
        <w:t>vaginal</w:t>
      </w:r>
      <w:r>
        <w:rPr>
          <w:spacing w:val="-4"/>
          <w:vertAlign w:val="baseline"/>
        </w:rPr>
        <w:t> </w:t>
      </w:r>
      <w:r>
        <w:rPr>
          <w:vertAlign w:val="baseline"/>
        </w:rPr>
        <w:t>maturation</w:t>
      </w:r>
      <w:r>
        <w:rPr>
          <w:spacing w:val="-4"/>
          <w:vertAlign w:val="baseline"/>
        </w:rPr>
        <w:t> </w:t>
      </w:r>
      <w:r>
        <w:rPr>
          <w:vertAlign w:val="baseline"/>
        </w:rPr>
        <w:t>can</w:t>
      </w:r>
      <w:r>
        <w:rPr>
          <w:spacing w:val="-4"/>
          <w:vertAlign w:val="baseline"/>
        </w:rPr>
        <w:t> </w:t>
      </w:r>
      <w:r>
        <w:rPr>
          <w:vertAlign w:val="baseline"/>
        </w:rPr>
        <w:t>be</w:t>
      </w:r>
      <w:r>
        <w:rPr>
          <w:spacing w:val="-4"/>
          <w:vertAlign w:val="baseline"/>
        </w:rPr>
        <w:t> </w:t>
      </w:r>
      <w:r>
        <w:rPr>
          <w:vertAlign w:val="baseline"/>
        </w:rPr>
        <w:t>achieved</w:t>
      </w:r>
      <w:r>
        <w:rPr>
          <w:spacing w:val="-4"/>
          <w:vertAlign w:val="baseline"/>
        </w:rPr>
        <w:t> </w:t>
      </w:r>
      <w:r>
        <w:rPr>
          <w:vertAlign w:val="baseline"/>
        </w:rPr>
        <w:t>with</w:t>
      </w:r>
      <w:r>
        <w:rPr>
          <w:spacing w:val="-4"/>
          <w:vertAlign w:val="baseline"/>
        </w:rPr>
        <w:t> </w:t>
      </w:r>
      <w:r>
        <w:rPr>
          <w:vertAlign w:val="baseline"/>
        </w:rPr>
        <w:t>this</w:t>
      </w:r>
      <w:r>
        <w:rPr>
          <w:spacing w:val="-4"/>
          <w:vertAlign w:val="baseline"/>
        </w:rPr>
        <w:t> </w:t>
      </w:r>
      <w:r>
        <w:rPr>
          <w:vertAlign w:val="baseline"/>
        </w:rPr>
        <w:t>ring</w:t>
      </w:r>
      <w:r>
        <w:rPr>
          <w:spacing w:val="-4"/>
          <w:vertAlign w:val="baseline"/>
        </w:rPr>
        <w:t> </w:t>
      </w:r>
      <w:r>
        <w:rPr>
          <w:vertAlign w:val="baseline"/>
        </w:rPr>
        <w:t>that</w:t>
      </w:r>
      <w:r>
        <w:rPr>
          <w:spacing w:val="-4"/>
          <w:vertAlign w:val="baseline"/>
        </w:rPr>
        <w:t> </w:t>
      </w:r>
      <w:r>
        <w:rPr>
          <w:vertAlign w:val="baseline"/>
        </w:rPr>
        <w:t>can be left in place for 3 months, with low level of systemic absorption.</w:t>
      </w:r>
      <w:r>
        <w:rPr>
          <w:vertAlign w:val="superscript"/>
        </w:rPr>
        <w:t>84,85</w:t>
      </w:r>
      <w:r>
        <w:rPr>
          <w:vertAlign w:val="baseline"/>
        </w:rPr>
        <w:t> The subjective symptoms associated with vaginal atrophy are rapidly relieved. No change in endometrial thickness was observed after 1 year of </w:t>
      </w:r>
      <w:r>
        <w:rPr>
          <w:spacing w:val="-2"/>
          <w:vertAlign w:val="baseline"/>
        </w:rPr>
        <w:t>treatment.</w:t>
      </w:r>
      <w:r>
        <w:rPr>
          <w:spacing w:val="-2"/>
          <w:vertAlign w:val="superscript"/>
        </w:rPr>
        <w:t>86</w:t>
      </w:r>
    </w:p>
    <w:p>
      <w:pPr>
        <w:pStyle w:val="BodyText"/>
        <w:spacing w:line="249" w:lineRule="auto" w:before="9"/>
        <w:ind w:right="99" w:firstLine="450"/>
      </w:pPr>
      <w:r>
        <w:rPr>
          <w:b/>
        </w:rPr>
        <w:t>Vagifem </w:t>
      </w:r>
      <w:r>
        <w:rPr/>
        <w:t>is a vaginal formulation that is currently available in </w:t>
      </w:r>
      <w:r>
        <w:rPr/>
        <w:t>the United</w:t>
      </w:r>
      <w:r>
        <w:rPr>
          <w:spacing w:val="-1"/>
        </w:rPr>
        <w:t> </w:t>
      </w:r>
      <w:r>
        <w:rPr/>
        <w:t>States</w:t>
      </w:r>
      <w:r>
        <w:rPr>
          <w:spacing w:val="-1"/>
        </w:rPr>
        <w:t> </w:t>
      </w:r>
      <w:r>
        <w:rPr/>
        <w:t>as</w:t>
      </w:r>
      <w:r>
        <w:rPr>
          <w:spacing w:val="-1"/>
        </w:rPr>
        <w:t> </w:t>
      </w:r>
      <w:r>
        <w:rPr/>
        <w:t>a</w:t>
      </w:r>
      <w:r>
        <w:rPr>
          <w:spacing w:val="-1"/>
        </w:rPr>
        <w:t> </w:t>
      </w:r>
      <w:r>
        <w:rPr/>
        <w:t>tablet</w:t>
      </w:r>
      <w:r>
        <w:rPr>
          <w:spacing w:val="-1"/>
        </w:rPr>
        <w:t> </w:t>
      </w:r>
      <w:r>
        <w:rPr/>
        <w:t>that</w:t>
      </w:r>
      <w:r>
        <w:rPr>
          <w:spacing w:val="-1"/>
        </w:rPr>
        <w:t> </w:t>
      </w:r>
      <w:r>
        <w:rPr/>
        <w:t>contains</w:t>
      </w:r>
      <w:r>
        <w:rPr>
          <w:spacing w:val="-1"/>
        </w:rPr>
        <w:t> </w:t>
      </w:r>
      <w:r>
        <w:rPr/>
        <w:t>10-μg</w:t>
      </w:r>
      <w:r>
        <w:rPr>
          <w:spacing w:val="-1"/>
        </w:rPr>
        <w:t> </w:t>
      </w:r>
      <w:r>
        <w:rPr/>
        <w:t>estradiol;</w:t>
      </w:r>
      <w:r>
        <w:rPr>
          <w:spacing w:val="-1"/>
        </w:rPr>
        <w:t> </w:t>
      </w:r>
      <w:r>
        <w:rPr/>
        <w:t>the</w:t>
      </w:r>
      <w:r>
        <w:rPr>
          <w:spacing w:val="-1"/>
        </w:rPr>
        <w:t> </w:t>
      </w:r>
      <w:r>
        <w:rPr/>
        <w:t>initial</w:t>
      </w:r>
      <w:r>
        <w:rPr>
          <w:spacing w:val="-1"/>
        </w:rPr>
        <w:t> </w:t>
      </w:r>
      <w:r>
        <w:rPr/>
        <w:t>dose</w:t>
      </w:r>
      <w:r>
        <w:rPr>
          <w:spacing w:val="-1"/>
        </w:rPr>
        <w:t> </w:t>
      </w:r>
      <w:r>
        <w:rPr/>
        <w:t>of</w:t>
      </w:r>
      <w:r>
        <w:rPr>
          <w:spacing w:val="-1"/>
        </w:rPr>
        <w:t> </w:t>
      </w:r>
      <w:r>
        <w:rPr/>
        <w:t>one tablet daily provides relief from atrophic symptoms within 2 weeks.</w:t>
      </w:r>
      <w:r>
        <w:rPr>
          <w:vertAlign w:val="superscript"/>
        </w:rPr>
        <w:t>87</w:t>
      </w:r>
      <w:r>
        <w:rPr>
          <w:vertAlign w:val="baseline"/>
        </w:rPr>
        <w:t> After the first 2 weeks, the maintenance dose is twice weekly, and endometrial thickness</w:t>
      </w:r>
      <w:r>
        <w:rPr>
          <w:spacing w:val="-3"/>
          <w:vertAlign w:val="baseline"/>
        </w:rPr>
        <w:t> </w:t>
      </w:r>
      <w:r>
        <w:rPr>
          <w:vertAlign w:val="baseline"/>
        </w:rPr>
        <w:t>has</w:t>
      </w:r>
      <w:r>
        <w:rPr>
          <w:spacing w:val="-3"/>
          <w:vertAlign w:val="baseline"/>
        </w:rPr>
        <w:t> </w:t>
      </w:r>
      <w:r>
        <w:rPr>
          <w:vertAlign w:val="baseline"/>
        </w:rPr>
        <w:t>been</w:t>
      </w:r>
      <w:r>
        <w:rPr>
          <w:spacing w:val="-3"/>
          <w:vertAlign w:val="baseline"/>
        </w:rPr>
        <w:t> </w:t>
      </w:r>
      <w:r>
        <w:rPr>
          <w:vertAlign w:val="baseline"/>
        </w:rPr>
        <w:t>reported</w:t>
      </w:r>
      <w:r>
        <w:rPr>
          <w:spacing w:val="-3"/>
          <w:vertAlign w:val="baseline"/>
        </w:rPr>
        <w:t> </w:t>
      </w:r>
      <w:r>
        <w:rPr>
          <w:vertAlign w:val="baseline"/>
        </w:rPr>
        <w:t>to</w:t>
      </w:r>
      <w:r>
        <w:rPr>
          <w:spacing w:val="-3"/>
          <w:vertAlign w:val="baseline"/>
        </w:rPr>
        <w:t> </w:t>
      </w:r>
      <w:r>
        <w:rPr>
          <w:vertAlign w:val="baseline"/>
        </w:rPr>
        <w:t>not</w:t>
      </w:r>
      <w:r>
        <w:rPr>
          <w:spacing w:val="-3"/>
          <w:vertAlign w:val="baseline"/>
        </w:rPr>
        <w:t> </w:t>
      </w:r>
      <w:r>
        <w:rPr>
          <w:vertAlign w:val="baseline"/>
        </w:rPr>
        <w:t>change</w:t>
      </w:r>
      <w:r>
        <w:rPr>
          <w:spacing w:val="-3"/>
          <w:vertAlign w:val="baseline"/>
        </w:rPr>
        <w:t> </w:t>
      </w:r>
      <w:r>
        <w:rPr>
          <w:vertAlign w:val="baseline"/>
        </w:rPr>
        <w:t>from</w:t>
      </w:r>
      <w:r>
        <w:rPr>
          <w:spacing w:val="-3"/>
          <w:vertAlign w:val="baseline"/>
        </w:rPr>
        <w:t> </w:t>
      </w:r>
      <w:r>
        <w:rPr>
          <w:vertAlign w:val="baseline"/>
        </w:rPr>
        <w:t>baseline;</w:t>
      </w:r>
      <w:r>
        <w:rPr>
          <w:spacing w:val="-3"/>
          <w:vertAlign w:val="baseline"/>
        </w:rPr>
        <w:t> </w:t>
      </w:r>
      <w:r>
        <w:rPr>
          <w:vertAlign w:val="baseline"/>
        </w:rPr>
        <w:t>however,</w:t>
      </w:r>
      <w:r>
        <w:rPr>
          <w:spacing w:val="-3"/>
          <w:vertAlign w:val="baseline"/>
        </w:rPr>
        <w:t> </w:t>
      </w:r>
      <w:r>
        <w:rPr>
          <w:vertAlign w:val="baseline"/>
        </w:rPr>
        <w:t>the</w:t>
      </w:r>
      <w:r>
        <w:rPr>
          <w:spacing w:val="-3"/>
          <w:vertAlign w:val="baseline"/>
        </w:rPr>
        <w:t> </w:t>
      </w:r>
      <w:r>
        <w:rPr>
          <w:vertAlign w:val="baseline"/>
        </w:rPr>
        <w:t>study was</w:t>
      </w:r>
      <w:r>
        <w:rPr>
          <w:spacing w:val="19"/>
          <w:vertAlign w:val="baseline"/>
        </w:rPr>
        <w:t> </w:t>
      </w:r>
      <w:r>
        <w:rPr>
          <w:vertAlign w:val="baseline"/>
        </w:rPr>
        <w:t>only</w:t>
      </w:r>
      <w:r>
        <w:rPr>
          <w:spacing w:val="20"/>
          <w:vertAlign w:val="baseline"/>
        </w:rPr>
        <w:t> </w:t>
      </w:r>
      <w:r>
        <w:rPr>
          <w:vertAlign w:val="baseline"/>
        </w:rPr>
        <w:t>6</w:t>
      </w:r>
      <w:r>
        <w:rPr>
          <w:spacing w:val="20"/>
          <w:vertAlign w:val="baseline"/>
        </w:rPr>
        <w:t> </w:t>
      </w:r>
      <w:r>
        <w:rPr>
          <w:vertAlign w:val="baseline"/>
        </w:rPr>
        <w:t>months</w:t>
      </w:r>
      <w:r>
        <w:rPr>
          <w:spacing w:val="20"/>
          <w:vertAlign w:val="baseline"/>
        </w:rPr>
        <w:t> </w:t>
      </w:r>
      <w:r>
        <w:rPr>
          <w:vertAlign w:val="baseline"/>
        </w:rPr>
        <w:t>in</w:t>
      </w:r>
      <w:r>
        <w:rPr>
          <w:spacing w:val="20"/>
          <w:vertAlign w:val="baseline"/>
        </w:rPr>
        <w:t> </w:t>
      </w:r>
      <w:r>
        <w:rPr>
          <w:vertAlign w:val="baseline"/>
        </w:rPr>
        <w:t>duration.</w:t>
      </w:r>
      <w:r>
        <w:rPr>
          <w:vertAlign w:val="superscript"/>
        </w:rPr>
        <w:t>88</w:t>
      </w:r>
      <w:r>
        <w:rPr>
          <w:spacing w:val="20"/>
          <w:vertAlign w:val="baseline"/>
        </w:rPr>
        <w:t> </w:t>
      </w:r>
      <w:r>
        <w:rPr>
          <w:vertAlign w:val="baseline"/>
        </w:rPr>
        <w:t>One</w:t>
      </w:r>
      <w:r>
        <w:rPr>
          <w:spacing w:val="20"/>
          <w:vertAlign w:val="baseline"/>
        </w:rPr>
        <w:t> </w:t>
      </w:r>
      <w:r>
        <w:rPr>
          <w:vertAlign w:val="baseline"/>
        </w:rPr>
        <w:t>2-month</w:t>
      </w:r>
      <w:r>
        <w:rPr>
          <w:spacing w:val="20"/>
          <w:vertAlign w:val="baseline"/>
        </w:rPr>
        <w:t> </w:t>
      </w:r>
      <w:r>
        <w:rPr>
          <w:vertAlign w:val="baseline"/>
        </w:rPr>
        <w:t>study</w:t>
      </w:r>
      <w:r>
        <w:rPr>
          <w:spacing w:val="19"/>
          <w:vertAlign w:val="baseline"/>
        </w:rPr>
        <w:t> </w:t>
      </w:r>
      <w:r>
        <w:rPr>
          <w:vertAlign w:val="baseline"/>
        </w:rPr>
        <w:t>found</w:t>
      </w:r>
      <w:r>
        <w:rPr>
          <w:spacing w:val="20"/>
          <w:vertAlign w:val="baseline"/>
        </w:rPr>
        <w:t> </w:t>
      </w:r>
      <w:r>
        <w:rPr>
          <w:vertAlign w:val="baseline"/>
        </w:rPr>
        <w:t>no</w:t>
      </w:r>
      <w:r>
        <w:rPr>
          <w:spacing w:val="20"/>
          <w:vertAlign w:val="baseline"/>
        </w:rPr>
        <w:t> </w:t>
      </w:r>
      <w:r>
        <w:rPr>
          <w:vertAlign w:val="baseline"/>
        </w:rPr>
        <w:t>evidence</w:t>
      </w:r>
      <w:r>
        <w:rPr>
          <w:spacing w:val="20"/>
          <w:vertAlign w:val="baseline"/>
        </w:rPr>
        <w:t> </w:t>
      </w:r>
      <w:r>
        <w:rPr>
          <w:spacing w:val="-5"/>
          <w:vertAlign w:val="baseline"/>
        </w:rPr>
        <w:t>of</w:t>
      </w:r>
    </w:p>
    <w:p>
      <w:pPr>
        <w:pStyle w:val="BodyText"/>
        <w:spacing w:after="0" w:line="249" w:lineRule="auto"/>
        <w:sectPr>
          <w:pgSz w:w="12240" w:h="15840"/>
          <w:pgMar w:top="1380" w:bottom="280" w:left="1440" w:right="1440"/>
        </w:sectPr>
      </w:pPr>
    </w:p>
    <w:p>
      <w:pPr>
        <w:pStyle w:val="BodyText"/>
        <w:spacing w:line="249" w:lineRule="auto"/>
        <w:ind w:right="109"/>
      </w:pPr>
      <w:r>
        <w:rPr/>
        <w:t>endometrial stimulation; another reported one case of vaginal bleeding </w:t>
      </w:r>
      <w:r>
        <w:rPr/>
        <w:t>with endometrial proliferation.</w:t>
      </w:r>
      <w:r>
        <w:rPr>
          <w:vertAlign w:val="superscript"/>
        </w:rPr>
        <w:t>89-91</w:t>
      </w:r>
    </w:p>
    <w:p>
      <w:pPr>
        <w:spacing w:line="249" w:lineRule="auto" w:before="2"/>
        <w:ind w:left="99" w:right="99" w:firstLine="450"/>
        <w:jc w:val="both"/>
        <w:rPr>
          <w:sz w:val="30"/>
        </w:rPr>
      </w:pPr>
      <w:r>
        <w:rPr>
          <w:sz w:val="30"/>
        </w:rPr>
        <w:t>The systemic absorption of estrogen from vaginally </w:t>
      </w:r>
      <w:r>
        <w:rPr>
          <w:sz w:val="30"/>
        </w:rPr>
        <w:t>administered formulations (low-dose estradiol ring or tablet) is very low, especially after the vagina achieves estrogen-induced maturation (about 3 months). Is this low level of absorption free of the risk of endometrial hyperplasia? The problem is that all studies have been too short (all :&lt;1 year, except one 2-year study) to determine long-term endometrial safety. Although systemic absorption occurs, the circulating estradiol levels with these low-dose methods remain in the normal postmenopausal range.</w:t>
      </w:r>
      <w:r>
        <w:rPr>
          <w:sz w:val="30"/>
          <w:vertAlign w:val="superscript"/>
        </w:rPr>
        <w:t>86,88,92-95</w:t>
      </w:r>
      <w:r>
        <w:rPr>
          <w:sz w:val="30"/>
          <w:vertAlign w:val="baseline"/>
        </w:rPr>
        <w:t> In a recent secondary analysis of RCT data, the authors compared serum estrogen levels following 12-week use of vaginal estradiol (10 μg/d for 2 weeks and then twice weekly) versus placebo; the average estradiol levels were 4.3 pg/mL in those treated with E2 versus 3.5 pg/mL in individuals receiving placebo, both levels being well within the postmenopausal range.</w:t>
      </w:r>
      <w:r>
        <w:rPr>
          <w:sz w:val="30"/>
          <w:vertAlign w:val="superscript"/>
        </w:rPr>
        <w:t>96</w:t>
      </w:r>
      <w:r>
        <w:rPr>
          <w:sz w:val="30"/>
          <w:vertAlign w:val="baseline"/>
        </w:rPr>
        <w:t> Nonetheless, because even small increases in circulating estradiol levels may cause distant target tissue responses (eg, an increase in bone density or an</w:t>
      </w:r>
      <w:r>
        <w:rPr>
          <w:spacing w:val="-2"/>
          <w:sz w:val="30"/>
          <w:vertAlign w:val="baseline"/>
        </w:rPr>
        <w:t> </w:t>
      </w:r>
      <w:r>
        <w:rPr>
          <w:sz w:val="30"/>
          <w:vertAlign w:val="baseline"/>
        </w:rPr>
        <w:t>improvement</w:t>
      </w:r>
      <w:r>
        <w:rPr>
          <w:spacing w:val="-2"/>
          <w:sz w:val="30"/>
          <w:vertAlign w:val="baseline"/>
        </w:rPr>
        <w:t> </w:t>
      </w:r>
      <w:r>
        <w:rPr>
          <w:sz w:val="30"/>
          <w:vertAlign w:val="baseline"/>
        </w:rPr>
        <w:t>in</w:t>
      </w:r>
      <w:r>
        <w:rPr>
          <w:spacing w:val="-2"/>
          <w:sz w:val="30"/>
          <w:vertAlign w:val="baseline"/>
        </w:rPr>
        <w:t> </w:t>
      </w:r>
      <w:r>
        <w:rPr>
          <w:sz w:val="30"/>
          <w:vertAlign w:val="baseline"/>
        </w:rPr>
        <w:t>the</w:t>
      </w:r>
      <w:r>
        <w:rPr>
          <w:spacing w:val="-2"/>
          <w:sz w:val="30"/>
          <w:vertAlign w:val="baseline"/>
        </w:rPr>
        <w:t> </w:t>
      </w:r>
      <w:r>
        <w:rPr>
          <w:sz w:val="30"/>
          <w:vertAlign w:val="baseline"/>
        </w:rPr>
        <w:t>lipid</w:t>
      </w:r>
      <w:r>
        <w:rPr>
          <w:spacing w:val="-2"/>
          <w:sz w:val="30"/>
          <w:vertAlign w:val="baseline"/>
        </w:rPr>
        <w:t> </w:t>
      </w:r>
      <w:r>
        <w:rPr>
          <w:sz w:val="30"/>
          <w:vertAlign w:val="baseline"/>
        </w:rPr>
        <w:t>profile</w:t>
      </w:r>
      <w:r>
        <w:rPr>
          <w:sz w:val="30"/>
          <w:vertAlign w:val="superscript"/>
        </w:rPr>
        <w:t>97,98</w:t>
      </w:r>
      <w:r>
        <w:rPr>
          <w:sz w:val="30"/>
          <w:vertAlign w:val="baseline"/>
        </w:rPr>
        <w:t>),</w:t>
      </w:r>
      <w:r>
        <w:rPr>
          <w:spacing w:val="-2"/>
          <w:sz w:val="30"/>
          <w:vertAlign w:val="baseline"/>
        </w:rPr>
        <w:t> </w:t>
      </w:r>
      <w:r>
        <w:rPr>
          <w:sz w:val="30"/>
          <w:vertAlign w:val="baseline"/>
        </w:rPr>
        <w:t>clinicians</w:t>
      </w:r>
      <w:r>
        <w:rPr>
          <w:spacing w:val="-2"/>
          <w:sz w:val="30"/>
          <w:vertAlign w:val="baseline"/>
        </w:rPr>
        <w:t> </w:t>
      </w:r>
      <w:r>
        <w:rPr>
          <w:sz w:val="30"/>
          <w:vertAlign w:val="baseline"/>
        </w:rPr>
        <w:t>must</w:t>
      </w:r>
      <w:r>
        <w:rPr>
          <w:spacing w:val="-2"/>
          <w:sz w:val="30"/>
          <w:vertAlign w:val="baseline"/>
        </w:rPr>
        <w:t> </w:t>
      </w:r>
      <w:r>
        <w:rPr>
          <w:sz w:val="30"/>
          <w:vertAlign w:val="baseline"/>
        </w:rPr>
        <w:t>retain</w:t>
      </w:r>
      <w:r>
        <w:rPr>
          <w:spacing w:val="-2"/>
          <w:sz w:val="30"/>
          <w:vertAlign w:val="baseline"/>
        </w:rPr>
        <w:t> </w:t>
      </w:r>
      <w:r>
        <w:rPr>
          <w:sz w:val="30"/>
          <w:vertAlign w:val="baseline"/>
        </w:rPr>
        <w:t>vigilance</w:t>
      </w:r>
      <w:r>
        <w:rPr>
          <w:spacing w:val="-2"/>
          <w:sz w:val="30"/>
          <w:vertAlign w:val="baseline"/>
        </w:rPr>
        <w:t> </w:t>
      </w:r>
      <w:r>
        <w:rPr>
          <w:sz w:val="30"/>
          <w:vertAlign w:val="baseline"/>
        </w:rPr>
        <w:t>and should not assure patients that vaginally administered estrogen is totally</w:t>
      </w:r>
      <w:r>
        <w:rPr>
          <w:spacing w:val="40"/>
          <w:sz w:val="30"/>
          <w:vertAlign w:val="baseline"/>
        </w:rPr>
        <w:t> </w:t>
      </w:r>
      <w:r>
        <w:rPr>
          <w:sz w:val="30"/>
          <w:vertAlign w:val="baseline"/>
        </w:rPr>
        <w:t>free of systemic activity.</w:t>
      </w:r>
      <w:r>
        <w:rPr>
          <w:sz w:val="30"/>
          <w:vertAlign w:val="superscript"/>
        </w:rPr>
        <w:t>99</w:t>
      </w:r>
      <w:r>
        <w:rPr>
          <w:sz w:val="30"/>
          <w:vertAlign w:val="baseline"/>
        </w:rPr>
        <w:t> </w:t>
      </w:r>
      <w:r>
        <w:rPr>
          <w:b/>
          <w:sz w:val="30"/>
          <w:vertAlign w:val="baseline"/>
        </w:rPr>
        <w:t>Although the change in blood levels is very slight and for that reason not effective for the relief of VMS, we believe that some form of endometrial surveillance is warranted with long-term treatment, such as ultrasonographic monitoring of endometrial thickness with biopsy when indicated. This ultrasonographic approach is preferable to complicating the treatment regimen with the addition</w:t>
      </w:r>
      <w:r>
        <w:rPr>
          <w:b/>
          <w:spacing w:val="40"/>
          <w:sz w:val="30"/>
          <w:vertAlign w:val="baseline"/>
        </w:rPr>
        <w:t> </w:t>
      </w:r>
      <w:r>
        <w:rPr>
          <w:b/>
          <w:sz w:val="30"/>
          <w:vertAlign w:val="baseline"/>
        </w:rPr>
        <w:t>of a progestational agent to vaginal estrogen just for endometrial benefit. We further suggest that each patient titrate their dose and schedule of treatment to balance an effective response with minimal dosing. For women who are breast cancer survivors and are considering this treatment, decisions should involve patients’ oncologist, given the potential risk of increased systemic estrogen levels.</w:t>
      </w:r>
      <w:r>
        <w:rPr>
          <w:sz w:val="30"/>
          <w:vertAlign w:val="superscript"/>
        </w:rPr>
        <w:t>100</w:t>
      </w:r>
      <w:r>
        <w:rPr>
          <w:sz w:val="30"/>
          <w:vertAlign w:val="baseline"/>
        </w:rPr>
        <w:t> Of note, postmenopausal women taking an aromatase inhibitor (AI) require special consideration, given their lower circulating estradiol levels. In a recent nested case-control study assessing the risk of breast cancer recurrence in women on tamoxifen or AI receiving vaginal ET, there was</w:t>
      </w:r>
      <w:r>
        <w:rPr>
          <w:spacing w:val="67"/>
          <w:w w:val="150"/>
          <w:sz w:val="30"/>
          <w:vertAlign w:val="baseline"/>
        </w:rPr>
        <w:t> </w:t>
      </w:r>
      <w:r>
        <w:rPr>
          <w:sz w:val="30"/>
          <w:vertAlign w:val="baseline"/>
        </w:rPr>
        <w:t>no</w:t>
      </w:r>
      <w:r>
        <w:rPr>
          <w:spacing w:val="68"/>
          <w:w w:val="150"/>
          <w:sz w:val="30"/>
          <w:vertAlign w:val="baseline"/>
        </w:rPr>
        <w:t> </w:t>
      </w:r>
      <w:r>
        <w:rPr>
          <w:sz w:val="30"/>
          <w:vertAlign w:val="baseline"/>
        </w:rPr>
        <w:t>increase</w:t>
      </w:r>
      <w:r>
        <w:rPr>
          <w:spacing w:val="67"/>
          <w:w w:val="150"/>
          <w:sz w:val="30"/>
          <w:vertAlign w:val="baseline"/>
        </w:rPr>
        <w:t> </w:t>
      </w:r>
      <w:r>
        <w:rPr>
          <w:sz w:val="30"/>
          <w:vertAlign w:val="baseline"/>
        </w:rPr>
        <w:t>in</w:t>
      </w:r>
      <w:r>
        <w:rPr>
          <w:spacing w:val="68"/>
          <w:w w:val="150"/>
          <w:sz w:val="30"/>
          <w:vertAlign w:val="baseline"/>
        </w:rPr>
        <w:t> </w:t>
      </w:r>
      <w:r>
        <w:rPr>
          <w:sz w:val="30"/>
          <w:vertAlign w:val="baseline"/>
        </w:rPr>
        <w:t>breast</w:t>
      </w:r>
      <w:r>
        <w:rPr>
          <w:spacing w:val="67"/>
          <w:w w:val="150"/>
          <w:sz w:val="30"/>
          <w:vertAlign w:val="baseline"/>
        </w:rPr>
        <w:t> </w:t>
      </w:r>
      <w:r>
        <w:rPr>
          <w:sz w:val="30"/>
          <w:vertAlign w:val="baseline"/>
        </w:rPr>
        <w:t>cancer</w:t>
      </w:r>
      <w:r>
        <w:rPr>
          <w:spacing w:val="68"/>
          <w:w w:val="150"/>
          <w:sz w:val="30"/>
          <w:vertAlign w:val="baseline"/>
        </w:rPr>
        <w:t> </w:t>
      </w:r>
      <w:r>
        <w:rPr>
          <w:sz w:val="30"/>
          <w:vertAlign w:val="baseline"/>
        </w:rPr>
        <w:t>recurrence;</w:t>
      </w:r>
      <w:r>
        <w:rPr>
          <w:spacing w:val="67"/>
          <w:w w:val="150"/>
          <w:sz w:val="30"/>
          <w:vertAlign w:val="baseline"/>
        </w:rPr>
        <w:t> </w:t>
      </w:r>
      <w:r>
        <w:rPr>
          <w:sz w:val="30"/>
          <w:vertAlign w:val="baseline"/>
        </w:rPr>
        <w:t>despite</w:t>
      </w:r>
      <w:r>
        <w:rPr>
          <w:spacing w:val="68"/>
          <w:w w:val="150"/>
          <w:sz w:val="30"/>
          <w:vertAlign w:val="baseline"/>
        </w:rPr>
        <w:t> </w:t>
      </w:r>
      <w:r>
        <w:rPr>
          <w:sz w:val="30"/>
          <w:vertAlign w:val="baseline"/>
        </w:rPr>
        <w:t>these</w:t>
      </w:r>
      <w:r>
        <w:rPr>
          <w:spacing w:val="67"/>
          <w:w w:val="150"/>
          <w:sz w:val="30"/>
          <w:vertAlign w:val="baseline"/>
        </w:rPr>
        <w:t> </w:t>
      </w:r>
      <w:r>
        <w:rPr>
          <w:spacing w:val="-2"/>
          <w:sz w:val="30"/>
          <w:vertAlign w:val="baseline"/>
        </w:rPr>
        <w:t>reassuring</w:t>
      </w:r>
    </w:p>
    <w:p>
      <w:pPr>
        <w:spacing w:after="0" w:line="249" w:lineRule="auto"/>
        <w:jc w:val="both"/>
        <w:rPr>
          <w:sz w:val="30"/>
        </w:rPr>
        <w:sectPr>
          <w:pgSz w:w="12240" w:h="15840"/>
          <w:pgMar w:top="1380" w:bottom="280" w:left="1440" w:right="1440"/>
        </w:sectPr>
      </w:pPr>
    </w:p>
    <w:p>
      <w:pPr>
        <w:pStyle w:val="BodyText"/>
        <w:spacing w:line="249" w:lineRule="auto"/>
        <w:ind w:right="99"/>
      </w:pPr>
      <w:r>
        <w:rPr/>
        <w:t>findings, caution is advised in interpreting these results, given the </w:t>
      </w:r>
      <w:r>
        <w:rPr/>
        <w:t>limited statistical power.</w:t>
      </w:r>
      <w:r>
        <w:rPr>
          <w:vertAlign w:val="superscript"/>
        </w:rPr>
        <w:t>101</w:t>
      </w:r>
    </w:p>
    <w:p>
      <w:pPr>
        <w:spacing w:before="301"/>
        <w:ind w:left="99" w:right="0" w:firstLine="0"/>
        <w:jc w:val="both"/>
        <w:rPr>
          <w:rFonts w:ascii="Arial"/>
          <w:b/>
          <w:i/>
          <w:sz w:val="22"/>
        </w:rPr>
      </w:pPr>
      <w:r>
        <w:rPr>
          <w:rFonts w:ascii="Arial"/>
          <w:b/>
          <w:i/>
          <w:color w:val="A0234E"/>
          <w:sz w:val="22"/>
        </w:rPr>
        <w:t>Management</w:t>
      </w:r>
      <w:r>
        <w:rPr>
          <w:rFonts w:ascii="Arial"/>
          <w:b/>
          <w:i/>
          <w:color w:val="A0234E"/>
          <w:spacing w:val="16"/>
          <w:sz w:val="22"/>
        </w:rPr>
        <w:t> </w:t>
      </w:r>
      <w:r>
        <w:rPr>
          <w:rFonts w:ascii="Arial"/>
          <w:b/>
          <w:i/>
          <w:color w:val="A0234E"/>
          <w:sz w:val="22"/>
        </w:rPr>
        <w:t>of</w:t>
      </w:r>
      <w:r>
        <w:rPr>
          <w:rFonts w:ascii="Arial"/>
          <w:b/>
          <w:i/>
          <w:color w:val="A0234E"/>
          <w:spacing w:val="16"/>
          <w:sz w:val="22"/>
        </w:rPr>
        <w:t> </w:t>
      </w:r>
      <w:r>
        <w:rPr>
          <w:rFonts w:ascii="Arial"/>
          <w:b/>
          <w:i/>
          <w:color w:val="A0234E"/>
          <w:sz w:val="22"/>
        </w:rPr>
        <w:t>Urinary</w:t>
      </w:r>
      <w:r>
        <w:rPr>
          <w:rFonts w:ascii="Arial"/>
          <w:b/>
          <w:i/>
          <w:color w:val="A0234E"/>
          <w:spacing w:val="17"/>
          <w:sz w:val="22"/>
        </w:rPr>
        <w:t> </w:t>
      </w:r>
      <w:r>
        <w:rPr>
          <w:rFonts w:ascii="Arial"/>
          <w:b/>
          <w:i/>
          <w:color w:val="A0234E"/>
          <w:spacing w:val="-2"/>
          <w:sz w:val="22"/>
        </w:rPr>
        <w:t>Symptoms</w:t>
      </w:r>
    </w:p>
    <w:p>
      <w:pPr>
        <w:pStyle w:val="BodyText"/>
        <w:spacing w:line="249" w:lineRule="auto" w:before="123"/>
        <w:ind w:right="98"/>
      </w:pPr>
      <w:r>
        <w:rPr/>
        <w:t>Several recent studies have analyzed the effect of vaginal ET on </w:t>
      </w:r>
      <w:r>
        <w:rPr/>
        <w:t>various bladder-related</w:t>
      </w:r>
      <w:r>
        <w:rPr>
          <w:spacing w:val="19"/>
        </w:rPr>
        <w:t> </w:t>
      </w:r>
      <w:r>
        <w:rPr/>
        <w:t>problems</w:t>
      </w:r>
      <w:r>
        <w:rPr>
          <w:spacing w:val="19"/>
        </w:rPr>
        <w:t> </w:t>
      </w:r>
      <w:r>
        <w:rPr/>
        <w:t>seen</w:t>
      </w:r>
      <w:r>
        <w:rPr>
          <w:spacing w:val="20"/>
        </w:rPr>
        <w:t> </w:t>
      </w:r>
      <w:r>
        <w:rPr/>
        <w:t>in</w:t>
      </w:r>
      <w:r>
        <w:rPr>
          <w:spacing w:val="19"/>
        </w:rPr>
        <w:t> </w:t>
      </w:r>
      <w:r>
        <w:rPr/>
        <w:t>postmenopausal</w:t>
      </w:r>
      <w:r>
        <w:rPr>
          <w:spacing w:val="19"/>
        </w:rPr>
        <w:t> </w:t>
      </w:r>
      <w:r>
        <w:rPr/>
        <w:t>women.</w:t>
      </w:r>
      <w:r>
        <w:rPr>
          <w:spacing w:val="20"/>
        </w:rPr>
        <w:t> </w:t>
      </w:r>
      <w:r>
        <w:rPr/>
        <w:t>A</w:t>
      </w:r>
      <w:r>
        <w:rPr>
          <w:spacing w:val="24"/>
        </w:rPr>
        <w:t> </w:t>
      </w:r>
      <w:r>
        <w:rPr/>
        <w:t>small</w:t>
      </w:r>
      <w:r>
        <w:rPr>
          <w:spacing w:val="24"/>
        </w:rPr>
        <w:t> </w:t>
      </w:r>
      <w:r>
        <w:rPr/>
        <w:t>RCT</w:t>
      </w:r>
      <w:r>
        <w:rPr>
          <w:spacing w:val="25"/>
        </w:rPr>
        <w:t> </w:t>
      </w:r>
      <w:r>
        <w:rPr>
          <w:spacing w:val="-5"/>
        </w:rPr>
        <w:t>of</w:t>
      </w:r>
    </w:p>
    <w:p>
      <w:pPr>
        <w:pStyle w:val="BodyText"/>
        <w:spacing w:line="249" w:lineRule="auto" w:before="3"/>
        <w:ind w:right="98"/>
      </w:pPr>
      <w:r>
        <w:rPr/>
        <w:t>35 women had a statistically significant reduction in UTIs in women randomized to vaginal estrogen (cream or tablet) versus placebo.</w:t>
      </w:r>
      <w:r>
        <w:rPr>
          <w:vertAlign w:val="superscript"/>
        </w:rPr>
        <w:t>102</w:t>
      </w:r>
      <w:r>
        <w:rPr>
          <w:vertAlign w:val="baseline"/>
        </w:rPr>
        <w:t> A </w:t>
      </w:r>
      <w:r>
        <w:rPr>
          <w:vertAlign w:val="baseline"/>
        </w:rPr>
        <w:t>large retrospective cohort study of 5,600 women with hypoestrogenism demonstrated effectiveness of vaginal estrogen for the prevention of recurrent UTIs.</w:t>
      </w:r>
      <w:r>
        <w:rPr>
          <w:vertAlign w:val="superscript"/>
        </w:rPr>
        <w:t>103</w:t>
      </w:r>
    </w:p>
    <w:p>
      <w:pPr>
        <w:spacing w:before="304"/>
        <w:ind w:left="99" w:right="0" w:firstLine="0"/>
        <w:jc w:val="both"/>
        <w:rPr>
          <w:rFonts w:ascii="Arial"/>
          <w:b/>
          <w:i/>
          <w:sz w:val="22"/>
        </w:rPr>
      </w:pPr>
      <w:r>
        <w:rPr>
          <w:rFonts w:ascii="Arial"/>
          <w:b/>
          <w:i/>
          <w:color w:val="A0234E"/>
          <w:sz w:val="22"/>
        </w:rPr>
        <w:t>Standard-Dose</w:t>
      </w:r>
      <w:r>
        <w:rPr>
          <w:rFonts w:ascii="Arial"/>
          <w:b/>
          <w:i/>
          <w:color w:val="A0234E"/>
          <w:spacing w:val="32"/>
          <w:sz w:val="22"/>
        </w:rPr>
        <w:t> </w:t>
      </w:r>
      <w:r>
        <w:rPr>
          <w:rFonts w:ascii="Arial"/>
          <w:b/>
          <w:i/>
          <w:color w:val="A0234E"/>
          <w:spacing w:val="-2"/>
          <w:sz w:val="22"/>
        </w:rPr>
        <w:t>Method</w:t>
      </w:r>
    </w:p>
    <w:p>
      <w:pPr>
        <w:spacing w:line="249" w:lineRule="auto" w:before="124"/>
        <w:ind w:left="99" w:right="98" w:firstLine="0"/>
        <w:jc w:val="both"/>
        <w:rPr>
          <w:b/>
          <w:sz w:val="30"/>
        </w:rPr>
      </w:pPr>
      <w:r>
        <w:rPr>
          <w:sz w:val="30"/>
        </w:rPr>
        <w:t>One vaginal ring formulation (Femring, estradiol acetate) releases 50 </w:t>
      </w:r>
      <w:r>
        <w:rPr>
          <w:sz w:val="30"/>
        </w:rPr>
        <w:t>or 100-μg estradiol acetate per day over a 3-month time span.</w:t>
      </w:r>
      <w:r>
        <w:rPr>
          <w:sz w:val="30"/>
          <w:vertAlign w:val="superscript"/>
        </w:rPr>
        <w:t>104,105</w:t>
      </w:r>
      <w:r>
        <w:rPr>
          <w:sz w:val="30"/>
          <w:vertAlign w:val="baseline"/>
        </w:rPr>
        <w:t> Estradiol acetate is a prohormone, which is rapidly hydrolyzed to estradiol, which is reflected in blood estradiol levels similar to those achieved with oral and transdermal methods. The systemic levels achieved with either dose formulation effectively suppress VMS, and a beneficial impact on bone is expected. Unlike other estrogen vaginal formulations, Femring is FDA-approved not only for the management of moderate-to-severe vulvovaginal symptoms attributable to hypoestrogenism but also for VMS-related bother. </w:t>
      </w:r>
      <w:r>
        <w:rPr>
          <w:b/>
          <w:sz w:val="30"/>
          <w:vertAlign w:val="baseline"/>
        </w:rPr>
        <w:t>This vaginal ring should not be considered local vaginal therapy, and users require the addition of a progestational agent for endometrial protection in the presence of a uterus.</w:t>
      </w:r>
    </w:p>
    <w:p>
      <w:pPr>
        <w:pStyle w:val="BodyText"/>
        <w:spacing w:before="58"/>
        <w:ind w:left="0"/>
        <w:jc w:val="left"/>
        <w:rPr>
          <w:b/>
        </w:rPr>
      </w:pPr>
    </w:p>
    <w:p>
      <w:pPr>
        <w:spacing w:before="0"/>
        <w:ind w:left="99" w:right="0" w:firstLine="0"/>
        <w:jc w:val="both"/>
        <w:rPr>
          <w:rFonts w:ascii="Arial"/>
          <w:b/>
          <w:sz w:val="30"/>
        </w:rPr>
      </w:pPr>
      <w:r>
        <w:rPr>
          <w:rFonts w:ascii="Arial"/>
          <w:b/>
          <w:color w:val="2674AE"/>
          <w:sz w:val="30"/>
        </w:rPr>
        <w:t>Role of Monitoring Blood Levels of Estradiol in Estrogen </w:t>
      </w:r>
      <w:r>
        <w:rPr>
          <w:rFonts w:ascii="Arial"/>
          <w:b/>
          <w:color w:val="2674AE"/>
          <w:spacing w:val="-2"/>
          <w:sz w:val="30"/>
        </w:rPr>
        <w:t>Users</w:t>
      </w:r>
    </w:p>
    <w:p>
      <w:pPr>
        <w:pStyle w:val="BodyText"/>
        <w:spacing w:line="249" w:lineRule="auto" w:before="167"/>
        <w:ind w:right="103"/>
      </w:pPr>
      <w:r>
        <w:rPr>
          <w:b/>
        </w:rPr>
        <w:t>Monitoring the estradiol blood level in postmenopausal women does</w:t>
      </w:r>
      <w:r>
        <w:rPr>
          <w:b/>
          <w:spacing w:val="40"/>
        </w:rPr>
        <w:t> </w:t>
      </w:r>
      <w:r>
        <w:rPr>
          <w:b/>
        </w:rPr>
        <w:t>not have a role in routine management</w:t>
      </w:r>
      <w:r>
        <w:rPr/>
        <w:t>. However, in women not responding to standard HT dosing, it may be beneficial to assess serum estradiol levels. Monitoring, however, is not as straightforward as it </w:t>
      </w:r>
      <w:r>
        <w:rPr/>
        <w:t>would seem. There are two primary difficulties. First, the clinical assays available differ considerably in their technique and quality (laboratory and antibody variations). Second, the various commercial products represent a diverse collection</w:t>
      </w:r>
      <w:r>
        <w:rPr>
          <w:spacing w:val="67"/>
          <w:w w:val="150"/>
        </w:rPr>
        <w:t> </w:t>
      </w:r>
      <w:r>
        <w:rPr/>
        <w:t>of</w:t>
      </w:r>
      <w:r>
        <w:rPr>
          <w:spacing w:val="68"/>
          <w:w w:val="150"/>
        </w:rPr>
        <w:t> </w:t>
      </w:r>
      <w:r>
        <w:rPr/>
        <w:t>estrogenic</w:t>
      </w:r>
      <w:r>
        <w:rPr>
          <w:spacing w:val="67"/>
          <w:w w:val="150"/>
        </w:rPr>
        <w:t> </w:t>
      </w:r>
      <w:r>
        <w:rPr/>
        <w:t>compounds,</w:t>
      </w:r>
      <w:r>
        <w:rPr>
          <w:spacing w:val="68"/>
          <w:w w:val="150"/>
        </w:rPr>
        <w:t> </w:t>
      </w:r>
      <w:r>
        <w:rPr/>
        <w:t>ranging</w:t>
      </w:r>
      <w:r>
        <w:rPr>
          <w:spacing w:val="67"/>
          <w:w w:val="150"/>
        </w:rPr>
        <w:t> </w:t>
      </w:r>
      <w:r>
        <w:rPr/>
        <w:t>from</w:t>
      </w:r>
      <w:r>
        <w:rPr>
          <w:spacing w:val="68"/>
          <w:w w:val="150"/>
        </w:rPr>
        <w:t> </w:t>
      </w:r>
      <w:r>
        <w:rPr/>
        <w:t>estradiol</w:t>
      </w:r>
      <w:r>
        <w:rPr>
          <w:spacing w:val="67"/>
          <w:w w:val="150"/>
        </w:rPr>
        <w:t> </w:t>
      </w:r>
      <w:r>
        <w:rPr/>
        <w:t>to</w:t>
      </w:r>
      <w:r>
        <w:rPr>
          <w:spacing w:val="68"/>
          <w:w w:val="150"/>
        </w:rPr>
        <w:t> </w:t>
      </w:r>
      <w:r>
        <w:rPr>
          <w:spacing w:val="-2"/>
        </w:rPr>
        <w:t>unique</w:t>
      </w:r>
    </w:p>
    <w:p>
      <w:pPr>
        <w:pStyle w:val="BodyText"/>
        <w:spacing w:after="0" w:line="249" w:lineRule="auto"/>
        <w:sectPr>
          <w:pgSz w:w="12240" w:h="15840"/>
          <w:pgMar w:top="1380" w:bottom="280" w:left="1440" w:right="1440"/>
        </w:sectPr>
      </w:pPr>
    </w:p>
    <w:p>
      <w:pPr>
        <w:pStyle w:val="BodyText"/>
        <w:spacing w:line="249" w:lineRule="auto"/>
        <w:ind w:right="104"/>
      </w:pPr>
      <w:r>
        <w:rPr/>
        <w:t>equine estrogens. Although the body interconverts various estrogens into estrone and estradiol, is this process relatively consistent within </w:t>
      </w:r>
      <w:r>
        <w:rPr/>
        <w:t>and between individuals? A highly specific assay for estradiol will detect very low levels of estradiol in women receiving 0.625-mg CEEs; nevertheless, most clinical assays will report a level of 40 to 100 pg/mL in these women.</w:t>
      </w:r>
    </w:p>
    <w:p>
      <w:pPr>
        <w:pStyle w:val="BodyText"/>
        <w:spacing w:line="249" w:lineRule="auto" w:before="6"/>
        <w:ind w:right="101" w:firstLine="450"/>
      </w:pPr>
      <w:r>
        <w:rPr/>
        <w:t>We find measurement of blood estradiol levels very useful in selected patients, such as the patient who requests ever-increasing doses of estrogen for the treatment of symptoms, which, in the presence of very high blood levels of estradiol, can be confidently diagnosed as psychosomatic. What each clinician must do is learn what blood level of estradiol as </w:t>
      </w:r>
      <w:r>
        <w:rPr/>
        <w:t>performed</w:t>
      </w:r>
      <w:r>
        <w:rPr>
          <w:spacing w:val="40"/>
        </w:rPr>
        <w:t> </w:t>
      </w:r>
      <w:r>
        <w:rPr/>
        <w:t>by the local laboratory is associated with the standard doses of HT (0.625-mg conjugated estrogens, 1-mg estradiol, 50-μg transdermal estradiol) and consistently use the same laboratory. This range is 40 to 100 pg/mL estradiol when the estrogen is taken the evening before the office visit (with transdermal administration, blood sampling should be obtained the day before new patch placement); the range reflects individual variation, including the variability from peak to nadir values. </w:t>
      </w:r>
      <w:r>
        <w:rPr>
          <w:b/>
        </w:rPr>
        <w:t>Remember that because</w:t>
      </w:r>
      <w:r>
        <w:rPr>
          <w:b/>
          <w:spacing w:val="-5"/>
        </w:rPr>
        <w:t> </w:t>
      </w:r>
      <w:r>
        <w:rPr>
          <w:b/>
        </w:rPr>
        <w:t>follicle-stimulating</w:t>
      </w:r>
      <w:r>
        <w:rPr>
          <w:b/>
          <w:spacing w:val="-5"/>
        </w:rPr>
        <w:t> </w:t>
      </w:r>
      <w:r>
        <w:rPr>
          <w:b/>
        </w:rPr>
        <w:t>hormone</w:t>
      </w:r>
      <w:r>
        <w:rPr>
          <w:b/>
          <w:spacing w:val="-5"/>
        </w:rPr>
        <w:t> </w:t>
      </w:r>
      <w:r>
        <w:rPr>
          <w:b/>
        </w:rPr>
        <w:t>(FSH)</w:t>
      </w:r>
      <w:r>
        <w:rPr>
          <w:b/>
          <w:spacing w:val="-5"/>
        </w:rPr>
        <w:t> </w:t>
      </w:r>
      <w:r>
        <w:rPr>
          <w:b/>
        </w:rPr>
        <w:t>is</w:t>
      </w:r>
      <w:r>
        <w:rPr>
          <w:b/>
          <w:spacing w:val="-5"/>
        </w:rPr>
        <w:t> </w:t>
      </w:r>
      <w:r>
        <w:rPr>
          <w:b/>
        </w:rPr>
        <w:t>also</w:t>
      </w:r>
      <w:r>
        <w:rPr>
          <w:b/>
          <w:spacing w:val="-5"/>
        </w:rPr>
        <w:t> </w:t>
      </w:r>
      <w:r>
        <w:rPr>
          <w:b/>
        </w:rPr>
        <w:t>regulated</w:t>
      </w:r>
      <w:r>
        <w:rPr>
          <w:b/>
          <w:spacing w:val="-5"/>
        </w:rPr>
        <w:t> </w:t>
      </w:r>
      <w:r>
        <w:rPr>
          <w:b/>
        </w:rPr>
        <w:t>by</w:t>
      </w:r>
      <w:r>
        <w:rPr>
          <w:b/>
          <w:spacing w:val="-5"/>
        </w:rPr>
        <w:t> </w:t>
      </w:r>
      <w:r>
        <w:rPr>
          <w:b/>
        </w:rPr>
        <w:t>a</w:t>
      </w:r>
      <w:r>
        <w:rPr>
          <w:b/>
          <w:spacing w:val="-5"/>
        </w:rPr>
        <w:t> </w:t>
      </w:r>
      <w:r>
        <w:rPr>
          <w:b/>
        </w:rPr>
        <w:t>factor other than estrogen </w:t>
      </w:r>
      <w:r>
        <w:rPr/>
        <w:t>(</w:t>
      </w:r>
      <w:r>
        <w:rPr>
          <w:b/>
        </w:rPr>
        <w:t>ie, inhibin</w:t>
      </w:r>
      <w:r>
        <w:rPr/>
        <w:t>)</w:t>
      </w:r>
      <w:r>
        <w:rPr>
          <w:b/>
        </w:rPr>
        <w:t>, FSH levels cannot be used to monitor estrogen dosage. </w:t>
      </w:r>
      <w:r>
        <w:rPr/>
        <w:t>Menopausal HT utilizing commonly prescribed regimens will produce only a 10% to 20% decrease in FSH and luteinizing hormone (LH), and there is great individual variability in the responses.</w:t>
      </w:r>
      <w:r>
        <w:rPr>
          <w:vertAlign w:val="superscript"/>
        </w:rPr>
        <w:t>106</w:t>
      </w:r>
    </w:p>
    <w:p>
      <w:pPr>
        <w:spacing w:line="249" w:lineRule="auto" w:before="21"/>
        <w:ind w:left="99" w:right="97" w:firstLine="450"/>
        <w:jc w:val="both"/>
        <w:rPr>
          <w:sz w:val="30"/>
        </w:rPr>
      </w:pPr>
      <w:r>
        <w:rPr>
          <w:b/>
          <w:sz w:val="30"/>
        </w:rPr>
        <w:t>Products containing EE </w:t>
      </w:r>
      <w:r>
        <w:rPr>
          <w:sz w:val="30"/>
        </w:rPr>
        <w:t>(</w:t>
      </w:r>
      <w:r>
        <w:rPr>
          <w:b/>
          <w:sz w:val="30"/>
        </w:rPr>
        <w:t>commonly used in combined hormonal contraceptives</w:t>
      </w:r>
      <w:r>
        <w:rPr>
          <w:sz w:val="30"/>
        </w:rPr>
        <w:t>) </w:t>
      </w:r>
      <w:r>
        <w:rPr>
          <w:b/>
          <w:sz w:val="30"/>
        </w:rPr>
        <w:t>will not affect the measurement of circulating estradiol levels. </w:t>
      </w:r>
      <w:r>
        <w:rPr>
          <w:sz w:val="30"/>
        </w:rPr>
        <w:t>EE circulates without being changed, and the antibodies in the immunoassays for estradiol will not recognize it. It is for this reason that women on oral contraceptives have very low measurements of </w:t>
      </w:r>
      <w:r>
        <w:rPr>
          <w:sz w:val="30"/>
        </w:rPr>
        <w:t>estradiol. However, given the higher estrogenic potency of EE and hence a higher potential for adverse effects such as VTE compared to that of estradiol,</w:t>
      </w:r>
      <w:r>
        <w:rPr>
          <w:sz w:val="30"/>
          <w:vertAlign w:val="superscript"/>
        </w:rPr>
        <w:t>107</w:t>
      </w:r>
      <w:r>
        <w:rPr>
          <w:sz w:val="30"/>
          <w:vertAlign w:val="baseline"/>
        </w:rPr>
        <w:t> this aspect should be taken into consideration when choosing a hormone regimen (such as a combined hormonal contraceptive) for perimenopausal and menopausal women.</w:t>
      </w:r>
    </w:p>
    <w:p>
      <w:pPr>
        <w:pStyle w:val="BodyText"/>
        <w:spacing w:before="56"/>
        <w:ind w:left="0"/>
        <w:jc w:val="left"/>
      </w:pPr>
    </w:p>
    <w:p>
      <w:pPr>
        <w:spacing w:line="249" w:lineRule="auto" w:before="0"/>
        <w:ind w:left="99" w:right="255" w:firstLine="0"/>
        <w:jc w:val="left"/>
        <w:rPr>
          <w:rFonts w:ascii="Arial"/>
          <w:b/>
          <w:sz w:val="30"/>
        </w:rPr>
      </w:pPr>
      <w:r>
        <w:rPr>
          <w:rFonts w:ascii="Arial"/>
          <w:b/>
          <w:color w:val="2674AE"/>
          <w:sz w:val="30"/>
        </w:rPr>
        <w:t>Menopausal</w:t>
      </w:r>
      <w:r>
        <w:rPr>
          <w:rFonts w:ascii="Arial"/>
          <w:b/>
          <w:color w:val="2674AE"/>
          <w:spacing w:val="-8"/>
          <w:sz w:val="30"/>
        </w:rPr>
        <w:t> </w:t>
      </w:r>
      <w:r>
        <w:rPr>
          <w:rFonts w:ascii="Arial"/>
          <w:b/>
          <w:color w:val="2674AE"/>
          <w:sz w:val="30"/>
        </w:rPr>
        <w:t>Hormone</w:t>
      </w:r>
      <w:r>
        <w:rPr>
          <w:rFonts w:ascii="Arial"/>
          <w:b/>
          <w:color w:val="2674AE"/>
          <w:spacing w:val="-8"/>
          <w:sz w:val="30"/>
        </w:rPr>
        <w:t> </w:t>
      </w:r>
      <w:r>
        <w:rPr>
          <w:rFonts w:ascii="Arial"/>
          <w:b/>
          <w:color w:val="2674AE"/>
          <w:sz w:val="30"/>
        </w:rPr>
        <w:t>Therapy:</w:t>
      </w:r>
      <w:r>
        <w:rPr>
          <w:rFonts w:ascii="Arial"/>
          <w:b/>
          <w:color w:val="2674AE"/>
          <w:spacing w:val="-8"/>
          <w:sz w:val="30"/>
        </w:rPr>
        <w:t> </w:t>
      </w:r>
      <w:r>
        <w:rPr>
          <w:rFonts w:ascii="Arial"/>
          <w:b/>
          <w:color w:val="2674AE"/>
          <w:sz w:val="30"/>
        </w:rPr>
        <w:t>Sequential</w:t>
      </w:r>
      <w:r>
        <w:rPr>
          <w:rFonts w:ascii="Arial"/>
          <w:b/>
          <w:color w:val="2674AE"/>
          <w:spacing w:val="-8"/>
          <w:sz w:val="30"/>
        </w:rPr>
        <w:t> </w:t>
      </w:r>
      <w:r>
        <w:rPr>
          <w:rFonts w:ascii="Arial"/>
          <w:b/>
          <w:color w:val="2674AE"/>
          <w:sz w:val="30"/>
        </w:rPr>
        <w:t>and</w:t>
      </w:r>
      <w:r>
        <w:rPr>
          <w:rFonts w:ascii="Arial"/>
          <w:b/>
          <w:color w:val="2674AE"/>
          <w:spacing w:val="-8"/>
          <w:sz w:val="30"/>
        </w:rPr>
        <w:t> </w:t>
      </w:r>
      <w:r>
        <w:rPr>
          <w:rFonts w:ascii="Arial"/>
          <w:b/>
          <w:color w:val="2674AE"/>
          <w:sz w:val="30"/>
        </w:rPr>
        <w:t>Continuous </w:t>
      </w:r>
      <w:r>
        <w:rPr>
          <w:rFonts w:ascii="Arial"/>
          <w:b/>
          <w:color w:val="2674AE"/>
          <w:spacing w:val="-2"/>
          <w:sz w:val="30"/>
        </w:rPr>
        <w:t>Regimens</w:t>
      </w:r>
    </w:p>
    <w:p>
      <w:pPr>
        <w:spacing w:after="0" w:line="249" w:lineRule="auto"/>
        <w:jc w:val="left"/>
        <w:rPr>
          <w:rFonts w:ascii="Arial"/>
          <w:b/>
          <w:sz w:val="30"/>
        </w:rPr>
        <w:sectPr>
          <w:pgSz w:w="12240" w:h="15840"/>
          <w:pgMar w:top="1380" w:bottom="280" w:left="1440" w:right="1440"/>
        </w:sectPr>
      </w:pPr>
    </w:p>
    <w:p>
      <w:pPr>
        <w:pStyle w:val="BodyText"/>
        <w:spacing w:line="249" w:lineRule="auto"/>
        <w:ind w:right="101"/>
      </w:pPr>
      <w:r>
        <w:rPr/>
        <w:t>Postmenopausal HT initially consisted only of sequential regimens that were</w:t>
      </w:r>
      <w:r>
        <w:rPr>
          <w:spacing w:val="-2"/>
        </w:rPr>
        <w:t> </w:t>
      </w:r>
      <w:r>
        <w:rPr/>
        <w:t>logical</w:t>
      </w:r>
      <w:r>
        <w:rPr>
          <w:spacing w:val="-2"/>
        </w:rPr>
        <w:t> </w:t>
      </w:r>
      <w:r>
        <w:rPr/>
        <w:t>reflections</w:t>
      </w:r>
      <w:r>
        <w:rPr>
          <w:spacing w:val="-2"/>
        </w:rPr>
        <w:t> </w:t>
      </w:r>
      <w:r>
        <w:rPr/>
        <w:t>of</w:t>
      </w:r>
      <w:r>
        <w:rPr>
          <w:spacing w:val="-2"/>
        </w:rPr>
        <w:t> </w:t>
      </w:r>
      <w:r>
        <w:rPr/>
        <w:t>the</w:t>
      </w:r>
      <w:r>
        <w:rPr>
          <w:spacing w:val="-2"/>
        </w:rPr>
        <w:t> </w:t>
      </w:r>
      <w:r>
        <w:rPr/>
        <w:t>cyclic</w:t>
      </w:r>
      <w:r>
        <w:rPr>
          <w:spacing w:val="-2"/>
        </w:rPr>
        <w:t> </w:t>
      </w:r>
      <w:r>
        <w:rPr/>
        <w:t>estrogen</w:t>
      </w:r>
      <w:r>
        <w:rPr>
          <w:spacing w:val="-2"/>
        </w:rPr>
        <w:t> </w:t>
      </w:r>
      <w:r>
        <w:rPr/>
        <w:t>and</w:t>
      </w:r>
      <w:r>
        <w:rPr>
          <w:spacing w:val="-2"/>
        </w:rPr>
        <w:t> </w:t>
      </w:r>
      <w:r>
        <w:rPr/>
        <w:t>progesterone</w:t>
      </w:r>
      <w:r>
        <w:rPr>
          <w:spacing w:val="-2"/>
        </w:rPr>
        <w:t> </w:t>
      </w:r>
      <w:r>
        <w:rPr/>
        <w:t>patterns</w:t>
      </w:r>
      <w:r>
        <w:rPr>
          <w:spacing w:val="-2"/>
        </w:rPr>
        <w:t> </w:t>
      </w:r>
      <w:r>
        <w:rPr/>
        <w:t>in</w:t>
      </w:r>
      <w:r>
        <w:rPr>
          <w:spacing w:val="-2"/>
        </w:rPr>
        <w:t> </w:t>
      </w:r>
      <w:r>
        <w:rPr/>
        <w:t>a premenopausal menstrual cycle. Clinical trials established the doses and durations for progestin administration that would effectively protect the endometrium against unchecked estrogen-driven proliferation.</w:t>
      </w:r>
      <w:r>
        <w:rPr>
          <w:vertAlign w:val="superscript"/>
        </w:rPr>
        <w:t>108</w:t>
      </w:r>
      <w:r>
        <w:rPr>
          <w:vertAlign w:val="baseline"/>
        </w:rPr>
        <w:t> </w:t>
      </w:r>
      <w:r>
        <w:rPr>
          <w:vertAlign w:val="baseline"/>
        </w:rPr>
        <w:t>Progestin withdrawal bleeding occurs in 80% to 90% of women on a sequential regimen.</w:t>
      </w:r>
      <w:r>
        <w:rPr>
          <w:vertAlign w:val="superscript"/>
        </w:rPr>
        <w:t>109-111</w:t>
      </w:r>
      <w:r>
        <w:rPr>
          <w:vertAlign w:val="baseline"/>
        </w:rPr>
        <w:t> The continuous combined method of treatment evolved to improve patient continuance that was adversely affected by bleeding and other symptoms triggered by the cyclic hormonal changes. The addition of</w:t>
      </w:r>
      <w:r>
        <w:rPr>
          <w:spacing w:val="40"/>
          <w:vertAlign w:val="baseline"/>
        </w:rPr>
        <w:t> </w:t>
      </w:r>
      <w:r>
        <w:rPr>
          <w:vertAlign w:val="baseline"/>
        </w:rPr>
        <w:t>a daily dose of a progestin to the daily administration of estrogen allowed the progestin dose to be smaller, provided effective protection against endometrial hyperplasia, and resulted in amenorrhea within 1 year of treatment in 80% to 90% of patients.</w:t>
      </w:r>
      <w:r>
        <w:rPr>
          <w:vertAlign w:val="superscript"/>
        </w:rPr>
        <w:t>110,112-114</w:t>
      </w:r>
    </w:p>
    <w:p>
      <w:pPr>
        <w:pStyle w:val="BodyText"/>
        <w:spacing w:line="249" w:lineRule="auto" w:before="16"/>
        <w:ind w:right="108" w:firstLine="450"/>
      </w:pPr>
      <w:r>
        <w:rPr/>
        <w:t>In</w:t>
      </w:r>
      <w:r>
        <w:rPr>
          <w:spacing w:val="-2"/>
        </w:rPr>
        <w:t> </w:t>
      </w:r>
      <w:r>
        <w:rPr/>
        <w:t>the</w:t>
      </w:r>
      <w:r>
        <w:rPr>
          <w:spacing w:val="-2"/>
        </w:rPr>
        <w:t> </w:t>
      </w:r>
      <w:r>
        <w:rPr/>
        <w:t>sequential</w:t>
      </w:r>
      <w:r>
        <w:rPr>
          <w:spacing w:val="-2"/>
        </w:rPr>
        <w:t> </w:t>
      </w:r>
      <w:r>
        <w:rPr/>
        <w:t>regimen,</w:t>
      </w:r>
      <w:r>
        <w:rPr>
          <w:spacing w:val="-2"/>
        </w:rPr>
        <w:t> </w:t>
      </w:r>
      <w:r>
        <w:rPr/>
        <w:t>estrogen</w:t>
      </w:r>
      <w:r>
        <w:rPr>
          <w:spacing w:val="-2"/>
        </w:rPr>
        <w:t> </w:t>
      </w:r>
      <w:r>
        <w:rPr/>
        <w:t>is</w:t>
      </w:r>
      <w:r>
        <w:rPr>
          <w:spacing w:val="-2"/>
        </w:rPr>
        <w:t> </w:t>
      </w:r>
      <w:r>
        <w:rPr/>
        <w:t>administered</w:t>
      </w:r>
      <w:r>
        <w:rPr>
          <w:spacing w:val="-2"/>
        </w:rPr>
        <w:t> </w:t>
      </w:r>
      <w:r>
        <w:rPr/>
        <w:t>daily,</w:t>
      </w:r>
      <w:r>
        <w:rPr>
          <w:spacing w:val="-2"/>
        </w:rPr>
        <w:t> </w:t>
      </w:r>
      <w:r>
        <w:rPr/>
        <w:t>and</w:t>
      </w:r>
      <w:r>
        <w:rPr>
          <w:spacing w:val="-2"/>
        </w:rPr>
        <w:t> </w:t>
      </w:r>
      <w:r>
        <w:rPr/>
        <w:t>progestins are administered for 2 weeks every month, using the </w:t>
      </w:r>
      <w:r>
        <w:rPr>
          <w:i/>
        </w:rPr>
        <w:t>comparable </w:t>
      </w:r>
      <w:r>
        <w:rPr/>
        <w:t>doses of the progestogens shown in the following list and those that are listed in </w:t>
      </w:r>
      <w:r>
        <w:rPr>
          <w:b/>
          <w:color w:val="256E60"/>
        </w:rPr>
        <w:t>Table 22.3</w:t>
      </w:r>
      <w:r>
        <w:rPr>
          <w:vertAlign w:val="superscript"/>
        </w:rPr>
        <w:t>111-116</w:t>
      </w:r>
      <w:r>
        <w:rPr>
          <w:vertAlign w:val="baseline"/>
        </w:rPr>
        <w:t>:</w:t>
      </w:r>
    </w:p>
    <w:p>
      <w:pPr>
        <w:pStyle w:val="ListParagraph"/>
        <w:numPr>
          <w:ilvl w:val="0"/>
          <w:numId w:val="10"/>
        </w:numPr>
        <w:tabs>
          <w:tab w:pos="398" w:val="left" w:leader="none"/>
        </w:tabs>
        <w:spacing w:line="240" w:lineRule="auto" w:before="260" w:after="0"/>
        <w:ind w:left="398" w:right="0" w:hanging="279"/>
        <w:jc w:val="left"/>
        <w:rPr>
          <w:sz w:val="30"/>
        </w:rPr>
      </w:pPr>
      <w:r>
        <w:rPr>
          <w:sz w:val="30"/>
        </w:rPr>
        <w:t>5-mg medroxyprogesterone acetate </w:t>
      </w:r>
      <w:r>
        <w:rPr>
          <w:spacing w:val="-2"/>
          <w:sz w:val="30"/>
        </w:rPr>
        <w:t>(MPA)</w:t>
      </w:r>
    </w:p>
    <w:p>
      <w:pPr>
        <w:pStyle w:val="ListParagraph"/>
        <w:numPr>
          <w:ilvl w:val="0"/>
          <w:numId w:val="10"/>
        </w:numPr>
        <w:tabs>
          <w:tab w:pos="398" w:val="left" w:leader="none"/>
        </w:tabs>
        <w:spacing w:line="240" w:lineRule="auto" w:before="105" w:after="0"/>
        <w:ind w:left="398" w:right="0" w:hanging="279"/>
        <w:jc w:val="left"/>
        <w:rPr>
          <w:sz w:val="30"/>
        </w:rPr>
      </w:pPr>
      <w:r>
        <w:rPr>
          <w:sz w:val="30"/>
        </w:rPr>
        <w:t>1.0-mg norethindrone acetate </w:t>
      </w:r>
      <w:r>
        <w:rPr>
          <w:spacing w:val="-2"/>
          <w:sz w:val="30"/>
        </w:rPr>
        <w:t>(NETA)</w:t>
      </w:r>
    </w:p>
    <w:p>
      <w:pPr>
        <w:pStyle w:val="ListParagraph"/>
        <w:numPr>
          <w:ilvl w:val="0"/>
          <w:numId w:val="10"/>
        </w:numPr>
        <w:tabs>
          <w:tab w:pos="398" w:val="left" w:leader="none"/>
        </w:tabs>
        <w:spacing w:line="240" w:lineRule="auto" w:before="105" w:after="0"/>
        <w:ind w:left="398" w:right="0" w:hanging="279"/>
        <w:jc w:val="left"/>
        <w:rPr>
          <w:sz w:val="30"/>
        </w:rPr>
      </w:pPr>
      <w:r>
        <w:rPr>
          <w:sz w:val="30"/>
        </w:rPr>
        <w:t>200-mg micronized </w:t>
      </w:r>
      <w:r>
        <w:rPr>
          <w:spacing w:val="-2"/>
          <w:sz w:val="30"/>
        </w:rPr>
        <w:t>progesterone</w:t>
      </w:r>
    </w:p>
    <w:p>
      <w:pPr>
        <w:pStyle w:val="BodyText"/>
        <w:spacing w:line="249" w:lineRule="auto" w:before="270"/>
        <w:ind w:left="549"/>
        <w:jc w:val="left"/>
      </w:pPr>
      <w:r>
        <w:rPr/>
        <w:t>In</w:t>
      </w:r>
      <w:r>
        <w:rPr>
          <w:spacing w:val="40"/>
        </w:rPr>
        <w:t> </w:t>
      </w:r>
      <w:r>
        <w:rPr/>
        <w:t>the</w:t>
      </w:r>
      <w:r>
        <w:rPr>
          <w:spacing w:val="40"/>
        </w:rPr>
        <w:t> </w:t>
      </w:r>
      <w:r>
        <w:rPr/>
        <w:t>daily</w:t>
      </w:r>
      <w:r>
        <w:rPr>
          <w:spacing w:val="40"/>
        </w:rPr>
        <w:t> </w:t>
      </w:r>
      <w:r>
        <w:rPr/>
        <w:t>continuous,</w:t>
      </w:r>
      <w:r>
        <w:rPr>
          <w:spacing w:val="40"/>
        </w:rPr>
        <w:t> </w:t>
      </w:r>
      <w:r>
        <w:rPr/>
        <w:t>combined</w:t>
      </w:r>
      <w:r>
        <w:rPr>
          <w:spacing w:val="40"/>
        </w:rPr>
        <w:t> </w:t>
      </w:r>
      <w:r>
        <w:rPr/>
        <w:t>regimen,</w:t>
      </w:r>
      <w:r>
        <w:rPr>
          <w:spacing w:val="40"/>
        </w:rPr>
        <w:t> </w:t>
      </w:r>
      <w:r>
        <w:rPr/>
        <w:t>progestins</w:t>
      </w:r>
      <w:r>
        <w:rPr>
          <w:spacing w:val="40"/>
        </w:rPr>
        <w:t> </w:t>
      </w:r>
      <w:r>
        <w:rPr/>
        <w:t>are</w:t>
      </w:r>
      <w:r>
        <w:rPr>
          <w:spacing w:val="40"/>
        </w:rPr>
        <w:t> </w:t>
      </w:r>
      <w:r>
        <w:rPr/>
        <w:t>combined with estrogen in the following </w:t>
      </w:r>
      <w:r>
        <w:rPr>
          <w:i/>
        </w:rPr>
        <w:t>comparable </w:t>
      </w:r>
      <w:r>
        <w:rPr/>
        <w:t>doses</w:t>
      </w:r>
      <w:r>
        <w:rPr>
          <w:vertAlign w:val="superscript"/>
        </w:rPr>
        <w:t>113,114,117</w:t>
      </w:r>
      <w:r>
        <w:rPr>
          <w:vertAlign w:val="baseline"/>
        </w:rPr>
        <w:t>:</w:t>
      </w:r>
    </w:p>
    <w:p>
      <w:pPr>
        <w:pStyle w:val="BodyText"/>
        <w:spacing w:before="257"/>
        <w:ind w:left="399"/>
        <w:jc w:val="left"/>
      </w:pPr>
      <w:r>
        <w:rPr/>
        <mc:AlternateContent>
          <mc:Choice Requires="wps">
            <w:drawing>
              <wp:anchor distT="0" distB="0" distL="0" distR="0" allowOverlap="1" layoutInCell="1" locked="0" behindDoc="0" simplePos="0" relativeHeight="15765504">
                <wp:simplePos x="0" y="0"/>
                <wp:positionH relativeFrom="page">
                  <wp:posOffset>990599</wp:posOffset>
                </wp:positionH>
                <wp:positionV relativeFrom="paragraph">
                  <wp:posOffset>255572</wp:posOffset>
                </wp:positionV>
                <wp:extent cx="57150" cy="5715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7150" cy="57150"/>
                        </a:xfrm>
                        <a:custGeom>
                          <a:avLst/>
                          <a:gdLst/>
                          <a:ahLst/>
                          <a:cxnLst/>
                          <a:rect l="l" t="t" r="r" b="b"/>
                          <a:pathLst>
                            <a:path w="57150" h="57150">
                              <a:moveTo>
                                <a:pt x="32364" y="57130"/>
                              </a:moveTo>
                              <a:lnTo>
                                <a:pt x="24785" y="57130"/>
                              </a:lnTo>
                              <a:lnTo>
                                <a:pt x="21140" y="56407"/>
                              </a:lnTo>
                              <a:lnTo>
                                <a:pt x="0" y="32346"/>
                              </a:lnTo>
                              <a:lnTo>
                                <a:pt x="0" y="24784"/>
                              </a:lnTo>
                              <a:lnTo>
                                <a:pt x="24785" y="0"/>
                              </a:lnTo>
                              <a:lnTo>
                                <a:pt x="32364" y="0"/>
                              </a:lnTo>
                              <a:lnTo>
                                <a:pt x="57150" y="28574"/>
                              </a:lnTo>
                              <a:lnTo>
                                <a:pt x="57149" y="32346"/>
                              </a:lnTo>
                              <a:lnTo>
                                <a:pt x="32364" y="57130"/>
                              </a:lnTo>
                              <a:close/>
                            </a:path>
                          </a:pathLst>
                        </a:custGeom>
                        <a:solidFill>
                          <a:srgbClr val="7D3C87"/>
                        </a:solidFill>
                      </wps:spPr>
                      <wps:bodyPr wrap="square" lIns="0" tIns="0" rIns="0" bIns="0" rtlCol="0">
                        <a:prstTxWarp prst="textNoShape">
                          <a:avLst/>
                        </a:prstTxWarp>
                        <a:noAutofit/>
                      </wps:bodyPr>
                    </wps:wsp>
                  </a:graphicData>
                </a:graphic>
              </wp:anchor>
            </w:drawing>
          </mc:Choice>
          <mc:Fallback>
            <w:pict>
              <v:shape style="position:absolute;margin-left:77.999992pt;margin-top:20.123796pt;width:4.5pt;height:4.5pt;mso-position-horizontal-relative:page;mso-position-vertical-relative:paragraph;z-index:15765504" id="docshape89" coordorigin="1560,402" coordsize="90,90" path="m1611,492l1599,492,1593,491,1560,453,1560,442,1599,402,1611,402,1650,447,1650,453,1611,492xe" filled="true" fillcolor="#7d3c87" stroked="false">
                <v:path arrowok="t"/>
                <v:fill type="solid"/>
                <w10:wrap type="none"/>
              </v:shape>
            </w:pict>
          </mc:Fallback>
        </mc:AlternateContent>
      </w:r>
      <w:r>
        <w:rPr/>
        <w:t>1.5 or 2.5-mg </w:t>
      </w:r>
      <w:r>
        <w:rPr>
          <w:spacing w:val="-5"/>
        </w:rPr>
        <w:t>MPA</w:t>
      </w:r>
    </w:p>
    <w:p>
      <w:pPr>
        <w:pStyle w:val="ListParagraph"/>
        <w:numPr>
          <w:ilvl w:val="0"/>
          <w:numId w:val="10"/>
        </w:numPr>
        <w:tabs>
          <w:tab w:pos="398" w:val="left" w:leader="none"/>
        </w:tabs>
        <w:spacing w:line="240" w:lineRule="auto" w:before="105" w:after="0"/>
        <w:ind w:left="398" w:right="0" w:hanging="279"/>
        <w:jc w:val="left"/>
        <w:rPr>
          <w:sz w:val="30"/>
        </w:rPr>
      </w:pPr>
      <w:r>
        <w:rPr>
          <w:sz w:val="30"/>
        </w:rPr>
        <w:t>0.35-mg </w:t>
      </w:r>
      <w:r>
        <w:rPr>
          <w:spacing w:val="-2"/>
          <w:sz w:val="30"/>
        </w:rPr>
        <w:t>norethindrone</w:t>
      </w:r>
    </w:p>
    <w:p>
      <w:pPr>
        <w:pStyle w:val="BodyText"/>
        <w:spacing w:before="105"/>
        <w:ind w:left="399"/>
        <w:jc w:val="left"/>
      </w:pPr>
      <w:r>
        <w:rPr/>
        <mc:AlternateContent>
          <mc:Choice Requires="wps">
            <w:drawing>
              <wp:anchor distT="0" distB="0" distL="0" distR="0" allowOverlap="1" layoutInCell="1" locked="0" behindDoc="0" simplePos="0" relativeHeight="15766016">
                <wp:simplePos x="0" y="0"/>
                <wp:positionH relativeFrom="page">
                  <wp:posOffset>990599</wp:posOffset>
                </wp:positionH>
                <wp:positionV relativeFrom="paragraph">
                  <wp:posOffset>159089</wp:posOffset>
                </wp:positionV>
                <wp:extent cx="57150" cy="5715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7150" cy="57150"/>
                        </a:xfrm>
                        <a:custGeom>
                          <a:avLst/>
                          <a:gdLst/>
                          <a:ahLst/>
                          <a:cxnLst/>
                          <a:rect l="l" t="t" r="r" b="b"/>
                          <a:pathLst>
                            <a:path w="57150" h="57150">
                              <a:moveTo>
                                <a:pt x="32364" y="57130"/>
                              </a:moveTo>
                              <a:lnTo>
                                <a:pt x="24785" y="57130"/>
                              </a:lnTo>
                              <a:lnTo>
                                <a:pt x="21140" y="56407"/>
                              </a:lnTo>
                              <a:lnTo>
                                <a:pt x="0" y="32346"/>
                              </a:lnTo>
                              <a:lnTo>
                                <a:pt x="0" y="24784"/>
                              </a:lnTo>
                              <a:lnTo>
                                <a:pt x="24785" y="0"/>
                              </a:lnTo>
                              <a:lnTo>
                                <a:pt x="32364" y="0"/>
                              </a:lnTo>
                              <a:lnTo>
                                <a:pt x="57150" y="28574"/>
                              </a:lnTo>
                              <a:lnTo>
                                <a:pt x="57149" y="32346"/>
                              </a:lnTo>
                              <a:lnTo>
                                <a:pt x="32364" y="57130"/>
                              </a:lnTo>
                              <a:close/>
                            </a:path>
                          </a:pathLst>
                        </a:custGeom>
                        <a:solidFill>
                          <a:srgbClr val="7D3C87"/>
                        </a:solidFill>
                      </wps:spPr>
                      <wps:bodyPr wrap="square" lIns="0" tIns="0" rIns="0" bIns="0" rtlCol="0">
                        <a:prstTxWarp prst="textNoShape">
                          <a:avLst/>
                        </a:prstTxWarp>
                        <a:noAutofit/>
                      </wps:bodyPr>
                    </wps:wsp>
                  </a:graphicData>
                </a:graphic>
              </wp:anchor>
            </w:drawing>
          </mc:Choice>
          <mc:Fallback>
            <w:pict>
              <v:shape style="position:absolute;margin-left:77.999992pt;margin-top:12.526722pt;width:4.5pt;height:4.5pt;mso-position-horizontal-relative:page;mso-position-vertical-relative:paragraph;z-index:15766016" id="docshape90" coordorigin="1560,251" coordsize="90,90" path="m1611,341l1599,341,1593,339,1560,301,1560,290,1599,251,1611,251,1650,296,1650,301,1611,341xe" filled="true" fillcolor="#7d3c87" stroked="false">
                <v:path arrowok="t"/>
                <v:fill type="solid"/>
                <w10:wrap type="none"/>
              </v:shape>
            </w:pict>
          </mc:Fallback>
        </mc:AlternateContent>
      </w:r>
      <w:r>
        <w:rPr/>
        <w:t>0.5</w:t>
      </w:r>
      <w:r>
        <w:rPr>
          <w:spacing w:val="-2"/>
        </w:rPr>
        <w:t> </w:t>
      </w:r>
      <w:r>
        <w:rPr/>
        <w:t>or 1.0-mg </w:t>
      </w:r>
      <w:r>
        <w:rPr>
          <w:spacing w:val="-4"/>
        </w:rPr>
        <w:t>NETA</w:t>
      </w:r>
    </w:p>
    <w:p>
      <w:pPr>
        <w:pStyle w:val="ListParagraph"/>
        <w:numPr>
          <w:ilvl w:val="0"/>
          <w:numId w:val="10"/>
        </w:numPr>
        <w:tabs>
          <w:tab w:pos="398" w:val="left" w:leader="none"/>
        </w:tabs>
        <w:spacing w:line="240" w:lineRule="auto" w:before="105" w:after="0"/>
        <w:ind w:left="398" w:right="0" w:hanging="279"/>
        <w:jc w:val="left"/>
        <w:rPr>
          <w:sz w:val="30"/>
        </w:rPr>
      </w:pPr>
      <w:r>
        <w:rPr>
          <w:sz w:val="30"/>
        </w:rPr>
        <w:t>100-mg micronized </w:t>
      </w:r>
      <w:r>
        <w:rPr>
          <w:spacing w:val="-2"/>
          <w:sz w:val="30"/>
        </w:rPr>
        <w:t>progesterone</w:t>
      </w:r>
    </w:p>
    <w:p>
      <w:pPr>
        <w:pStyle w:val="ListParagraph"/>
        <w:numPr>
          <w:ilvl w:val="0"/>
          <w:numId w:val="10"/>
        </w:numPr>
        <w:tabs>
          <w:tab w:pos="398" w:val="left" w:leader="none"/>
        </w:tabs>
        <w:spacing w:line="240" w:lineRule="auto" w:before="105" w:after="0"/>
        <w:ind w:left="398" w:right="0" w:hanging="279"/>
        <w:jc w:val="left"/>
        <w:rPr>
          <w:sz w:val="30"/>
        </w:rPr>
      </w:pPr>
      <w:r>
        <w:rPr>
          <w:sz w:val="30"/>
        </w:rPr>
        <w:t>2-mg drospirenone </w:t>
      </w:r>
      <w:r>
        <w:rPr>
          <w:spacing w:val="-2"/>
          <w:sz w:val="30"/>
        </w:rPr>
        <w:t>(DRSP)</w:t>
      </w:r>
    </w:p>
    <w:p>
      <w:pPr>
        <w:pStyle w:val="ListParagraph"/>
        <w:numPr>
          <w:ilvl w:val="0"/>
          <w:numId w:val="10"/>
        </w:numPr>
        <w:tabs>
          <w:tab w:pos="398" w:val="left" w:leader="none"/>
        </w:tabs>
        <w:spacing w:line="240" w:lineRule="auto" w:before="105" w:after="0"/>
        <w:ind w:left="398" w:right="0" w:hanging="279"/>
        <w:jc w:val="left"/>
        <w:rPr>
          <w:sz w:val="30"/>
        </w:rPr>
      </w:pPr>
      <w:r>
        <w:rPr>
          <w:sz w:val="30"/>
        </w:rPr>
        <w:t>2-mg </w:t>
      </w:r>
      <w:r>
        <w:rPr>
          <w:spacing w:val="-2"/>
          <w:sz w:val="30"/>
        </w:rPr>
        <w:t>dienogest</w:t>
      </w:r>
    </w:p>
    <w:p>
      <w:pPr>
        <w:pStyle w:val="BodyText"/>
        <w:spacing w:before="104"/>
        <w:ind w:left="0"/>
        <w:jc w:val="left"/>
      </w:pPr>
    </w:p>
    <w:p>
      <w:pPr>
        <w:spacing w:before="0"/>
        <w:ind w:left="99" w:right="0" w:firstLine="0"/>
        <w:jc w:val="both"/>
        <w:rPr>
          <w:rFonts w:ascii="Arial"/>
          <w:b/>
          <w:i/>
          <w:sz w:val="30"/>
        </w:rPr>
      </w:pPr>
      <w:r>
        <w:rPr>
          <w:rFonts w:ascii="Arial"/>
          <w:b/>
          <w:color w:val="2674AE"/>
          <w:sz w:val="30"/>
        </w:rPr>
        <w:t>Menopausal Hormone Therapy:</w:t>
      </w:r>
      <w:r>
        <w:rPr>
          <w:rFonts w:ascii="Arial"/>
          <w:b/>
          <w:color w:val="2674AE"/>
          <w:spacing w:val="-1"/>
          <w:sz w:val="30"/>
        </w:rPr>
        <w:t> </w:t>
      </w:r>
      <w:r>
        <w:rPr>
          <w:rFonts w:ascii="Arial"/>
          <w:b/>
          <w:i/>
          <w:color w:val="2674AE"/>
          <w:sz w:val="30"/>
        </w:rPr>
        <w:t>Estrogen </w:t>
      </w:r>
      <w:r>
        <w:rPr>
          <w:rFonts w:ascii="Arial"/>
          <w:b/>
          <w:i/>
          <w:color w:val="2674AE"/>
          <w:spacing w:val="-4"/>
          <w:sz w:val="30"/>
        </w:rPr>
        <w:t>Dose</w:t>
      </w:r>
    </w:p>
    <w:p>
      <w:pPr>
        <w:spacing w:after="0"/>
        <w:jc w:val="both"/>
        <w:rPr>
          <w:rFonts w:ascii="Arial"/>
          <w:b/>
          <w:i/>
          <w:sz w:val="30"/>
        </w:rPr>
        <w:sectPr>
          <w:pgSz w:w="12240" w:h="15840"/>
          <w:pgMar w:top="1380" w:bottom="280" w:left="1440" w:right="1440"/>
        </w:sectPr>
      </w:pPr>
    </w:p>
    <w:p>
      <w:pPr>
        <w:pStyle w:val="BodyText"/>
        <w:spacing w:line="249" w:lineRule="auto"/>
        <w:ind w:right="98"/>
        <w:rPr>
          <w:b/>
        </w:rPr>
      </w:pPr>
      <w:r>
        <w:rPr/>
        <w:t>There has been a progressive decrease in estrogen doses in menopausal </w:t>
      </w:r>
      <w:r>
        <w:rPr/>
        <w:t>HT regimens. For many years, the standard doses of estrogens were 0.625-mg conjugated estrogens, 1 to 2-mg micronized estradiol, 1- to 2-mg estradiol valerate, or equivalent doses of other estrogens such as 5-μg EE. Lower doses have been proven </w:t>
      </w:r>
      <w:r>
        <w:rPr>
          <w:i/>
        </w:rPr>
        <w:t>on average </w:t>
      </w:r>
      <w:r>
        <w:rPr/>
        <w:t>to be as effective as these “standard” doses.</w:t>
      </w:r>
      <w:r>
        <w:rPr>
          <w:spacing w:val="-4"/>
        </w:rPr>
        <w:t> </w:t>
      </w:r>
      <w:r>
        <w:rPr/>
        <w:t>Conjugated estrogens in a dose of 0.3 or 0.45 mg effectively produce a gain in BMD when combined with 1.5 mg MPA; similarly, a dose of 0.5-mg micronized estradiol produces comparable effects.</w:t>
      </w:r>
      <w:r>
        <w:rPr>
          <w:vertAlign w:val="superscript"/>
        </w:rPr>
        <w:t>118-121</w:t>
      </w:r>
      <w:r>
        <w:rPr>
          <w:vertAlign w:val="baseline"/>
        </w:rPr>
        <w:t> The 0.45/1.5-mg and 0.3/1.5-mg conjugated estrogens/MPA combinations effectively reduce VMS as well as improve symptoms related to vaginal atrophy and measures of sexual function in a pattern that is quantitatively and qualitatively similar to the 0.625/2.5-mg combination, and with lesser mastalgia.</w:t>
      </w:r>
      <w:r>
        <w:rPr>
          <w:vertAlign w:val="superscript"/>
        </w:rPr>
        <w:t>122,123</w:t>
      </w:r>
      <w:r>
        <w:rPr>
          <w:spacing w:val="-3"/>
          <w:vertAlign w:val="baseline"/>
        </w:rPr>
        <w:t> </w:t>
      </w:r>
      <w:r>
        <w:rPr>
          <w:vertAlign w:val="baseline"/>
        </w:rPr>
        <w:t>These</w:t>
      </w:r>
      <w:r>
        <w:rPr>
          <w:spacing w:val="-3"/>
          <w:vertAlign w:val="baseline"/>
        </w:rPr>
        <w:t> </w:t>
      </w:r>
      <w:r>
        <w:rPr>
          <w:vertAlign w:val="baseline"/>
        </w:rPr>
        <w:t>lower</w:t>
      </w:r>
      <w:r>
        <w:rPr>
          <w:spacing w:val="-3"/>
          <w:vertAlign w:val="baseline"/>
        </w:rPr>
        <w:t> </w:t>
      </w:r>
      <w:r>
        <w:rPr>
          <w:vertAlign w:val="baseline"/>
        </w:rPr>
        <w:t>dose</w:t>
      </w:r>
      <w:r>
        <w:rPr>
          <w:spacing w:val="-3"/>
          <w:vertAlign w:val="baseline"/>
        </w:rPr>
        <w:t> </w:t>
      </w:r>
      <w:r>
        <w:rPr>
          <w:vertAlign w:val="baseline"/>
        </w:rPr>
        <w:t>combinations</w:t>
      </w:r>
      <w:r>
        <w:rPr>
          <w:spacing w:val="-3"/>
          <w:vertAlign w:val="baseline"/>
        </w:rPr>
        <w:t> </w:t>
      </w:r>
      <w:r>
        <w:rPr>
          <w:vertAlign w:val="baseline"/>
        </w:rPr>
        <w:t>are</w:t>
      </w:r>
      <w:r>
        <w:rPr>
          <w:spacing w:val="-3"/>
          <w:vertAlign w:val="baseline"/>
        </w:rPr>
        <w:t> </w:t>
      </w:r>
      <w:r>
        <w:rPr>
          <w:vertAlign w:val="baseline"/>
        </w:rPr>
        <w:t>also</w:t>
      </w:r>
      <w:r>
        <w:rPr>
          <w:spacing w:val="-3"/>
          <w:vertAlign w:val="baseline"/>
        </w:rPr>
        <w:t> </w:t>
      </w:r>
      <w:r>
        <w:rPr>
          <w:vertAlign w:val="baseline"/>
        </w:rPr>
        <w:t>associated</w:t>
      </w:r>
      <w:r>
        <w:rPr>
          <w:spacing w:val="-3"/>
          <w:vertAlign w:val="baseline"/>
        </w:rPr>
        <w:t> </w:t>
      </w:r>
      <w:r>
        <w:rPr>
          <w:vertAlign w:val="baseline"/>
        </w:rPr>
        <w:t>with</w:t>
      </w:r>
      <w:r>
        <w:rPr>
          <w:spacing w:val="-3"/>
          <w:vertAlign w:val="baseline"/>
        </w:rPr>
        <w:t> </w:t>
      </w:r>
      <w:r>
        <w:rPr>
          <w:vertAlign w:val="baseline"/>
        </w:rPr>
        <w:t>less breakthrough bleeding and higher rates of cumulative amenorrhea</w:t>
      </w:r>
      <w:r>
        <w:rPr>
          <w:spacing w:val="40"/>
          <w:vertAlign w:val="baseline"/>
        </w:rPr>
        <w:t> </w:t>
      </w:r>
      <w:r>
        <w:rPr>
          <w:vertAlign w:val="baseline"/>
        </w:rPr>
        <w:t>compared with older standard-dose regimens and retain the favorable changes in the lipid profile.</w:t>
      </w:r>
      <w:r>
        <w:rPr>
          <w:vertAlign w:val="superscript"/>
        </w:rPr>
        <w:t>124,125</w:t>
      </w:r>
      <w:r>
        <w:rPr>
          <w:vertAlign w:val="baseline"/>
        </w:rPr>
        <w:t> At these lower doses of conjugated estrogens, the combination with progestin produces an additive benefit; therefore, when these lower doses of estrogen are used without progestin, the effect on mitigation of VMS may not be as great as seen with the combination regimen. In a dose-response study, the most efficacious dose</w:t>
      </w:r>
      <w:r>
        <w:rPr>
          <w:spacing w:val="40"/>
          <w:vertAlign w:val="baseline"/>
        </w:rPr>
        <w:t> </w:t>
      </w:r>
      <w:r>
        <w:rPr>
          <w:vertAlign w:val="baseline"/>
        </w:rPr>
        <w:t>of oral micronized estradiol was 1 mg/d.</w:t>
      </w:r>
      <w:r>
        <w:rPr>
          <w:vertAlign w:val="superscript"/>
        </w:rPr>
        <w:t>126</w:t>
      </w:r>
      <w:r>
        <w:rPr>
          <w:vertAlign w:val="baseline"/>
        </w:rPr>
        <w:t> The lower dose combination of EE and NETA (2.5 μg/0.5 mg) is nearly as effective in treating hot flushes as the higher dose combination (5.0 μg/1.0 mg).</w:t>
      </w:r>
      <w:r>
        <w:rPr>
          <w:vertAlign w:val="superscript"/>
        </w:rPr>
        <w:t>127</w:t>
      </w:r>
      <w:r>
        <w:rPr>
          <w:vertAlign w:val="baseline"/>
        </w:rPr>
        <w:t> </w:t>
      </w:r>
      <w:r>
        <w:rPr>
          <w:b/>
          <w:vertAlign w:val="baseline"/>
        </w:rPr>
        <w:t>Vigilance is advised in assessing response with lower dose regimens; innate differences in rate of metabolism and clearance may account for some women not attaining effective symptom control with the use of low-dose </w:t>
      </w:r>
      <w:r>
        <w:rPr>
          <w:b/>
          <w:spacing w:val="-2"/>
          <w:vertAlign w:val="baseline"/>
        </w:rPr>
        <w:t>formulations.</w:t>
      </w:r>
    </w:p>
    <w:p>
      <w:pPr>
        <w:pStyle w:val="BodyText"/>
        <w:spacing w:before="0"/>
        <w:ind w:left="0"/>
        <w:jc w:val="left"/>
        <w:rPr>
          <w:b/>
          <w:sz w:val="20"/>
        </w:rPr>
      </w:pPr>
    </w:p>
    <w:p>
      <w:pPr>
        <w:pStyle w:val="BodyText"/>
        <w:spacing w:before="144"/>
        <w:ind w:left="0"/>
        <w:jc w:val="left"/>
        <w:rPr>
          <w:b/>
          <w:sz w:val="20"/>
        </w:rPr>
      </w:pPr>
      <w:r>
        <w:rPr>
          <w:b/>
          <w:sz w:val="20"/>
        </w:rPr>
        <mc:AlternateContent>
          <mc:Choice Requires="wps">
            <w:drawing>
              <wp:anchor distT="0" distB="0" distL="0" distR="0" allowOverlap="1" layoutInCell="1" locked="0" behindDoc="1" simplePos="0" relativeHeight="487625728">
                <wp:simplePos x="0" y="0"/>
                <wp:positionH relativeFrom="page">
                  <wp:posOffset>981075</wp:posOffset>
                </wp:positionH>
                <wp:positionV relativeFrom="paragraph">
                  <wp:posOffset>252889</wp:posOffset>
                </wp:positionV>
                <wp:extent cx="5810250" cy="80962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810250" cy="809625"/>
                          <a:chExt cx="5810250" cy="809625"/>
                        </a:xfrm>
                      </wpg:grpSpPr>
                      <wps:wsp>
                        <wps:cNvPr id="109" name="Textbox 109"/>
                        <wps:cNvSpPr txBox="1"/>
                        <wps:spPr>
                          <a:xfrm>
                            <a:off x="0" y="285749"/>
                            <a:ext cx="5810250" cy="514350"/>
                          </a:xfrm>
                          <a:prstGeom prst="rect">
                            <a:avLst/>
                          </a:prstGeom>
                          <a:solidFill>
                            <a:srgbClr val="DDE6E3"/>
                          </a:solidFill>
                        </wps:spPr>
                        <wps:txbx>
                          <w:txbxContent>
                            <w:p>
                              <w:pPr>
                                <w:spacing w:line="256" w:lineRule="auto" w:before="138"/>
                                <w:ind w:left="6919" w:right="0" w:hanging="863"/>
                                <w:jc w:val="left"/>
                                <w:rPr>
                                  <w:rFonts w:ascii="Arial"/>
                                  <w:b/>
                                  <w:color w:val="000000"/>
                                  <w:sz w:val="22"/>
                                </w:rPr>
                              </w:pPr>
                              <w:r>
                                <w:rPr>
                                  <w:rFonts w:ascii="Arial"/>
                                  <w:b/>
                                  <w:color w:val="1C5349"/>
                                  <w:sz w:val="22"/>
                                </w:rPr>
                                <w:t>Estimated Comparable </w:t>
                              </w:r>
                              <w:r>
                                <w:rPr>
                                  <w:rFonts w:ascii="Arial"/>
                                  <w:b/>
                                  <w:color w:val="1C5349"/>
                                  <w:sz w:val="22"/>
                                </w:rPr>
                                <w:t>Oral Doses (mg)</w:t>
                              </w:r>
                            </w:p>
                          </w:txbxContent>
                        </wps:txbx>
                        <wps:bodyPr wrap="square" lIns="0" tIns="0" rIns="0" bIns="0" rtlCol="0">
                          <a:noAutofit/>
                        </wps:bodyPr>
                      </wps:wsp>
                      <wps:wsp>
                        <wps:cNvPr id="110" name="Graphic 110"/>
                        <wps:cNvSpPr/>
                        <wps:spPr>
                          <a:xfrm>
                            <a:off x="-12" y="800107"/>
                            <a:ext cx="5810250" cy="9525"/>
                          </a:xfrm>
                          <a:custGeom>
                            <a:avLst/>
                            <a:gdLst/>
                            <a:ahLst/>
                            <a:cxnLst/>
                            <a:rect l="l" t="t" r="r" b="b"/>
                            <a:pathLst>
                              <a:path w="5810250" h="9525">
                                <a:moveTo>
                                  <a:pt x="5810250" y="0"/>
                                </a:moveTo>
                                <a:lnTo>
                                  <a:pt x="3762375" y="0"/>
                                </a:lnTo>
                                <a:lnTo>
                                  <a:pt x="2238375" y="0"/>
                                </a:lnTo>
                                <a:lnTo>
                                  <a:pt x="0" y="0"/>
                                </a:lnTo>
                                <a:lnTo>
                                  <a:pt x="0" y="9525"/>
                                </a:lnTo>
                                <a:lnTo>
                                  <a:pt x="2238375" y="9525"/>
                                </a:lnTo>
                                <a:lnTo>
                                  <a:pt x="3762375"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111" name="Textbox 111"/>
                        <wps:cNvSpPr txBox="1"/>
                        <wps:spPr>
                          <a:xfrm>
                            <a:off x="0" y="0"/>
                            <a:ext cx="5810250" cy="285750"/>
                          </a:xfrm>
                          <a:prstGeom prst="rect">
                            <a:avLst/>
                          </a:prstGeom>
                          <a:solidFill>
                            <a:srgbClr val="256E60"/>
                          </a:solidFill>
                        </wps:spPr>
                        <wps:txbx>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22.3</w:t>
                              </w:r>
                              <w:r>
                                <w:rPr>
                                  <w:rFonts w:ascii="Arial"/>
                                  <w:b/>
                                  <w:color w:val="FFFFFF"/>
                                  <w:sz w:val="22"/>
                                </w:rPr>
                                <w:tab/>
                              </w:r>
                              <w:r>
                                <w:rPr>
                                  <w:rFonts w:ascii="Arial"/>
                                  <w:color w:val="FFFFFF"/>
                                  <w:sz w:val="22"/>
                                </w:rPr>
                                <w:t>Progestins</w:t>
                              </w:r>
                              <w:r>
                                <w:rPr>
                                  <w:rFonts w:ascii="Arial"/>
                                  <w:color w:val="FFFFFF"/>
                                  <w:spacing w:val="17"/>
                                  <w:sz w:val="22"/>
                                </w:rPr>
                                <w:t> </w:t>
                              </w:r>
                              <w:r>
                                <w:rPr>
                                  <w:rFonts w:ascii="Arial"/>
                                  <w:color w:val="FFFFFF"/>
                                  <w:sz w:val="22"/>
                                </w:rPr>
                                <w:t>Available</w:t>
                              </w:r>
                              <w:r>
                                <w:rPr>
                                  <w:rFonts w:ascii="Arial"/>
                                  <w:color w:val="FFFFFF"/>
                                  <w:spacing w:val="18"/>
                                  <w:sz w:val="22"/>
                                </w:rPr>
                                <w:t> </w:t>
                              </w:r>
                              <w:r>
                                <w:rPr>
                                  <w:rFonts w:ascii="Arial"/>
                                  <w:color w:val="FFFFFF"/>
                                  <w:spacing w:val="-2"/>
                                  <w:sz w:val="22"/>
                                </w:rPr>
                                <w:t>Worldwide</w:t>
                              </w:r>
                            </w:p>
                          </w:txbxContent>
                        </wps:txbx>
                        <wps:bodyPr wrap="square" lIns="0" tIns="0" rIns="0" bIns="0" rtlCol="0">
                          <a:noAutofit/>
                        </wps:bodyPr>
                      </wps:wsp>
                    </wpg:wgp>
                  </a:graphicData>
                </a:graphic>
              </wp:anchor>
            </w:drawing>
          </mc:Choice>
          <mc:Fallback>
            <w:pict>
              <v:group style="position:absolute;margin-left:77.25pt;margin-top:19.912535pt;width:457.5pt;height:63.75pt;mso-position-horizontal-relative:page;mso-position-vertical-relative:paragraph;z-index:-15690752;mso-wrap-distance-left:0;mso-wrap-distance-right:0" id="docshapegroup91" coordorigin="1545,398" coordsize="9150,1275">
                <v:shape style="position:absolute;left:1545;top:848;width:9150;height:810" type="#_x0000_t202" id="docshape92" filled="true" fillcolor="#dde6e3" stroked="false">
                  <v:textbox inset="0,0,0,0">
                    <w:txbxContent>
                      <w:p>
                        <w:pPr>
                          <w:spacing w:line="256" w:lineRule="auto" w:before="138"/>
                          <w:ind w:left="6919" w:right="0" w:hanging="863"/>
                          <w:jc w:val="left"/>
                          <w:rPr>
                            <w:rFonts w:ascii="Arial"/>
                            <w:b/>
                            <w:color w:val="000000"/>
                            <w:sz w:val="22"/>
                          </w:rPr>
                        </w:pPr>
                        <w:r>
                          <w:rPr>
                            <w:rFonts w:ascii="Arial"/>
                            <w:b/>
                            <w:color w:val="1C5349"/>
                            <w:sz w:val="22"/>
                          </w:rPr>
                          <w:t>Estimated Comparable </w:t>
                        </w:r>
                        <w:r>
                          <w:rPr>
                            <w:rFonts w:ascii="Arial"/>
                            <w:b/>
                            <w:color w:val="1C5349"/>
                            <w:sz w:val="22"/>
                          </w:rPr>
                          <w:t>Oral Doses (mg)</w:t>
                        </w:r>
                      </w:p>
                    </w:txbxContent>
                  </v:textbox>
                  <v:fill type="solid"/>
                  <w10:wrap type="none"/>
                </v:shape>
                <v:shape style="position:absolute;left:1544;top:1658;width:9150;height:15" id="docshape93" coordorigin="1545,1658" coordsize="9150,15" path="m10695,1658l7470,1658,5070,1658,1545,1658,1545,1673,5070,1673,7470,1673,10695,1673,10695,1658xe" filled="true" fillcolor="#256e60" stroked="false">
                  <v:path arrowok="t"/>
                  <v:fill type="solid"/>
                </v:shape>
                <v:shape style="position:absolute;left:1545;top:398;width:9150;height:450" type="#_x0000_t202" id="docshape94" filled="true" fillcolor="#256e60" stroked="false">
                  <v:textbox inset="0,0,0,0">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22.3</w:t>
                        </w:r>
                        <w:r>
                          <w:rPr>
                            <w:rFonts w:ascii="Arial"/>
                            <w:b/>
                            <w:color w:val="FFFFFF"/>
                            <w:sz w:val="22"/>
                          </w:rPr>
                          <w:tab/>
                        </w:r>
                        <w:r>
                          <w:rPr>
                            <w:rFonts w:ascii="Arial"/>
                            <w:color w:val="FFFFFF"/>
                            <w:sz w:val="22"/>
                          </w:rPr>
                          <w:t>Progestins</w:t>
                        </w:r>
                        <w:r>
                          <w:rPr>
                            <w:rFonts w:ascii="Arial"/>
                            <w:color w:val="FFFFFF"/>
                            <w:spacing w:val="17"/>
                            <w:sz w:val="22"/>
                          </w:rPr>
                          <w:t> </w:t>
                        </w:r>
                        <w:r>
                          <w:rPr>
                            <w:rFonts w:ascii="Arial"/>
                            <w:color w:val="FFFFFF"/>
                            <w:sz w:val="22"/>
                          </w:rPr>
                          <w:t>Available</w:t>
                        </w:r>
                        <w:r>
                          <w:rPr>
                            <w:rFonts w:ascii="Arial"/>
                            <w:color w:val="FFFFFF"/>
                            <w:spacing w:val="18"/>
                            <w:sz w:val="22"/>
                          </w:rPr>
                          <w:t> </w:t>
                        </w:r>
                        <w:r>
                          <w:rPr>
                            <w:rFonts w:ascii="Arial"/>
                            <w:color w:val="FFFFFF"/>
                            <w:spacing w:val="-2"/>
                            <w:sz w:val="22"/>
                          </w:rPr>
                          <w:t>Worldwide</w:t>
                        </w:r>
                      </w:p>
                    </w:txbxContent>
                  </v:textbox>
                  <v:fill type="solid"/>
                  <w10:wrap type="none"/>
                </v:shape>
                <w10:wrap type="topAndBottom"/>
              </v:group>
            </w:pict>
          </mc:Fallback>
        </mc:AlternateContent>
      </w:r>
    </w:p>
    <w:p>
      <w:pPr>
        <w:tabs>
          <w:tab w:pos="3714" w:val="left" w:leader="none"/>
          <w:tab w:pos="7862" w:val="right" w:leader="none"/>
        </w:tabs>
        <w:spacing w:before="139"/>
        <w:ind w:left="189" w:right="0" w:firstLine="0"/>
        <w:jc w:val="left"/>
        <w:rPr>
          <w:sz w:val="22"/>
        </w:rPr>
      </w:pPr>
      <w:r>
        <w:rPr>
          <w:spacing w:val="-2"/>
          <w:sz w:val="22"/>
        </w:rPr>
        <w:t>Progesterone</w:t>
      </w:r>
      <w:r>
        <w:rPr>
          <w:sz w:val="22"/>
        </w:rPr>
        <w:tab/>
        <w:t>Oral</w:t>
      </w:r>
      <w:r>
        <w:rPr>
          <w:spacing w:val="9"/>
          <w:sz w:val="22"/>
        </w:rPr>
        <w:t> </w:t>
      </w:r>
      <w:r>
        <w:rPr>
          <w:sz w:val="22"/>
        </w:rPr>
        <w:t>peanut</w:t>
      </w:r>
      <w:r>
        <w:rPr>
          <w:spacing w:val="9"/>
          <w:sz w:val="22"/>
        </w:rPr>
        <w:t> </w:t>
      </w:r>
      <w:r>
        <w:rPr>
          <w:sz w:val="22"/>
        </w:rPr>
        <w:t>oil</w:t>
      </w:r>
      <w:r>
        <w:rPr>
          <w:spacing w:val="9"/>
          <w:sz w:val="22"/>
        </w:rPr>
        <w:t> </w:t>
      </w:r>
      <w:r>
        <w:rPr>
          <w:spacing w:val="-2"/>
          <w:sz w:val="22"/>
        </w:rPr>
        <w:t>tablet</w:t>
      </w:r>
      <w:r>
        <w:rPr>
          <w:sz w:val="22"/>
        </w:rPr>
        <w:tab/>
      </w:r>
      <w:r>
        <w:rPr>
          <w:spacing w:val="-5"/>
          <w:sz w:val="22"/>
        </w:rPr>
        <w:t>200</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26240">
                <wp:simplePos x="0" y="0"/>
                <wp:positionH relativeFrom="page">
                  <wp:posOffset>981062</wp:posOffset>
                </wp:positionH>
                <wp:positionV relativeFrom="paragraph">
                  <wp:posOffset>103525</wp:posOffset>
                </wp:positionV>
                <wp:extent cx="5810250" cy="9525"/>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5810250" cy="9525"/>
                        </a:xfrm>
                        <a:custGeom>
                          <a:avLst/>
                          <a:gdLst/>
                          <a:ahLst/>
                          <a:cxnLst/>
                          <a:rect l="l" t="t" r="r" b="b"/>
                          <a:pathLst>
                            <a:path w="5810250" h="9525">
                              <a:moveTo>
                                <a:pt x="5810250" y="0"/>
                              </a:moveTo>
                              <a:lnTo>
                                <a:pt x="3762375" y="0"/>
                              </a:lnTo>
                              <a:lnTo>
                                <a:pt x="2238375" y="0"/>
                              </a:lnTo>
                              <a:lnTo>
                                <a:pt x="0" y="0"/>
                              </a:lnTo>
                              <a:lnTo>
                                <a:pt x="0" y="9525"/>
                              </a:lnTo>
                              <a:lnTo>
                                <a:pt x="2238375" y="9525"/>
                              </a:lnTo>
                              <a:lnTo>
                                <a:pt x="37623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648pt;width:457.5pt;height:.75pt;mso-position-horizontal-relative:page;mso-position-vertical-relative:paragraph;z-index:-15690240;mso-wrap-distance-left:0;mso-wrap-distance-right:0" id="docshape95" coordorigin="1545,163" coordsize="9150,15" path="m10695,163l7470,163,5070,163,1545,163,1545,178,5070,178,7470,178,10695,178,10695,163xe" filled="true" fillcolor="#1c5349" stroked="false">
                <v:path arrowok="t"/>
                <v:fill type="solid"/>
                <w10:wrap type="topAndBottom"/>
              </v:shape>
            </w:pict>
          </mc:Fallback>
        </mc:AlternateContent>
      </w:r>
    </w:p>
    <w:p>
      <w:pPr>
        <w:pStyle w:val="BodyText"/>
        <w:spacing w:after="0"/>
        <w:jc w:val="left"/>
        <w:rPr>
          <w:sz w:val="12"/>
        </w:rPr>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523875"/>
                <wp:effectExtent l="9525" t="0" r="0" b="9525"/>
                <wp:docPr id="113" name="Group 113"/>
                <wp:cNvGraphicFramePr>
                  <a:graphicFrameLocks/>
                </wp:cNvGraphicFramePr>
                <a:graphic>
                  <a:graphicData uri="http://schemas.microsoft.com/office/word/2010/wordprocessingGroup">
                    <wpg:wgp>
                      <wpg:cNvPr id="113" name="Group 113"/>
                      <wpg:cNvGrpSpPr/>
                      <wpg:grpSpPr>
                        <a:xfrm>
                          <a:off x="0" y="0"/>
                          <a:ext cx="5810250" cy="523875"/>
                          <a:chExt cx="5810250" cy="523875"/>
                        </a:xfrm>
                      </wpg:grpSpPr>
                      <wps:wsp>
                        <wps:cNvPr id="114" name="Graphic 114"/>
                        <wps:cNvSpPr/>
                        <wps:spPr>
                          <a:xfrm>
                            <a:off x="-12" y="6"/>
                            <a:ext cx="5810250" cy="514350"/>
                          </a:xfrm>
                          <a:custGeom>
                            <a:avLst/>
                            <a:gdLst/>
                            <a:ahLst/>
                            <a:cxnLst/>
                            <a:rect l="l" t="t" r="r" b="b"/>
                            <a:pathLst>
                              <a:path w="5810250" h="514350">
                                <a:moveTo>
                                  <a:pt x="5810250" y="0"/>
                                </a:moveTo>
                                <a:lnTo>
                                  <a:pt x="3762375" y="0"/>
                                </a:lnTo>
                                <a:lnTo>
                                  <a:pt x="2238375" y="0"/>
                                </a:lnTo>
                                <a:lnTo>
                                  <a:pt x="0" y="0"/>
                                </a:lnTo>
                                <a:lnTo>
                                  <a:pt x="0" y="514350"/>
                                </a:lnTo>
                                <a:lnTo>
                                  <a:pt x="2238375" y="514350"/>
                                </a:lnTo>
                                <a:lnTo>
                                  <a:pt x="3762375" y="514350"/>
                                </a:lnTo>
                                <a:lnTo>
                                  <a:pt x="5810250" y="514350"/>
                                </a:lnTo>
                                <a:lnTo>
                                  <a:pt x="5810250" y="0"/>
                                </a:lnTo>
                                <a:close/>
                              </a:path>
                            </a:pathLst>
                          </a:custGeom>
                          <a:solidFill>
                            <a:srgbClr val="DDE6E3"/>
                          </a:solidFill>
                        </wps:spPr>
                        <wps:bodyPr wrap="square" lIns="0" tIns="0" rIns="0" bIns="0" rtlCol="0">
                          <a:prstTxWarp prst="textNoShape">
                            <a:avLst/>
                          </a:prstTxWarp>
                          <a:noAutofit/>
                        </wps:bodyPr>
                      </wps:wsp>
                      <wps:wsp>
                        <wps:cNvPr id="115" name="Graphic 115"/>
                        <wps:cNvSpPr/>
                        <wps:spPr>
                          <a:xfrm>
                            <a:off x="-12" y="514356"/>
                            <a:ext cx="5810250" cy="9525"/>
                          </a:xfrm>
                          <a:custGeom>
                            <a:avLst/>
                            <a:gdLst/>
                            <a:ahLst/>
                            <a:cxnLst/>
                            <a:rect l="l" t="t" r="r" b="b"/>
                            <a:pathLst>
                              <a:path w="5810250" h="9525">
                                <a:moveTo>
                                  <a:pt x="5810250" y="0"/>
                                </a:moveTo>
                                <a:lnTo>
                                  <a:pt x="3762375" y="0"/>
                                </a:lnTo>
                                <a:lnTo>
                                  <a:pt x="2238375" y="0"/>
                                </a:lnTo>
                                <a:lnTo>
                                  <a:pt x="0" y="0"/>
                                </a:lnTo>
                                <a:lnTo>
                                  <a:pt x="0" y="9525"/>
                                </a:lnTo>
                                <a:lnTo>
                                  <a:pt x="2238375" y="9525"/>
                                </a:lnTo>
                                <a:lnTo>
                                  <a:pt x="37623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wps:wsp>
                        <wps:cNvPr id="116" name="Graphic 116"/>
                        <wps:cNvSpPr/>
                        <wps:spPr>
                          <a:xfrm>
                            <a:off x="-12" y="514356"/>
                            <a:ext cx="5810250" cy="9525"/>
                          </a:xfrm>
                          <a:custGeom>
                            <a:avLst/>
                            <a:gdLst/>
                            <a:ahLst/>
                            <a:cxnLst/>
                            <a:rect l="l" t="t" r="r" b="b"/>
                            <a:pathLst>
                              <a:path w="5810250" h="9525">
                                <a:moveTo>
                                  <a:pt x="5810250" y="0"/>
                                </a:moveTo>
                                <a:lnTo>
                                  <a:pt x="3762375" y="0"/>
                                </a:lnTo>
                                <a:lnTo>
                                  <a:pt x="2238375" y="0"/>
                                </a:lnTo>
                                <a:lnTo>
                                  <a:pt x="0" y="0"/>
                                </a:lnTo>
                                <a:lnTo>
                                  <a:pt x="0" y="9525"/>
                                </a:lnTo>
                                <a:lnTo>
                                  <a:pt x="2238375" y="9525"/>
                                </a:lnTo>
                                <a:lnTo>
                                  <a:pt x="3762375"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117" name="Textbox 117"/>
                        <wps:cNvSpPr txBox="1"/>
                        <wps:spPr>
                          <a:xfrm>
                            <a:off x="0" y="0"/>
                            <a:ext cx="5810250" cy="514350"/>
                          </a:xfrm>
                          <a:prstGeom prst="rect">
                            <a:avLst/>
                          </a:prstGeom>
                        </wps:spPr>
                        <wps:txbx>
                          <w:txbxContent>
                            <w:p>
                              <w:pPr>
                                <w:spacing w:line="256" w:lineRule="auto" w:before="138"/>
                                <w:ind w:left="6919" w:right="0" w:hanging="863"/>
                                <w:jc w:val="left"/>
                                <w:rPr>
                                  <w:rFonts w:ascii="Arial"/>
                                  <w:b/>
                                  <w:sz w:val="22"/>
                                </w:rPr>
                              </w:pPr>
                              <w:r>
                                <w:rPr>
                                  <w:rFonts w:ascii="Arial"/>
                                  <w:b/>
                                  <w:color w:val="1C5349"/>
                                  <w:sz w:val="22"/>
                                </w:rPr>
                                <w:t>Estimated Comparable </w:t>
                              </w:r>
                              <w:r>
                                <w:rPr>
                                  <w:rFonts w:ascii="Arial"/>
                                  <w:b/>
                                  <w:color w:val="1C5349"/>
                                  <w:sz w:val="22"/>
                                </w:rPr>
                                <w:t>Oral Doses (mg)</w:t>
                              </w:r>
                            </w:p>
                          </w:txbxContent>
                        </wps:txbx>
                        <wps:bodyPr wrap="square" lIns="0" tIns="0" rIns="0" bIns="0" rtlCol="0">
                          <a:noAutofit/>
                        </wps:bodyPr>
                      </wps:wsp>
                    </wpg:wgp>
                  </a:graphicData>
                </a:graphic>
              </wp:inline>
            </w:drawing>
          </mc:Choice>
          <mc:Fallback>
            <w:pict>
              <v:group style="width:457.5pt;height:41.25pt;mso-position-horizontal-relative:char;mso-position-vertical-relative:line" id="docshapegroup96" coordorigin="0,0" coordsize="9150,825">
                <v:shape style="position:absolute;left:-1;top:0;width:9150;height:810" id="docshape97" coordorigin="0,0" coordsize="9150,810" path="m9150,0l5925,0,3525,0,0,0,0,810,3525,810,5925,810,9150,810,9150,0xe" filled="true" fillcolor="#dde6e3" stroked="false">
                  <v:path arrowok="t"/>
                  <v:fill type="solid"/>
                </v:shape>
                <v:shape style="position:absolute;left:-1;top:810;width:9150;height:15" id="docshape98" coordorigin="0,810" coordsize="9150,15" path="m9150,810l5925,810,3525,810,0,810,0,825,3525,825,5925,825,9150,825,9150,810xe" filled="true" fillcolor="#1c5349" stroked="false">
                  <v:path arrowok="t"/>
                  <v:fill type="solid"/>
                </v:shape>
                <v:shape style="position:absolute;left:-1;top:810;width:9150;height:15" id="docshape99" coordorigin="0,810" coordsize="9150,15" path="m9150,810l5925,810,3525,810,0,810,0,825,3525,825,5925,825,9150,825,9150,810xe" filled="true" fillcolor="#256e60" stroked="false">
                  <v:path arrowok="t"/>
                  <v:fill type="solid"/>
                </v:shape>
                <v:shape style="position:absolute;left:0;top:0;width:9150;height:810" type="#_x0000_t202" id="docshape100" filled="false" stroked="false">
                  <v:textbox inset="0,0,0,0">
                    <w:txbxContent>
                      <w:p>
                        <w:pPr>
                          <w:spacing w:line="256" w:lineRule="auto" w:before="138"/>
                          <w:ind w:left="6919" w:right="0" w:hanging="863"/>
                          <w:jc w:val="left"/>
                          <w:rPr>
                            <w:rFonts w:ascii="Arial"/>
                            <w:b/>
                            <w:sz w:val="22"/>
                          </w:rPr>
                        </w:pPr>
                        <w:r>
                          <w:rPr>
                            <w:rFonts w:ascii="Arial"/>
                            <w:b/>
                            <w:color w:val="1C5349"/>
                            <w:sz w:val="22"/>
                          </w:rPr>
                          <w:t>Estimated Comparable </w:t>
                        </w:r>
                        <w:r>
                          <w:rPr>
                            <w:rFonts w:ascii="Arial"/>
                            <w:b/>
                            <w:color w:val="1C5349"/>
                            <w:sz w:val="22"/>
                          </w:rPr>
                          <w:t>Oral Doses (mg)</w:t>
                        </w:r>
                      </w:p>
                    </w:txbxContent>
                  </v:textbox>
                  <w10:wrap type="none"/>
                </v:shape>
              </v:group>
            </w:pict>
          </mc:Fallback>
        </mc:AlternateContent>
      </w:r>
      <w:r>
        <w:rPr>
          <w:sz w:val="20"/>
        </w:rPr>
      </w:r>
    </w:p>
    <w:p>
      <w:pPr>
        <w:pStyle w:val="BodyText"/>
        <w:spacing w:before="1"/>
        <w:ind w:left="0"/>
        <w:jc w:val="left"/>
        <w:rPr>
          <w:sz w:val="6"/>
        </w:rPr>
      </w:pPr>
    </w:p>
    <w:p>
      <w:pPr>
        <w:pStyle w:val="BodyText"/>
        <w:spacing w:after="0"/>
        <w:jc w:val="left"/>
        <w:rPr>
          <w:sz w:val="6"/>
        </w:rPr>
        <w:sectPr>
          <w:pgSz w:w="12240" w:h="15840"/>
          <w:pgMar w:top="1440" w:bottom="1512" w:left="1440" w:right="1440"/>
        </w:sectPr>
      </w:pPr>
    </w:p>
    <w:p>
      <w:pPr>
        <w:tabs>
          <w:tab w:pos="3714" w:val="left" w:leader="none"/>
        </w:tabs>
        <w:spacing w:line="271" w:lineRule="auto" w:before="44"/>
        <w:ind w:left="3939" w:right="38" w:hanging="3750"/>
        <w:jc w:val="left"/>
        <w:rPr>
          <w:sz w:val="22"/>
        </w:rPr>
      </w:pPr>
      <w:r>
        <w:rPr>
          <w:sz w:val="22"/>
        </w:rPr>
        <w:t>21-Carbon derivatives</w:t>
        <w:tab/>
      </w:r>
      <w:r>
        <w:rPr>
          <w:spacing w:val="-2"/>
          <w:sz w:val="22"/>
        </w:rPr>
        <w:t>Medroxyprogesterone acetate</w:t>
      </w:r>
    </w:p>
    <w:p>
      <w:pPr>
        <w:spacing w:before="44"/>
        <w:ind w:left="189" w:right="0" w:firstLine="0"/>
        <w:jc w:val="left"/>
        <w:rPr>
          <w:sz w:val="22"/>
        </w:rPr>
      </w:pPr>
      <w:r>
        <w:rPr/>
        <w:br w:type="column"/>
      </w:r>
      <w:r>
        <w:rPr>
          <w:spacing w:val="-5"/>
          <w:sz w:val="22"/>
        </w:rPr>
        <w:t>5.0</w:t>
      </w:r>
    </w:p>
    <w:p>
      <w:pPr>
        <w:spacing w:after="0"/>
        <w:jc w:val="left"/>
        <w:rPr>
          <w:sz w:val="22"/>
        </w:rPr>
        <w:sectPr>
          <w:type w:val="continuous"/>
          <w:pgSz w:w="12240" w:h="15840"/>
          <w:pgMar w:top="1820" w:bottom="280" w:left="1440" w:right="1440"/>
          <w:cols w:num="2" w:equalWidth="0">
            <w:col w:w="5742" w:space="1621"/>
            <w:col w:w="1997"/>
          </w:cols>
        </w:sectPr>
      </w:pPr>
    </w:p>
    <w:p>
      <w:pPr>
        <w:pStyle w:val="BodyText"/>
        <w:spacing w:before="10"/>
        <w:ind w:left="0"/>
        <w:jc w:val="left"/>
        <w:rPr>
          <w:sz w:val="11"/>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5"/>
        <w:gridCol w:w="3123"/>
        <w:gridCol w:w="2792"/>
      </w:tblGrid>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z w:val="22"/>
              </w:rPr>
              <w:t>Megestrol</w:t>
            </w:r>
            <w:r>
              <w:rPr>
                <w:spacing w:val="18"/>
                <w:sz w:val="22"/>
              </w:rPr>
              <w:t> </w:t>
            </w:r>
            <w:r>
              <w:rPr>
                <w:spacing w:val="-2"/>
                <w:sz w:val="22"/>
              </w:rPr>
              <w:t>acetate</w:t>
            </w:r>
          </w:p>
        </w:tc>
        <w:tc>
          <w:tcPr>
            <w:tcW w:w="2792" w:type="dxa"/>
            <w:tcBorders>
              <w:top w:val="single" w:sz="6" w:space="0" w:color="1C5349"/>
              <w:bottom w:val="single" w:sz="6" w:space="0" w:color="1C5349"/>
            </w:tcBorders>
          </w:tcPr>
          <w:p>
            <w:pPr>
              <w:pStyle w:val="TableParagraph"/>
              <w:ind w:left="0" w:right="328"/>
              <w:jc w:val="center"/>
              <w:rPr>
                <w:sz w:val="22"/>
              </w:rPr>
            </w:pPr>
            <w:r>
              <w:rPr>
                <w:spacing w:val="-5"/>
                <w:sz w:val="22"/>
              </w:rPr>
              <w:t>5.0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z w:val="22"/>
              </w:rPr>
              <w:t>Cyproterone</w:t>
            </w:r>
            <w:r>
              <w:rPr>
                <w:spacing w:val="21"/>
                <w:sz w:val="22"/>
              </w:rPr>
              <w:t> </w:t>
            </w:r>
            <w:r>
              <w:rPr>
                <w:spacing w:val="-2"/>
                <w:sz w:val="22"/>
              </w:rPr>
              <w:t>acetate</w:t>
            </w:r>
          </w:p>
        </w:tc>
        <w:tc>
          <w:tcPr>
            <w:tcW w:w="2792" w:type="dxa"/>
            <w:tcBorders>
              <w:top w:val="single" w:sz="6" w:space="0" w:color="1C5349"/>
              <w:bottom w:val="single" w:sz="6" w:space="0" w:color="1C5349"/>
            </w:tcBorders>
          </w:tcPr>
          <w:p>
            <w:pPr>
              <w:pStyle w:val="TableParagraph"/>
              <w:ind w:left="0" w:right="328"/>
              <w:jc w:val="center"/>
              <w:rPr>
                <w:sz w:val="22"/>
              </w:rPr>
            </w:pPr>
            <w:r>
              <w:rPr>
                <w:spacing w:val="-5"/>
                <w:sz w:val="22"/>
              </w:rPr>
              <w:t>1.0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Dydrogesterone</w:t>
            </w:r>
          </w:p>
        </w:tc>
        <w:tc>
          <w:tcPr>
            <w:tcW w:w="2792" w:type="dxa"/>
            <w:tcBorders>
              <w:top w:val="single" w:sz="6" w:space="0" w:color="1C5349"/>
              <w:bottom w:val="single" w:sz="6" w:space="0" w:color="1C5349"/>
            </w:tcBorders>
          </w:tcPr>
          <w:p>
            <w:pPr>
              <w:pStyle w:val="TableParagraph"/>
              <w:ind w:left="0" w:right="328"/>
              <w:jc w:val="center"/>
              <w:rPr>
                <w:sz w:val="22"/>
              </w:rPr>
            </w:pPr>
            <w:r>
              <w:rPr>
                <w:spacing w:val="-4"/>
                <w:sz w:val="22"/>
              </w:rPr>
              <w:t>10.0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z w:val="22"/>
              </w:rPr>
              <w:t>Chlormadinone</w:t>
            </w:r>
            <w:r>
              <w:rPr>
                <w:spacing w:val="28"/>
                <w:sz w:val="22"/>
              </w:rPr>
              <w:t> </w:t>
            </w:r>
            <w:r>
              <w:rPr>
                <w:spacing w:val="-2"/>
                <w:sz w:val="22"/>
              </w:rPr>
              <w:t>acetate</w:t>
            </w:r>
          </w:p>
        </w:tc>
        <w:tc>
          <w:tcPr>
            <w:tcW w:w="2792" w:type="dxa"/>
            <w:tcBorders>
              <w:top w:val="single" w:sz="6" w:space="0" w:color="1C5349"/>
              <w:bottom w:val="single" w:sz="6" w:space="0" w:color="1C5349"/>
            </w:tcBorders>
          </w:tcPr>
          <w:p>
            <w:pPr>
              <w:pStyle w:val="TableParagraph"/>
              <w:ind w:left="0" w:right="328"/>
              <w:jc w:val="center"/>
              <w:rPr>
                <w:sz w:val="22"/>
              </w:rPr>
            </w:pPr>
            <w:r>
              <w:rPr>
                <w:w w:val="105"/>
                <w:sz w:val="22"/>
              </w:rPr>
              <w:t>5-</w:t>
            </w:r>
            <w:r>
              <w:rPr>
                <w:spacing w:val="-4"/>
                <w:w w:val="110"/>
                <w:sz w:val="22"/>
              </w:rPr>
              <w:t>10.0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Medrogestone</w:t>
            </w:r>
          </w:p>
        </w:tc>
        <w:tc>
          <w:tcPr>
            <w:tcW w:w="2792" w:type="dxa"/>
            <w:tcBorders>
              <w:top w:val="single" w:sz="6" w:space="0" w:color="1C5349"/>
              <w:bottom w:val="single" w:sz="6" w:space="0" w:color="1C5349"/>
            </w:tcBorders>
          </w:tcPr>
          <w:p>
            <w:pPr>
              <w:pStyle w:val="TableParagraph"/>
              <w:ind w:left="0" w:right="328"/>
              <w:jc w:val="center"/>
              <w:rPr>
                <w:sz w:val="22"/>
              </w:rPr>
            </w:pPr>
            <w:r>
              <w:rPr>
                <w:spacing w:val="-4"/>
                <w:sz w:val="22"/>
              </w:rPr>
              <w:t>10.0</w:t>
            </w:r>
          </w:p>
        </w:tc>
      </w:tr>
      <w:tr>
        <w:trPr>
          <w:trHeight w:val="554" w:hRule="atLeast"/>
        </w:trPr>
        <w:tc>
          <w:tcPr>
            <w:tcW w:w="3235" w:type="dxa"/>
            <w:tcBorders>
              <w:top w:val="single" w:sz="6" w:space="0" w:color="1C5349"/>
              <w:bottom w:val="single" w:sz="6" w:space="0" w:color="1C5349"/>
            </w:tcBorders>
          </w:tcPr>
          <w:p>
            <w:pPr>
              <w:pStyle w:val="TableParagraph"/>
              <w:rPr>
                <w:sz w:val="22"/>
              </w:rPr>
            </w:pPr>
            <w:r>
              <w:rPr>
                <w:sz w:val="22"/>
              </w:rPr>
              <w:t>19-</w:t>
            </w:r>
            <w:r>
              <w:rPr>
                <w:spacing w:val="-2"/>
                <w:sz w:val="22"/>
              </w:rPr>
              <w:t>Norpregnanes</w:t>
            </w:r>
          </w:p>
        </w:tc>
        <w:tc>
          <w:tcPr>
            <w:tcW w:w="3123" w:type="dxa"/>
            <w:tcBorders>
              <w:top w:val="single" w:sz="6" w:space="0" w:color="1C5349"/>
              <w:bottom w:val="single" w:sz="6" w:space="0" w:color="1C5349"/>
            </w:tcBorders>
          </w:tcPr>
          <w:p>
            <w:pPr>
              <w:pStyle w:val="TableParagraph"/>
              <w:ind w:left="374"/>
              <w:rPr>
                <w:sz w:val="22"/>
              </w:rPr>
            </w:pPr>
            <w:r>
              <w:rPr>
                <w:spacing w:val="-2"/>
                <w:sz w:val="22"/>
              </w:rPr>
              <w:t>Trimegestone</w:t>
            </w:r>
          </w:p>
        </w:tc>
        <w:tc>
          <w:tcPr>
            <w:tcW w:w="2792" w:type="dxa"/>
            <w:tcBorders>
              <w:top w:val="single" w:sz="6" w:space="0" w:color="1C5349"/>
              <w:bottom w:val="single" w:sz="6" w:space="0" w:color="1C5349"/>
            </w:tcBorders>
          </w:tcPr>
          <w:p>
            <w:pPr>
              <w:pStyle w:val="TableParagraph"/>
              <w:ind w:left="0" w:right="328"/>
              <w:jc w:val="center"/>
              <w:rPr>
                <w:sz w:val="22"/>
              </w:rPr>
            </w:pPr>
            <w:r>
              <w:rPr>
                <w:w w:val="105"/>
                <w:sz w:val="22"/>
              </w:rPr>
              <w:t>0.0625-</w:t>
            </w:r>
            <w:r>
              <w:rPr>
                <w:spacing w:val="-4"/>
                <w:w w:val="105"/>
                <w:sz w:val="22"/>
              </w:rPr>
              <w:t>0.50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Promegestone</w:t>
            </w:r>
          </w:p>
        </w:tc>
        <w:tc>
          <w:tcPr>
            <w:tcW w:w="2792" w:type="dxa"/>
            <w:tcBorders>
              <w:top w:val="single" w:sz="6" w:space="0" w:color="1C5349"/>
              <w:bottom w:val="single" w:sz="6" w:space="0" w:color="1C5349"/>
            </w:tcBorders>
          </w:tcPr>
          <w:p>
            <w:pPr>
              <w:pStyle w:val="TableParagraph"/>
              <w:ind w:left="0" w:right="328"/>
              <w:jc w:val="center"/>
              <w:rPr>
                <w:sz w:val="22"/>
              </w:rPr>
            </w:pPr>
            <w:r>
              <w:rPr>
                <w:spacing w:val="-5"/>
                <w:sz w:val="22"/>
              </w:rPr>
              <w:t>0.5</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Nomegestrol</w:t>
            </w:r>
          </w:p>
        </w:tc>
        <w:tc>
          <w:tcPr>
            <w:tcW w:w="2792" w:type="dxa"/>
            <w:tcBorders>
              <w:top w:val="single" w:sz="6" w:space="0" w:color="1C5349"/>
              <w:bottom w:val="single" w:sz="6" w:space="0" w:color="1C5349"/>
            </w:tcBorders>
          </w:tcPr>
          <w:p>
            <w:pPr>
              <w:pStyle w:val="TableParagraph"/>
              <w:ind w:left="0" w:right="328"/>
              <w:jc w:val="center"/>
              <w:rPr>
                <w:sz w:val="22"/>
              </w:rPr>
            </w:pPr>
            <w:r>
              <w:rPr>
                <w:spacing w:val="-5"/>
                <w:sz w:val="22"/>
              </w:rPr>
              <w:t>5.0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z w:val="22"/>
              </w:rPr>
              <w:t>Nomegestrol</w:t>
            </w:r>
            <w:r>
              <w:rPr>
                <w:spacing w:val="23"/>
                <w:sz w:val="22"/>
              </w:rPr>
              <w:t> </w:t>
            </w:r>
            <w:r>
              <w:rPr>
                <w:spacing w:val="-2"/>
                <w:sz w:val="22"/>
              </w:rPr>
              <w:t>acetate</w:t>
            </w:r>
          </w:p>
        </w:tc>
        <w:tc>
          <w:tcPr>
            <w:tcW w:w="2792" w:type="dxa"/>
            <w:tcBorders>
              <w:top w:val="single" w:sz="6" w:space="0" w:color="1C5349"/>
              <w:bottom w:val="single" w:sz="6" w:space="0" w:color="1C5349"/>
            </w:tcBorders>
          </w:tcPr>
          <w:p>
            <w:pPr>
              <w:pStyle w:val="TableParagraph"/>
              <w:ind w:left="0" w:right="328"/>
              <w:jc w:val="center"/>
              <w:rPr>
                <w:sz w:val="22"/>
              </w:rPr>
            </w:pPr>
            <w:r>
              <w:rPr>
                <w:w w:val="105"/>
                <w:sz w:val="22"/>
              </w:rPr>
              <w:t>3.75-</w:t>
            </w:r>
            <w:r>
              <w:rPr>
                <w:spacing w:val="-5"/>
                <w:w w:val="105"/>
                <w:sz w:val="22"/>
              </w:rPr>
              <w:t>5.0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Demegestone</w:t>
            </w:r>
          </w:p>
        </w:tc>
        <w:tc>
          <w:tcPr>
            <w:tcW w:w="2792" w:type="dxa"/>
            <w:tcBorders>
              <w:top w:val="single" w:sz="6" w:space="0" w:color="1C5349"/>
              <w:bottom w:val="single" w:sz="6" w:space="0" w:color="1C5349"/>
            </w:tcBorders>
          </w:tcPr>
          <w:p>
            <w:pPr>
              <w:pStyle w:val="TableParagraph"/>
              <w:spacing w:before="0"/>
              <w:ind w:left="0"/>
              <w:rPr>
                <w:sz w:val="22"/>
              </w:rPr>
            </w:pP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z w:val="22"/>
              </w:rPr>
              <w:t>Nestorone</w:t>
            </w:r>
            <w:r>
              <w:rPr>
                <w:spacing w:val="19"/>
                <w:sz w:val="22"/>
              </w:rPr>
              <w:t> </w:t>
            </w:r>
            <w:r>
              <w:rPr>
                <w:spacing w:val="-2"/>
                <w:sz w:val="22"/>
              </w:rPr>
              <w:t>(nonoral)</w:t>
            </w:r>
          </w:p>
        </w:tc>
        <w:tc>
          <w:tcPr>
            <w:tcW w:w="2792" w:type="dxa"/>
            <w:tcBorders>
              <w:top w:val="single" w:sz="6" w:space="0" w:color="1C5349"/>
              <w:bottom w:val="single" w:sz="6" w:space="0" w:color="1C5349"/>
            </w:tcBorders>
          </w:tcPr>
          <w:p>
            <w:pPr>
              <w:pStyle w:val="TableParagraph"/>
              <w:ind w:left="0" w:right="328"/>
              <w:jc w:val="center"/>
              <w:rPr>
                <w:sz w:val="22"/>
              </w:rPr>
            </w:pPr>
            <w:r>
              <w:rPr>
                <w:w w:val="105"/>
                <w:sz w:val="22"/>
              </w:rPr>
              <w:t>0.05-</w:t>
            </w:r>
            <w:r>
              <w:rPr>
                <w:spacing w:val="-5"/>
                <w:w w:val="105"/>
                <w:sz w:val="22"/>
              </w:rPr>
              <w:t>0.1</w:t>
            </w:r>
          </w:p>
        </w:tc>
      </w:tr>
      <w:tr>
        <w:trPr>
          <w:trHeight w:val="539" w:hRule="atLeast"/>
        </w:trPr>
        <w:tc>
          <w:tcPr>
            <w:tcW w:w="3235" w:type="dxa"/>
            <w:tcBorders>
              <w:top w:val="single" w:sz="6" w:space="0" w:color="1C5349"/>
              <w:bottom w:val="single" w:sz="6" w:space="0" w:color="256E60"/>
            </w:tcBorders>
            <w:shd w:val="clear" w:color="auto" w:fill="DDE6E3"/>
          </w:tcPr>
          <w:p>
            <w:pPr>
              <w:pStyle w:val="TableParagraph"/>
              <w:spacing w:before="138"/>
              <w:rPr>
                <w:rFonts w:ascii="Arial"/>
                <w:b/>
                <w:sz w:val="22"/>
              </w:rPr>
            </w:pPr>
            <w:r>
              <w:rPr>
                <w:rFonts w:ascii="Arial"/>
                <w:b/>
                <w:color w:val="1C5349"/>
                <w:sz w:val="22"/>
              </w:rPr>
              <w:t>19-Nortestosterone</w:t>
            </w:r>
            <w:r>
              <w:rPr>
                <w:rFonts w:ascii="Arial"/>
                <w:b/>
                <w:color w:val="1C5349"/>
                <w:spacing w:val="41"/>
                <w:sz w:val="22"/>
              </w:rPr>
              <w:t> </w:t>
            </w:r>
            <w:r>
              <w:rPr>
                <w:rFonts w:ascii="Arial"/>
                <w:b/>
                <w:color w:val="1C5349"/>
                <w:spacing w:val="-2"/>
                <w:sz w:val="22"/>
              </w:rPr>
              <w:t>family</w:t>
            </w:r>
          </w:p>
        </w:tc>
        <w:tc>
          <w:tcPr>
            <w:tcW w:w="3123" w:type="dxa"/>
            <w:tcBorders>
              <w:top w:val="single" w:sz="6" w:space="0" w:color="1C5349"/>
              <w:bottom w:val="single" w:sz="6" w:space="0" w:color="256E60"/>
            </w:tcBorders>
            <w:shd w:val="clear" w:color="auto" w:fill="DDE6E3"/>
          </w:tcPr>
          <w:p>
            <w:pPr>
              <w:pStyle w:val="TableParagraph"/>
              <w:spacing w:before="0"/>
              <w:ind w:left="0"/>
              <w:rPr>
                <w:sz w:val="22"/>
              </w:rPr>
            </w:pPr>
          </w:p>
        </w:tc>
        <w:tc>
          <w:tcPr>
            <w:tcW w:w="2792" w:type="dxa"/>
            <w:tcBorders>
              <w:top w:val="single" w:sz="6" w:space="0" w:color="1C5349"/>
              <w:bottom w:val="single" w:sz="6" w:space="0" w:color="256E60"/>
            </w:tcBorders>
            <w:shd w:val="clear" w:color="auto" w:fill="DDE6E3"/>
          </w:tcPr>
          <w:p>
            <w:pPr>
              <w:pStyle w:val="TableParagraph"/>
              <w:spacing w:before="0"/>
              <w:ind w:left="0"/>
              <w:rPr>
                <w:sz w:val="22"/>
              </w:rPr>
            </w:pPr>
          </w:p>
        </w:tc>
      </w:tr>
      <w:tr>
        <w:trPr>
          <w:trHeight w:val="554" w:hRule="atLeast"/>
        </w:trPr>
        <w:tc>
          <w:tcPr>
            <w:tcW w:w="3235" w:type="dxa"/>
            <w:tcBorders>
              <w:top w:val="single" w:sz="6" w:space="0" w:color="256E60"/>
              <w:bottom w:val="single" w:sz="6" w:space="0" w:color="1C5349"/>
            </w:tcBorders>
          </w:tcPr>
          <w:p>
            <w:pPr>
              <w:pStyle w:val="TableParagraph"/>
              <w:rPr>
                <w:sz w:val="22"/>
              </w:rPr>
            </w:pPr>
            <w:r>
              <w:rPr>
                <w:spacing w:val="-2"/>
                <w:sz w:val="22"/>
              </w:rPr>
              <w:t>Ethinylated</w:t>
            </w:r>
          </w:p>
        </w:tc>
        <w:tc>
          <w:tcPr>
            <w:tcW w:w="3123" w:type="dxa"/>
            <w:tcBorders>
              <w:top w:val="single" w:sz="6" w:space="0" w:color="256E60"/>
              <w:bottom w:val="single" w:sz="6" w:space="0" w:color="1C5349"/>
            </w:tcBorders>
          </w:tcPr>
          <w:p>
            <w:pPr>
              <w:pStyle w:val="TableParagraph"/>
              <w:ind w:left="374"/>
              <w:rPr>
                <w:sz w:val="22"/>
              </w:rPr>
            </w:pPr>
            <w:r>
              <w:rPr>
                <w:spacing w:val="-2"/>
                <w:sz w:val="22"/>
              </w:rPr>
              <w:t>Norethindrone</w:t>
            </w:r>
          </w:p>
        </w:tc>
        <w:tc>
          <w:tcPr>
            <w:tcW w:w="2792" w:type="dxa"/>
            <w:tcBorders>
              <w:top w:val="single" w:sz="6" w:space="0" w:color="256E60"/>
              <w:bottom w:val="single" w:sz="6" w:space="0" w:color="1C5349"/>
            </w:tcBorders>
          </w:tcPr>
          <w:p>
            <w:pPr>
              <w:pStyle w:val="TableParagraph"/>
              <w:ind w:left="0" w:right="328"/>
              <w:jc w:val="center"/>
              <w:rPr>
                <w:sz w:val="22"/>
              </w:rPr>
            </w:pPr>
            <w:r>
              <w:rPr>
                <w:w w:val="105"/>
                <w:sz w:val="22"/>
              </w:rPr>
              <w:t>0.7-</w:t>
            </w:r>
            <w:r>
              <w:rPr>
                <w:spacing w:val="-5"/>
                <w:w w:val="110"/>
                <w:sz w:val="22"/>
              </w:rPr>
              <w:t>1.0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z w:val="22"/>
              </w:rPr>
              <w:t>Norethindrone</w:t>
            </w:r>
            <w:r>
              <w:rPr>
                <w:spacing w:val="26"/>
                <w:sz w:val="22"/>
              </w:rPr>
              <w:t> </w:t>
            </w:r>
            <w:r>
              <w:rPr>
                <w:spacing w:val="-2"/>
                <w:sz w:val="22"/>
              </w:rPr>
              <w:t>acetate</w:t>
            </w:r>
          </w:p>
        </w:tc>
        <w:tc>
          <w:tcPr>
            <w:tcW w:w="2792" w:type="dxa"/>
            <w:tcBorders>
              <w:top w:val="single" w:sz="6" w:space="0" w:color="1C5349"/>
              <w:bottom w:val="single" w:sz="6" w:space="0" w:color="1C5349"/>
            </w:tcBorders>
          </w:tcPr>
          <w:p>
            <w:pPr>
              <w:pStyle w:val="TableParagraph"/>
              <w:ind w:left="0" w:right="328"/>
              <w:jc w:val="center"/>
              <w:rPr>
                <w:sz w:val="22"/>
              </w:rPr>
            </w:pPr>
            <w:r>
              <w:rPr>
                <w:spacing w:val="-5"/>
                <w:sz w:val="22"/>
              </w:rPr>
              <w:t>1.0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Levonorgestrel</w:t>
            </w:r>
          </w:p>
        </w:tc>
        <w:tc>
          <w:tcPr>
            <w:tcW w:w="2792" w:type="dxa"/>
            <w:tcBorders>
              <w:top w:val="single" w:sz="6" w:space="0" w:color="1C5349"/>
              <w:bottom w:val="single" w:sz="6" w:space="0" w:color="1C5349"/>
            </w:tcBorders>
          </w:tcPr>
          <w:p>
            <w:pPr>
              <w:pStyle w:val="TableParagraph"/>
              <w:ind w:left="0" w:right="328"/>
              <w:jc w:val="center"/>
              <w:rPr>
                <w:sz w:val="22"/>
              </w:rPr>
            </w:pPr>
            <w:r>
              <w:rPr>
                <w:spacing w:val="-2"/>
                <w:sz w:val="22"/>
              </w:rPr>
              <w:t>0.075</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Desogestrel</w:t>
            </w:r>
          </w:p>
        </w:tc>
        <w:tc>
          <w:tcPr>
            <w:tcW w:w="2792" w:type="dxa"/>
            <w:tcBorders>
              <w:top w:val="single" w:sz="6" w:space="0" w:color="1C5349"/>
              <w:bottom w:val="single" w:sz="6" w:space="0" w:color="1C5349"/>
            </w:tcBorders>
          </w:tcPr>
          <w:p>
            <w:pPr>
              <w:pStyle w:val="TableParagraph"/>
              <w:ind w:left="0" w:right="328"/>
              <w:jc w:val="center"/>
              <w:rPr>
                <w:sz w:val="22"/>
              </w:rPr>
            </w:pPr>
            <w:r>
              <w:rPr>
                <w:spacing w:val="-4"/>
                <w:sz w:val="22"/>
              </w:rPr>
              <w:t>0.15</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Norgestimate</w:t>
            </w:r>
          </w:p>
        </w:tc>
        <w:tc>
          <w:tcPr>
            <w:tcW w:w="2792" w:type="dxa"/>
            <w:tcBorders>
              <w:top w:val="single" w:sz="6" w:space="0" w:color="1C5349"/>
              <w:bottom w:val="single" w:sz="6" w:space="0" w:color="1C5349"/>
            </w:tcBorders>
          </w:tcPr>
          <w:p>
            <w:pPr>
              <w:pStyle w:val="TableParagraph"/>
              <w:ind w:left="0" w:right="328"/>
              <w:jc w:val="center"/>
              <w:rPr>
                <w:sz w:val="22"/>
              </w:rPr>
            </w:pPr>
            <w:r>
              <w:rPr>
                <w:spacing w:val="-4"/>
                <w:sz w:val="22"/>
              </w:rPr>
              <w:t>0.09</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Gestodene</w:t>
            </w:r>
          </w:p>
        </w:tc>
        <w:tc>
          <w:tcPr>
            <w:tcW w:w="2792" w:type="dxa"/>
            <w:tcBorders>
              <w:top w:val="single" w:sz="6" w:space="0" w:color="1C5349"/>
              <w:bottom w:val="single" w:sz="6" w:space="0" w:color="1C5349"/>
            </w:tcBorders>
          </w:tcPr>
          <w:p>
            <w:pPr>
              <w:pStyle w:val="TableParagraph"/>
              <w:ind w:left="0" w:right="328"/>
              <w:jc w:val="center"/>
              <w:rPr>
                <w:sz w:val="22"/>
              </w:rPr>
            </w:pPr>
            <w:r>
              <w:rPr>
                <w:spacing w:val="-4"/>
                <w:sz w:val="22"/>
              </w:rPr>
              <w:t>0.20</w:t>
            </w:r>
          </w:p>
        </w:tc>
      </w:tr>
      <w:tr>
        <w:trPr>
          <w:trHeight w:val="554" w:hRule="atLeast"/>
        </w:trPr>
        <w:tc>
          <w:tcPr>
            <w:tcW w:w="3235" w:type="dxa"/>
            <w:tcBorders>
              <w:top w:val="single" w:sz="6" w:space="0" w:color="1C5349"/>
              <w:bottom w:val="single" w:sz="6" w:space="0" w:color="1C5349"/>
            </w:tcBorders>
          </w:tcPr>
          <w:p>
            <w:pPr>
              <w:pStyle w:val="TableParagraph"/>
              <w:spacing w:before="0"/>
              <w:ind w:left="0"/>
              <w:rPr>
                <w:sz w:val="22"/>
              </w:rPr>
            </w:pPr>
          </w:p>
        </w:tc>
        <w:tc>
          <w:tcPr>
            <w:tcW w:w="3123" w:type="dxa"/>
            <w:tcBorders>
              <w:top w:val="single" w:sz="6" w:space="0" w:color="1C5349"/>
              <w:bottom w:val="single" w:sz="6" w:space="0" w:color="1C5349"/>
            </w:tcBorders>
          </w:tcPr>
          <w:p>
            <w:pPr>
              <w:pStyle w:val="TableParagraph"/>
              <w:ind w:left="374"/>
              <w:rPr>
                <w:sz w:val="22"/>
              </w:rPr>
            </w:pPr>
            <w:r>
              <w:rPr>
                <w:spacing w:val="-2"/>
                <w:sz w:val="22"/>
              </w:rPr>
              <w:t>Norethynodrel</w:t>
            </w:r>
          </w:p>
        </w:tc>
        <w:tc>
          <w:tcPr>
            <w:tcW w:w="2792" w:type="dxa"/>
            <w:tcBorders>
              <w:top w:val="single" w:sz="6" w:space="0" w:color="1C5349"/>
              <w:bottom w:val="single" w:sz="6" w:space="0" w:color="1C5349"/>
            </w:tcBorders>
          </w:tcPr>
          <w:p>
            <w:pPr>
              <w:pStyle w:val="TableParagraph"/>
              <w:spacing w:before="0"/>
              <w:ind w:left="0"/>
              <w:rPr>
                <w:sz w:val="22"/>
              </w:rPr>
            </w:pPr>
          </w:p>
        </w:tc>
      </w:tr>
    </w:tbl>
    <w:p>
      <w:pPr>
        <w:pStyle w:val="TableParagraph"/>
        <w:spacing w:after="0"/>
        <w:rPr>
          <w:sz w:val="22"/>
        </w:rPr>
        <w:sectPr>
          <w:type w:val="continuous"/>
          <w:pgSz w:w="12240" w:h="15840"/>
          <w:pgMar w:top="1820" w:bottom="280" w:left="1440" w:right="1440"/>
        </w:sect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7"/>
        <w:gridCol w:w="2423"/>
        <w:gridCol w:w="3388"/>
      </w:tblGrid>
      <w:tr>
        <w:trPr>
          <w:trHeight w:val="809" w:hRule="atLeast"/>
        </w:trPr>
        <w:tc>
          <w:tcPr>
            <w:tcW w:w="5760" w:type="dxa"/>
            <w:gridSpan w:val="2"/>
            <w:tcBorders>
              <w:bottom w:val="single" w:sz="6" w:space="0" w:color="256E60"/>
            </w:tcBorders>
            <w:shd w:val="clear" w:color="auto" w:fill="DDE6E3"/>
          </w:tcPr>
          <w:p>
            <w:pPr>
              <w:pStyle w:val="TableParagraph"/>
              <w:spacing w:before="0"/>
              <w:ind w:left="0"/>
              <w:rPr>
                <w:sz w:val="28"/>
              </w:rPr>
            </w:pPr>
          </w:p>
        </w:tc>
        <w:tc>
          <w:tcPr>
            <w:tcW w:w="3388" w:type="dxa"/>
            <w:tcBorders>
              <w:bottom w:val="single" w:sz="6" w:space="0" w:color="256E60"/>
            </w:tcBorders>
            <w:shd w:val="clear" w:color="auto" w:fill="DDE6E3"/>
          </w:tcPr>
          <w:p>
            <w:pPr>
              <w:pStyle w:val="TableParagraph"/>
              <w:spacing w:line="256" w:lineRule="auto" w:before="138"/>
              <w:ind w:left="1159" w:right="138" w:hanging="863"/>
              <w:rPr>
                <w:rFonts w:ascii="Arial"/>
                <w:b/>
                <w:sz w:val="22"/>
              </w:rPr>
            </w:pPr>
            <w:r>
              <w:rPr>
                <w:rFonts w:ascii="Arial"/>
                <w:b/>
                <w:color w:val="1C5349"/>
                <w:sz w:val="22"/>
              </w:rPr>
              <w:t>Estimated Comparable </w:t>
            </w:r>
            <w:r>
              <w:rPr>
                <w:rFonts w:ascii="Arial"/>
                <w:b/>
                <w:color w:val="1C5349"/>
                <w:sz w:val="22"/>
              </w:rPr>
              <w:t>Oral Doses (mg)</w:t>
            </w:r>
          </w:p>
        </w:tc>
      </w:tr>
      <w:tr>
        <w:trPr>
          <w:trHeight w:val="554" w:hRule="atLeast"/>
        </w:trPr>
        <w:tc>
          <w:tcPr>
            <w:tcW w:w="3337" w:type="dxa"/>
            <w:tcBorders>
              <w:top w:val="single" w:sz="6" w:space="0" w:color="256E60"/>
              <w:bottom w:val="single" w:sz="6" w:space="0" w:color="1C5349"/>
            </w:tcBorders>
          </w:tcPr>
          <w:p>
            <w:pPr>
              <w:pStyle w:val="TableParagraph"/>
              <w:spacing w:before="0"/>
              <w:ind w:left="0"/>
              <w:rPr>
                <w:sz w:val="28"/>
              </w:rPr>
            </w:pPr>
          </w:p>
        </w:tc>
        <w:tc>
          <w:tcPr>
            <w:tcW w:w="2423" w:type="dxa"/>
            <w:tcBorders>
              <w:top w:val="single" w:sz="6" w:space="0" w:color="256E60"/>
              <w:bottom w:val="single" w:sz="6" w:space="0" w:color="1C5349"/>
            </w:tcBorders>
          </w:tcPr>
          <w:p>
            <w:pPr>
              <w:pStyle w:val="TableParagraph"/>
              <w:ind w:left="272"/>
              <w:rPr>
                <w:sz w:val="22"/>
              </w:rPr>
            </w:pPr>
            <w:r>
              <w:rPr>
                <w:spacing w:val="-2"/>
                <w:sz w:val="22"/>
              </w:rPr>
              <w:t>Lynestrenol</w:t>
            </w:r>
          </w:p>
        </w:tc>
        <w:tc>
          <w:tcPr>
            <w:tcW w:w="3388" w:type="dxa"/>
            <w:tcBorders>
              <w:top w:val="single" w:sz="6" w:space="0" w:color="256E60"/>
              <w:bottom w:val="single" w:sz="6" w:space="0" w:color="1C5349"/>
            </w:tcBorders>
          </w:tcPr>
          <w:p>
            <w:pPr>
              <w:pStyle w:val="TableParagraph"/>
              <w:spacing w:before="0"/>
              <w:ind w:left="0"/>
              <w:rPr>
                <w:sz w:val="28"/>
              </w:rPr>
            </w:pPr>
          </w:p>
        </w:tc>
      </w:tr>
      <w:tr>
        <w:trPr>
          <w:trHeight w:val="554" w:hRule="atLeast"/>
        </w:trPr>
        <w:tc>
          <w:tcPr>
            <w:tcW w:w="3337" w:type="dxa"/>
            <w:tcBorders>
              <w:top w:val="single" w:sz="6" w:space="0" w:color="1C5349"/>
              <w:bottom w:val="single" w:sz="6" w:space="0" w:color="1C5349"/>
            </w:tcBorders>
          </w:tcPr>
          <w:p>
            <w:pPr>
              <w:pStyle w:val="TableParagraph"/>
              <w:spacing w:before="0"/>
              <w:ind w:left="0"/>
              <w:rPr>
                <w:sz w:val="28"/>
              </w:rPr>
            </w:pPr>
          </w:p>
        </w:tc>
        <w:tc>
          <w:tcPr>
            <w:tcW w:w="2423" w:type="dxa"/>
            <w:tcBorders>
              <w:top w:val="single" w:sz="6" w:space="0" w:color="1C5349"/>
              <w:bottom w:val="single" w:sz="6" w:space="0" w:color="1C5349"/>
            </w:tcBorders>
          </w:tcPr>
          <w:p>
            <w:pPr>
              <w:pStyle w:val="TableParagraph"/>
              <w:ind w:left="272"/>
              <w:rPr>
                <w:sz w:val="22"/>
              </w:rPr>
            </w:pPr>
            <w:r>
              <w:rPr>
                <w:sz w:val="22"/>
              </w:rPr>
              <w:t>Ethynodiol</w:t>
            </w:r>
            <w:r>
              <w:rPr>
                <w:spacing w:val="20"/>
                <w:sz w:val="22"/>
              </w:rPr>
              <w:t> </w:t>
            </w:r>
            <w:r>
              <w:rPr>
                <w:spacing w:val="-2"/>
                <w:sz w:val="22"/>
              </w:rPr>
              <w:t>diacetate</w:t>
            </w:r>
          </w:p>
        </w:tc>
        <w:tc>
          <w:tcPr>
            <w:tcW w:w="3388" w:type="dxa"/>
            <w:tcBorders>
              <w:top w:val="single" w:sz="6" w:space="0" w:color="1C5349"/>
              <w:bottom w:val="single" w:sz="6" w:space="0" w:color="1C5349"/>
            </w:tcBorders>
          </w:tcPr>
          <w:p>
            <w:pPr>
              <w:pStyle w:val="TableParagraph"/>
              <w:spacing w:before="0"/>
              <w:ind w:left="0"/>
              <w:rPr>
                <w:sz w:val="28"/>
              </w:rPr>
            </w:pPr>
          </w:p>
        </w:tc>
      </w:tr>
      <w:tr>
        <w:trPr>
          <w:trHeight w:val="554" w:hRule="atLeast"/>
        </w:trPr>
        <w:tc>
          <w:tcPr>
            <w:tcW w:w="3337" w:type="dxa"/>
            <w:tcBorders>
              <w:top w:val="single" w:sz="6" w:space="0" w:color="1C5349"/>
              <w:bottom w:val="single" w:sz="6" w:space="0" w:color="1C5349"/>
            </w:tcBorders>
          </w:tcPr>
          <w:p>
            <w:pPr>
              <w:pStyle w:val="TableParagraph"/>
              <w:rPr>
                <w:sz w:val="22"/>
              </w:rPr>
            </w:pPr>
            <w:r>
              <w:rPr>
                <w:spacing w:val="-2"/>
                <w:sz w:val="22"/>
              </w:rPr>
              <w:t>Nonethinylated</w:t>
            </w:r>
          </w:p>
        </w:tc>
        <w:tc>
          <w:tcPr>
            <w:tcW w:w="2423" w:type="dxa"/>
            <w:tcBorders>
              <w:top w:val="single" w:sz="6" w:space="0" w:color="1C5349"/>
              <w:bottom w:val="single" w:sz="6" w:space="0" w:color="1C5349"/>
            </w:tcBorders>
          </w:tcPr>
          <w:p>
            <w:pPr>
              <w:pStyle w:val="TableParagraph"/>
              <w:ind w:left="272"/>
              <w:rPr>
                <w:sz w:val="22"/>
              </w:rPr>
            </w:pPr>
            <w:r>
              <w:rPr>
                <w:spacing w:val="-2"/>
                <w:sz w:val="22"/>
              </w:rPr>
              <w:t>Dienogest</w:t>
            </w:r>
          </w:p>
        </w:tc>
        <w:tc>
          <w:tcPr>
            <w:tcW w:w="3388" w:type="dxa"/>
            <w:tcBorders>
              <w:top w:val="single" w:sz="6" w:space="0" w:color="1C5349"/>
              <w:bottom w:val="single" w:sz="6" w:space="0" w:color="1C5349"/>
            </w:tcBorders>
          </w:tcPr>
          <w:p>
            <w:pPr>
              <w:pStyle w:val="TableParagraph"/>
              <w:ind w:left="0" w:right="1416"/>
              <w:jc w:val="right"/>
              <w:rPr>
                <w:sz w:val="22"/>
              </w:rPr>
            </w:pPr>
            <w:r>
              <w:rPr>
                <w:spacing w:val="-5"/>
                <w:sz w:val="22"/>
              </w:rPr>
              <w:t>2.0</w:t>
            </w:r>
          </w:p>
        </w:tc>
      </w:tr>
      <w:tr>
        <w:trPr>
          <w:trHeight w:val="393" w:hRule="atLeast"/>
        </w:trPr>
        <w:tc>
          <w:tcPr>
            <w:tcW w:w="3337" w:type="dxa"/>
            <w:tcBorders>
              <w:top w:val="single" w:sz="6" w:space="0" w:color="1C5349"/>
            </w:tcBorders>
          </w:tcPr>
          <w:p>
            <w:pPr>
              <w:pStyle w:val="TableParagraph"/>
              <w:spacing w:line="234" w:lineRule="exact"/>
              <w:rPr>
                <w:sz w:val="22"/>
              </w:rPr>
            </w:pPr>
            <w:r>
              <w:rPr>
                <w:sz w:val="22"/>
              </w:rPr>
              <w:t>Derived</w:t>
            </w:r>
            <w:r>
              <w:rPr>
                <w:spacing w:val="17"/>
                <w:sz w:val="22"/>
              </w:rPr>
              <w:t> </w:t>
            </w:r>
            <w:r>
              <w:rPr>
                <w:sz w:val="22"/>
              </w:rPr>
              <w:t>from</w:t>
            </w:r>
            <w:r>
              <w:rPr>
                <w:spacing w:val="17"/>
                <w:sz w:val="22"/>
              </w:rPr>
              <w:t> </w:t>
            </w:r>
            <w:r>
              <w:rPr>
                <w:sz w:val="22"/>
              </w:rPr>
              <w:t>spironolactone</w:t>
            </w:r>
            <w:r>
              <w:rPr>
                <w:spacing w:val="17"/>
                <w:sz w:val="22"/>
              </w:rPr>
              <w:t> </w:t>
            </w:r>
            <w:r>
              <w:rPr>
                <w:spacing w:val="-5"/>
                <w:sz w:val="22"/>
              </w:rPr>
              <w:t>and</w:t>
            </w:r>
          </w:p>
        </w:tc>
        <w:tc>
          <w:tcPr>
            <w:tcW w:w="2423" w:type="dxa"/>
            <w:tcBorders>
              <w:top w:val="single" w:sz="6" w:space="0" w:color="1C5349"/>
            </w:tcBorders>
          </w:tcPr>
          <w:p>
            <w:pPr>
              <w:pStyle w:val="TableParagraph"/>
              <w:spacing w:line="234" w:lineRule="exact"/>
              <w:ind w:left="272"/>
              <w:rPr>
                <w:sz w:val="22"/>
              </w:rPr>
            </w:pPr>
            <w:r>
              <w:rPr>
                <w:spacing w:val="-2"/>
                <w:sz w:val="22"/>
              </w:rPr>
              <w:t>Drospirenone</w:t>
            </w:r>
          </w:p>
        </w:tc>
        <w:tc>
          <w:tcPr>
            <w:tcW w:w="3388" w:type="dxa"/>
            <w:tcBorders>
              <w:top w:val="single" w:sz="6" w:space="0" w:color="1C5349"/>
            </w:tcBorders>
          </w:tcPr>
          <w:p>
            <w:pPr>
              <w:pStyle w:val="TableParagraph"/>
              <w:spacing w:line="234" w:lineRule="exact"/>
              <w:ind w:left="0" w:right="1416"/>
              <w:jc w:val="right"/>
              <w:rPr>
                <w:sz w:val="22"/>
              </w:rPr>
            </w:pPr>
            <w:r>
              <w:rPr>
                <w:spacing w:val="-5"/>
                <w:sz w:val="22"/>
              </w:rPr>
              <w:t>2.0</w:t>
            </w:r>
          </w:p>
        </w:tc>
      </w:tr>
    </w:tbl>
    <w:p>
      <w:pPr>
        <w:spacing w:before="55"/>
        <w:ind w:left="414" w:right="0" w:firstLine="0"/>
        <w:jc w:val="left"/>
        <w:rPr>
          <w:sz w:val="22"/>
        </w:rPr>
      </w:pPr>
      <w:r>
        <w:rPr>
          <w:spacing w:val="-2"/>
          <w:sz w:val="22"/>
        </w:rPr>
        <w:t>nonethinylated</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27264">
                <wp:simplePos x="0" y="0"/>
                <wp:positionH relativeFrom="page">
                  <wp:posOffset>981062</wp:posOffset>
                </wp:positionH>
                <wp:positionV relativeFrom="paragraph">
                  <wp:posOffset>103531</wp:posOffset>
                </wp:positionV>
                <wp:extent cx="5810250" cy="9525"/>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810250" cy="9525"/>
                        </a:xfrm>
                        <a:custGeom>
                          <a:avLst/>
                          <a:gdLst/>
                          <a:ahLst/>
                          <a:cxnLst/>
                          <a:rect l="l" t="t" r="r" b="b"/>
                          <a:pathLst>
                            <a:path w="5810250" h="9525">
                              <a:moveTo>
                                <a:pt x="5810250" y="0"/>
                              </a:moveTo>
                              <a:lnTo>
                                <a:pt x="3762375" y="0"/>
                              </a:lnTo>
                              <a:lnTo>
                                <a:pt x="2238375" y="0"/>
                              </a:lnTo>
                              <a:lnTo>
                                <a:pt x="0" y="0"/>
                              </a:lnTo>
                              <a:lnTo>
                                <a:pt x="0" y="9525"/>
                              </a:lnTo>
                              <a:lnTo>
                                <a:pt x="2238375" y="9525"/>
                              </a:lnTo>
                              <a:lnTo>
                                <a:pt x="37623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2048pt;width:457.5pt;height:.75pt;mso-position-horizontal-relative:page;mso-position-vertical-relative:paragraph;z-index:-15689216;mso-wrap-distance-left:0;mso-wrap-distance-right:0" id="docshape101" coordorigin="1545,163" coordsize="9150,15" path="m10695,163l7470,163,5070,163,1545,163,1545,178,5070,178,7470,178,10695,178,10695,163xe" filled="true" fillcolor="#1c5349" stroked="false">
                <v:path arrowok="t"/>
                <v:fill type="solid"/>
                <w10:wrap type="topAndBottom"/>
              </v:shape>
            </w:pict>
          </mc:Fallback>
        </mc:AlternateContent>
      </w:r>
    </w:p>
    <w:p>
      <w:pPr>
        <w:pStyle w:val="BodyText"/>
        <w:spacing w:before="108"/>
        <w:ind w:left="0"/>
        <w:jc w:val="left"/>
      </w:pPr>
    </w:p>
    <w:p>
      <w:pPr>
        <w:spacing w:before="0"/>
        <w:ind w:left="99" w:right="0" w:firstLine="0"/>
        <w:jc w:val="both"/>
        <w:rPr>
          <w:rFonts w:ascii="Arial"/>
          <w:b/>
          <w:sz w:val="30"/>
        </w:rPr>
      </w:pPr>
      <w:r>
        <w:rPr>
          <w:rFonts w:ascii="Arial"/>
          <w:b/>
          <w:color w:val="2674AE"/>
          <w:sz w:val="30"/>
        </w:rPr>
        <w:t>Menopausal Hormone Therapy: Progestational </w:t>
      </w:r>
      <w:r>
        <w:rPr>
          <w:rFonts w:ascii="Arial"/>
          <w:b/>
          <w:color w:val="2674AE"/>
          <w:spacing w:val="-2"/>
          <w:sz w:val="30"/>
        </w:rPr>
        <w:t>Component</w:t>
      </w:r>
    </w:p>
    <w:p>
      <w:pPr>
        <w:pStyle w:val="BodyText"/>
        <w:spacing w:line="249" w:lineRule="auto" w:before="167"/>
        <w:ind w:right="98"/>
      </w:pPr>
      <w:r>
        <w:rPr/>
        <w:t>Many women do not tolerate treatment with progestational hormones. Typical side effects include breast tenderness, bloating, and depression. These reactions are significant detrimental factors with continuance. </w:t>
      </w:r>
      <w:r>
        <w:rPr/>
        <w:t>Breast discomfort associated with postmenopausal HT can be attributed largely to progestins.</w:t>
      </w:r>
      <w:r>
        <w:rPr>
          <w:spacing w:val="-4"/>
        </w:rPr>
        <w:t> </w:t>
      </w:r>
      <w:r>
        <w:rPr/>
        <w:t>Comparison</w:t>
      </w:r>
      <w:r>
        <w:rPr>
          <w:spacing w:val="-3"/>
        </w:rPr>
        <w:t> </w:t>
      </w:r>
      <w:r>
        <w:rPr/>
        <w:t>studies</w:t>
      </w:r>
      <w:r>
        <w:rPr>
          <w:spacing w:val="-3"/>
        </w:rPr>
        <w:t> </w:t>
      </w:r>
      <w:r>
        <w:rPr/>
        <w:t>have</w:t>
      </w:r>
      <w:r>
        <w:rPr>
          <w:spacing w:val="-3"/>
        </w:rPr>
        <w:t> </w:t>
      </w:r>
      <w:r>
        <w:rPr/>
        <w:t>not</w:t>
      </w:r>
      <w:r>
        <w:rPr>
          <w:spacing w:val="-3"/>
        </w:rPr>
        <w:t> </w:t>
      </w:r>
      <w:r>
        <w:rPr/>
        <w:t>been</w:t>
      </w:r>
      <w:r>
        <w:rPr>
          <w:spacing w:val="-3"/>
        </w:rPr>
        <w:t> </w:t>
      </w:r>
      <w:r>
        <w:rPr/>
        <w:t>performed</w:t>
      </w:r>
      <w:r>
        <w:rPr>
          <w:spacing w:val="-3"/>
        </w:rPr>
        <w:t> </w:t>
      </w:r>
      <w:r>
        <w:rPr/>
        <w:t>to</w:t>
      </w:r>
      <w:r>
        <w:rPr>
          <w:spacing w:val="-3"/>
        </w:rPr>
        <w:t> </w:t>
      </w:r>
      <w:r>
        <w:rPr/>
        <w:t>address</w:t>
      </w:r>
      <w:r>
        <w:rPr>
          <w:spacing w:val="-3"/>
        </w:rPr>
        <w:t> </w:t>
      </w:r>
      <w:r>
        <w:rPr/>
        <w:t>whether this symptom is minimized by particular progestins. Can a progestational agent be administered less frequently? We are secure in our position, supported by clinical data, that a daily estrogen plus progestin combination regimen will effectively prevent endometrial hyperplasia. A sequential regimen that incorporates progestin exposure for less than 14 days has over time an increased risk of endometrial hyperplasia.</w:t>
      </w:r>
      <w:r>
        <w:rPr>
          <w:vertAlign w:val="superscript"/>
        </w:rPr>
        <w:t>128,129</w:t>
      </w:r>
      <w:r>
        <w:rPr>
          <w:spacing w:val="-3"/>
          <w:vertAlign w:val="baseline"/>
        </w:rPr>
        <w:t> </w:t>
      </w:r>
      <w:r>
        <w:rPr>
          <w:vertAlign w:val="baseline"/>
        </w:rPr>
        <w:t>Sequential</w:t>
      </w:r>
      <w:r>
        <w:rPr>
          <w:spacing w:val="-3"/>
          <w:vertAlign w:val="baseline"/>
        </w:rPr>
        <w:t> </w:t>
      </w:r>
      <w:r>
        <w:rPr>
          <w:vertAlign w:val="baseline"/>
        </w:rPr>
        <w:t>regimens with less than 14 days of progestin monthly or </w:t>
      </w:r>
      <w:r>
        <w:rPr>
          <w:i/>
          <w:vertAlign w:val="baseline"/>
        </w:rPr>
        <w:t>even long-term use of</w:t>
      </w:r>
      <w:r>
        <w:rPr>
          <w:i/>
          <w:vertAlign w:val="baseline"/>
        </w:rPr>
        <w:t> recommended schedules </w:t>
      </w:r>
      <w:r>
        <w:rPr>
          <w:vertAlign w:val="baseline"/>
        </w:rPr>
        <w:t>do not match the protection offered by the daily, continuous method of estrogen-progestin treatment.</w:t>
      </w:r>
    </w:p>
    <w:p>
      <w:pPr>
        <w:pStyle w:val="BodyText"/>
        <w:spacing w:line="249" w:lineRule="auto" w:before="17"/>
        <w:ind w:right="97" w:firstLine="450"/>
      </w:pPr>
      <w:r>
        <w:rPr/>
        <w:t>Two metabolites of progesterone, allopregnanolone and pregnanolone, are believed to be responsible for progesterone’s unique sedative effect. Treatment regimens with micronized progesterone should be taken at bedtime, and these estrogen-progesterone combinations are a good choice for women with sleep difficulties. A study in a sleep laboratory has demonstrated a significant improvement in sleep quantity and quality in women</w:t>
      </w:r>
      <w:r>
        <w:rPr>
          <w:spacing w:val="-2"/>
        </w:rPr>
        <w:t> </w:t>
      </w:r>
      <w:r>
        <w:rPr/>
        <w:t>using</w:t>
      </w:r>
      <w:r>
        <w:rPr>
          <w:spacing w:val="-2"/>
        </w:rPr>
        <w:t> </w:t>
      </w:r>
      <w:r>
        <w:rPr/>
        <w:t>a</w:t>
      </w:r>
      <w:r>
        <w:rPr>
          <w:spacing w:val="-2"/>
        </w:rPr>
        <w:t> </w:t>
      </w:r>
      <w:r>
        <w:rPr/>
        <w:t>sequential</w:t>
      </w:r>
      <w:r>
        <w:rPr>
          <w:spacing w:val="-2"/>
        </w:rPr>
        <w:t> </w:t>
      </w:r>
      <w:r>
        <w:rPr/>
        <w:t>regimen</w:t>
      </w:r>
      <w:r>
        <w:rPr>
          <w:spacing w:val="-2"/>
        </w:rPr>
        <w:t> </w:t>
      </w:r>
      <w:r>
        <w:rPr/>
        <w:t>of</w:t>
      </w:r>
      <w:r>
        <w:rPr>
          <w:spacing w:val="-2"/>
        </w:rPr>
        <w:t> </w:t>
      </w:r>
      <w:r>
        <w:rPr/>
        <w:t>estrogen</w:t>
      </w:r>
      <w:r>
        <w:rPr>
          <w:spacing w:val="-2"/>
        </w:rPr>
        <w:t> </w:t>
      </w:r>
      <w:r>
        <w:rPr/>
        <w:t>and</w:t>
      </w:r>
      <w:r>
        <w:rPr>
          <w:spacing w:val="-2"/>
        </w:rPr>
        <w:t> </w:t>
      </w:r>
      <w:r>
        <w:rPr/>
        <w:t>micronized</w:t>
      </w:r>
      <w:r>
        <w:rPr>
          <w:spacing w:val="-2"/>
        </w:rPr>
        <w:t> </w:t>
      </w:r>
      <w:r>
        <w:rPr/>
        <w:t>progesterone in contrast to no effect in the group using MPA.</w:t>
      </w:r>
      <w:r>
        <w:rPr>
          <w:vertAlign w:val="superscript"/>
        </w:rPr>
        <w:t>130</w:t>
      </w:r>
    </w:p>
    <w:p>
      <w:pPr>
        <w:pStyle w:val="BodyText"/>
        <w:spacing w:after="0" w:line="249" w:lineRule="auto"/>
        <w:sectPr>
          <w:type w:val="continuous"/>
          <w:pgSz w:w="12240" w:h="15840"/>
          <w:pgMar w:top="1420" w:bottom="280" w:left="1440" w:right="1440"/>
        </w:sectPr>
      </w:pPr>
    </w:p>
    <w:p>
      <w:pPr>
        <w:pStyle w:val="BodyText"/>
        <w:spacing w:line="249" w:lineRule="auto"/>
        <w:ind w:right="103" w:firstLine="450"/>
      </w:pPr>
      <w:r>
        <w:rPr/>
        <w:t>Some patients are very sensitive to MPA. One can consider a trial </w:t>
      </w:r>
      <w:r>
        <w:rPr/>
        <w:t>of norethindrone</w:t>
      </w:r>
      <w:r>
        <w:rPr>
          <w:spacing w:val="7"/>
        </w:rPr>
        <w:t> </w:t>
      </w:r>
      <w:r>
        <w:rPr/>
        <w:t>instead.</w:t>
      </w:r>
      <w:r>
        <w:rPr>
          <w:spacing w:val="7"/>
        </w:rPr>
        <w:t> </w:t>
      </w:r>
      <w:r>
        <w:rPr/>
        <w:t>In</w:t>
      </w:r>
      <w:r>
        <w:rPr>
          <w:spacing w:val="9"/>
        </w:rPr>
        <w:t> </w:t>
      </w:r>
      <w:r>
        <w:rPr/>
        <w:t>a</w:t>
      </w:r>
      <w:r>
        <w:rPr>
          <w:spacing w:val="9"/>
        </w:rPr>
        <w:t> </w:t>
      </w:r>
      <w:r>
        <w:rPr/>
        <w:t>sequential</w:t>
      </w:r>
      <w:r>
        <w:rPr>
          <w:spacing w:val="9"/>
        </w:rPr>
        <w:t> </w:t>
      </w:r>
      <w:r>
        <w:rPr/>
        <w:t>regimen,</w:t>
      </w:r>
      <w:r>
        <w:rPr>
          <w:spacing w:val="9"/>
        </w:rPr>
        <w:t> </w:t>
      </w:r>
      <w:r>
        <w:rPr/>
        <w:t>the</w:t>
      </w:r>
      <w:r>
        <w:rPr>
          <w:spacing w:val="9"/>
        </w:rPr>
        <w:t> </w:t>
      </w:r>
      <w:r>
        <w:rPr/>
        <w:t>dose</w:t>
      </w:r>
      <w:r>
        <w:rPr>
          <w:spacing w:val="9"/>
        </w:rPr>
        <w:t> </w:t>
      </w:r>
      <w:r>
        <w:rPr/>
        <w:t>of</w:t>
      </w:r>
      <w:r>
        <w:rPr>
          <w:spacing w:val="9"/>
        </w:rPr>
        <w:t> </w:t>
      </w:r>
      <w:r>
        <w:rPr/>
        <w:t>norethindrone</w:t>
      </w:r>
      <w:r>
        <w:rPr>
          <w:spacing w:val="9"/>
        </w:rPr>
        <w:t> </w:t>
      </w:r>
      <w:r>
        <w:rPr>
          <w:spacing w:val="-5"/>
        </w:rPr>
        <w:t>is</w:t>
      </w:r>
    </w:p>
    <w:p>
      <w:pPr>
        <w:pStyle w:val="BodyText"/>
        <w:spacing w:line="249" w:lineRule="auto" w:before="2"/>
        <w:ind w:right="100"/>
      </w:pPr>
      <w:r>
        <w:rPr/>
        <w:t>0.7</w:t>
      </w:r>
      <w:r>
        <w:rPr>
          <w:spacing w:val="-4"/>
        </w:rPr>
        <w:t> </w:t>
      </w:r>
      <w:r>
        <w:rPr/>
        <w:t>mg</w:t>
      </w:r>
      <w:r>
        <w:rPr>
          <w:spacing w:val="-4"/>
        </w:rPr>
        <w:t> </w:t>
      </w:r>
      <w:r>
        <w:rPr/>
        <w:t>(available</w:t>
      </w:r>
      <w:r>
        <w:rPr>
          <w:spacing w:val="-4"/>
        </w:rPr>
        <w:t> </w:t>
      </w:r>
      <w:r>
        <w:rPr/>
        <w:t>in</w:t>
      </w:r>
      <w:r>
        <w:rPr>
          <w:spacing w:val="-4"/>
        </w:rPr>
        <w:t> </w:t>
      </w:r>
      <w:r>
        <w:rPr/>
        <w:t>the</w:t>
      </w:r>
      <w:r>
        <w:rPr>
          <w:spacing w:val="-4"/>
        </w:rPr>
        <w:t> </w:t>
      </w:r>
      <w:r>
        <w:rPr/>
        <w:t>progestin-only</w:t>
      </w:r>
      <w:r>
        <w:rPr>
          <w:spacing w:val="-4"/>
        </w:rPr>
        <w:t> </w:t>
      </w:r>
      <w:r>
        <w:rPr/>
        <w:t>oral</w:t>
      </w:r>
      <w:r>
        <w:rPr>
          <w:spacing w:val="-4"/>
        </w:rPr>
        <w:t> </w:t>
      </w:r>
      <w:r>
        <w:rPr/>
        <w:t>contraceptive;</w:t>
      </w:r>
      <w:r>
        <w:rPr>
          <w:spacing w:val="-4"/>
        </w:rPr>
        <w:t> </w:t>
      </w:r>
      <w:r>
        <w:rPr/>
        <w:t>each</w:t>
      </w:r>
      <w:r>
        <w:rPr>
          <w:spacing w:val="-4"/>
        </w:rPr>
        <w:t> </w:t>
      </w:r>
      <w:r>
        <w:rPr/>
        <w:t>pill</w:t>
      </w:r>
      <w:r>
        <w:rPr>
          <w:spacing w:val="-4"/>
        </w:rPr>
        <w:t> </w:t>
      </w:r>
      <w:r>
        <w:rPr/>
        <w:t>contains 0.35 mg norethindrone). In the continuous, combined regimen, the dose of norethindrone is 0.35 mg daily. Commercial combination products are available containing estradiol and NETA. DRSP is the newest generation progestin that is available as a progestin-only contraceptive as well as in combination with 17β estradiol as a combined hormone formulation (Angeliq, containing 2-mg DRSP and 1-mg 17β-estradiol).</w:t>
      </w:r>
      <w:r>
        <w:rPr>
          <w:vertAlign w:val="superscript"/>
        </w:rPr>
        <w:t>131</w:t>
      </w:r>
    </w:p>
    <w:p>
      <w:pPr>
        <w:pStyle w:val="BodyText"/>
        <w:spacing w:line="249" w:lineRule="auto" w:before="9"/>
        <w:ind w:right="98" w:firstLine="450"/>
      </w:pPr>
      <w:r>
        <w:rPr/>
        <w:t>Progesterone can also be administered vaginally. A vaginal gel </w:t>
      </w:r>
      <w:r>
        <w:rPr/>
        <w:t>allows the delivery of very low doses that can effectively protect the endometrium with low systemic levels because of a first-pass effect on the uterus.</w:t>
      </w:r>
      <w:r>
        <w:rPr>
          <w:vertAlign w:val="superscript"/>
        </w:rPr>
        <w:t>132</w:t>
      </w:r>
      <w:r>
        <w:rPr>
          <w:vertAlign w:val="baseline"/>
        </w:rPr>
        <w:t> The administration of 90 mg every 2 days produces secretory changes in the endometrium.</w:t>
      </w:r>
      <w:r>
        <w:rPr>
          <w:vertAlign w:val="superscript"/>
        </w:rPr>
        <w:t>133</w:t>
      </w:r>
      <w:r>
        <w:rPr>
          <w:vertAlign w:val="baseline"/>
        </w:rPr>
        <w:t> An application of the 4% commercial preparation (Crinone) twice weekly protects the endometrium and is associated with amenorrhea in most patients. In a sequential regimen, the 4% preparation should be applied daily for at least 14 days each month; however, long-term data on endometrial safety are lacking.</w:t>
      </w:r>
      <w:r>
        <w:rPr>
          <w:vertAlign w:val="superscript"/>
        </w:rPr>
        <w:t>134</w:t>
      </w:r>
      <w:r>
        <w:rPr>
          <w:vertAlign w:val="baseline"/>
        </w:rPr>
        <w:t> The application of a 100-mg vaginal</w:t>
      </w:r>
      <w:r>
        <w:rPr>
          <w:spacing w:val="-4"/>
          <w:vertAlign w:val="baseline"/>
        </w:rPr>
        <w:t> </w:t>
      </w:r>
      <w:r>
        <w:rPr>
          <w:vertAlign w:val="baseline"/>
        </w:rPr>
        <w:t>tablet</w:t>
      </w:r>
      <w:r>
        <w:rPr>
          <w:spacing w:val="-4"/>
          <w:vertAlign w:val="baseline"/>
        </w:rPr>
        <w:t> </w:t>
      </w:r>
      <w:r>
        <w:rPr>
          <w:vertAlign w:val="baseline"/>
        </w:rPr>
        <w:t>(Endometrin)</w:t>
      </w:r>
      <w:r>
        <w:rPr>
          <w:spacing w:val="-4"/>
          <w:vertAlign w:val="baseline"/>
        </w:rPr>
        <w:t> </w:t>
      </w:r>
      <w:r>
        <w:rPr>
          <w:vertAlign w:val="baseline"/>
        </w:rPr>
        <w:t>every</w:t>
      </w:r>
      <w:r>
        <w:rPr>
          <w:spacing w:val="-4"/>
          <w:vertAlign w:val="baseline"/>
        </w:rPr>
        <w:t> </w:t>
      </w:r>
      <w:r>
        <w:rPr>
          <w:vertAlign w:val="baseline"/>
        </w:rPr>
        <w:t>other</w:t>
      </w:r>
      <w:r>
        <w:rPr>
          <w:spacing w:val="-4"/>
          <w:vertAlign w:val="baseline"/>
        </w:rPr>
        <w:t> </w:t>
      </w:r>
      <w:r>
        <w:rPr>
          <w:vertAlign w:val="baseline"/>
        </w:rPr>
        <w:t>day</w:t>
      </w:r>
      <w:r>
        <w:rPr>
          <w:spacing w:val="-4"/>
          <w:vertAlign w:val="baseline"/>
        </w:rPr>
        <w:t> </w:t>
      </w:r>
      <w:r>
        <w:rPr>
          <w:vertAlign w:val="baseline"/>
        </w:rPr>
        <w:t>is</w:t>
      </w:r>
      <w:r>
        <w:rPr>
          <w:spacing w:val="-4"/>
          <w:vertAlign w:val="baseline"/>
        </w:rPr>
        <w:t> </w:t>
      </w:r>
      <w:r>
        <w:rPr>
          <w:vertAlign w:val="baseline"/>
        </w:rPr>
        <w:t>also</w:t>
      </w:r>
      <w:r>
        <w:rPr>
          <w:spacing w:val="-4"/>
          <w:vertAlign w:val="baseline"/>
        </w:rPr>
        <w:t> </w:t>
      </w:r>
      <w:r>
        <w:rPr>
          <w:vertAlign w:val="baseline"/>
        </w:rPr>
        <w:t>effective,</w:t>
      </w:r>
      <w:r>
        <w:rPr>
          <w:spacing w:val="-4"/>
          <w:vertAlign w:val="baseline"/>
        </w:rPr>
        <w:t> </w:t>
      </w:r>
      <w:r>
        <w:rPr>
          <w:vertAlign w:val="baseline"/>
        </w:rPr>
        <w:t>with</w:t>
      </w:r>
      <w:r>
        <w:rPr>
          <w:spacing w:val="-4"/>
          <w:vertAlign w:val="baseline"/>
        </w:rPr>
        <w:t> </w:t>
      </w:r>
      <w:r>
        <w:rPr>
          <w:vertAlign w:val="baseline"/>
        </w:rPr>
        <w:t>long-term follow-up of 3 years demonstrating no endometrial hyperplasia.</w:t>
      </w:r>
      <w:r>
        <w:rPr>
          <w:vertAlign w:val="superscript"/>
        </w:rPr>
        <w:t>135</w:t>
      </w:r>
      <w:r>
        <w:rPr>
          <w:vertAlign w:val="baseline"/>
        </w:rPr>
        <w:t> More recently, results of a subanalysis of the Early versus Late Intervention Trial with Estradiol (ELITE) have raised concerns regarding the effectiveness of cyclic regimen of vaginal progesterone in adequately negating endometrial effects</w:t>
      </w:r>
      <w:r>
        <w:rPr>
          <w:spacing w:val="-3"/>
          <w:vertAlign w:val="baseline"/>
        </w:rPr>
        <w:t> </w:t>
      </w:r>
      <w:r>
        <w:rPr>
          <w:vertAlign w:val="baseline"/>
        </w:rPr>
        <w:t>of</w:t>
      </w:r>
      <w:r>
        <w:rPr>
          <w:spacing w:val="-3"/>
          <w:vertAlign w:val="baseline"/>
        </w:rPr>
        <w:t> </w:t>
      </w:r>
      <w:r>
        <w:rPr>
          <w:vertAlign w:val="baseline"/>
        </w:rPr>
        <w:t>estrogen</w:t>
      </w:r>
      <w:r>
        <w:rPr>
          <w:spacing w:val="-3"/>
          <w:vertAlign w:val="baseline"/>
        </w:rPr>
        <w:t> </w:t>
      </w:r>
      <w:r>
        <w:rPr>
          <w:vertAlign w:val="baseline"/>
        </w:rPr>
        <w:t>in</w:t>
      </w:r>
      <w:r>
        <w:rPr>
          <w:spacing w:val="-3"/>
          <w:vertAlign w:val="baseline"/>
        </w:rPr>
        <w:t> </w:t>
      </w:r>
      <w:r>
        <w:rPr>
          <w:vertAlign w:val="baseline"/>
        </w:rPr>
        <w:t>menopausal</w:t>
      </w:r>
      <w:r>
        <w:rPr>
          <w:spacing w:val="-3"/>
          <w:vertAlign w:val="baseline"/>
        </w:rPr>
        <w:t> </w:t>
      </w:r>
      <w:r>
        <w:rPr>
          <w:vertAlign w:val="baseline"/>
        </w:rPr>
        <w:t>women</w:t>
      </w:r>
      <w:r>
        <w:rPr>
          <w:spacing w:val="-3"/>
          <w:vertAlign w:val="baseline"/>
        </w:rPr>
        <w:t> </w:t>
      </w:r>
      <w:r>
        <w:rPr>
          <w:vertAlign w:val="baseline"/>
        </w:rPr>
        <w:t>on</w:t>
      </w:r>
      <w:r>
        <w:rPr>
          <w:spacing w:val="-3"/>
          <w:vertAlign w:val="baseline"/>
        </w:rPr>
        <w:t> </w:t>
      </w:r>
      <w:r>
        <w:rPr>
          <w:vertAlign w:val="baseline"/>
        </w:rPr>
        <w:t>cyclic</w:t>
      </w:r>
      <w:r>
        <w:rPr>
          <w:spacing w:val="-3"/>
          <w:vertAlign w:val="baseline"/>
        </w:rPr>
        <w:t> </w:t>
      </w:r>
      <w:r>
        <w:rPr>
          <w:vertAlign w:val="baseline"/>
        </w:rPr>
        <w:t>HT;</w:t>
      </w:r>
      <w:r>
        <w:rPr>
          <w:spacing w:val="-3"/>
          <w:vertAlign w:val="baseline"/>
        </w:rPr>
        <w:t> </w:t>
      </w:r>
      <w:r>
        <w:rPr>
          <w:vertAlign w:val="baseline"/>
        </w:rPr>
        <w:t>over</w:t>
      </w:r>
      <w:r>
        <w:rPr>
          <w:spacing w:val="-3"/>
          <w:vertAlign w:val="baseline"/>
        </w:rPr>
        <w:t> </w:t>
      </w:r>
      <w:r>
        <w:rPr>
          <w:vertAlign w:val="baseline"/>
        </w:rPr>
        <w:t>an</w:t>
      </w:r>
      <w:r>
        <w:rPr>
          <w:spacing w:val="-3"/>
          <w:vertAlign w:val="baseline"/>
        </w:rPr>
        <w:t> </w:t>
      </w:r>
      <w:r>
        <w:rPr>
          <w:vertAlign w:val="baseline"/>
        </w:rPr>
        <w:t>observation period of 80 months, those randomized to daily oral micronized 17β-E2 1 mg/d with 4% vaginal micronized progesterone gel 45 mg/d for 10 days each month were noted to have significantly increased endometrial thickness, higher rate of endometrial biopsies, and higher incidence of endometrial hyperplasia compared to those assigned to placebo.</w:t>
      </w:r>
      <w:r>
        <w:rPr>
          <w:vertAlign w:val="superscript"/>
        </w:rPr>
        <w:t>136</w:t>
      </w:r>
      <w:r>
        <w:rPr>
          <w:vertAlign w:val="baseline"/>
        </w:rPr>
        <w:t> Therefore, vigilance is advised if choosing a vaginal route for progesterone administration in conjunction with systemic estrogen for long-term use; in such cases, periodic endometrial surveillance utilizing ultrasound assessments and endometrial biopsy as indicated would serve well.</w:t>
      </w:r>
    </w:p>
    <w:p>
      <w:pPr>
        <w:pStyle w:val="BodyText"/>
        <w:spacing w:line="249" w:lineRule="auto" w:before="29"/>
        <w:ind w:right="106" w:firstLine="450"/>
      </w:pPr>
      <w:r>
        <w:rPr/>
        <w:t>The transdermal estrogen-progestin combinations incorporate NETA </w:t>
      </w:r>
      <w:r>
        <w:rPr/>
        <w:t>in a</w:t>
      </w:r>
      <w:r>
        <w:rPr>
          <w:spacing w:val="20"/>
        </w:rPr>
        <w:t> </w:t>
      </w:r>
      <w:r>
        <w:rPr/>
        <w:t>daily</w:t>
      </w:r>
      <w:r>
        <w:rPr>
          <w:spacing w:val="23"/>
        </w:rPr>
        <w:t> </w:t>
      </w:r>
      <w:r>
        <w:rPr/>
        <w:t>dose</w:t>
      </w:r>
      <w:r>
        <w:rPr>
          <w:spacing w:val="22"/>
        </w:rPr>
        <w:t> </w:t>
      </w:r>
      <w:r>
        <w:rPr/>
        <w:t>of</w:t>
      </w:r>
      <w:r>
        <w:rPr>
          <w:spacing w:val="23"/>
        </w:rPr>
        <w:t> </w:t>
      </w:r>
      <w:r>
        <w:rPr/>
        <w:t>0.140</w:t>
      </w:r>
      <w:r>
        <w:rPr>
          <w:spacing w:val="22"/>
        </w:rPr>
        <w:t> </w:t>
      </w:r>
      <w:r>
        <w:rPr/>
        <w:t>or</w:t>
      </w:r>
      <w:r>
        <w:rPr>
          <w:spacing w:val="23"/>
        </w:rPr>
        <w:t> </w:t>
      </w:r>
      <w:r>
        <w:rPr/>
        <w:t>0.250</w:t>
      </w:r>
      <w:r>
        <w:rPr>
          <w:spacing w:val="22"/>
        </w:rPr>
        <w:t> </w:t>
      </w:r>
      <w:r>
        <w:rPr/>
        <w:t>mg;</w:t>
      </w:r>
      <w:r>
        <w:rPr>
          <w:spacing w:val="23"/>
        </w:rPr>
        <w:t> </w:t>
      </w:r>
      <w:r>
        <w:rPr/>
        <w:t>or</w:t>
      </w:r>
      <w:r>
        <w:rPr>
          <w:spacing w:val="22"/>
        </w:rPr>
        <w:t> </w:t>
      </w:r>
      <w:r>
        <w:rPr/>
        <w:t>levonorgestrel</w:t>
      </w:r>
      <w:r>
        <w:rPr>
          <w:spacing w:val="23"/>
        </w:rPr>
        <w:t> </w:t>
      </w:r>
      <w:r>
        <w:rPr/>
        <w:t>(LNG)</w:t>
      </w:r>
      <w:r>
        <w:rPr>
          <w:spacing w:val="22"/>
        </w:rPr>
        <w:t> </w:t>
      </w:r>
      <w:r>
        <w:rPr/>
        <w:t>in</w:t>
      </w:r>
      <w:r>
        <w:rPr>
          <w:spacing w:val="23"/>
        </w:rPr>
        <w:t> </w:t>
      </w:r>
      <w:r>
        <w:rPr/>
        <w:t>daily</w:t>
      </w:r>
      <w:r>
        <w:rPr>
          <w:spacing w:val="23"/>
        </w:rPr>
        <w:t> </w:t>
      </w:r>
      <w:r>
        <w:rPr>
          <w:spacing w:val="-2"/>
        </w:rPr>
        <w:t>doses</w:t>
      </w:r>
    </w:p>
    <w:p>
      <w:pPr>
        <w:pStyle w:val="BodyText"/>
        <w:spacing w:after="0" w:line="249" w:lineRule="auto"/>
        <w:sectPr>
          <w:pgSz w:w="12240" w:h="15840"/>
          <w:pgMar w:top="1380" w:bottom="280" w:left="1440" w:right="1440"/>
        </w:sectPr>
      </w:pPr>
    </w:p>
    <w:p>
      <w:pPr>
        <w:pStyle w:val="BodyText"/>
        <w:spacing w:line="249" w:lineRule="auto"/>
        <w:ind w:right="106"/>
      </w:pPr>
      <w:r>
        <w:rPr/>
        <w:t>of 0.007, 0.015, 0.030, and 0.040 mg/d; and, in a sequential </w:t>
      </w:r>
      <w:r>
        <w:rPr/>
        <w:t>regimen, NETA, 0.250 mg, or LNG, 0.010 mg.</w:t>
      </w:r>
      <w:r>
        <w:rPr>
          <w:vertAlign w:val="superscript"/>
        </w:rPr>
        <w:t>137-139</w:t>
      </w:r>
    </w:p>
    <w:p>
      <w:pPr>
        <w:spacing w:before="301"/>
        <w:ind w:left="99" w:right="0" w:firstLine="0"/>
        <w:jc w:val="both"/>
        <w:rPr>
          <w:rFonts w:ascii="Arial"/>
          <w:b/>
          <w:i/>
          <w:sz w:val="22"/>
        </w:rPr>
      </w:pPr>
      <w:r>
        <w:rPr>
          <w:rFonts w:ascii="Arial"/>
          <w:b/>
          <w:i/>
          <w:color w:val="A0234E"/>
          <w:sz w:val="22"/>
        </w:rPr>
        <w:t>Infrequent</w:t>
      </w:r>
      <w:r>
        <w:rPr>
          <w:rFonts w:ascii="Arial"/>
          <w:b/>
          <w:i/>
          <w:color w:val="A0234E"/>
          <w:spacing w:val="22"/>
          <w:sz w:val="22"/>
        </w:rPr>
        <w:t> </w:t>
      </w:r>
      <w:r>
        <w:rPr>
          <w:rFonts w:ascii="Arial"/>
          <w:b/>
          <w:i/>
          <w:color w:val="A0234E"/>
          <w:sz w:val="22"/>
        </w:rPr>
        <w:t>Progestational</w:t>
      </w:r>
      <w:r>
        <w:rPr>
          <w:rFonts w:ascii="Arial"/>
          <w:b/>
          <w:i/>
          <w:color w:val="A0234E"/>
          <w:spacing w:val="22"/>
          <w:sz w:val="22"/>
        </w:rPr>
        <w:t> </w:t>
      </w:r>
      <w:r>
        <w:rPr>
          <w:rFonts w:ascii="Arial"/>
          <w:b/>
          <w:i/>
          <w:color w:val="A0234E"/>
          <w:sz w:val="22"/>
        </w:rPr>
        <w:t>Exposure:</w:t>
      </w:r>
      <w:r>
        <w:rPr>
          <w:rFonts w:ascii="Arial"/>
          <w:b/>
          <w:i/>
          <w:color w:val="A0234E"/>
          <w:spacing w:val="22"/>
          <w:sz w:val="22"/>
        </w:rPr>
        <w:t> </w:t>
      </w:r>
      <w:r>
        <w:rPr>
          <w:rFonts w:ascii="Arial"/>
          <w:b/>
          <w:i/>
          <w:color w:val="A0234E"/>
          <w:sz w:val="22"/>
        </w:rPr>
        <w:t>Long</w:t>
      </w:r>
      <w:r>
        <w:rPr>
          <w:rFonts w:ascii="Arial"/>
          <w:b/>
          <w:i/>
          <w:color w:val="A0234E"/>
          <w:spacing w:val="23"/>
          <w:sz w:val="22"/>
        </w:rPr>
        <w:t> </w:t>
      </w:r>
      <w:r>
        <w:rPr>
          <w:rFonts w:ascii="Arial"/>
          <w:b/>
          <w:i/>
          <w:color w:val="A0234E"/>
          <w:sz w:val="22"/>
        </w:rPr>
        <w:t>Sequential</w:t>
      </w:r>
      <w:r>
        <w:rPr>
          <w:rFonts w:ascii="Arial"/>
          <w:b/>
          <w:i/>
          <w:color w:val="A0234E"/>
          <w:spacing w:val="22"/>
          <w:sz w:val="22"/>
        </w:rPr>
        <w:t> </w:t>
      </w:r>
      <w:r>
        <w:rPr>
          <w:rFonts w:ascii="Arial"/>
          <w:b/>
          <w:i/>
          <w:color w:val="A0234E"/>
          <w:spacing w:val="-2"/>
          <w:sz w:val="22"/>
        </w:rPr>
        <w:t>Regimens</w:t>
      </w:r>
    </w:p>
    <w:p>
      <w:pPr>
        <w:pStyle w:val="BodyText"/>
        <w:spacing w:line="249" w:lineRule="auto" w:before="123"/>
        <w:ind w:right="99"/>
        <w:rPr>
          <w:b/>
        </w:rPr>
      </w:pPr>
      <w:r>
        <w:rPr/>
        <w:t>Such</w:t>
      </w:r>
      <w:r>
        <w:rPr>
          <w:spacing w:val="-3"/>
        </w:rPr>
        <w:t> </w:t>
      </w:r>
      <w:r>
        <w:rPr/>
        <w:t>regimens</w:t>
      </w:r>
      <w:r>
        <w:rPr>
          <w:spacing w:val="-3"/>
        </w:rPr>
        <w:t> </w:t>
      </w:r>
      <w:r>
        <w:rPr/>
        <w:t>are</w:t>
      </w:r>
      <w:r>
        <w:rPr>
          <w:spacing w:val="-3"/>
        </w:rPr>
        <w:t> </w:t>
      </w:r>
      <w:r>
        <w:rPr/>
        <w:t>increasingly</w:t>
      </w:r>
      <w:r>
        <w:rPr>
          <w:spacing w:val="-3"/>
        </w:rPr>
        <w:t> </w:t>
      </w:r>
      <w:r>
        <w:rPr/>
        <w:t>being</w:t>
      </w:r>
      <w:r>
        <w:rPr>
          <w:spacing w:val="-3"/>
        </w:rPr>
        <w:t> </w:t>
      </w:r>
      <w:r>
        <w:rPr/>
        <w:t>considered,</w:t>
      </w:r>
      <w:r>
        <w:rPr>
          <w:spacing w:val="-3"/>
        </w:rPr>
        <w:t> </w:t>
      </w:r>
      <w:r>
        <w:rPr/>
        <w:t>either</w:t>
      </w:r>
      <w:r>
        <w:rPr>
          <w:spacing w:val="-3"/>
        </w:rPr>
        <w:t> </w:t>
      </w:r>
      <w:r>
        <w:rPr/>
        <w:t>for</w:t>
      </w:r>
      <w:r>
        <w:rPr>
          <w:spacing w:val="-3"/>
        </w:rPr>
        <w:t> </w:t>
      </w:r>
      <w:r>
        <w:rPr/>
        <w:t>the</w:t>
      </w:r>
      <w:r>
        <w:rPr>
          <w:spacing w:val="-3"/>
        </w:rPr>
        <w:t> </w:t>
      </w:r>
      <w:r>
        <w:rPr/>
        <w:t>convenience of lesser frequency of withdrawal bleeding episodes associated with cyclic progesterone use or for those wishing to minimize progestin exposure duration. Experience with extended-cycle regimens, however, is very limited. The administration of MPA every 3 months was associated in one study with longer, heavier menses and unscheduled bleeding and a 1.5% incidence of hyperplasia at 1 year, whereas in another study, overall bleeding was less, but the incidence of hyperplasia was approximately 4%.</w:t>
      </w:r>
      <w:r>
        <w:rPr>
          <w:vertAlign w:val="superscript"/>
        </w:rPr>
        <w:t>140,141</w:t>
      </w:r>
      <w:r>
        <w:rPr>
          <w:vertAlign w:val="baseline"/>
        </w:rPr>
        <w:t> In a Dutch study that was only 12 weeks in length, </w:t>
      </w:r>
      <w:r>
        <w:rPr>
          <w:vertAlign w:val="baseline"/>
        </w:rPr>
        <w:t>simple endometrial hyperplasia was encountered at the end of the unopposed estrogen phase.</w:t>
      </w:r>
      <w:r>
        <w:rPr>
          <w:vertAlign w:val="superscript"/>
        </w:rPr>
        <w:t>142,143</w:t>
      </w:r>
      <w:r>
        <w:rPr>
          <w:vertAlign w:val="baseline"/>
        </w:rPr>
        <w:t> In yet another study, there was no endometrial hyperplasia encountered by 143 women who completed 2 years of treatment; however, the progestin administered every 3 months was of high dosage, 20 mg MPA daily for 14 days.</w:t>
      </w:r>
      <w:r>
        <w:rPr>
          <w:vertAlign w:val="superscript"/>
        </w:rPr>
        <w:t>144</w:t>
      </w:r>
      <w:r>
        <w:rPr>
          <w:vertAlign w:val="baseline"/>
        </w:rPr>
        <w:t> In Finland, the addition of progestin at 3-month intervals was associated with a striking increase in the risk of endometrial cancer when this regimen was used for many years.</w:t>
      </w:r>
      <w:r>
        <w:rPr>
          <w:vertAlign w:val="superscript"/>
        </w:rPr>
        <w:t>145</w:t>
      </w:r>
      <w:r>
        <w:rPr>
          <w:vertAlign w:val="baseline"/>
        </w:rPr>
        <w:t> Most impressively, the Scandinavian Long Cycle Study, a clinical trial scheduled to last 5 years, was canceled after 3 years because of a 12.5% incidence of endometrial pathology and one case of endometrial cancer.</w:t>
      </w:r>
      <w:r>
        <w:rPr>
          <w:vertAlign w:val="superscript"/>
        </w:rPr>
        <w:t>117,146</w:t>
      </w:r>
      <w:r>
        <w:rPr>
          <w:vertAlign w:val="baseline"/>
        </w:rPr>
        <w:t> Given the lack of long-term data on safety of extended regimens, if a patient chooses such an approach, endometrial monitoring is advised. </w:t>
      </w:r>
      <w:r>
        <w:rPr>
          <w:b/>
          <w:vertAlign w:val="baseline"/>
        </w:rPr>
        <w:t>Any program that differs from the standard regimen should consider periodic surveillance of the endometrium </w:t>
      </w:r>
      <w:r>
        <w:rPr>
          <w:vertAlign w:val="baseline"/>
        </w:rPr>
        <w:t>(</w:t>
      </w:r>
      <w:r>
        <w:rPr>
          <w:b/>
          <w:vertAlign w:val="baseline"/>
        </w:rPr>
        <w:t>as discussed earlier in this chapter</w:t>
      </w:r>
      <w:r>
        <w:rPr>
          <w:vertAlign w:val="baseline"/>
        </w:rPr>
        <w:t>)</w:t>
      </w:r>
      <w:r>
        <w:rPr>
          <w:b/>
          <w:vertAlign w:val="baseline"/>
        </w:rPr>
        <w:t>. Even the long-term use of standard sequential regimens is subject to a small increase in the risk for endometrial cancer, and endometrial surveillance should be considered in women using this method.</w:t>
      </w:r>
    </w:p>
    <w:p>
      <w:pPr>
        <w:spacing w:line="249" w:lineRule="auto" w:before="33"/>
        <w:ind w:left="99" w:right="102" w:firstLine="450"/>
        <w:jc w:val="both"/>
        <w:rPr>
          <w:b/>
          <w:sz w:val="30"/>
        </w:rPr>
      </w:pPr>
      <w:r>
        <w:rPr>
          <w:b/>
          <w:sz w:val="30"/>
        </w:rPr>
        <w:t>We caution against long regimens in women who may be at an innately higher risk for endometrial hyperplasia and cancer, such </w:t>
      </w:r>
      <w:r>
        <w:rPr>
          <w:b/>
          <w:sz w:val="30"/>
        </w:rPr>
        <w:t>as those</w:t>
      </w:r>
      <w:r>
        <w:rPr>
          <w:b/>
          <w:spacing w:val="-1"/>
          <w:sz w:val="30"/>
        </w:rPr>
        <w:t> </w:t>
      </w:r>
      <w:r>
        <w:rPr>
          <w:b/>
          <w:sz w:val="30"/>
        </w:rPr>
        <w:t>with</w:t>
      </w:r>
      <w:r>
        <w:rPr>
          <w:b/>
          <w:spacing w:val="-1"/>
          <w:sz w:val="30"/>
        </w:rPr>
        <w:t> </w:t>
      </w:r>
      <w:r>
        <w:rPr>
          <w:b/>
          <w:sz w:val="30"/>
        </w:rPr>
        <w:t>a</w:t>
      </w:r>
      <w:r>
        <w:rPr>
          <w:b/>
          <w:spacing w:val="-1"/>
          <w:sz w:val="30"/>
        </w:rPr>
        <w:t> </w:t>
      </w:r>
      <w:r>
        <w:rPr>
          <w:b/>
          <w:sz w:val="30"/>
        </w:rPr>
        <w:t>personal</w:t>
      </w:r>
      <w:r>
        <w:rPr>
          <w:b/>
          <w:spacing w:val="-1"/>
          <w:sz w:val="30"/>
        </w:rPr>
        <w:t> </w:t>
      </w:r>
      <w:r>
        <w:rPr>
          <w:b/>
          <w:sz w:val="30"/>
        </w:rPr>
        <w:t>history</w:t>
      </w:r>
      <w:r>
        <w:rPr>
          <w:b/>
          <w:spacing w:val="-1"/>
          <w:sz w:val="30"/>
        </w:rPr>
        <w:t> </w:t>
      </w:r>
      <w:r>
        <w:rPr>
          <w:b/>
          <w:sz w:val="30"/>
        </w:rPr>
        <w:t>of</w:t>
      </w:r>
      <w:r>
        <w:rPr>
          <w:b/>
          <w:spacing w:val="-1"/>
          <w:sz w:val="30"/>
        </w:rPr>
        <w:t> </w:t>
      </w:r>
      <w:r>
        <w:rPr>
          <w:b/>
          <w:sz w:val="30"/>
        </w:rPr>
        <w:t>endometrial</w:t>
      </w:r>
      <w:r>
        <w:rPr>
          <w:b/>
          <w:spacing w:val="-1"/>
          <w:sz w:val="30"/>
        </w:rPr>
        <w:t> </w:t>
      </w:r>
      <w:r>
        <w:rPr>
          <w:b/>
          <w:sz w:val="30"/>
        </w:rPr>
        <w:t>hyperplasia,</w:t>
      </w:r>
      <w:r>
        <w:rPr>
          <w:b/>
          <w:spacing w:val="-1"/>
          <w:sz w:val="30"/>
        </w:rPr>
        <w:t> </w:t>
      </w:r>
      <w:r>
        <w:rPr>
          <w:b/>
          <w:sz w:val="30"/>
        </w:rPr>
        <w:t>those</w:t>
      </w:r>
      <w:r>
        <w:rPr>
          <w:b/>
          <w:spacing w:val="-1"/>
          <w:sz w:val="30"/>
        </w:rPr>
        <w:t> </w:t>
      </w:r>
      <w:r>
        <w:rPr>
          <w:b/>
          <w:sz w:val="30"/>
        </w:rPr>
        <w:t>who</w:t>
      </w:r>
      <w:r>
        <w:rPr>
          <w:b/>
          <w:spacing w:val="-1"/>
          <w:sz w:val="30"/>
        </w:rPr>
        <w:t> </w:t>
      </w:r>
      <w:r>
        <w:rPr>
          <w:b/>
          <w:sz w:val="30"/>
        </w:rPr>
        <w:t>are obese, those who are insulin-resistant, and women who are diabetic.</w:t>
      </w:r>
    </w:p>
    <w:p>
      <w:pPr>
        <w:spacing w:after="0" w:line="249" w:lineRule="auto"/>
        <w:jc w:val="both"/>
        <w:rPr>
          <w:b/>
          <w:sz w:val="30"/>
        </w:rPr>
        <w:sectPr>
          <w:pgSz w:w="12240" w:h="15840"/>
          <w:pgMar w:top="1380" w:bottom="280" w:left="1440" w:right="1440"/>
        </w:sectPr>
      </w:pPr>
    </w:p>
    <w:p>
      <w:pPr>
        <w:spacing w:before="83"/>
        <w:ind w:left="99" w:right="0" w:firstLine="0"/>
        <w:jc w:val="both"/>
        <w:rPr>
          <w:rFonts w:ascii="Arial"/>
          <w:b/>
          <w:i/>
          <w:sz w:val="22"/>
        </w:rPr>
      </w:pPr>
      <w:r>
        <w:rPr>
          <w:rFonts w:ascii="Arial"/>
          <w:b/>
          <w:i/>
          <w:color w:val="A0234E"/>
          <w:sz w:val="22"/>
        </w:rPr>
        <w:t>The</w:t>
      </w:r>
      <w:r>
        <w:rPr>
          <w:rFonts w:ascii="Arial"/>
          <w:b/>
          <w:i/>
          <w:color w:val="A0234E"/>
          <w:spacing w:val="18"/>
          <w:sz w:val="22"/>
        </w:rPr>
        <w:t> </w:t>
      </w:r>
      <w:r>
        <w:rPr>
          <w:rFonts w:ascii="Arial"/>
          <w:b/>
          <w:i/>
          <w:color w:val="A0234E"/>
          <w:sz w:val="22"/>
        </w:rPr>
        <w:t>Progestin</w:t>
      </w:r>
      <w:r>
        <w:rPr>
          <w:rFonts w:ascii="Arial"/>
          <w:b/>
          <w:i/>
          <w:color w:val="A0234E"/>
          <w:spacing w:val="18"/>
          <w:sz w:val="22"/>
        </w:rPr>
        <w:t> </w:t>
      </w:r>
      <w:r>
        <w:rPr>
          <w:rFonts w:ascii="Arial"/>
          <w:b/>
          <w:i/>
          <w:color w:val="A0234E"/>
          <w:sz w:val="22"/>
        </w:rPr>
        <w:t>Intrauterine</w:t>
      </w:r>
      <w:r>
        <w:rPr>
          <w:rFonts w:ascii="Arial"/>
          <w:b/>
          <w:i/>
          <w:color w:val="A0234E"/>
          <w:spacing w:val="19"/>
          <w:sz w:val="22"/>
        </w:rPr>
        <w:t> </w:t>
      </w:r>
      <w:r>
        <w:rPr>
          <w:rFonts w:ascii="Arial"/>
          <w:b/>
          <w:i/>
          <w:color w:val="A0234E"/>
          <w:spacing w:val="-2"/>
          <w:sz w:val="22"/>
        </w:rPr>
        <w:t>Device</w:t>
      </w:r>
    </w:p>
    <w:p>
      <w:pPr>
        <w:pStyle w:val="BodyText"/>
        <w:spacing w:line="249" w:lineRule="auto" w:before="139"/>
        <w:ind w:right="99"/>
      </w:pPr>
      <w:r>
        <w:rPr/>
        <w:t>The LNG-releasing intrauterine devices (IUDs) are increasingly being used in estrogen-taking postmenopausal women to confer endometrial protection.</w:t>
      </w:r>
      <w:r>
        <w:rPr>
          <w:vertAlign w:val="superscript"/>
        </w:rPr>
        <w:t>147-151</w:t>
      </w:r>
      <w:r>
        <w:rPr>
          <w:vertAlign w:val="baseline"/>
        </w:rPr>
        <w:t> The intrauterine presence of the progestin effectively protects</w:t>
      </w:r>
      <w:r>
        <w:rPr>
          <w:spacing w:val="-7"/>
          <w:vertAlign w:val="baseline"/>
        </w:rPr>
        <w:t> </w:t>
      </w:r>
      <w:r>
        <w:rPr>
          <w:vertAlign w:val="baseline"/>
        </w:rPr>
        <w:t>the</w:t>
      </w:r>
      <w:r>
        <w:rPr>
          <w:spacing w:val="-7"/>
          <w:vertAlign w:val="baseline"/>
        </w:rPr>
        <w:t> </w:t>
      </w:r>
      <w:r>
        <w:rPr>
          <w:vertAlign w:val="baseline"/>
        </w:rPr>
        <w:t>endometrium</w:t>
      </w:r>
      <w:r>
        <w:rPr>
          <w:spacing w:val="-7"/>
          <w:vertAlign w:val="baseline"/>
        </w:rPr>
        <w:t> </w:t>
      </w:r>
      <w:r>
        <w:rPr>
          <w:vertAlign w:val="baseline"/>
        </w:rPr>
        <w:t>against</w:t>
      </w:r>
      <w:r>
        <w:rPr>
          <w:spacing w:val="-7"/>
          <w:vertAlign w:val="baseline"/>
        </w:rPr>
        <w:t> </w:t>
      </w:r>
      <w:r>
        <w:rPr>
          <w:vertAlign w:val="baseline"/>
        </w:rPr>
        <w:t>hyperplasia</w:t>
      </w:r>
      <w:r>
        <w:rPr>
          <w:spacing w:val="-7"/>
          <w:vertAlign w:val="baseline"/>
        </w:rPr>
        <w:t> </w:t>
      </w:r>
      <w:r>
        <w:rPr>
          <w:vertAlign w:val="baseline"/>
        </w:rPr>
        <w:t>and</w:t>
      </w:r>
      <w:r>
        <w:rPr>
          <w:spacing w:val="-7"/>
          <w:vertAlign w:val="baseline"/>
        </w:rPr>
        <w:t> </w:t>
      </w:r>
      <w:r>
        <w:rPr>
          <w:vertAlign w:val="baseline"/>
        </w:rPr>
        <w:t>cancer.</w:t>
      </w:r>
      <w:r>
        <w:rPr>
          <w:vertAlign w:val="superscript"/>
        </w:rPr>
        <w:t>152</w:t>
      </w:r>
      <w:r>
        <w:rPr>
          <w:spacing w:val="-8"/>
          <w:vertAlign w:val="baseline"/>
        </w:rPr>
        <w:t> </w:t>
      </w:r>
      <w:r>
        <w:rPr>
          <w:vertAlign w:val="baseline"/>
        </w:rPr>
        <w:t>The</w:t>
      </w:r>
      <w:r>
        <w:rPr>
          <w:spacing w:val="-7"/>
          <w:vertAlign w:val="baseline"/>
        </w:rPr>
        <w:t> </w:t>
      </w:r>
      <w:r>
        <w:rPr>
          <w:vertAlign w:val="baseline"/>
        </w:rPr>
        <w:t>local</w:t>
      </w:r>
      <w:r>
        <w:rPr>
          <w:spacing w:val="-7"/>
          <w:vertAlign w:val="baseline"/>
        </w:rPr>
        <w:t> </w:t>
      </w:r>
      <w:r>
        <w:rPr>
          <w:vertAlign w:val="baseline"/>
        </w:rPr>
        <w:t>site</w:t>
      </w:r>
      <w:r>
        <w:rPr>
          <w:spacing w:val="-7"/>
          <w:vertAlign w:val="baseline"/>
        </w:rPr>
        <w:t> </w:t>
      </w:r>
      <w:r>
        <w:rPr>
          <w:vertAlign w:val="baseline"/>
        </w:rPr>
        <w:t>of action</w:t>
      </w:r>
      <w:r>
        <w:rPr>
          <w:spacing w:val="-5"/>
          <w:vertAlign w:val="baseline"/>
        </w:rPr>
        <w:t> </w:t>
      </w:r>
      <w:r>
        <w:rPr>
          <w:vertAlign w:val="baseline"/>
        </w:rPr>
        <w:t>provides</w:t>
      </w:r>
      <w:r>
        <w:rPr>
          <w:spacing w:val="-5"/>
          <w:vertAlign w:val="baseline"/>
        </w:rPr>
        <w:t> </w:t>
      </w:r>
      <w:r>
        <w:rPr>
          <w:vertAlign w:val="baseline"/>
        </w:rPr>
        <w:t>endometrial</w:t>
      </w:r>
      <w:r>
        <w:rPr>
          <w:spacing w:val="-5"/>
          <w:vertAlign w:val="baseline"/>
        </w:rPr>
        <w:t> </w:t>
      </w:r>
      <w:r>
        <w:rPr>
          <w:vertAlign w:val="baseline"/>
        </w:rPr>
        <w:t>protection</w:t>
      </w:r>
      <w:r>
        <w:rPr>
          <w:spacing w:val="-5"/>
          <w:vertAlign w:val="baseline"/>
        </w:rPr>
        <w:t> </w:t>
      </w:r>
      <w:r>
        <w:rPr>
          <w:vertAlign w:val="baseline"/>
        </w:rPr>
        <w:t>while</w:t>
      </w:r>
      <w:r>
        <w:rPr>
          <w:spacing w:val="-5"/>
          <w:vertAlign w:val="baseline"/>
        </w:rPr>
        <w:t> </w:t>
      </w:r>
      <w:r>
        <w:rPr>
          <w:vertAlign w:val="baseline"/>
        </w:rPr>
        <w:t>minimizing</w:t>
      </w:r>
      <w:r>
        <w:rPr>
          <w:spacing w:val="-5"/>
          <w:vertAlign w:val="baseline"/>
        </w:rPr>
        <w:t> </w:t>
      </w:r>
      <w:r>
        <w:rPr>
          <w:vertAlign w:val="baseline"/>
        </w:rPr>
        <w:t>systemic</w:t>
      </w:r>
      <w:r>
        <w:rPr>
          <w:spacing w:val="-5"/>
          <w:vertAlign w:val="baseline"/>
        </w:rPr>
        <w:t> </w:t>
      </w:r>
      <w:r>
        <w:rPr>
          <w:vertAlign w:val="baseline"/>
        </w:rPr>
        <w:t>progestin side effects; for example, estrogen’s favorable lipid effects are not attenuated with intrauterine progestin.</w:t>
      </w:r>
      <w:r>
        <w:rPr>
          <w:vertAlign w:val="superscript"/>
        </w:rPr>
        <w:t>153</w:t>
      </w:r>
      <w:r>
        <w:rPr>
          <w:vertAlign w:val="baseline"/>
        </w:rPr>
        <w:t> As with the oral continuous, combined regimens, irregular breakthrough bleeding may occur in the first</w:t>
      </w:r>
      <w:r>
        <w:rPr>
          <w:spacing w:val="40"/>
          <w:vertAlign w:val="baseline"/>
        </w:rPr>
        <w:t> </w:t>
      </w:r>
      <w:r>
        <w:rPr>
          <w:vertAlign w:val="baseline"/>
        </w:rPr>
        <w:t>6 months, and after 1 year, approximately 60% to 70% of the women are amenorrheic.</w:t>
      </w:r>
      <w:r>
        <w:rPr>
          <w:spacing w:val="-3"/>
          <w:vertAlign w:val="baseline"/>
        </w:rPr>
        <w:t> </w:t>
      </w:r>
      <w:r>
        <w:rPr>
          <w:vertAlign w:val="baseline"/>
        </w:rPr>
        <w:t>The LNG system has the advantage of a 5- to 7-year duration of use. These methods provide treatment options that minimize</w:t>
      </w:r>
      <w:r>
        <w:rPr>
          <w:spacing w:val="40"/>
          <w:vertAlign w:val="baseline"/>
        </w:rPr>
        <w:t> </w:t>
      </w:r>
      <w:r>
        <w:rPr>
          <w:vertAlign w:val="baseline"/>
        </w:rPr>
        <w:t>substantially the systemic effects of progestins.</w:t>
      </w:r>
    </w:p>
    <w:p>
      <w:pPr>
        <w:spacing w:before="298"/>
        <w:ind w:left="99" w:right="0" w:firstLine="0"/>
        <w:jc w:val="both"/>
        <w:rPr>
          <w:rFonts w:ascii="Arial"/>
          <w:b/>
          <w:i/>
          <w:sz w:val="22"/>
        </w:rPr>
      </w:pPr>
      <w:r>
        <w:rPr>
          <w:rFonts w:ascii="Arial"/>
          <w:b/>
          <w:i/>
          <w:color w:val="A0234E"/>
          <w:sz w:val="22"/>
        </w:rPr>
        <w:t>Special</w:t>
      </w:r>
      <w:r>
        <w:rPr>
          <w:rFonts w:ascii="Arial"/>
          <w:b/>
          <w:i/>
          <w:color w:val="A0234E"/>
          <w:spacing w:val="19"/>
          <w:sz w:val="22"/>
        </w:rPr>
        <w:t> </w:t>
      </w:r>
      <w:r>
        <w:rPr>
          <w:rFonts w:ascii="Arial"/>
          <w:b/>
          <w:i/>
          <w:color w:val="A0234E"/>
          <w:sz w:val="22"/>
        </w:rPr>
        <w:t>Considerations</w:t>
      </w:r>
      <w:r>
        <w:rPr>
          <w:rFonts w:ascii="Arial"/>
          <w:b/>
          <w:i/>
          <w:color w:val="A0234E"/>
          <w:spacing w:val="19"/>
          <w:sz w:val="22"/>
        </w:rPr>
        <w:t> </w:t>
      </w:r>
      <w:r>
        <w:rPr>
          <w:rFonts w:ascii="Arial"/>
          <w:b/>
          <w:i/>
          <w:color w:val="A0234E"/>
          <w:sz w:val="22"/>
        </w:rPr>
        <w:t>for</w:t>
      </w:r>
      <w:r>
        <w:rPr>
          <w:rFonts w:ascii="Arial"/>
          <w:b/>
          <w:i/>
          <w:color w:val="A0234E"/>
          <w:spacing w:val="20"/>
          <w:sz w:val="22"/>
        </w:rPr>
        <w:t> </w:t>
      </w:r>
      <w:r>
        <w:rPr>
          <w:rFonts w:ascii="Arial"/>
          <w:b/>
          <w:i/>
          <w:color w:val="A0234E"/>
          <w:sz w:val="22"/>
        </w:rPr>
        <w:t>Progestin</w:t>
      </w:r>
      <w:r>
        <w:rPr>
          <w:rFonts w:ascii="Arial"/>
          <w:b/>
          <w:i/>
          <w:color w:val="A0234E"/>
          <w:spacing w:val="19"/>
          <w:sz w:val="22"/>
        </w:rPr>
        <w:t> </w:t>
      </w:r>
      <w:r>
        <w:rPr>
          <w:rFonts w:ascii="Arial"/>
          <w:b/>
          <w:i/>
          <w:color w:val="A0234E"/>
          <w:spacing w:val="-5"/>
          <w:sz w:val="22"/>
        </w:rPr>
        <w:t>Use</w:t>
      </w:r>
    </w:p>
    <w:p>
      <w:pPr>
        <w:pStyle w:val="BodyText"/>
        <w:spacing w:line="249" w:lineRule="auto" w:before="138"/>
        <w:ind w:right="99"/>
      </w:pPr>
      <w:r>
        <w:rPr/>
        <w:t>Inclusion of a progestational agent in menopausal HT regimen is exclusively for endometrial benefit. Thus, the use of estrogen-alone hormone formulations reflects the standard of clinical care in </w:t>
      </w:r>
      <w:r>
        <w:rPr/>
        <w:t>managing menopausal</w:t>
      </w:r>
      <w:r>
        <w:rPr>
          <w:spacing w:val="-5"/>
        </w:rPr>
        <w:t> </w:t>
      </w:r>
      <w:r>
        <w:rPr/>
        <w:t>symptoms</w:t>
      </w:r>
      <w:r>
        <w:rPr>
          <w:spacing w:val="-5"/>
        </w:rPr>
        <w:t> </w:t>
      </w:r>
      <w:r>
        <w:rPr/>
        <w:t>in</w:t>
      </w:r>
      <w:r>
        <w:rPr>
          <w:spacing w:val="-5"/>
        </w:rPr>
        <w:t> </w:t>
      </w:r>
      <w:r>
        <w:rPr/>
        <w:t>women</w:t>
      </w:r>
      <w:r>
        <w:rPr>
          <w:spacing w:val="-5"/>
        </w:rPr>
        <w:t> </w:t>
      </w:r>
      <w:r>
        <w:rPr/>
        <w:t>without</w:t>
      </w:r>
      <w:r>
        <w:rPr>
          <w:spacing w:val="-5"/>
        </w:rPr>
        <w:t> </w:t>
      </w:r>
      <w:r>
        <w:rPr/>
        <w:t>a</w:t>
      </w:r>
      <w:r>
        <w:rPr>
          <w:spacing w:val="-5"/>
        </w:rPr>
        <w:t> </w:t>
      </w:r>
      <w:r>
        <w:rPr/>
        <w:t>uterus.</w:t>
      </w:r>
      <w:r>
        <w:rPr>
          <w:spacing w:val="-6"/>
        </w:rPr>
        <w:t> </w:t>
      </w:r>
      <w:r>
        <w:rPr/>
        <w:t>However,</w:t>
      </w:r>
      <w:r>
        <w:rPr>
          <w:spacing w:val="-5"/>
        </w:rPr>
        <w:t> </w:t>
      </w:r>
      <w:r>
        <w:rPr/>
        <w:t>there</w:t>
      </w:r>
      <w:r>
        <w:rPr>
          <w:spacing w:val="-5"/>
        </w:rPr>
        <w:t> </w:t>
      </w:r>
      <w:r>
        <w:rPr/>
        <w:t>are</w:t>
      </w:r>
      <w:r>
        <w:rPr>
          <w:spacing w:val="-5"/>
        </w:rPr>
        <w:t> </w:t>
      </w:r>
      <w:r>
        <w:rPr/>
        <w:t>some special conditions that warrant consideration of a combined estrogen-progestin regimen even in hysterectomized women.</w:t>
      </w:r>
    </w:p>
    <w:p>
      <w:pPr>
        <w:pStyle w:val="BodyText"/>
        <w:spacing w:before="0"/>
        <w:ind w:left="0"/>
        <w:jc w:val="left"/>
        <w:rPr>
          <w:sz w:val="20"/>
        </w:rPr>
      </w:pPr>
    </w:p>
    <w:p>
      <w:pPr>
        <w:pStyle w:val="BodyText"/>
        <w:spacing w:before="119"/>
        <w:ind w:left="0"/>
        <w:jc w:val="left"/>
        <w:rPr>
          <w:sz w:val="20"/>
        </w:rPr>
      </w:pPr>
      <w:r>
        <w:rPr>
          <w:sz w:val="20"/>
        </w:rPr>
        <mc:AlternateContent>
          <mc:Choice Requires="wps">
            <w:drawing>
              <wp:anchor distT="0" distB="0" distL="0" distR="0" allowOverlap="1" layoutInCell="1" locked="0" behindDoc="1" simplePos="0" relativeHeight="487627776">
                <wp:simplePos x="0" y="0"/>
                <wp:positionH relativeFrom="page">
                  <wp:posOffset>981074</wp:posOffset>
                </wp:positionH>
                <wp:positionV relativeFrom="paragraph">
                  <wp:posOffset>236842</wp:posOffset>
                </wp:positionV>
                <wp:extent cx="5810250" cy="305752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810250" cy="3057525"/>
                          <a:chExt cx="5810250" cy="3057525"/>
                        </a:xfrm>
                      </wpg:grpSpPr>
                      <wps:wsp>
                        <wps:cNvPr id="120" name="Graphic 12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121" name="Graphic 121"/>
                        <wps:cNvSpPr/>
                        <wps:spPr>
                          <a:xfrm>
                            <a:off x="0" y="742949"/>
                            <a:ext cx="5810250" cy="2314575"/>
                          </a:xfrm>
                          <a:custGeom>
                            <a:avLst/>
                            <a:gdLst/>
                            <a:ahLst/>
                            <a:cxnLst/>
                            <a:rect l="l" t="t" r="r" b="b"/>
                            <a:pathLst>
                              <a:path w="5810250" h="2314575">
                                <a:moveTo>
                                  <a:pt x="0" y="2314580"/>
                                </a:moveTo>
                                <a:lnTo>
                                  <a:pt x="5810249" y="2314580"/>
                                </a:lnTo>
                                <a:lnTo>
                                  <a:pt x="5810249" y="0"/>
                                </a:lnTo>
                                <a:lnTo>
                                  <a:pt x="0" y="0"/>
                                </a:lnTo>
                                <a:lnTo>
                                  <a:pt x="0" y="2314580"/>
                                </a:lnTo>
                                <a:close/>
                              </a:path>
                            </a:pathLst>
                          </a:custGeom>
                          <a:solidFill>
                            <a:srgbClr val="E9F1CD"/>
                          </a:solidFill>
                        </wps:spPr>
                        <wps:bodyPr wrap="square" lIns="0" tIns="0" rIns="0" bIns="0" rtlCol="0">
                          <a:prstTxWarp prst="textNoShape">
                            <a:avLst/>
                          </a:prstTxWarp>
                          <a:noAutofit/>
                        </wps:bodyPr>
                      </wps:wsp>
                      <wps:wsp>
                        <wps:cNvPr id="122" name="Graphic 122"/>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23" name="Graphic 123"/>
                        <wps:cNvSpPr/>
                        <wps:spPr>
                          <a:xfrm>
                            <a:off x="209550" y="219083"/>
                            <a:ext cx="371475" cy="57150"/>
                          </a:xfrm>
                          <a:custGeom>
                            <a:avLst/>
                            <a:gdLst/>
                            <a:ahLst/>
                            <a:cxnLst/>
                            <a:rect l="l" t="t" r="r" b="b"/>
                            <a:pathLst>
                              <a:path w="371475" h="57150">
                                <a:moveTo>
                                  <a:pt x="32364" y="57130"/>
                                </a:moveTo>
                                <a:lnTo>
                                  <a:pt x="24785" y="57130"/>
                                </a:lnTo>
                                <a:lnTo>
                                  <a:pt x="21140" y="56407"/>
                                </a:lnTo>
                                <a:lnTo>
                                  <a:pt x="0" y="32346"/>
                                </a:lnTo>
                                <a:lnTo>
                                  <a:pt x="0" y="24764"/>
                                </a:lnTo>
                                <a:lnTo>
                                  <a:pt x="24785" y="0"/>
                                </a:lnTo>
                                <a:lnTo>
                                  <a:pt x="32364" y="0"/>
                                </a:lnTo>
                                <a:lnTo>
                                  <a:pt x="57149" y="24764"/>
                                </a:lnTo>
                                <a:lnTo>
                                  <a:pt x="57149" y="32346"/>
                                </a:lnTo>
                                <a:lnTo>
                                  <a:pt x="32364" y="57130"/>
                                </a:lnTo>
                                <a:close/>
                              </a:path>
                              <a:path w="371475" h="57150">
                                <a:moveTo>
                                  <a:pt x="137044" y="57130"/>
                                </a:moveTo>
                                <a:lnTo>
                                  <a:pt x="129465" y="57130"/>
                                </a:lnTo>
                                <a:lnTo>
                                  <a:pt x="125820" y="56407"/>
                                </a:lnTo>
                                <a:lnTo>
                                  <a:pt x="104679" y="32346"/>
                                </a:lnTo>
                                <a:lnTo>
                                  <a:pt x="104679" y="24764"/>
                                </a:lnTo>
                                <a:lnTo>
                                  <a:pt x="129465" y="0"/>
                                </a:lnTo>
                                <a:lnTo>
                                  <a:pt x="137044" y="0"/>
                                </a:lnTo>
                                <a:lnTo>
                                  <a:pt x="161829" y="24764"/>
                                </a:lnTo>
                                <a:lnTo>
                                  <a:pt x="161829" y="32346"/>
                                </a:lnTo>
                                <a:lnTo>
                                  <a:pt x="137044" y="57130"/>
                                </a:lnTo>
                                <a:close/>
                              </a:path>
                              <a:path w="371475" h="57150">
                                <a:moveTo>
                                  <a:pt x="241723" y="57130"/>
                                </a:moveTo>
                                <a:lnTo>
                                  <a:pt x="234145" y="57130"/>
                                </a:lnTo>
                                <a:lnTo>
                                  <a:pt x="230500" y="56407"/>
                                </a:lnTo>
                                <a:lnTo>
                                  <a:pt x="209359" y="32346"/>
                                </a:lnTo>
                                <a:lnTo>
                                  <a:pt x="209359" y="24764"/>
                                </a:lnTo>
                                <a:lnTo>
                                  <a:pt x="234145" y="0"/>
                                </a:lnTo>
                                <a:lnTo>
                                  <a:pt x="241723" y="0"/>
                                </a:lnTo>
                                <a:lnTo>
                                  <a:pt x="266509" y="24764"/>
                                </a:lnTo>
                                <a:lnTo>
                                  <a:pt x="266509" y="32346"/>
                                </a:lnTo>
                                <a:lnTo>
                                  <a:pt x="241723" y="57130"/>
                                </a:lnTo>
                                <a:close/>
                              </a:path>
                              <a:path w="371475" h="57150">
                                <a:moveTo>
                                  <a:pt x="346403" y="57130"/>
                                </a:moveTo>
                                <a:lnTo>
                                  <a:pt x="338824" y="57130"/>
                                </a:lnTo>
                                <a:lnTo>
                                  <a:pt x="335179" y="56407"/>
                                </a:lnTo>
                                <a:lnTo>
                                  <a:pt x="314039" y="32346"/>
                                </a:lnTo>
                                <a:lnTo>
                                  <a:pt x="314039" y="24764"/>
                                </a:lnTo>
                                <a:lnTo>
                                  <a:pt x="338824" y="0"/>
                                </a:lnTo>
                                <a:lnTo>
                                  <a:pt x="346403" y="0"/>
                                </a:lnTo>
                                <a:lnTo>
                                  <a:pt x="371189" y="24764"/>
                                </a:lnTo>
                                <a:lnTo>
                                  <a:pt x="371189" y="32346"/>
                                </a:lnTo>
                                <a:lnTo>
                                  <a:pt x="346403" y="57130"/>
                                </a:lnTo>
                                <a:close/>
                              </a:path>
                            </a:pathLst>
                          </a:custGeom>
                          <a:solidFill>
                            <a:srgbClr val="D0E399"/>
                          </a:solidFill>
                        </wps:spPr>
                        <wps:bodyPr wrap="square" lIns="0" tIns="0" rIns="0" bIns="0" rtlCol="0">
                          <a:prstTxWarp prst="textNoShape">
                            <a:avLst/>
                          </a:prstTxWarp>
                          <a:noAutofit/>
                        </wps:bodyPr>
                      </wps:wsp>
                      <wps:wsp>
                        <wps:cNvPr id="124" name="Graphic 124"/>
                        <wps:cNvSpPr/>
                        <wps:spPr>
                          <a:xfrm>
                            <a:off x="133337" y="1000133"/>
                            <a:ext cx="47625" cy="1266825"/>
                          </a:xfrm>
                          <a:custGeom>
                            <a:avLst/>
                            <a:gdLst/>
                            <a:ahLst/>
                            <a:cxnLst/>
                            <a:rect l="l" t="t" r="r" b="b"/>
                            <a:pathLst>
                              <a:path w="47625" h="1266825">
                                <a:moveTo>
                                  <a:pt x="47625" y="1239824"/>
                                </a:moveTo>
                                <a:lnTo>
                                  <a:pt x="26974" y="1219200"/>
                                </a:lnTo>
                                <a:lnTo>
                                  <a:pt x="20662" y="1219200"/>
                                </a:lnTo>
                                <a:lnTo>
                                  <a:pt x="0" y="1239824"/>
                                </a:lnTo>
                                <a:lnTo>
                                  <a:pt x="0" y="1246149"/>
                                </a:lnTo>
                                <a:lnTo>
                                  <a:pt x="20662" y="1266799"/>
                                </a:lnTo>
                                <a:lnTo>
                                  <a:pt x="26974" y="1266799"/>
                                </a:lnTo>
                                <a:lnTo>
                                  <a:pt x="47625" y="1246149"/>
                                </a:lnTo>
                                <a:lnTo>
                                  <a:pt x="47625" y="1243012"/>
                                </a:lnTo>
                                <a:lnTo>
                                  <a:pt x="47625" y="1239824"/>
                                </a:lnTo>
                                <a:close/>
                              </a:path>
                              <a:path w="47625" h="1266825">
                                <a:moveTo>
                                  <a:pt x="47625" y="20624"/>
                                </a:moveTo>
                                <a:lnTo>
                                  <a:pt x="26974" y="0"/>
                                </a:lnTo>
                                <a:lnTo>
                                  <a:pt x="20662" y="0"/>
                                </a:lnTo>
                                <a:lnTo>
                                  <a:pt x="0" y="20624"/>
                                </a:lnTo>
                                <a:lnTo>
                                  <a:pt x="0" y="26949"/>
                                </a:lnTo>
                                <a:lnTo>
                                  <a:pt x="20662" y="47599"/>
                                </a:lnTo>
                                <a:lnTo>
                                  <a:pt x="26974" y="47599"/>
                                </a:lnTo>
                                <a:lnTo>
                                  <a:pt x="47625" y="26949"/>
                                </a:lnTo>
                                <a:lnTo>
                                  <a:pt x="47625" y="23812"/>
                                </a:lnTo>
                                <a:lnTo>
                                  <a:pt x="47625" y="20624"/>
                                </a:lnTo>
                                <a:close/>
                              </a:path>
                            </a:pathLst>
                          </a:custGeom>
                          <a:solidFill>
                            <a:srgbClr val="2B816F"/>
                          </a:solidFill>
                        </wps:spPr>
                        <wps:bodyPr wrap="square" lIns="0" tIns="0" rIns="0" bIns="0" rtlCol="0">
                          <a:prstTxWarp prst="textNoShape">
                            <a:avLst/>
                          </a:prstTxWarp>
                          <a:noAutofit/>
                        </wps:bodyPr>
                      </wps:wsp>
                      <wps:wsp>
                        <wps:cNvPr id="125" name="Textbox 125"/>
                        <wps:cNvSpPr txBox="1"/>
                        <wps:spPr>
                          <a:xfrm>
                            <a:off x="0" y="742949"/>
                            <a:ext cx="5810250" cy="2314575"/>
                          </a:xfrm>
                          <a:prstGeom prst="rect">
                            <a:avLst/>
                          </a:prstGeom>
                        </wps:spPr>
                        <wps:txbx>
                          <w:txbxContent>
                            <w:p>
                              <w:pPr>
                                <w:spacing w:line="240" w:lineRule="auto" w:before="51"/>
                                <w:rPr>
                                  <w:sz w:val="22"/>
                                </w:rPr>
                              </w:pPr>
                            </w:p>
                            <w:p>
                              <w:pPr>
                                <w:spacing w:line="254" w:lineRule="auto" w:before="0"/>
                                <w:ind w:left="444" w:right="742" w:firstLine="0"/>
                                <w:jc w:val="both"/>
                                <w:rPr>
                                  <w:position w:val="9"/>
                                  <w:sz w:val="17"/>
                                </w:rPr>
                              </w:pPr>
                              <w:r>
                                <w:rPr>
                                  <w:sz w:val="22"/>
                                </w:rPr>
                                <w:t>In women in whom hysterectomy and bilateral salpingo-oophorectomy are </w:t>
                              </w:r>
                              <w:r>
                                <w:rPr>
                                  <w:sz w:val="22"/>
                                </w:rPr>
                                <w:t>undertaken</w:t>
                              </w:r>
                              <w:r>
                                <w:rPr>
                                  <w:spacing w:val="80"/>
                                  <w:w w:val="150"/>
                                  <w:sz w:val="22"/>
                                </w:rPr>
                                <w:t> </w:t>
                              </w:r>
                              <w:r>
                                <w:rPr>
                                  <w:sz w:val="22"/>
                                </w:rPr>
                                <w:t>for the management of endometriosis, we recommend a combination of estrogen </w:t>
                              </w:r>
                              <w:r>
                                <w:rPr>
                                  <w:i/>
                                  <w:sz w:val="22"/>
                                </w:rPr>
                                <w:t>plus</w:t>
                              </w:r>
                              <w:r>
                                <w:rPr>
                                  <w:i/>
                                  <w:sz w:val="22"/>
                                </w:rPr>
                                <w:t> </w:t>
                              </w:r>
                              <w:r>
                                <w:rPr>
                                  <w:sz w:val="22"/>
                                </w:rPr>
                                <w:t>progestogen.</w:t>
                              </w:r>
                              <w:r>
                                <w:rPr>
                                  <w:spacing w:val="40"/>
                                  <w:sz w:val="22"/>
                                </w:rPr>
                                <w:t> </w:t>
                              </w:r>
                              <w:r>
                                <w:rPr>
                                  <w:sz w:val="22"/>
                                </w:rPr>
                                <w:t>In</w:t>
                              </w:r>
                              <w:r>
                                <w:rPr>
                                  <w:spacing w:val="40"/>
                                  <w:sz w:val="22"/>
                                </w:rPr>
                                <w:t> </w:t>
                              </w:r>
                              <w:r>
                                <w:rPr>
                                  <w:sz w:val="22"/>
                                </w:rPr>
                                <w:t>general,</w:t>
                              </w:r>
                              <w:r>
                                <w:rPr>
                                  <w:spacing w:val="40"/>
                                  <w:sz w:val="22"/>
                                </w:rPr>
                                <w:t> </w:t>
                              </w:r>
                              <w:r>
                                <w:rPr>
                                  <w:sz w:val="22"/>
                                </w:rPr>
                                <w:t>following</w:t>
                              </w:r>
                              <w:r>
                                <w:rPr>
                                  <w:spacing w:val="40"/>
                                  <w:sz w:val="22"/>
                                </w:rPr>
                                <w:t> </w:t>
                              </w:r>
                              <w:r>
                                <w:rPr>
                                  <w:sz w:val="22"/>
                                </w:rPr>
                                <w:t>hysterectomy</w:t>
                              </w:r>
                              <w:r>
                                <w:rPr>
                                  <w:spacing w:val="40"/>
                                  <w:sz w:val="22"/>
                                </w:rPr>
                                <w:t> </w:t>
                              </w:r>
                              <w:r>
                                <w:rPr>
                                  <w:sz w:val="22"/>
                                </w:rPr>
                                <w:t>estrogen-only</w:t>
                              </w:r>
                              <w:r>
                                <w:rPr>
                                  <w:spacing w:val="40"/>
                                  <w:sz w:val="22"/>
                                </w:rPr>
                                <w:t> </w:t>
                              </w:r>
                              <w:r>
                                <w:rPr>
                                  <w:sz w:val="22"/>
                                </w:rPr>
                                <w:t>HT</w:t>
                              </w:r>
                              <w:r>
                                <w:rPr>
                                  <w:spacing w:val="40"/>
                                  <w:sz w:val="22"/>
                                </w:rPr>
                                <w:t> </w:t>
                              </w:r>
                              <w:r>
                                <w:rPr>
                                  <w:sz w:val="22"/>
                                </w:rPr>
                                <w:t>is</w:t>
                              </w:r>
                              <w:r>
                                <w:rPr>
                                  <w:spacing w:val="40"/>
                                  <w:sz w:val="22"/>
                                </w:rPr>
                                <w:t> </w:t>
                              </w:r>
                              <w:r>
                                <w:rPr>
                                  <w:sz w:val="22"/>
                                </w:rPr>
                                <w:t>required,</w:t>
                              </w:r>
                              <w:r>
                                <w:rPr>
                                  <w:spacing w:val="40"/>
                                  <w:sz w:val="22"/>
                                </w:rPr>
                                <w:t> </w:t>
                              </w:r>
                              <w:r>
                                <w:rPr>
                                  <w:sz w:val="22"/>
                                </w:rPr>
                                <w:t>if needed.</w:t>
                              </w:r>
                              <w:r>
                                <w:rPr>
                                  <w:spacing w:val="28"/>
                                  <w:sz w:val="22"/>
                                </w:rPr>
                                <w:t> </w:t>
                              </w:r>
                              <w:r>
                                <w:rPr>
                                  <w:sz w:val="22"/>
                                </w:rPr>
                                <w:t>However,</w:t>
                              </w:r>
                              <w:r>
                                <w:rPr>
                                  <w:spacing w:val="32"/>
                                  <w:sz w:val="22"/>
                                </w:rPr>
                                <w:t> </w:t>
                              </w:r>
                              <w:r>
                                <w:rPr>
                                  <w:sz w:val="22"/>
                                </w:rPr>
                                <w:t>given</w:t>
                              </w:r>
                              <w:r>
                                <w:rPr>
                                  <w:spacing w:val="32"/>
                                  <w:sz w:val="22"/>
                                </w:rPr>
                                <w:t> </w:t>
                              </w:r>
                              <w:r>
                                <w:rPr>
                                  <w:sz w:val="22"/>
                                </w:rPr>
                                <w:t>the</w:t>
                              </w:r>
                              <w:r>
                                <w:rPr>
                                  <w:spacing w:val="32"/>
                                  <w:sz w:val="22"/>
                                </w:rPr>
                                <w:t> </w:t>
                              </w:r>
                              <w:r>
                                <w:rPr>
                                  <w:sz w:val="22"/>
                                </w:rPr>
                                <w:t>role</w:t>
                              </w:r>
                              <w:r>
                                <w:rPr>
                                  <w:spacing w:val="32"/>
                                  <w:sz w:val="22"/>
                                </w:rPr>
                                <w:t> </w:t>
                              </w:r>
                              <w:r>
                                <w:rPr>
                                  <w:sz w:val="22"/>
                                </w:rPr>
                                <w:t>of</w:t>
                              </w:r>
                              <w:r>
                                <w:rPr>
                                  <w:spacing w:val="32"/>
                                  <w:sz w:val="22"/>
                                </w:rPr>
                                <w:t> </w:t>
                              </w:r>
                              <w:r>
                                <w:rPr>
                                  <w:sz w:val="22"/>
                                </w:rPr>
                                <w:t>estrogen</w:t>
                              </w:r>
                              <w:r>
                                <w:rPr>
                                  <w:spacing w:val="32"/>
                                  <w:sz w:val="22"/>
                                </w:rPr>
                                <w:t> </w:t>
                              </w:r>
                              <w:r>
                                <w:rPr>
                                  <w:sz w:val="22"/>
                                </w:rPr>
                                <w:t>in</w:t>
                              </w:r>
                              <w:r>
                                <w:rPr>
                                  <w:spacing w:val="32"/>
                                  <w:sz w:val="22"/>
                                </w:rPr>
                                <w:t> </w:t>
                              </w:r>
                              <w:r>
                                <w:rPr>
                                  <w:sz w:val="22"/>
                                </w:rPr>
                                <w:t>endometriosis</w:t>
                              </w:r>
                              <w:r>
                                <w:rPr>
                                  <w:spacing w:val="32"/>
                                  <w:sz w:val="22"/>
                                </w:rPr>
                                <w:t> </w:t>
                              </w:r>
                              <w:r>
                                <w:rPr>
                                  <w:sz w:val="22"/>
                                </w:rPr>
                                <w:t>growth/progression,</w:t>
                              </w:r>
                              <w:r>
                                <w:rPr>
                                  <w:spacing w:val="32"/>
                                  <w:sz w:val="22"/>
                                </w:rPr>
                                <w:t> </w:t>
                              </w:r>
                              <w:r>
                                <w:rPr>
                                  <w:sz w:val="22"/>
                                </w:rPr>
                                <w:t>this is one situation where combined HT is indicated following hysterectomy. Cases of adenocarcinoma have been reported in patients with pelvic endometriosis treated with unopposed estrogen.</w:t>
                              </w:r>
                              <w:r>
                                <w:rPr>
                                  <w:position w:val="9"/>
                                  <w:sz w:val="17"/>
                                </w:rPr>
                                <w:t>154-159</w:t>
                              </w:r>
                            </w:p>
                            <w:p>
                              <w:pPr>
                                <w:spacing w:line="252" w:lineRule="auto" w:before="0"/>
                                <w:ind w:left="444" w:right="744" w:firstLine="0"/>
                                <w:jc w:val="both"/>
                                <w:rPr>
                                  <w:sz w:val="22"/>
                                </w:rPr>
                              </w:pPr>
                              <w:r>
                                <w:rPr>
                                  <w:sz w:val="22"/>
                                </w:rPr>
                                <w:t>Patients who have undergone procedures that have the potential to leave residual endometrium (eg, a supracervical hysterectomy) should be treated with an estrogen-progestin combination. Responsive endometrium may be sequestered in patients </w:t>
                              </w:r>
                              <w:r>
                                <w:rPr>
                                  <w:sz w:val="22"/>
                                </w:rPr>
                                <w:t>who</w:t>
                              </w:r>
                              <w:r>
                                <w:rPr>
                                  <w:spacing w:val="40"/>
                                  <w:sz w:val="22"/>
                                </w:rPr>
                                <w:t> </w:t>
                              </w:r>
                              <w:r>
                                <w:rPr>
                                  <w:sz w:val="22"/>
                                </w:rPr>
                                <w:t>have</w:t>
                              </w:r>
                              <w:r>
                                <w:rPr>
                                  <w:spacing w:val="40"/>
                                  <w:sz w:val="22"/>
                                </w:rPr>
                                <w:t> </w:t>
                              </w:r>
                              <w:r>
                                <w:rPr>
                                  <w:sz w:val="22"/>
                                </w:rPr>
                                <w:t>undergone</w:t>
                              </w:r>
                              <w:r>
                                <w:rPr>
                                  <w:spacing w:val="40"/>
                                  <w:sz w:val="22"/>
                                </w:rPr>
                                <w:t> </w:t>
                              </w:r>
                              <w:r>
                                <w:rPr>
                                  <w:sz w:val="22"/>
                                </w:rPr>
                                <w:t>endometrial</w:t>
                              </w:r>
                              <w:r>
                                <w:rPr>
                                  <w:spacing w:val="40"/>
                                  <w:sz w:val="22"/>
                                </w:rPr>
                                <w:t> </w:t>
                              </w:r>
                              <w:r>
                                <w:rPr>
                                  <w:sz w:val="22"/>
                                </w:rPr>
                                <w:t>ablation,</w:t>
                              </w:r>
                              <w:r>
                                <w:rPr>
                                  <w:position w:val="9"/>
                                  <w:sz w:val="17"/>
                                </w:rPr>
                                <w:t>48,58</w:t>
                              </w:r>
                              <w:r>
                                <w:rPr>
                                  <w:spacing w:val="40"/>
                                  <w:position w:val="9"/>
                                  <w:sz w:val="17"/>
                                </w:rPr>
                                <w:t> </w:t>
                              </w:r>
                              <w:r>
                                <w:rPr>
                                  <w:sz w:val="22"/>
                                </w:rPr>
                                <w:t>and</w:t>
                              </w:r>
                              <w:r>
                                <w:rPr>
                                  <w:spacing w:val="40"/>
                                  <w:sz w:val="22"/>
                                </w:rPr>
                                <w:t> </w:t>
                              </w:r>
                              <w:r>
                                <w:rPr>
                                  <w:sz w:val="22"/>
                                </w:rPr>
                                <w:t>combined</w:t>
                              </w:r>
                              <w:r>
                                <w:rPr>
                                  <w:spacing w:val="40"/>
                                  <w:sz w:val="22"/>
                                </w:rPr>
                                <w:t> </w:t>
                              </w:r>
                              <w:r>
                                <w:rPr>
                                  <w:sz w:val="22"/>
                                </w:rPr>
                                <w:t>estrogen-progestin</w:t>
                              </w:r>
                              <w:r>
                                <w:rPr>
                                  <w:spacing w:val="40"/>
                                  <w:sz w:val="22"/>
                                </w:rPr>
                                <w:t> </w:t>
                              </w:r>
                              <w:r>
                                <w:rPr>
                                  <w:sz w:val="22"/>
                                </w:rPr>
                                <w:t>treatment is also recommended for these women.</w:t>
                              </w:r>
                            </w:p>
                          </w:txbxContent>
                        </wps:txbx>
                        <wps:bodyPr wrap="square" lIns="0" tIns="0" rIns="0" bIns="0" rtlCol="0">
                          <a:noAutofit/>
                        </wps:bodyPr>
                      </wps:wsp>
                      <wps:wsp>
                        <wps:cNvPr id="126" name="Textbox 126"/>
                        <wps:cNvSpPr txBox="1"/>
                        <wps:spPr>
                          <a:xfrm>
                            <a:off x="0" y="57149"/>
                            <a:ext cx="5810250" cy="685800"/>
                          </a:xfrm>
                          <a:prstGeom prst="rect">
                            <a:avLst/>
                          </a:prstGeom>
                        </wps:spPr>
                        <wps:txbx>
                          <w:txbxContent>
                            <w:p>
                              <w:pPr>
                                <w:spacing w:before="335"/>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wps:txbx>
                        <wps:bodyPr wrap="square" lIns="0" tIns="0" rIns="0" bIns="0" rtlCol="0">
                          <a:noAutofit/>
                        </wps:bodyPr>
                      </wps:wsp>
                    </wpg:wgp>
                  </a:graphicData>
                </a:graphic>
              </wp:anchor>
            </w:drawing>
          </mc:Choice>
          <mc:Fallback>
            <w:pict>
              <v:group style="position:absolute;margin-left:77.249992pt;margin-top:18.649023pt;width:457.5pt;height:240.75pt;mso-position-horizontal-relative:page;mso-position-vertical-relative:paragraph;z-index:-15688704;mso-wrap-distance-left:0;mso-wrap-distance-right:0" id="docshapegroup102" coordorigin="1545,373" coordsize="9150,4815">
                <v:rect style="position:absolute;left:1545;top:372;width:9150;height:30" id="docshape103" filled="true" fillcolor="#d5e699" stroked="false">
                  <v:fill type="solid"/>
                </v:rect>
                <v:rect style="position:absolute;left:1545;top:1542;width:9150;height:3645" id="docshape104" filled="true" fillcolor="#e9f1cd" stroked="false">
                  <v:fill type="solid"/>
                </v:rect>
                <v:rect style="position:absolute;left:1545;top:462;width:9150;height:1080" id="docshape105" filled="true" fillcolor="#2b816f" stroked="false">
                  <v:fill type="solid"/>
                </v:rect>
                <v:shape style="position:absolute;left:1875;top:718;width:585;height:90" id="docshape106" coordorigin="1875,718" coordsize="585,90" path="m1926,808l1914,808,1908,807,1897,802,1892,799,1888,795,1884,791,1881,786,1876,775,1875,769,1875,757,1876,751,1881,740,1884,735,1892,727,1897,724,1908,719,1914,718,1926,718,1932,719,1943,724,1948,727,1956,735,1959,740,1964,751,1965,757,1965,769,1964,775,1959,786,1956,791,1952,795,1948,799,1943,802,1932,807,1926,808xm2091,808l2079,808,2073,807,2062,802,2057,799,2053,795,2049,791,2046,786,2041,775,2040,769,2040,757,2041,751,2046,740,2049,735,2057,727,2062,724,2073,719,2079,718,2091,718,2097,719,2108,724,2112,727,2121,735,2124,740,2129,751,2130,757,2130,769,2129,775,2124,786,2121,791,2117,795,2112,799,2108,802,2097,807,2091,808xm2256,808l2244,808,2238,807,2227,802,2222,799,2218,795,2214,791,2210,786,2206,775,2205,769,2205,757,2206,751,2210,740,2214,735,2222,727,2227,724,2238,719,2244,718,2256,718,2261,719,2272,724,2277,727,2286,735,2289,740,2294,751,2295,757,2295,769,2294,775,2289,786,2286,791,2282,795,2277,799,2272,802,2261,807,2256,808xm2421,808l2409,808,2403,807,2392,802,2387,799,2383,795,2379,791,2375,786,2371,775,2370,769,2370,757,2371,751,2375,740,2379,735,2387,727,2392,724,2403,719,2409,718,2421,718,2426,719,2437,724,2442,727,2451,735,2454,740,2458,751,2460,757,2460,769,2458,775,2454,786,2451,791,2446,795,2442,799,2437,802,2426,807,2421,808xe" filled="true" fillcolor="#d0e399" stroked="false">
                  <v:path arrowok="t"/>
                  <v:fill type="solid"/>
                </v:shape>
                <v:shape style="position:absolute;left:1754;top:1948;width:75;height:1995" id="docshape107" coordorigin="1755,1948" coordsize="75,1995" path="m1830,3900l1829,3896,1825,3886,1823,3882,1816,3875,1811,3873,1802,3869,1797,3868,1788,3868,1783,3869,1774,3873,1769,3875,1762,3882,1760,3886,1756,3896,1755,3900,1755,3910,1756,3915,1760,3924,1762,3928,1769,3936,1774,3938,1783,3942,1788,3943,1797,3943,1802,3942,1811,3938,1816,3936,1823,3928,1825,3924,1829,3915,1830,3910,1830,3905,1830,3900xm1830,1980l1829,1976,1825,1966,1823,1962,1816,1955,1811,1953,1802,1949,1797,1948,1788,1948,1783,1949,1774,1953,1769,1955,1762,1962,1760,1966,1756,1976,1755,1980,1755,1990,1756,1995,1760,2004,1762,2008,1769,2015,1774,2018,1783,2022,1788,2023,1797,2023,1802,2022,1811,2018,1816,2015,1823,2008,1825,2004,1829,1995,1830,1990,1830,1985,1830,1980xe" filled="true" fillcolor="#2b816f" stroked="false">
                  <v:path arrowok="t"/>
                  <v:fill type="solid"/>
                </v:shape>
                <v:shape style="position:absolute;left:1545;top:1542;width:9150;height:3645" type="#_x0000_t202" id="docshape108" filled="false" stroked="false">
                  <v:textbox inset="0,0,0,0">
                    <w:txbxContent>
                      <w:p>
                        <w:pPr>
                          <w:spacing w:line="240" w:lineRule="auto" w:before="51"/>
                          <w:rPr>
                            <w:sz w:val="22"/>
                          </w:rPr>
                        </w:pPr>
                      </w:p>
                      <w:p>
                        <w:pPr>
                          <w:spacing w:line="254" w:lineRule="auto" w:before="0"/>
                          <w:ind w:left="444" w:right="742" w:firstLine="0"/>
                          <w:jc w:val="both"/>
                          <w:rPr>
                            <w:position w:val="9"/>
                            <w:sz w:val="17"/>
                          </w:rPr>
                        </w:pPr>
                        <w:r>
                          <w:rPr>
                            <w:sz w:val="22"/>
                          </w:rPr>
                          <w:t>In women in whom hysterectomy and bilateral salpingo-oophorectomy are </w:t>
                        </w:r>
                        <w:r>
                          <w:rPr>
                            <w:sz w:val="22"/>
                          </w:rPr>
                          <w:t>undertaken</w:t>
                        </w:r>
                        <w:r>
                          <w:rPr>
                            <w:spacing w:val="80"/>
                            <w:w w:val="150"/>
                            <w:sz w:val="22"/>
                          </w:rPr>
                          <w:t> </w:t>
                        </w:r>
                        <w:r>
                          <w:rPr>
                            <w:sz w:val="22"/>
                          </w:rPr>
                          <w:t>for the management of endometriosis, we recommend a combination of estrogen </w:t>
                        </w:r>
                        <w:r>
                          <w:rPr>
                            <w:i/>
                            <w:sz w:val="22"/>
                          </w:rPr>
                          <w:t>plus</w:t>
                        </w:r>
                        <w:r>
                          <w:rPr>
                            <w:i/>
                            <w:sz w:val="22"/>
                          </w:rPr>
                          <w:t> </w:t>
                        </w:r>
                        <w:r>
                          <w:rPr>
                            <w:sz w:val="22"/>
                          </w:rPr>
                          <w:t>progestogen.</w:t>
                        </w:r>
                        <w:r>
                          <w:rPr>
                            <w:spacing w:val="40"/>
                            <w:sz w:val="22"/>
                          </w:rPr>
                          <w:t> </w:t>
                        </w:r>
                        <w:r>
                          <w:rPr>
                            <w:sz w:val="22"/>
                          </w:rPr>
                          <w:t>In</w:t>
                        </w:r>
                        <w:r>
                          <w:rPr>
                            <w:spacing w:val="40"/>
                            <w:sz w:val="22"/>
                          </w:rPr>
                          <w:t> </w:t>
                        </w:r>
                        <w:r>
                          <w:rPr>
                            <w:sz w:val="22"/>
                          </w:rPr>
                          <w:t>general,</w:t>
                        </w:r>
                        <w:r>
                          <w:rPr>
                            <w:spacing w:val="40"/>
                            <w:sz w:val="22"/>
                          </w:rPr>
                          <w:t> </w:t>
                        </w:r>
                        <w:r>
                          <w:rPr>
                            <w:sz w:val="22"/>
                          </w:rPr>
                          <w:t>following</w:t>
                        </w:r>
                        <w:r>
                          <w:rPr>
                            <w:spacing w:val="40"/>
                            <w:sz w:val="22"/>
                          </w:rPr>
                          <w:t> </w:t>
                        </w:r>
                        <w:r>
                          <w:rPr>
                            <w:sz w:val="22"/>
                          </w:rPr>
                          <w:t>hysterectomy</w:t>
                        </w:r>
                        <w:r>
                          <w:rPr>
                            <w:spacing w:val="40"/>
                            <w:sz w:val="22"/>
                          </w:rPr>
                          <w:t> </w:t>
                        </w:r>
                        <w:r>
                          <w:rPr>
                            <w:sz w:val="22"/>
                          </w:rPr>
                          <w:t>estrogen-only</w:t>
                        </w:r>
                        <w:r>
                          <w:rPr>
                            <w:spacing w:val="40"/>
                            <w:sz w:val="22"/>
                          </w:rPr>
                          <w:t> </w:t>
                        </w:r>
                        <w:r>
                          <w:rPr>
                            <w:sz w:val="22"/>
                          </w:rPr>
                          <w:t>HT</w:t>
                        </w:r>
                        <w:r>
                          <w:rPr>
                            <w:spacing w:val="40"/>
                            <w:sz w:val="22"/>
                          </w:rPr>
                          <w:t> </w:t>
                        </w:r>
                        <w:r>
                          <w:rPr>
                            <w:sz w:val="22"/>
                          </w:rPr>
                          <w:t>is</w:t>
                        </w:r>
                        <w:r>
                          <w:rPr>
                            <w:spacing w:val="40"/>
                            <w:sz w:val="22"/>
                          </w:rPr>
                          <w:t> </w:t>
                        </w:r>
                        <w:r>
                          <w:rPr>
                            <w:sz w:val="22"/>
                          </w:rPr>
                          <w:t>required,</w:t>
                        </w:r>
                        <w:r>
                          <w:rPr>
                            <w:spacing w:val="40"/>
                            <w:sz w:val="22"/>
                          </w:rPr>
                          <w:t> </w:t>
                        </w:r>
                        <w:r>
                          <w:rPr>
                            <w:sz w:val="22"/>
                          </w:rPr>
                          <w:t>if needed.</w:t>
                        </w:r>
                        <w:r>
                          <w:rPr>
                            <w:spacing w:val="28"/>
                            <w:sz w:val="22"/>
                          </w:rPr>
                          <w:t> </w:t>
                        </w:r>
                        <w:r>
                          <w:rPr>
                            <w:sz w:val="22"/>
                          </w:rPr>
                          <w:t>However,</w:t>
                        </w:r>
                        <w:r>
                          <w:rPr>
                            <w:spacing w:val="32"/>
                            <w:sz w:val="22"/>
                          </w:rPr>
                          <w:t> </w:t>
                        </w:r>
                        <w:r>
                          <w:rPr>
                            <w:sz w:val="22"/>
                          </w:rPr>
                          <w:t>given</w:t>
                        </w:r>
                        <w:r>
                          <w:rPr>
                            <w:spacing w:val="32"/>
                            <w:sz w:val="22"/>
                          </w:rPr>
                          <w:t> </w:t>
                        </w:r>
                        <w:r>
                          <w:rPr>
                            <w:sz w:val="22"/>
                          </w:rPr>
                          <w:t>the</w:t>
                        </w:r>
                        <w:r>
                          <w:rPr>
                            <w:spacing w:val="32"/>
                            <w:sz w:val="22"/>
                          </w:rPr>
                          <w:t> </w:t>
                        </w:r>
                        <w:r>
                          <w:rPr>
                            <w:sz w:val="22"/>
                          </w:rPr>
                          <w:t>role</w:t>
                        </w:r>
                        <w:r>
                          <w:rPr>
                            <w:spacing w:val="32"/>
                            <w:sz w:val="22"/>
                          </w:rPr>
                          <w:t> </w:t>
                        </w:r>
                        <w:r>
                          <w:rPr>
                            <w:sz w:val="22"/>
                          </w:rPr>
                          <w:t>of</w:t>
                        </w:r>
                        <w:r>
                          <w:rPr>
                            <w:spacing w:val="32"/>
                            <w:sz w:val="22"/>
                          </w:rPr>
                          <w:t> </w:t>
                        </w:r>
                        <w:r>
                          <w:rPr>
                            <w:sz w:val="22"/>
                          </w:rPr>
                          <w:t>estrogen</w:t>
                        </w:r>
                        <w:r>
                          <w:rPr>
                            <w:spacing w:val="32"/>
                            <w:sz w:val="22"/>
                          </w:rPr>
                          <w:t> </w:t>
                        </w:r>
                        <w:r>
                          <w:rPr>
                            <w:sz w:val="22"/>
                          </w:rPr>
                          <w:t>in</w:t>
                        </w:r>
                        <w:r>
                          <w:rPr>
                            <w:spacing w:val="32"/>
                            <w:sz w:val="22"/>
                          </w:rPr>
                          <w:t> </w:t>
                        </w:r>
                        <w:r>
                          <w:rPr>
                            <w:sz w:val="22"/>
                          </w:rPr>
                          <w:t>endometriosis</w:t>
                        </w:r>
                        <w:r>
                          <w:rPr>
                            <w:spacing w:val="32"/>
                            <w:sz w:val="22"/>
                          </w:rPr>
                          <w:t> </w:t>
                        </w:r>
                        <w:r>
                          <w:rPr>
                            <w:sz w:val="22"/>
                          </w:rPr>
                          <w:t>growth/progression,</w:t>
                        </w:r>
                        <w:r>
                          <w:rPr>
                            <w:spacing w:val="32"/>
                            <w:sz w:val="22"/>
                          </w:rPr>
                          <w:t> </w:t>
                        </w:r>
                        <w:r>
                          <w:rPr>
                            <w:sz w:val="22"/>
                          </w:rPr>
                          <w:t>this is one situation where combined HT is indicated following hysterectomy. Cases of adenocarcinoma have been reported in patients with pelvic endometriosis treated with unopposed estrogen.</w:t>
                        </w:r>
                        <w:r>
                          <w:rPr>
                            <w:position w:val="9"/>
                            <w:sz w:val="17"/>
                          </w:rPr>
                          <w:t>154-159</w:t>
                        </w:r>
                      </w:p>
                      <w:p>
                        <w:pPr>
                          <w:spacing w:line="252" w:lineRule="auto" w:before="0"/>
                          <w:ind w:left="444" w:right="744" w:firstLine="0"/>
                          <w:jc w:val="both"/>
                          <w:rPr>
                            <w:sz w:val="22"/>
                          </w:rPr>
                        </w:pPr>
                        <w:r>
                          <w:rPr>
                            <w:sz w:val="22"/>
                          </w:rPr>
                          <w:t>Patients who have undergone procedures that have the potential to leave residual endometrium (eg, a supracervical hysterectomy) should be treated with an estrogen-progestin combination. Responsive endometrium may be sequestered in patients </w:t>
                        </w:r>
                        <w:r>
                          <w:rPr>
                            <w:sz w:val="22"/>
                          </w:rPr>
                          <w:t>who</w:t>
                        </w:r>
                        <w:r>
                          <w:rPr>
                            <w:spacing w:val="40"/>
                            <w:sz w:val="22"/>
                          </w:rPr>
                          <w:t> </w:t>
                        </w:r>
                        <w:r>
                          <w:rPr>
                            <w:sz w:val="22"/>
                          </w:rPr>
                          <w:t>have</w:t>
                        </w:r>
                        <w:r>
                          <w:rPr>
                            <w:spacing w:val="40"/>
                            <w:sz w:val="22"/>
                          </w:rPr>
                          <w:t> </w:t>
                        </w:r>
                        <w:r>
                          <w:rPr>
                            <w:sz w:val="22"/>
                          </w:rPr>
                          <w:t>undergone</w:t>
                        </w:r>
                        <w:r>
                          <w:rPr>
                            <w:spacing w:val="40"/>
                            <w:sz w:val="22"/>
                          </w:rPr>
                          <w:t> </w:t>
                        </w:r>
                        <w:r>
                          <w:rPr>
                            <w:sz w:val="22"/>
                          </w:rPr>
                          <w:t>endometrial</w:t>
                        </w:r>
                        <w:r>
                          <w:rPr>
                            <w:spacing w:val="40"/>
                            <w:sz w:val="22"/>
                          </w:rPr>
                          <w:t> </w:t>
                        </w:r>
                        <w:r>
                          <w:rPr>
                            <w:sz w:val="22"/>
                          </w:rPr>
                          <w:t>ablation,</w:t>
                        </w:r>
                        <w:r>
                          <w:rPr>
                            <w:position w:val="9"/>
                            <w:sz w:val="17"/>
                          </w:rPr>
                          <w:t>48,58</w:t>
                        </w:r>
                        <w:r>
                          <w:rPr>
                            <w:spacing w:val="40"/>
                            <w:position w:val="9"/>
                            <w:sz w:val="17"/>
                          </w:rPr>
                          <w:t> </w:t>
                        </w:r>
                        <w:r>
                          <w:rPr>
                            <w:sz w:val="22"/>
                          </w:rPr>
                          <w:t>and</w:t>
                        </w:r>
                        <w:r>
                          <w:rPr>
                            <w:spacing w:val="40"/>
                            <w:sz w:val="22"/>
                          </w:rPr>
                          <w:t> </w:t>
                        </w:r>
                        <w:r>
                          <w:rPr>
                            <w:sz w:val="22"/>
                          </w:rPr>
                          <w:t>combined</w:t>
                        </w:r>
                        <w:r>
                          <w:rPr>
                            <w:spacing w:val="40"/>
                            <w:sz w:val="22"/>
                          </w:rPr>
                          <w:t> </w:t>
                        </w:r>
                        <w:r>
                          <w:rPr>
                            <w:sz w:val="22"/>
                          </w:rPr>
                          <w:t>estrogen-progestin</w:t>
                        </w:r>
                        <w:r>
                          <w:rPr>
                            <w:spacing w:val="40"/>
                            <w:sz w:val="22"/>
                          </w:rPr>
                          <w:t> </w:t>
                        </w:r>
                        <w:r>
                          <w:rPr>
                            <w:sz w:val="22"/>
                          </w:rPr>
                          <w:t>treatment is also recommended for these women.</w:t>
                        </w:r>
                      </w:p>
                    </w:txbxContent>
                  </v:textbox>
                  <w10:wrap type="none"/>
                </v:shape>
                <v:shape style="position:absolute;left:1545;top:462;width:9150;height:1080" type="#_x0000_t202" id="docshape109" filled="false" stroked="false">
                  <v:textbox inset="0,0,0,0">
                    <w:txbxContent>
                      <w:p>
                        <w:pPr>
                          <w:spacing w:before="335"/>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v:textbox>
                  <w10:wrap type="none"/>
                </v:shape>
                <w10:wrap type="topAndBottom"/>
              </v:group>
            </w:pict>
          </mc:Fallback>
        </mc:AlternateContent>
      </w:r>
    </w:p>
    <w:p>
      <w:pPr>
        <w:pStyle w:val="BodyText"/>
        <w:spacing w:after="0"/>
        <w:jc w:val="left"/>
        <w:rPr>
          <w:sz w:val="20"/>
        </w:rPr>
        <w:sectPr>
          <w:pgSz w:w="12240" w:h="15840"/>
          <w:pgMar w:top="136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1257300"/>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5810250" cy="1257300"/>
                          <a:chExt cx="5810250" cy="1257300"/>
                        </a:xfrm>
                      </wpg:grpSpPr>
                      <wps:wsp>
                        <wps:cNvPr id="128" name="Graphic 128"/>
                        <wps:cNvSpPr/>
                        <wps:spPr>
                          <a:xfrm>
                            <a:off x="0" y="0"/>
                            <a:ext cx="5810250" cy="1257300"/>
                          </a:xfrm>
                          <a:custGeom>
                            <a:avLst/>
                            <a:gdLst/>
                            <a:ahLst/>
                            <a:cxnLst/>
                            <a:rect l="l" t="t" r="r" b="b"/>
                            <a:pathLst>
                              <a:path w="5810250" h="1257300">
                                <a:moveTo>
                                  <a:pt x="5810249" y="1257291"/>
                                </a:moveTo>
                                <a:lnTo>
                                  <a:pt x="0" y="1257291"/>
                                </a:lnTo>
                                <a:lnTo>
                                  <a:pt x="0" y="0"/>
                                </a:lnTo>
                                <a:lnTo>
                                  <a:pt x="5810249" y="0"/>
                                </a:lnTo>
                                <a:lnTo>
                                  <a:pt x="5810249" y="1257291"/>
                                </a:lnTo>
                                <a:close/>
                              </a:path>
                            </a:pathLst>
                          </a:custGeom>
                          <a:solidFill>
                            <a:srgbClr val="E9F1CD"/>
                          </a:solidFill>
                        </wps:spPr>
                        <wps:bodyPr wrap="square" lIns="0" tIns="0" rIns="0" bIns="0" rtlCol="0">
                          <a:prstTxWarp prst="textNoShape">
                            <a:avLst/>
                          </a:prstTxWarp>
                          <a:noAutofit/>
                        </wps:bodyPr>
                      </wps:wsp>
                      <wps:wsp>
                        <wps:cNvPr id="129" name="Graphic 129"/>
                        <wps:cNvSpPr/>
                        <wps:spPr>
                          <a:xfrm>
                            <a:off x="133337" y="66675"/>
                            <a:ext cx="47625" cy="561975"/>
                          </a:xfrm>
                          <a:custGeom>
                            <a:avLst/>
                            <a:gdLst/>
                            <a:ahLst/>
                            <a:cxnLst/>
                            <a:rect l="l" t="t" r="r" b="b"/>
                            <a:pathLst>
                              <a:path w="47625" h="561975">
                                <a:moveTo>
                                  <a:pt x="47625" y="534974"/>
                                </a:moveTo>
                                <a:lnTo>
                                  <a:pt x="26974" y="514350"/>
                                </a:lnTo>
                                <a:lnTo>
                                  <a:pt x="20662" y="514350"/>
                                </a:lnTo>
                                <a:lnTo>
                                  <a:pt x="0" y="534974"/>
                                </a:lnTo>
                                <a:lnTo>
                                  <a:pt x="0" y="541299"/>
                                </a:lnTo>
                                <a:lnTo>
                                  <a:pt x="20662" y="561975"/>
                                </a:lnTo>
                                <a:lnTo>
                                  <a:pt x="26974" y="561975"/>
                                </a:lnTo>
                                <a:lnTo>
                                  <a:pt x="47625" y="541299"/>
                                </a:lnTo>
                                <a:lnTo>
                                  <a:pt x="47625" y="538162"/>
                                </a:lnTo>
                                <a:lnTo>
                                  <a:pt x="47625" y="534974"/>
                                </a:lnTo>
                                <a:close/>
                              </a:path>
                              <a:path w="47625" h="561975">
                                <a:moveTo>
                                  <a:pt x="47625" y="20650"/>
                                </a:moveTo>
                                <a:lnTo>
                                  <a:pt x="26974" y="0"/>
                                </a:lnTo>
                                <a:lnTo>
                                  <a:pt x="20662" y="0"/>
                                </a:lnTo>
                                <a:lnTo>
                                  <a:pt x="0" y="20650"/>
                                </a:lnTo>
                                <a:lnTo>
                                  <a:pt x="0" y="26949"/>
                                </a:lnTo>
                                <a:lnTo>
                                  <a:pt x="20662" y="47599"/>
                                </a:lnTo>
                                <a:lnTo>
                                  <a:pt x="26974" y="47599"/>
                                </a:lnTo>
                                <a:lnTo>
                                  <a:pt x="47625" y="26949"/>
                                </a:lnTo>
                                <a:lnTo>
                                  <a:pt x="47625" y="23812"/>
                                </a:lnTo>
                                <a:lnTo>
                                  <a:pt x="47625" y="20650"/>
                                </a:lnTo>
                                <a:close/>
                              </a:path>
                            </a:pathLst>
                          </a:custGeom>
                          <a:solidFill>
                            <a:srgbClr val="2B816F"/>
                          </a:solidFill>
                        </wps:spPr>
                        <wps:bodyPr wrap="square" lIns="0" tIns="0" rIns="0" bIns="0" rtlCol="0">
                          <a:prstTxWarp prst="textNoShape">
                            <a:avLst/>
                          </a:prstTxWarp>
                          <a:noAutofit/>
                        </wps:bodyPr>
                      </wps:wsp>
                      <wps:wsp>
                        <wps:cNvPr id="130" name="Textbox 130"/>
                        <wps:cNvSpPr txBox="1"/>
                        <wps:spPr>
                          <a:xfrm>
                            <a:off x="0" y="0"/>
                            <a:ext cx="5810250" cy="1257300"/>
                          </a:xfrm>
                          <a:prstGeom prst="rect">
                            <a:avLst/>
                          </a:prstGeom>
                        </wps:spPr>
                        <wps:txbx>
                          <w:txbxContent>
                            <w:p>
                              <w:pPr>
                                <w:spacing w:line="256" w:lineRule="auto" w:before="4"/>
                                <w:ind w:left="444" w:right="743" w:firstLine="0"/>
                                <w:jc w:val="both"/>
                                <w:rPr>
                                  <w:sz w:val="22"/>
                                </w:rPr>
                              </w:pPr>
                              <w:r>
                                <w:rPr>
                                  <w:sz w:val="22"/>
                                </w:rPr>
                                <w:t>In women undergoing hysterectomy for the management of early-stage </w:t>
                              </w:r>
                              <w:r>
                                <w:rPr>
                                  <w:sz w:val="22"/>
                                </w:rPr>
                                <w:t>endometrial adenocarcinoma,</w:t>
                              </w:r>
                              <w:r>
                                <w:rPr>
                                  <w:spacing w:val="40"/>
                                  <w:sz w:val="22"/>
                                </w:rPr>
                                <w:t> </w:t>
                              </w:r>
                              <w:r>
                                <w:rPr>
                                  <w:sz w:val="22"/>
                                </w:rPr>
                                <w:t>if</w:t>
                              </w:r>
                              <w:r>
                                <w:rPr>
                                  <w:spacing w:val="40"/>
                                  <w:sz w:val="22"/>
                                </w:rPr>
                                <w:t> </w:t>
                              </w:r>
                              <w:r>
                                <w:rPr>
                                  <w:sz w:val="22"/>
                                </w:rPr>
                                <w:t>HT</w:t>
                              </w:r>
                              <w:r>
                                <w:rPr>
                                  <w:spacing w:val="40"/>
                                  <w:sz w:val="22"/>
                                </w:rPr>
                                <w:t> </w:t>
                              </w:r>
                              <w:r>
                                <w:rPr>
                                  <w:sz w:val="22"/>
                                </w:rPr>
                                <w:t>is</w:t>
                              </w:r>
                              <w:r>
                                <w:rPr>
                                  <w:spacing w:val="40"/>
                                  <w:sz w:val="22"/>
                                </w:rPr>
                                <w:t> </w:t>
                              </w:r>
                              <w:r>
                                <w:rPr>
                                  <w:sz w:val="22"/>
                                </w:rPr>
                                <w:t>being</w:t>
                              </w:r>
                              <w:r>
                                <w:rPr>
                                  <w:spacing w:val="40"/>
                                  <w:sz w:val="22"/>
                                </w:rPr>
                                <w:t> </w:t>
                              </w:r>
                              <w:r>
                                <w:rPr>
                                  <w:sz w:val="22"/>
                                </w:rPr>
                                <w:t>considered</w:t>
                              </w:r>
                              <w:r>
                                <w:rPr>
                                  <w:spacing w:val="40"/>
                                  <w:sz w:val="22"/>
                                </w:rPr>
                                <w:t> </w:t>
                              </w:r>
                              <w:r>
                                <w:rPr>
                                  <w:sz w:val="22"/>
                                </w:rPr>
                                <w:t>for</w:t>
                              </w:r>
                              <w:r>
                                <w:rPr>
                                  <w:spacing w:val="40"/>
                                  <w:sz w:val="22"/>
                                </w:rPr>
                                <w:t> </w:t>
                              </w:r>
                              <w:r>
                                <w:rPr>
                                  <w:sz w:val="22"/>
                                </w:rPr>
                                <w:t>symptom</w:t>
                              </w:r>
                              <w:r>
                                <w:rPr>
                                  <w:spacing w:val="40"/>
                                  <w:sz w:val="22"/>
                                </w:rPr>
                                <w:t> </w:t>
                              </w:r>
                              <w:r>
                                <w:rPr>
                                  <w:sz w:val="22"/>
                                </w:rPr>
                                <w:t>control,</w:t>
                              </w:r>
                              <w:r>
                                <w:rPr>
                                  <w:spacing w:val="40"/>
                                  <w:sz w:val="22"/>
                                </w:rPr>
                                <w:t> </w:t>
                              </w:r>
                              <w:r>
                                <w:rPr>
                                  <w:sz w:val="22"/>
                                </w:rPr>
                                <w:t>a</w:t>
                              </w:r>
                              <w:r>
                                <w:rPr>
                                  <w:spacing w:val="40"/>
                                  <w:sz w:val="22"/>
                                </w:rPr>
                                <w:t> </w:t>
                              </w:r>
                              <w:r>
                                <w:rPr>
                                  <w:sz w:val="22"/>
                                </w:rPr>
                                <w:t>combination regimen is advised, given the potential protective action of the progestational agent.</w:t>
                              </w:r>
                            </w:p>
                            <w:p>
                              <w:pPr>
                                <w:spacing w:line="242" w:lineRule="auto" w:before="0"/>
                                <w:ind w:left="444" w:right="746" w:firstLine="0"/>
                                <w:jc w:val="both"/>
                                <w:rPr>
                                  <w:position w:val="9"/>
                                  <w:sz w:val="17"/>
                                </w:rPr>
                              </w:pPr>
                              <w:r>
                                <w:rPr>
                                  <w:sz w:val="22"/>
                                </w:rPr>
                                <w:t>The combined estrogen-progestin approach makes sense for patients previously </w:t>
                              </w:r>
                              <w:r>
                                <w:rPr>
                                  <w:sz w:val="22"/>
                                </w:rPr>
                                <w:t>treated</w:t>
                              </w:r>
                              <w:r>
                                <w:rPr>
                                  <w:spacing w:val="40"/>
                                  <w:sz w:val="22"/>
                                </w:rPr>
                                <w:t> </w:t>
                              </w:r>
                              <w:r>
                                <w:rPr>
                                  <w:sz w:val="22"/>
                                </w:rPr>
                                <w:t>for endometrioid tumors of the ovary.</w:t>
                              </w:r>
                              <w:r>
                                <w:rPr>
                                  <w:position w:val="9"/>
                                  <w:sz w:val="17"/>
                                </w:rPr>
                                <w:t>160</w:t>
                              </w:r>
                            </w:p>
                          </w:txbxContent>
                        </wps:txbx>
                        <wps:bodyPr wrap="square" lIns="0" tIns="0" rIns="0" bIns="0" rtlCol="0">
                          <a:noAutofit/>
                        </wps:bodyPr>
                      </wps:wsp>
                    </wpg:wgp>
                  </a:graphicData>
                </a:graphic>
              </wp:inline>
            </w:drawing>
          </mc:Choice>
          <mc:Fallback>
            <w:pict>
              <v:group style="width:457.5pt;height:99pt;mso-position-horizontal-relative:char;mso-position-vertical-relative:line" id="docshapegroup110" coordorigin="0,0" coordsize="9150,1980">
                <v:rect style="position:absolute;left:0;top:0;width:9150;height:1980" id="docshape111" filled="true" fillcolor="#e9f1cd" stroked="false">
                  <v:fill type="solid"/>
                </v:rect>
                <v:shape style="position:absolute;left:209;top:105;width:75;height:885" id="docshape112" coordorigin="210,105" coordsize="75,885" path="m285,947l284,943,280,933,278,929,271,922,266,920,257,916,252,915,243,915,238,916,229,920,224,922,217,929,215,933,211,943,210,947,210,957,211,962,215,971,217,975,224,983,229,985,238,989,243,990,252,990,257,989,266,985,271,983,278,975,280,971,284,962,285,957,285,953,285,947xm285,138l284,133,280,124,278,120,271,112,266,110,257,106,252,105,243,105,238,106,229,110,224,112,217,120,215,124,211,133,210,138,210,147,211,152,215,161,217,165,224,173,229,175,238,179,243,180,252,180,257,179,266,175,271,173,278,165,280,161,284,152,285,147,285,143,285,138xe" filled="true" fillcolor="#2b816f" stroked="false">
                  <v:path arrowok="t"/>
                  <v:fill type="solid"/>
                </v:shape>
                <v:shape style="position:absolute;left:0;top:0;width:9150;height:1980" type="#_x0000_t202" id="docshape113" filled="false" stroked="false">
                  <v:textbox inset="0,0,0,0">
                    <w:txbxContent>
                      <w:p>
                        <w:pPr>
                          <w:spacing w:line="256" w:lineRule="auto" w:before="4"/>
                          <w:ind w:left="444" w:right="743" w:firstLine="0"/>
                          <w:jc w:val="both"/>
                          <w:rPr>
                            <w:sz w:val="22"/>
                          </w:rPr>
                        </w:pPr>
                        <w:r>
                          <w:rPr>
                            <w:sz w:val="22"/>
                          </w:rPr>
                          <w:t>In women undergoing hysterectomy for the management of early-stage </w:t>
                        </w:r>
                        <w:r>
                          <w:rPr>
                            <w:sz w:val="22"/>
                          </w:rPr>
                          <w:t>endometrial adenocarcinoma,</w:t>
                        </w:r>
                        <w:r>
                          <w:rPr>
                            <w:spacing w:val="40"/>
                            <w:sz w:val="22"/>
                          </w:rPr>
                          <w:t> </w:t>
                        </w:r>
                        <w:r>
                          <w:rPr>
                            <w:sz w:val="22"/>
                          </w:rPr>
                          <w:t>if</w:t>
                        </w:r>
                        <w:r>
                          <w:rPr>
                            <w:spacing w:val="40"/>
                            <w:sz w:val="22"/>
                          </w:rPr>
                          <w:t> </w:t>
                        </w:r>
                        <w:r>
                          <w:rPr>
                            <w:sz w:val="22"/>
                          </w:rPr>
                          <w:t>HT</w:t>
                        </w:r>
                        <w:r>
                          <w:rPr>
                            <w:spacing w:val="40"/>
                            <w:sz w:val="22"/>
                          </w:rPr>
                          <w:t> </w:t>
                        </w:r>
                        <w:r>
                          <w:rPr>
                            <w:sz w:val="22"/>
                          </w:rPr>
                          <w:t>is</w:t>
                        </w:r>
                        <w:r>
                          <w:rPr>
                            <w:spacing w:val="40"/>
                            <w:sz w:val="22"/>
                          </w:rPr>
                          <w:t> </w:t>
                        </w:r>
                        <w:r>
                          <w:rPr>
                            <w:sz w:val="22"/>
                          </w:rPr>
                          <w:t>being</w:t>
                        </w:r>
                        <w:r>
                          <w:rPr>
                            <w:spacing w:val="40"/>
                            <w:sz w:val="22"/>
                          </w:rPr>
                          <w:t> </w:t>
                        </w:r>
                        <w:r>
                          <w:rPr>
                            <w:sz w:val="22"/>
                          </w:rPr>
                          <w:t>considered</w:t>
                        </w:r>
                        <w:r>
                          <w:rPr>
                            <w:spacing w:val="40"/>
                            <w:sz w:val="22"/>
                          </w:rPr>
                          <w:t> </w:t>
                        </w:r>
                        <w:r>
                          <w:rPr>
                            <w:sz w:val="22"/>
                          </w:rPr>
                          <w:t>for</w:t>
                        </w:r>
                        <w:r>
                          <w:rPr>
                            <w:spacing w:val="40"/>
                            <w:sz w:val="22"/>
                          </w:rPr>
                          <w:t> </w:t>
                        </w:r>
                        <w:r>
                          <w:rPr>
                            <w:sz w:val="22"/>
                          </w:rPr>
                          <w:t>symptom</w:t>
                        </w:r>
                        <w:r>
                          <w:rPr>
                            <w:spacing w:val="40"/>
                            <w:sz w:val="22"/>
                          </w:rPr>
                          <w:t> </w:t>
                        </w:r>
                        <w:r>
                          <w:rPr>
                            <w:sz w:val="22"/>
                          </w:rPr>
                          <w:t>control,</w:t>
                        </w:r>
                        <w:r>
                          <w:rPr>
                            <w:spacing w:val="40"/>
                            <w:sz w:val="22"/>
                          </w:rPr>
                          <w:t> </w:t>
                        </w:r>
                        <w:r>
                          <w:rPr>
                            <w:sz w:val="22"/>
                          </w:rPr>
                          <w:t>a</w:t>
                        </w:r>
                        <w:r>
                          <w:rPr>
                            <w:spacing w:val="40"/>
                            <w:sz w:val="22"/>
                          </w:rPr>
                          <w:t> </w:t>
                        </w:r>
                        <w:r>
                          <w:rPr>
                            <w:sz w:val="22"/>
                          </w:rPr>
                          <w:t>combination regimen is advised, given the potential protective action of the progestational agent.</w:t>
                        </w:r>
                      </w:p>
                      <w:p>
                        <w:pPr>
                          <w:spacing w:line="242" w:lineRule="auto" w:before="0"/>
                          <w:ind w:left="444" w:right="746" w:firstLine="0"/>
                          <w:jc w:val="both"/>
                          <w:rPr>
                            <w:position w:val="9"/>
                            <w:sz w:val="17"/>
                          </w:rPr>
                        </w:pPr>
                        <w:r>
                          <w:rPr>
                            <w:sz w:val="22"/>
                          </w:rPr>
                          <w:t>The combined estrogen-progestin approach makes sense for patients previously </w:t>
                        </w:r>
                        <w:r>
                          <w:rPr>
                            <w:sz w:val="22"/>
                          </w:rPr>
                          <w:t>treated</w:t>
                        </w:r>
                        <w:r>
                          <w:rPr>
                            <w:spacing w:val="40"/>
                            <w:sz w:val="22"/>
                          </w:rPr>
                          <w:t> </w:t>
                        </w:r>
                        <w:r>
                          <w:rPr>
                            <w:sz w:val="22"/>
                          </w:rPr>
                          <w:t>for endometrioid tumors of the ovary.</w:t>
                        </w:r>
                        <w:r>
                          <w:rPr>
                            <w:position w:val="9"/>
                            <w:sz w:val="17"/>
                          </w:rPr>
                          <w:t>160</w:t>
                        </w:r>
                      </w:p>
                    </w:txbxContent>
                  </v:textbox>
                  <w10:wrap type="none"/>
                </v:shape>
              </v:group>
            </w:pict>
          </mc:Fallback>
        </mc:AlternateContent>
      </w:r>
      <w:r>
        <w:rPr>
          <w:sz w:val="20"/>
        </w:rPr>
      </w:r>
    </w:p>
    <w:p>
      <w:pPr>
        <w:pStyle w:val="BodyText"/>
        <w:spacing w:before="0"/>
        <w:ind w:left="0"/>
        <w:jc w:val="left"/>
        <w:rPr>
          <w:sz w:val="20"/>
        </w:rPr>
      </w:pPr>
    </w:p>
    <w:p>
      <w:pPr>
        <w:pStyle w:val="BodyText"/>
        <w:spacing w:before="0"/>
        <w:ind w:left="0"/>
        <w:jc w:val="left"/>
        <w:rPr>
          <w:sz w:val="20"/>
        </w:rPr>
      </w:pPr>
    </w:p>
    <w:p>
      <w:pPr>
        <w:pStyle w:val="BodyText"/>
        <w:spacing w:before="161"/>
        <w:ind w:left="0"/>
        <w:jc w:val="left"/>
        <w:rPr>
          <w:sz w:val="20"/>
        </w:rPr>
      </w:pPr>
      <w:r>
        <w:rPr>
          <w:sz w:val="20"/>
        </w:rPr>
        <mc:AlternateContent>
          <mc:Choice Requires="wps">
            <w:drawing>
              <wp:anchor distT="0" distB="0" distL="0" distR="0" allowOverlap="1" layoutInCell="1" locked="0" behindDoc="1" simplePos="0" relativeHeight="487628800">
                <wp:simplePos x="0" y="0"/>
                <wp:positionH relativeFrom="page">
                  <wp:posOffset>981075</wp:posOffset>
                </wp:positionH>
                <wp:positionV relativeFrom="paragraph">
                  <wp:posOffset>263550</wp:posOffset>
                </wp:positionV>
                <wp:extent cx="285750" cy="5715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285750" cy="57150"/>
                        </a:xfrm>
                        <a:custGeom>
                          <a:avLst/>
                          <a:gdLst/>
                          <a:ahLst/>
                          <a:cxnLst/>
                          <a:rect l="l" t="t" r="r" b="b"/>
                          <a:pathLst>
                            <a:path w="285750" h="57150">
                              <a:moveTo>
                                <a:pt x="32364" y="57130"/>
                              </a:moveTo>
                              <a:lnTo>
                                <a:pt x="24785" y="57130"/>
                              </a:lnTo>
                              <a:lnTo>
                                <a:pt x="21140" y="56407"/>
                              </a:lnTo>
                              <a:lnTo>
                                <a:pt x="0" y="32346"/>
                              </a:lnTo>
                              <a:lnTo>
                                <a:pt x="0" y="24784"/>
                              </a:lnTo>
                              <a:lnTo>
                                <a:pt x="24785" y="0"/>
                              </a:lnTo>
                              <a:lnTo>
                                <a:pt x="32364" y="0"/>
                              </a:lnTo>
                              <a:lnTo>
                                <a:pt x="57149" y="24784"/>
                              </a:lnTo>
                              <a:lnTo>
                                <a:pt x="57149" y="32346"/>
                              </a:lnTo>
                              <a:lnTo>
                                <a:pt x="32364" y="57130"/>
                              </a:lnTo>
                              <a:close/>
                            </a:path>
                            <a:path w="285750" h="57150">
                              <a:moveTo>
                                <a:pt x="146569" y="57130"/>
                              </a:moveTo>
                              <a:lnTo>
                                <a:pt x="138990" y="57130"/>
                              </a:lnTo>
                              <a:lnTo>
                                <a:pt x="135345" y="56407"/>
                              </a:lnTo>
                              <a:lnTo>
                                <a:pt x="114204" y="32346"/>
                              </a:lnTo>
                              <a:lnTo>
                                <a:pt x="114204" y="24784"/>
                              </a:lnTo>
                              <a:lnTo>
                                <a:pt x="138990" y="0"/>
                              </a:lnTo>
                              <a:lnTo>
                                <a:pt x="146569" y="0"/>
                              </a:lnTo>
                              <a:lnTo>
                                <a:pt x="171354" y="24784"/>
                              </a:lnTo>
                              <a:lnTo>
                                <a:pt x="171354" y="32346"/>
                              </a:lnTo>
                              <a:lnTo>
                                <a:pt x="146569" y="57130"/>
                              </a:lnTo>
                              <a:close/>
                            </a:path>
                            <a:path w="285750" h="57150">
                              <a:moveTo>
                                <a:pt x="260773" y="57130"/>
                              </a:moveTo>
                              <a:lnTo>
                                <a:pt x="253195" y="57130"/>
                              </a:lnTo>
                              <a:lnTo>
                                <a:pt x="249550" y="56407"/>
                              </a:lnTo>
                              <a:lnTo>
                                <a:pt x="228409" y="32346"/>
                              </a:lnTo>
                              <a:lnTo>
                                <a:pt x="228409" y="24784"/>
                              </a:lnTo>
                              <a:lnTo>
                                <a:pt x="253195" y="0"/>
                              </a:lnTo>
                              <a:lnTo>
                                <a:pt x="260773" y="0"/>
                              </a:lnTo>
                              <a:lnTo>
                                <a:pt x="285559" y="24784"/>
                              </a:lnTo>
                              <a:lnTo>
                                <a:pt x="285559" y="32346"/>
                              </a:lnTo>
                              <a:lnTo>
                                <a:pt x="260773" y="5713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20.751976pt;width:22.5pt;height:4.5pt;mso-position-horizontal-relative:page;mso-position-vertical-relative:paragraph;z-index:-15687680;mso-wrap-distance-left:0;mso-wrap-distance-right:0" id="docshape114" coordorigin="1545,415" coordsize="450,90" path="m1596,505l1584,505,1578,504,1567,499,1562,496,1554,488,1551,483,1546,472,1545,466,1545,454,1546,448,1551,437,1554,432,1562,424,1567,421,1578,416,1584,415,1596,415,1602,416,1613,421,1618,424,1626,432,1629,437,1634,448,1635,454,1635,466,1634,472,1629,483,1626,488,1618,496,1613,499,1602,504,1596,505xm1776,505l1764,505,1758,504,1747,499,1742,496,1734,488,1731,483,1726,472,1725,466,1725,454,1726,448,1731,437,1734,432,1742,424,1747,421,1758,416,1764,415,1776,415,1782,416,1793,421,1797,424,1806,432,1809,437,1814,448,1815,454,1815,466,1814,472,1809,483,1806,488,1797,496,1793,499,1782,504,1776,505xm1956,505l1944,505,1938,504,1927,499,1922,496,1914,488,1910,483,1906,472,1905,466,1905,454,1906,448,1910,437,1914,432,1922,424,1927,421,1938,416,1944,415,1956,415,1961,416,1972,421,1977,424,1986,432,1989,437,1994,448,1995,454,1995,466,1994,472,1989,483,1986,488,1977,496,1972,499,1961,504,1956,505xe" filled="true" fillcolor="#bdb4d4" stroked="false">
                <v:path arrowok="t"/>
                <v:fill type="solid"/>
                <w10:wrap type="topAndBottom"/>
              </v:shape>
            </w:pict>
          </mc:Fallback>
        </mc:AlternateContent>
      </w:r>
    </w:p>
    <w:p>
      <w:pPr>
        <w:pStyle w:val="Heading3"/>
        <w:jc w:val="both"/>
      </w:pPr>
      <w:r>
        <w:rPr>
          <w:color w:val="534089"/>
        </w:rPr>
        <w:t>ROLE</w:t>
      </w:r>
      <w:r>
        <w:rPr>
          <w:color w:val="534089"/>
          <w:spacing w:val="-5"/>
        </w:rPr>
        <w:t> </w:t>
      </w:r>
      <w:r>
        <w:rPr>
          <w:color w:val="534089"/>
        </w:rPr>
        <w:t>OF</w:t>
      </w:r>
      <w:r>
        <w:rPr>
          <w:color w:val="534089"/>
          <w:spacing w:val="-5"/>
        </w:rPr>
        <w:t> </w:t>
      </w:r>
      <w:r>
        <w:rPr>
          <w:color w:val="534089"/>
        </w:rPr>
        <w:t>ANDROGENS</w:t>
      </w:r>
      <w:r>
        <w:rPr>
          <w:color w:val="534089"/>
          <w:spacing w:val="-4"/>
        </w:rPr>
        <w:t> </w:t>
      </w:r>
      <w:r>
        <w:rPr>
          <w:color w:val="534089"/>
        </w:rPr>
        <w:t>IN</w:t>
      </w:r>
      <w:r>
        <w:rPr>
          <w:color w:val="534089"/>
          <w:spacing w:val="-5"/>
        </w:rPr>
        <w:t> </w:t>
      </w:r>
      <w:r>
        <w:rPr>
          <w:color w:val="534089"/>
        </w:rPr>
        <w:t>MENOPAUSE</w:t>
      </w:r>
      <w:r>
        <w:rPr>
          <w:color w:val="534089"/>
          <w:spacing w:val="-4"/>
        </w:rPr>
        <w:t> </w:t>
      </w:r>
      <w:r>
        <w:rPr>
          <w:color w:val="534089"/>
          <w:spacing w:val="-2"/>
        </w:rPr>
        <w:t>MANAGEMENT</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29312">
                <wp:simplePos x="0" y="0"/>
                <wp:positionH relativeFrom="page">
                  <wp:posOffset>981075</wp:posOffset>
                </wp:positionH>
                <wp:positionV relativeFrom="paragraph">
                  <wp:posOffset>45749</wp:posOffset>
                </wp:positionV>
                <wp:extent cx="5810250" cy="1905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288pt;width:457.499964pt;height:1.5pt;mso-position-horizontal-relative:page;mso-position-vertical-relative:paragraph;z-index:-15687168;mso-wrap-distance-left:0;mso-wrap-distance-right:0" id="docshape115" filled="true" fillcolor="#534089" stroked="false">
                <v:fill type="solid"/>
                <w10:wrap type="topAndBottom"/>
              </v:rect>
            </w:pict>
          </mc:Fallback>
        </mc:AlternateContent>
      </w:r>
    </w:p>
    <w:p>
      <w:pPr>
        <w:pStyle w:val="BodyText"/>
        <w:spacing w:line="249" w:lineRule="auto" w:before="215"/>
        <w:ind w:right="98"/>
      </w:pPr>
      <w:r>
        <w:rPr/>
        <w:t>The total amount of testosterone produced after menopause is decreased because the amount of the primary source, peripheral conversion of androstenedione, is reduced. The early postmenopausal circulating level </w:t>
      </w:r>
      <w:r>
        <w:rPr/>
        <w:t>of androstenedione decreases approximately 62% from young adult life.</w:t>
      </w:r>
      <w:r>
        <w:rPr>
          <w:vertAlign w:val="superscript"/>
        </w:rPr>
        <w:t>161</w:t>
      </w:r>
      <w:r>
        <w:rPr>
          <w:vertAlign w:val="baseline"/>
        </w:rPr>
        <w:t> Nevertheless, the menopausal decline in the circulating levels of testosterone is not great, from no change in many women to as much as 15% in others.</w:t>
      </w:r>
      <w:r>
        <w:rPr>
          <w:vertAlign w:val="superscript"/>
        </w:rPr>
        <w:t>156,161-163</w:t>
      </w:r>
      <w:r>
        <w:rPr>
          <w:vertAlign w:val="baseline"/>
        </w:rPr>
        <w:t> In an excellent longitudinal Australian study from 5 years before menopause to 7 years after menopause, the circulating levels</w:t>
      </w:r>
      <w:r>
        <w:rPr>
          <w:spacing w:val="80"/>
          <w:vertAlign w:val="baseline"/>
        </w:rPr>
        <w:t> </w:t>
      </w:r>
      <w:r>
        <w:rPr>
          <w:vertAlign w:val="baseline"/>
        </w:rPr>
        <w:t>of testosterone did not change.</w:t>
      </w:r>
      <w:r>
        <w:rPr>
          <w:vertAlign w:val="superscript"/>
        </w:rPr>
        <w:t>164</w:t>
      </w:r>
      <w:r>
        <w:rPr>
          <w:vertAlign w:val="baseline"/>
        </w:rPr>
        <w:t> Indeed, because of a decrease in SHBG, this Australian study calculated an increase in free androgens. The total amount of testosterone produced per day, however, is slightly decreased because the primary source, the peripheral conversion of androstenedione,</w:t>
      </w:r>
      <w:r>
        <w:rPr>
          <w:spacing w:val="40"/>
          <w:vertAlign w:val="baseline"/>
        </w:rPr>
        <w:t> </w:t>
      </w:r>
      <w:r>
        <w:rPr>
          <w:vertAlign w:val="baseline"/>
        </w:rPr>
        <w:t>is reduced. Because of this decrease, some argue for inclusion of an androgen in menopausal HT regimen.</w:t>
      </w:r>
    </w:p>
    <w:p>
      <w:pPr>
        <w:pStyle w:val="BodyText"/>
        <w:spacing w:line="249" w:lineRule="auto" w:before="17"/>
        <w:ind w:right="102" w:firstLine="450"/>
      </w:pPr>
      <w:r>
        <w:rPr/>
        <w:t>The potential benefits of androgen treatment include improvement in psychological well-being and an increase in sexually motivated behavior. </w:t>
      </w:r>
      <w:r>
        <w:rPr>
          <w:b/>
        </w:rPr>
        <w:t>Hypoactive sexual desire disorder is defined as a decrease in </w:t>
      </w:r>
      <w:r>
        <w:rPr>
          <w:b/>
        </w:rPr>
        <w:t>sexual activity sufficient to cause distress. </w:t>
      </w:r>
      <w:r>
        <w:rPr/>
        <w:t>Beneficial effects of androgen treatment have been reported with the administration of relatively large doses of androgen.</w:t>
      </w:r>
      <w:r>
        <w:rPr>
          <w:vertAlign w:val="superscript"/>
        </w:rPr>
        <w:t>165</w:t>
      </w:r>
      <w:r>
        <w:rPr>
          <w:vertAlign w:val="baseline"/>
        </w:rPr>
        <w:t> In a well-designed, placebo-controlled study, lower doses of androgen (but still very pharmacologic, 5 mg methyltestosterone) contributed little to actual sexual behavior, although an increase in sexual fantasies and masturbation could be documented.</w:t>
      </w:r>
      <w:r>
        <w:rPr>
          <w:vertAlign w:val="superscript"/>
        </w:rPr>
        <w:t>166</w:t>
      </w:r>
      <w:r>
        <w:rPr>
          <w:vertAlign w:val="baseline"/>
        </w:rPr>
        <w:t> Transdermal testosterone</w:t>
      </w:r>
      <w:r>
        <w:rPr>
          <w:spacing w:val="-3"/>
          <w:vertAlign w:val="baseline"/>
        </w:rPr>
        <w:t> </w:t>
      </w:r>
      <w:r>
        <w:rPr>
          <w:vertAlign w:val="baseline"/>
        </w:rPr>
        <w:t>treatment</w:t>
      </w:r>
      <w:r>
        <w:rPr>
          <w:spacing w:val="-3"/>
          <w:vertAlign w:val="baseline"/>
        </w:rPr>
        <w:t> </w:t>
      </w:r>
      <w:r>
        <w:rPr>
          <w:vertAlign w:val="baseline"/>
        </w:rPr>
        <w:t>of</w:t>
      </w:r>
      <w:r>
        <w:rPr>
          <w:spacing w:val="-3"/>
          <w:vertAlign w:val="baseline"/>
        </w:rPr>
        <w:t> </w:t>
      </w:r>
      <w:r>
        <w:rPr>
          <w:vertAlign w:val="baseline"/>
        </w:rPr>
        <w:t>women</w:t>
      </w:r>
      <w:r>
        <w:rPr>
          <w:spacing w:val="-3"/>
          <w:vertAlign w:val="baseline"/>
        </w:rPr>
        <w:t> </w:t>
      </w:r>
      <w:r>
        <w:rPr>
          <w:vertAlign w:val="baseline"/>
        </w:rPr>
        <w:t>improved</w:t>
      </w:r>
      <w:r>
        <w:rPr>
          <w:spacing w:val="-3"/>
          <w:vertAlign w:val="baseline"/>
        </w:rPr>
        <w:t> </w:t>
      </w:r>
      <w:r>
        <w:rPr>
          <w:vertAlign w:val="baseline"/>
        </w:rPr>
        <w:t>sexual</w:t>
      </w:r>
      <w:r>
        <w:rPr>
          <w:spacing w:val="-3"/>
          <w:vertAlign w:val="baseline"/>
        </w:rPr>
        <w:t> </w:t>
      </w:r>
      <w:r>
        <w:rPr>
          <w:vertAlign w:val="baseline"/>
        </w:rPr>
        <w:t>function</w:t>
      </w:r>
      <w:r>
        <w:rPr>
          <w:spacing w:val="-3"/>
          <w:vertAlign w:val="baseline"/>
        </w:rPr>
        <w:t> </w:t>
      </w:r>
      <w:r>
        <w:rPr>
          <w:vertAlign w:val="baseline"/>
        </w:rPr>
        <w:t>compared</w:t>
      </w:r>
      <w:r>
        <w:rPr>
          <w:spacing w:val="-3"/>
          <w:vertAlign w:val="baseline"/>
        </w:rPr>
        <w:t> </w:t>
      </w:r>
      <w:r>
        <w:rPr>
          <w:vertAlign w:val="baseline"/>
        </w:rPr>
        <w:t>with</w:t>
      </w:r>
      <w:r>
        <w:rPr>
          <w:spacing w:val="-3"/>
          <w:vertAlign w:val="baseline"/>
        </w:rPr>
        <w:t> </w:t>
      </w:r>
      <w:r>
        <w:rPr>
          <w:vertAlign w:val="baseline"/>
        </w:rPr>
        <w:t>a placebo</w:t>
      </w:r>
      <w:r>
        <w:rPr>
          <w:spacing w:val="4"/>
          <w:vertAlign w:val="baseline"/>
        </w:rPr>
        <w:t> </w:t>
      </w:r>
      <w:r>
        <w:rPr>
          <w:vertAlign w:val="baseline"/>
        </w:rPr>
        <w:t>group</w:t>
      </w:r>
      <w:r>
        <w:rPr>
          <w:spacing w:val="4"/>
          <w:vertAlign w:val="baseline"/>
        </w:rPr>
        <w:t> </w:t>
      </w:r>
      <w:r>
        <w:rPr>
          <w:vertAlign w:val="baseline"/>
        </w:rPr>
        <w:t>but</w:t>
      </w:r>
      <w:r>
        <w:rPr>
          <w:spacing w:val="4"/>
          <w:vertAlign w:val="baseline"/>
        </w:rPr>
        <w:t> </w:t>
      </w:r>
      <w:r>
        <w:rPr>
          <w:vertAlign w:val="baseline"/>
        </w:rPr>
        <w:t>only</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dose</w:t>
      </w:r>
      <w:r>
        <w:rPr>
          <w:spacing w:val="4"/>
          <w:vertAlign w:val="baseline"/>
        </w:rPr>
        <w:t> </w:t>
      </w:r>
      <w:r>
        <w:rPr>
          <w:vertAlign w:val="baseline"/>
        </w:rPr>
        <w:t>that</w:t>
      </w:r>
      <w:r>
        <w:rPr>
          <w:spacing w:val="4"/>
          <w:vertAlign w:val="baseline"/>
        </w:rPr>
        <w:t> </w:t>
      </w:r>
      <w:r>
        <w:rPr>
          <w:vertAlign w:val="baseline"/>
        </w:rPr>
        <w:t>raised</w:t>
      </w:r>
      <w:r>
        <w:rPr>
          <w:spacing w:val="4"/>
          <w:vertAlign w:val="baseline"/>
        </w:rPr>
        <w:t> </w:t>
      </w:r>
      <w:r>
        <w:rPr>
          <w:vertAlign w:val="baseline"/>
        </w:rPr>
        <w:t>circulating</w:t>
      </w:r>
      <w:r>
        <w:rPr>
          <w:spacing w:val="4"/>
          <w:vertAlign w:val="baseline"/>
        </w:rPr>
        <w:t> </w:t>
      </w:r>
      <w:r>
        <w:rPr>
          <w:vertAlign w:val="baseline"/>
        </w:rPr>
        <w:t>testosterone</w:t>
      </w:r>
      <w:r>
        <w:rPr>
          <w:spacing w:val="4"/>
          <w:vertAlign w:val="baseline"/>
        </w:rPr>
        <w:t> </w:t>
      </w:r>
      <w:r>
        <w:rPr>
          <w:spacing w:val="-2"/>
          <w:vertAlign w:val="baseline"/>
        </w:rPr>
        <w:t>levels</w:t>
      </w:r>
    </w:p>
    <w:p>
      <w:pPr>
        <w:pStyle w:val="BodyText"/>
        <w:spacing w:after="0" w:line="249" w:lineRule="auto"/>
        <w:sectPr>
          <w:pgSz w:w="12240" w:h="15840"/>
          <w:pgMar w:top="1440" w:bottom="280" w:left="1440" w:right="1440"/>
        </w:sectPr>
      </w:pPr>
    </w:p>
    <w:p>
      <w:pPr>
        <w:pStyle w:val="BodyText"/>
        <w:spacing w:line="249" w:lineRule="auto"/>
        <w:ind w:right="99"/>
      </w:pPr>
      <w:r>
        <w:rPr/>
        <w:t>to about 100 ng/dL. (The upper limit of normal for reproductive-aged women is 80 ng/dL in most laboratories.)</w:t>
      </w:r>
      <w:r>
        <w:rPr>
          <w:vertAlign w:val="superscript"/>
        </w:rPr>
        <w:t>167</w:t>
      </w:r>
      <w:r>
        <w:rPr>
          <w:vertAlign w:val="baseline"/>
        </w:rPr>
        <w:t> In a recent systematic </w:t>
      </w:r>
      <w:r>
        <w:rPr>
          <w:vertAlign w:val="baseline"/>
        </w:rPr>
        <w:t>review</w:t>
      </w:r>
      <w:r>
        <w:rPr>
          <w:spacing w:val="40"/>
          <w:vertAlign w:val="baseline"/>
        </w:rPr>
        <w:t> </w:t>
      </w:r>
      <w:r>
        <w:rPr>
          <w:vertAlign w:val="baseline"/>
        </w:rPr>
        <w:t>on the topic, while concluding that existing data support that testosterone therapy alleviates many of the signs and symptoms related to sexual dysfunction in menopausal women, the authors underscored a need for additional studies, given that existing evidence is limited due to the small sample sizes and the relatively few studies on the topic.</w:t>
      </w:r>
    </w:p>
    <w:p>
      <w:pPr>
        <w:pStyle w:val="BodyText"/>
        <w:spacing w:line="249" w:lineRule="auto" w:before="8"/>
        <w:ind w:right="100" w:firstLine="450"/>
      </w:pPr>
      <w:r>
        <w:rPr/>
        <w:t>Any benefit must be balanced by the unwanted effects, in particular virilization (acne, alopecia, and hirsutism) and a negative impact on the cholesterol-lipoprotein profile. In a short-term study comparing a </w:t>
      </w:r>
      <w:r>
        <w:rPr/>
        <w:t>product with estrogen and a relatively low oral dose of testosterone (1.25-mg methyltestosterone) to estrogen alone, a negative impact on the lipid profile was apparent within 3 months of initiating treatment.</w:t>
      </w:r>
      <w:r>
        <w:rPr>
          <w:vertAlign w:val="superscript"/>
        </w:rPr>
        <w:t>168</w:t>
      </w:r>
      <w:r>
        <w:rPr>
          <w:vertAlign w:val="baseline"/>
        </w:rPr>
        <w:t> Over a 2-year period, the administration of estrogen (1.25 mg) combined with 2.5-mg methyltestosterone produced a significant overall adverse impact on the cholesterol-lipoprotein profile.</w:t>
      </w:r>
      <w:r>
        <w:rPr>
          <w:vertAlign w:val="superscript"/>
        </w:rPr>
        <w:t>169</w:t>
      </w:r>
      <w:r>
        <w:rPr>
          <w:vertAlign w:val="baseline"/>
        </w:rPr>
        <w:t> In addition, 30% of the patients experienced acne, and 36% developed facial hirsutism. A lower dose of this combination (0.625-mg esterified estrogens and 1.25-mg methyltestosterone) also significantly lowered HDL cholesterol.</w:t>
      </w:r>
      <w:r>
        <w:rPr>
          <w:vertAlign w:val="superscript"/>
        </w:rPr>
        <w:t>170</w:t>
      </w:r>
      <w:r>
        <w:rPr>
          <w:vertAlign w:val="baseline"/>
        </w:rPr>
        <w:t> The adverse impact on the lipid profile is less (and may even be avoided) by the parenteral</w:t>
      </w:r>
      <w:r>
        <w:rPr>
          <w:spacing w:val="-2"/>
          <w:vertAlign w:val="baseline"/>
        </w:rPr>
        <w:t> </w:t>
      </w:r>
      <w:r>
        <w:rPr>
          <w:vertAlign w:val="baseline"/>
        </w:rPr>
        <w:t>administration</w:t>
      </w:r>
      <w:r>
        <w:rPr>
          <w:spacing w:val="-2"/>
          <w:vertAlign w:val="baseline"/>
        </w:rPr>
        <w:t> </w:t>
      </w:r>
      <w:r>
        <w:rPr>
          <w:vertAlign w:val="baseline"/>
        </w:rPr>
        <w:t>of</w:t>
      </w:r>
      <w:r>
        <w:rPr>
          <w:spacing w:val="-2"/>
          <w:vertAlign w:val="baseline"/>
        </w:rPr>
        <w:t> </w:t>
      </w:r>
      <w:r>
        <w:rPr>
          <w:vertAlign w:val="baseline"/>
        </w:rPr>
        <w:t>testosterone.</w:t>
      </w:r>
      <w:r>
        <w:rPr>
          <w:vertAlign w:val="superscript"/>
        </w:rPr>
        <w:t>171</w:t>
      </w:r>
      <w:r>
        <w:rPr>
          <w:vertAlign w:val="baseline"/>
        </w:rPr>
        <w:t> Of course, the clinical effects of these metabolic changes are not known.</w:t>
      </w:r>
    </w:p>
    <w:p>
      <w:pPr>
        <w:pStyle w:val="BodyText"/>
        <w:spacing w:line="249" w:lineRule="auto" w:before="19"/>
        <w:ind w:right="97" w:firstLine="450"/>
      </w:pPr>
      <w:r>
        <w:rPr>
          <w:b/>
        </w:rPr>
        <w:t>It should be remembered that androgens do not protect the endometrium from unopposed effects of estrogen, and the addition of a progestin is still necessary. </w:t>
      </w:r>
      <w:r>
        <w:rPr/>
        <w:t>It is uncertain (and unstudied) how much aromatization, especially local aromatization in target tissues, of the administered testosterone increases the estrogen impact and whether this might increase the risk of endometrial and/or breast cancer. The addition of androgen to standard HT regimen does not reduce the amount </w:t>
      </w:r>
      <w:r>
        <w:rPr/>
        <w:t>of breakthrough bleeding women experience with a continuous combination (estrogen + progestin) regimen.</w:t>
      </w:r>
      <w:r>
        <w:rPr>
          <w:vertAlign w:val="superscript"/>
        </w:rPr>
        <w:t>169,172</w:t>
      </w:r>
      <w:r>
        <w:rPr>
          <w:vertAlign w:val="baseline"/>
        </w:rPr>
        <w:t> Adding testosterone to an ET program has been reported to provide no additional beneficial impact on the bone or on</w:t>
      </w:r>
      <w:r>
        <w:rPr>
          <w:spacing w:val="-8"/>
          <w:vertAlign w:val="baseline"/>
        </w:rPr>
        <w:t> </w:t>
      </w:r>
      <w:r>
        <w:rPr>
          <w:vertAlign w:val="baseline"/>
        </w:rPr>
        <w:t>relief</w:t>
      </w:r>
      <w:r>
        <w:rPr>
          <w:spacing w:val="-8"/>
          <w:vertAlign w:val="baseline"/>
        </w:rPr>
        <w:t> </w:t>
      </w:r>
      <w:r>
        <w:rPr>
          <w:vertAlign w:val="baseline"/>
        </w:rPr>
        <w:t>from</w:t>
      </w:r>
      <w:r>
        <w:rPr>
          <w:spacing w:val="-8"/>
          <w:vertAlign w:val="baseline"/>
        </w:rPr>
        <w:t> </w:t>
      </w:r>
      <w:r>
        <w:rPr>
          <w:vertAlign w:val="baseline"/>
        </w:rPr>
        <w:t>hot</w:t>
      </w:r>
      <w:r>
        <w:rPr>
          <w:spacing w:val="-8"/>
          <w:vertAlign w:val="baseline"/>
        </w:rPr>
        <w:t> </w:t>
      </w:r>
      <w:r>
        <w:rPr>
          <w:vertAlign w:val="baseline"/>
        </w:rPr>
        <w:t>flushes.</w:t>
      </w:r>
      <w:r>
        <w:rPr>
          <w:vertAlign w:val="superscript"/>
        </w:rPr>
        <w:t>169,173</w:t>
      </w:r>
      <w:r>
        <w:rPr>
          <w:spacing w:val="-6"/>
          <w:vertAlign w:val="baseline"/>
        </w:rPr>
        <w:t> </w:t>
      </w:r>
      <w:r>
        <w:rPr>
          <w:vertAlign w:val="baseline"/>
        </w:rPr>
        <w:t>On</w:t>
      </w:r>
      <w:r>
        <w:rPr>
          <w:spacing w:val="-6"/>
          <w:vertAlign w:val="baseline"/>
        </w:rPr>
        <w:t> </w:t>
      </w:r>
      <w:r>
        <w:rPr>
          <w:vertAlign w:val="baseline"/>
        </w:rPr>
        <w:t>the</w:t>
      </w:r>
      <w:r>
        <w:rPr>
          <w:spacing w:val="-6"/>
          <w:vertAlign w:val="baseline"/>
        </w:rPr>
        <w:t> </w:t>
      </w:r>
      <w:r>
        <w:rPr>
          <w:vertAlign w:val="baseline"/>
        </w:rPr>
        <w:t>other</w:t>
      </w:r>
      <w:r>
        <w:rPr>
          <w:spacing w:val="-6"/>
          <w:vertAlign w:val="baseline"/>
        </w:rPr>
        <w:t> </w:t>
      </w:r>
      <w:r>
        <w:rPr>
          <w:vertAlign w:val="baseline"/>
        </w:rPr>
        <w:t>hand,</w:t>
      </w:r>
      <w:r>
        <w:rPr>
          <w:spacing w:val="-6"/>
          <w:vertAlign w:val="baseline"/>
        </w:rPr>
        <w:t> </w:t>
      </w:r>
      <w:r>
        <w:rPr>
          <w:vertAlign w:val="baseline"/>
        </w:rPr>
        <w:t>others</w:t>
      </w:r>
      <w:r>
        <w:rPr>
          <w:spacing w:val="-6"/>
          <w:vertAlign w:val="baseline"/>
        </w:rPr>
        <w:t> </w:t>
      </w:r>
      <w:r>
        <w:rPr>
          <w:vertAlign w:val="baseline"/>
        </w:rPr>
        <w:t>have</w:t>
      </w:r>
      <w:r>
        <w:rPr>
          <w:spacing w:val="-6"/>
          <w:vertAlign w:val="baseline"/>
        </w:rPr>
        <w:t> </w:t>
      </w:r>
      <w:r>
        <w:rPr>
          <w:vertAlign w:val="baseline"/>
        </w:rPr>
        <w:t>demonstrated a greater increase in bone density with an estrogen-androgen combination compared with estrogen alone, although the blood levels achieved were higher</w:t>
      </w:r>
      <w:r>
        <w:rPr>
          <w:spacing w:val="48"/>
          <w:vertAlign w:val="baseline"/>
        </w:rPr>
        <w:t> </w:t>
      </w:r>
      <w:r>
        <w:rPr>
          <w:vertAlign w:val="baseline"/>
        </w:rPr>
        <w:t>than</w:t>
      </w:r>
      <w:r>
        <w:rPr>
          <w:spacing w:val="48"/>
          <w:vertAlign w:val="baseline"/>
        </w:rPr>
        <w:t> </w:t>
      </w:r>
      <w:r>
        <w:rPr>
          <w:vertAlign w:val="baseline"/>
        </w:rPr>
        <w:t>those</w:t>
      </w:r>
      <w:r>
        <w:rPr>
          <w:spacing w:val="48"/>
          <w:vertAlign w:val="baseline"/>
        </w:rPr>
        <w:t> </w:t>
      </w:r>
      <w:r>
        <w:rPr>
          <w:vertAlign w:val="baseline"/>
        </w:rPr>
        <w:t>associated</w:t>
      </w:r>
      <w:r>
        <w:rPr>
          <w:spacing w:val="48"/>
          <w:vertAlign w:val="baseline"/>
        </w:rPr>
        <w:t> </w:t>
      </w:r>
      <w:r>
        <w:rPr>
          <w:vertAlign w:val="baseline"/>
        </w:rPr>
        <w:t>with</w:t>
      </w:r>
      <w:r>
        <w:rPr>
          <w:spacing w:val="49"/>
          <w:vertAlign w:val="baseline"/>
        </w:rPr>
        <w:t> </w:t>
      </w:r>
      <w:r>
        <w:rPr>
          <w:vertAlign w:val="baseline"/>
        </w:rPr>
        <w:t>standard</w:t>
      </w:r>
      <w:r>
        <w:rPr>
          <w:spacing w:val="48"/>
          <w:vertAlign w:val="baseline"/>
        </w:rPr>
        <w:t> </w:t>
      </w:r>
      <w:r>
        <w:rPr>
          <w:vertAlign w:val="baseline"/>
        </w:rPr>
        <w:t>menopausal</w:t>
      </w:r>
      <w:r>
        <w:rPr>
          <w:spacing w:val="48"/>
          <w:vertAlign w:val="baseline"/>
        </w:rPr>
        <w:t> </w:t>
      </w:r>
      <w:r>
        <w:rPr>
          <w:vertAlign w:val="baseline"/>
        </w:rPr>
        <w:t>HT.</w:t>
      </w:r>
      <w:r>
        <w:rPr>
          <w:vertAlign w:val="superscript"/>
        </w:rPr>
        <w:t>171</w:t>
      </w:r>
      <w:r>
        <w:rPr>
          <w:spacing w:val="47"/>
          <w:vertAlign w:val="baseline"/>
        </w:rPr>
        <w:t> </w:t>
      </w:r>
      <w:r>
        <w:rPr>
          <w:vertAlign w:val="baseline"/>
        </w:rPr>
        <w:t>In</w:t>
      </w:r>
      <w:r>
        <w:rPr>
          <w:spacing w:val="47"/>
          <w:vertAlign w:val="baseline"/>
        </w:rPr>
        <w:t> </w:t>
      </w:r>
      <w:r>
        <w:rPr>
          <w:spacing w:val="-2"/>
          <w:vertAlign w:val="baseline"/>
        </w:rPr>
        <w:t>another</w:t>
      </w:r>
    </w:p>
    <w:p>
      <w:pPr>
        <w:pStyle w:val="BodyText"/>
        <w:spacing w:after="0" w:line="249" w:lineRule="auto"/>
        <w:sectPr>
          <w:pgSz w:w="12240" w:h="15840"/>
          <w:pgMar w:top="1380" w:bottom="280" w:left="1440" w:right="1440"/>
        </w:sectPr>
      </w:pPr>
    </w:p>
    <w:p>
      <w:pPr>
        <w:pStyle w:val="BodyText"/>
        <w:spacing w:line="249" w:lineRule="auto"/>
        <w:ind w:right="105"/>
      </w:pPr>
      <w:r>
        <w:rPr/>
        <w:t>study, only a very pharmacologic dose of methyltestosterone added to </w:t>
      </w:r>
      <w:r>
        <w:rPr/>
        <w:t>the bone density achieved with estrogen alone.</w:t>
      </w:r>
      <w:r>
        <w:rPr>
          <w:vertAlign w:val="superscript"/>
        </w:rPr>
        <w:t>174</w:t>
      </w:r>
      <w:r>
        <w:rPr>
          <w:vertAlign w:val="baseline"/>
        </w:rPr>
        <w:t> A greater effect on bone associated with androgen treatment may be indirect, reflecting higher free estrogen levels because of a reduction in SHBG and/or androgen-induced changes in muscle mass.</w:t>
      </w:r>
    </w:p>
    <w:p>
      <w:pPr>
        <w:pStyle w:val="BodyText"/>
        <w:spacing w:line="249" w:lineRule="auto" w:before="6"/>
        <w:ind w:right="97" w:firstLine="450"/>
        <w:rPr>
          <w:b/>
        </w:rPr>
      </w:pPr>
      <w:r>
        <w:rPr/>
        <w:t>There is no doubt that pharmacologic amounts of androgen can </w:t>
      </w:r>
      <w:r>
        <w:rPr/>
        <w:t>increase libido, but these same doses result in supraphysiologic levels and produce unwanted effects.</w:t>
      </w:r>
      <w:r>
        <w:rPr>
          <w:vertAlign w:val="superscript"/>
        </w:rPr>
        <w:t>175</w:t>
      </w:r>
      <w:r>
        <w:rPr>
          <w:vertAlign w:val="baseline"/>
        </w:rPr>
        <w:t> In addition, patients on high doses of androgens are often somewhat addicted to this therapy. Small amounts of androgen supplementation can be provided in situations in which the patient and clinician are convinced that a depressed libido cannot be explained by psychosocial circumstances. In these cases, the lipid profile should be carefully monitored. Any positive clinical response may well be a placebo effect. The products that are available in various parts of the world include oral testosterone undecanoate, sublingual micronized testosterone, intramuscular injections, subcutaneous implants, and transdermal preparations (eg, Intrinsa, applied twice a week).</w:t>
      </w:r>
      <w:r>
        <w:rPr>
          <w:vertAlign w:val="superscript"/>
        </w:rPr>
        <w:t>176</w:t>
      </w:r>
      <w:r>
        <w:rPr>
          <w:vertAlign w:val="baseline"/>
        </w:rPr>
        <w:t> Unfortunately, there is currently</w:t>
      </w:r>
      <w:r>
        <w:rPr>
          <w:spacing w:val="-3"/>
          <w:vertAlign w:val="baseline"/>
        </w:rPr>
        <w:t> </w:t>
      </w:r>
      <w:r>
        <w:rPr>
          <w:vertAlign w:val="baseline"/>
        </w:rPr>
        <w:t>no</w:t>
      </w:r>
      <w:r>
        <w:rPr>
          <w:spacing w:val="-3"/>
          <w:vertAlign w:val="baseline"/>
        </w:rPr>
        <w:t> </w:t>
      </w:r>
      <w:r>
        <w:rPr>
          <w:vertAlign w:val="baseline"/>
        </w:rPr>
        <w:t>testosterone</w:t>
      </w:r>
      <w:r>
        <w:rPr>
          <w:spacing w:val="-3"/>
          <w:vertAlign w:val="baseline"/>
        </w:rPr>
        <w:t> </w:t>
      </w:r>
      <w:r>
        <w:rPr>
          <w:vertAlign w:val="baseline"/>
        </w:rPr>
        <w:t>formulation</w:t>
      </w:r>
      <w:r>
        <w:rPr>
          <w:spacing w:val="-3"/>
          <w:vertAlign w:val="baseline"/>
        </w:rPr>
        <w:t> </w:t>
      </w:r>
      <w:r>
        <w:rPr>
          <w:vertAlign w:val="baseline"/>
        </w:rPr>
        <w:t>that</w:t>
      </w:r>
      <w:r>
        <w:rPr>
          <w:spacing w:val="-3"/>
          <w:vertAlign w:val="baseline"/>
        </w:rPr>
        <w:t> </w:t>
      </w:r>
      <w:r>
        <w:rPr>
          <w:vertAlign w:val="baseline"/>
        </w:rPr>
        <w:t>is</w:t>
      </w:r>
      <w:r>
        <w:rPr>
          <w:spacing w:val="-3"/>
          <w:vertAlign w:val="baseline"/>
        </w:rPr>
        <w:t> </w:t>
      </w:r>
      <w:r>
        <w:rPr>
          <w:vertAlign w:val="baseline"/>
        </w:rPr>
        <w:t>approved</w:t>
      </w:r>
      <w:r>
        <w:rPr>
          <w:spacing w:val="-3"/>
          <w:vertAlign w:val="baseline"/>
        </w:rPr>
        <w:t> </w:t>
      </w:r>
      <w:r>
        <w:rPr>
          <w:vertAlign w:val="baseline"/>
        </w:rPr>
        <w:t>by</w:t>
      </w:r>
      <w:r>
        <w:rPr>
          <w:spacing w:val="-3"/>
          <w:vertAlign w:val="baseline"/>
        </w:rPr>
        <w:t> </w:t>
      </w:r>
      <w:r>
        <w:rPr>
          <w:vertAlign w:val="baseline"/>
        </w:rPr>
        <w:t>the</w:t>
      </w:r>
      <w:r>
        <w:rPr>
          <w:spacing w:val="-3"/>
          <w:vertAlign w:val="baseline"/>
        </w:rPr>
        <w:t> </w:t>
      </w:r>
      <w:r>
        <w:rPr>
          <w:vertAlign w:val="baseline"/>
        </w:rPr>
        <w:t>FDA</w:t>
      </w:r>
      <w:r>
        <w:rPr>
          <w:spacing w:val="-3"/>
          <w:vertAlign w:val="baseline"/>
        </w:rPr>
        <w:t> </w:t>
      </w:r>
      <w:r>
        <w:rPr>
          <w:vertAlign w:val="baseline"/>
        </w:rPr>
        <w:t>for</w:t>
      </w:r>
      <w:r>
        <w:rPr>
          <w:spacing w:val="-3"/>
          <w:vertAlign w:val="baseline"/>
        </w:rPr>
        <w:t> </w:t>
      </w:r>
      <w:r>
        <w:rPr>
          <w:vertAlign w:val="baseline"/>
        </w:rPr>
        <w:t>use</w:t>
      </w:r>
      <w:r>
        <w:rPr>
          <w:spacing w:val="-3"/>
          <w:vertAlign w:val="baseline"/>
        </w:rPr>
        <w:t> </w:t>
      </w:r>
      <w:r>
        <w:rPr>
          <w:vertAlign w:val="baseline"/>
        </w:rPr>
        <w:t>in women; in clinical practice, the testosterone transdermal gel marketed for use in men (AndroGel), 5 g/d, can be used at a starting dose of about 1 g/d. Testosterone undecanoate produces very high testosterone levels with great variability and is not recommended.</w:t>
      </w:r>
      <w:r>
        <w:rPr>
          <w:vertAlign w:val="superscript"/>
        </w:rPr>
        <w:t>177</w:t>
      </w:r>
      <w:r>
        <w:rPr>
          <w:vertAlign w:val="baseline"/>
        </w:rPr>
        <w:t> </w:t>
      </w:r>
      <w:r>
        <w:rPr>
          <w:b/>
          <w:vertAlign w:val="baseline"/>
        </w:rPr>
        <w:t>If testosterone use is considered, our preferred method is to use a product that will allow dose to be titrated by measuring the total testosterone blood level with the goal of maintaining concentration in the range of 20 to 80 ng/dL.</w:t>
      </w:r>
    </w:p>
    <w:p>
      <w:pPr>
        <w:pStyle w:val="BodyText"/>
        <w:spacing w:line="249" w:lineRule="auto" w:before="24"/>
        <w:ind w:right="100" w:firstLine="450"/>
      </w:pPr>
      <w:r>
        <w:rPr/>
        <w:t>The initial clinical trials concluding that the 300-μg transdermal dose of testosterone was effective for low libido consisted of women with either surgical (1,172 women) or natural menopause (549 women) who were also being treated with estrogen.</w:t>
      </w:r>
      <w:r>
        <w:rPr>
          <w:vertAlign w:val="superscript"/>
        </w:rPr>
        <w:t>178,179</w:t>
      </w:r>
      <w:r>
        <w:rPr>
          <w:vertAlign w:val="baseline"/>
        </w:rPr>
        <w:t> A 1-year, randomized, placebo-</w:t>
      </w:r>
      <w:r>
        <w:rPr>
          <w:vertAlign w:val="baseline"/>
        </w:rPr>
        <w:t>controlled clinical trial of 814 women with hypoactive sexual desire disorder and not on ET from 65 centers in the United States, Canada, Australia, the United Kingdom, and Sweden assessed the impact of transdermal testosterone that delivered 150 or 300 μg/d.</w:t>
      </w:r>
      <w:r>
        <w:rPr>
          <w:vertAlign w:val="superscript"/>
        </w:rPr>
        <w:t>180</w:t>
      </w:r>
      <w:r>
        <w:rPr>
          <w:vertAlign w:val="baseline"/>
        </w:rPr>
        <w:t> The higher dose of testosterone increased sexuality (including desire, arousal, orgasm, and pleasure) by 1.4 episodes per month compared with placebo. This increase appeared as early as the second</w:t>
      </w:r>
      <w:r>
        <w:rPr>
          <w:spacing w:val="15"/>
          <w:vertAlign w:val="baseline"/>
        </w:rPr>
        <w:t> </w:t>
      </w:r>
      <w:r>
        <w:rPr>
          <w:vertAlign w:val="baseline"/>
        </w:rPr>
        <w:t>month</w:t>
      </w:r>
      <w:r>
        <w:rPr>
          <w:spacing w:val="18"/>
          <w:vertAlign w:val="baseline"/>
        </w:rPr>
        <w:t> </w:t>
      </w:r>
      <w:r>
        <w:rPr>
          <w:vertAlign w:val="baseline"/>
        </w:rPr>
        <w:t>of</w:t>
      </w:r>
      <w:r>
        <w:rPr>
          <w:spacing w:val="17"/>
          <w:vertAlign w:val="baseline"/>
        </w:rPr>
        <w:t> </w:t>
      </w:r>
      <w:r>
        <w:rPr>
          <w:vertAlign w:val="baseline"/>
        </w:rPr>
        <w:t>treatment.</w:t>
      </w:r>
      <w:r>
        <w:rPr>
          <w:spacing w:val="18"/>
          <w:vertAlign w:val="baseline"/>
        </w:rPr>
        <w:t> </w:t>
      </w:r>
      <w:r>
        <w:rPr>
          <w:vertAlign w:val="baseline"/>
        </w:rPr>
        <w:t>The</w:t>
      </w:r>
      <w:r>
        <w:rPr>
          <w:spacing w:val="17"/>
          <w:vertAlign w:val="baseline"/>
        </w:rPr>
        <w:t> </w:t>
      </w:r>
      <w:r>
        <w:rPr>
          <w:vertAlign w:val="baseline"/>
        </w:rPr>
        <w:t>lower</w:t>
      </w:r>
      <w:r>
        <w:rPr>
          <w:spacing w:val="18"/>
          <w:vertAlign w:val="baseline"/>
        </w:rPr>
        <w:t> </w:t>
      </w:r>
      <w:r>
        <w:rPr>
          <w:vertAlign w:val="baseline"/>
        </w:rPr>
        <w:t>dose</w:t>
      </w:r>
      <w:r>
        <w:rPr>
          <w:spacing w:val="17"/>
          <w:vertAlign w:val="baseline"/>
        </w:rPr>
        <w:t> </w:t>
      </w:r>
      <w:r>
        <w:rPr>
          <w:vertAlign w:val="baseline"/>
        </w:rPr>
        <w:t>did</w:t>
      </w:r>
      <w:r>
        <w:rPr>
          <w:spacing w:val="18"/>
          <w:vertAlign w:val="baseline"/>
        </w:rPr>
        <w:t> </w:t>
      </w:r>
      <w:r>
        <w:rPr>
          <w:vertAlign w:val="baseline"/>
        </w:rPr>
        <w:t>not</w:t>
      </w:r>
      <w:r>
        <w:rPr>
          <w:spacing w:val="17"/>
          <w:vertAlign w:val="baseline"/>
        </w:rPr>
        <w:t> </w:t>
      </w:r>
      <w:r>
        <w:rPr>
          <w:vertAlign w:val="baseline"/>
        </w:rPr>
        <w:t>differ</w:t>
      </w:r>
      <w:r>
        <w:rPr>
          <w:spacing w:val="18"/>
          <w:vertAlign w:val="baseline"/>
        </w:rPr>
        <w:t> </w:t>
      </w:r>
      <w:r>
        <w:rPr>
          <w:vertAlign w:val="baseline"/>
        </w:rPr>
        <w:t>from</w:t>
      </w:r>
      <w:r>
        <w:rPr>
          <w:spacing w:val="17"/>
          <w:vertAlign w:val="baseline"/>
        </w:rPr>
        <w:t> </w:t>
      </w:r>
      <w:r>
        <w:rPr>
          <w:vertAlign w:val="baseline"/>
        </w:rPr>
        <w:t>placebo.</w:t>
      </w:r>
      <w:r>
        <w:rPr>
          <w:spacing w:val="18"/>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97"/>
      </w:pPr>
      <w:r>
        <w:rPr/>
        <w:t>the higher dose group, 30% reported unwanted androgenic </w:t>
      </w:r>
      <w:r>
        <w:rPr/>
        <w:t>effects (essentially an increase in facial hair). In addition, one woman in the low-dose group and three women in the high-dose group developed clitoral enlargement (the enlargement resolved in the woman receiving the low dose, but not in the high-dose women). The frequency of acne, alopecia,</w:t>
      </w:r>
      <w:r>
        <w:rPr>
          <w:spacing w:val="40"/>
        </w:rPr>
        <w:t> </w:t>
      </w:r>
      <w:r>
        <w:rPr/>
        <w:t>and</w:t>
      </w:r>
      <w:r>
        <w:rPr>
          <w:spacing w:val="-2"/>
        </w:rPr>
        <w:t> </w:t>
      </w:r>
      <w:r>
        <w:rPr/>
        <w:t>voice</w:t>
      </w:r>
      <w:r>
        <w:rPr>
          <w:spacing w:val="-2"/>
        </w:rPr>
        <w:t> </w:t>
      </w:r>
      <w:r>
        <w:rPr/>
        <w:t>deepening</w:t>
      </w:r>
      <w:r>
        <w:rPr>
          <w:spacing w:val="-2"/>
        </w:rPr>
        <w:t> </w:t>
      </w:r>
      <w:r>
        <w:rPr/>
        <w:t>was</w:t>
      </w:r>
      <w:r>
        <w:rPr>
          <w:spacing w:val="-2"/>
        </w:rPr>
        <w:t> </w:t>
      </w:r>
      <w:r>
        <w:rPr/>
        <w:t>the</w:t>
      </w:r>
      <w:r>
        <w:rPr>
          <w:spacing w:val="-2"/>
        </w:rPr>
        <w:t> </w:t>
      </w:r>
      <w:r>
        <w:rPr/>
        <w:t>same</w:t>
      </w:r>
      <w:r>
        <w:rPr>
          <w:spacing w:val="-2"/>
        </w:rPr>
        <w:t> </w:t>
      </w:r>
      <w:r>
        <w:rPr/>
        <w:t>in</w:t>
      </w:r>
      <w:r>
        <w:rPr>
          <w:spacing w:val="-2"/>
        </w:rPr>
        <w:t> </w:t>
      </w:r>
      <w:r>
        <w:rPr/>
        <w:t>all</w:t>
      </w:r>
      <w:r>
        <w:rPr>
          <w:spacing w:val="-2"/>
        </w:rPr>
        <w:t> </w:t>
      </w:r>
      <w:r>
        <w:rPr/>
        <w:t>groups.</w:t>
      </w:r>
      <w:r>
        <w:rPr>
          <w:spacing w:val="-2"/>
        </w:rPr>
        <w:t> </w:t>
      </w:r>
      <w:r>
        <w:rPr/>
        <w:t>It is certainly plausible that with longer exposure to the high dose, more women would develop androgenic side effects. There were four cases of breast cancer in the treatment groups and none in the placebo group; however, one was diagnosed after only 4 months of treatment and one had a bloody nipple discharge before the trial started, making it difficult to determine if these were preexisting or de novo cancers.</w:t>
      </w:r>
    </w:p>
    <w:p>
      <w:pPr>
        <w:pStyle w:val="BodyText"/>
        <w:spacing w:line="249" w:lineRule="auto" w:before="14"/>
        <w:ind w:right="97" w:firstLine="450"/>
      </w:pPr>
      <w:r>
        <w:rPr/>
        <w:t>In the Nurses’ Health Study, the risk of invasive breast </w:t>
      </w:r>
      <w:r>
        <w:rPr/>
        <w:t>cancer</w:t>
      </w:r>
      <w:r>
        <w:rPr>
          <w:spacing w:val="40"/>
        </w:rPr>
        <w:t> </w:t>
      </w:r>
      <w:r>
        <w:rPr/>
        <w:t>associated</w:t>
      </w:r>
      <w:r>
        <w:rPr>
          <w:spacing w:val="-2"/>
        </w:rPr>
        <w:t> </w:t>
      </w:r>
      <w:r>
        <w:rPr/>
        <w:t>with</w:t>
      </w:r>
      <w:r>
        <w:rPr>
          <w:spacing w:val="-2"/>
        </w:rPr>
        <w:t> </w:t>
      </w:r>
      <w:r>
        <w:rPr/>
        <w:t>the</w:t>
      </w:r>
      <w:r>
        <w:rPr>
          <w:spacing w:val="-2"/>
        </w:rPr>
        <w:t> </w:t>
      </w:r>
      <w:r>
        <w:rPr/>
        <w:t>use</w:t>
      </w:r>
      <w:r>
        <w:rPr>
          <w:spacing w:val="-2"/>
        </w:rPr>
        <w:t> </w:t>
      </w:r>
      <w:r>
        <w:rPr/>
        <w:t>of</w:t>
      </w:r>
      <w:r>
        <w:rPr>
          <w:spacing w:val="-2"/>
        </w:rPr>
        <w:t> </w:t>
      </w:r>
      <w:r>
        <w:rPr/>
        <w:t>combined</w:t>
      </w:r>
      <w:r>
        <w:rPr>
          <w:spacing w:val="-2"/>
        </w:rPr>
        <w:t> </w:t>
      </w:r>
      <w:r>
        <w:rPr/>
        <w:t>estrogen</w:t>
      </w:r>
      <w:r>
        <w:rPr>
          <w:spacing w:val="-2"/>
        </w:rPr>
        <w:t> </w:t>
      </w:r>
      <w:r>
        <w:rPr/>
        <w:t>and</w:t>
      </w:r>
      <w:r>
        <w:rPr>
          <w:spacing w:val="-2"/>
        </w:rPr>
        <w:t> </w:t>
      </w:r>
      <w:r>
        <w:rPr/>
        <w:t>testosterone</w:t>
      </w:r>
      <w:r>
        <w:rPr>
          <w:spacing w:val="-2"/>
        </w:rPr>
        <w:t> </w:t>
      </w:r>
      <w:r>
        <w:rPr/>
        <w:t>was</w:t>
      </w:r>
      <w:r>
        <w:rPr>
          <w:spacing w:val="-2"/>
        </w:rPr>
        <w:t> </w:t>
      </w:r>
      <w:r>
        <w:rPr/>
        <w:t>nearly</w:t>
      </w:r>
      <w:r>
        <w:rPr>
          <w:spacing w:val="-2"/>
        </w:rPr>
        <w:t> </w:t>
      </w:r>
      <w:r>
        <w:rPr/>
        <w:t>2-fold increased.</w:t>
      </w:r>
      <w:r>
        <w:rPr>
          <w:vertAlign w:val="superscript"/>
        </w:rPr>
        <w:t>181</w:t>
      </w:r>
      <w:r>
        <w:rPr>
          <w:vertAlign w:val="baseline"/>
        </w:rPr>
        <w:t> This report from the Nurses’ Health Study is complicated by the same problem in other breast cancer reports from this cohort: The hormone users (in this case, estrogen and testosterone) differ substantially from never users. This requires multiple statistical adjustments, a process that is further influenced by the number of cases involved. The analysis is limited by relatively small numbers; there were only 29 cases of breast cancer among the estrogen-testosterone users. Nevertheless, the results should raise caution regarding the postmenopausal use of androgens.</w:t>
      </w:r>
    </w:p>
    <w:p>
      <w:pPr>
        <w:pStyle w:val="BodyText"/>
        <w:spacing w:line="249" w:lineRule="auto" w:before="13"/>
        <w:ind w:right="97" w:firstLine="450"/>
      </w:pPr>
      <w:r>
        <w:rPr/>
        <w:t>If testosterone affects breast tissue, does it do so directly or is it aromatized locally into estrogen? Most studies indicate that testosterone inhibits proliferation of breast cancer cell lines in vitro, as well as in vivo markers of breast epithelial proliferation in animals and </w:t>
      </w:r>
      <w:r>
        <w:rPr/>
        <w:t>women,</w:t>
      </w:r>
      <w:r>
        <w:rPr>
          <w:vertAlign w:val="superscript"/>
        </w:rPr>
        <w:t>182,183</w:t>
      </w:r>
      <w:r>
        <w:rPr>
          <w:vertAlign w:val="baseline"/>
        </w:rPr>
        <w:t> suggesting that aromatization is of greater concern. Testosterone preparations such as implants and transdermal applications do carry the risk of target tissue aromatization, perhaps raising </w:t>
      </w:r>
      <w:r>
        <w:rPr>
          <w:i/>
          <w:vertAlign w:val="baseline"/>
        </w:rPr>
        <w:t>local </w:t>
      </w:r>
      <w:r>
        <w:rPr>
          <w:vertAlign w:val="baseline"/>
        </w:rPr>
        <w:t>estrogen levels to high levels in breast tissue. Perhaps, an argument against this possibility was the failure to demonstrate any increase in breast density associated with transdermal testosterone treatment, even with the higher dose.</w:t>
      </w:r>
      <w:r>
        <w:rPr>
          <w:vertAlign w:val="superscript"/>
        </w:rPr>
        <w:t>184</w:t>
      </w:r>
      <w:r>
        <w:rPr>
          <w:vertAlign w:val="baseline"/>
        </w:rPr>
        <w:t> However, the mean age of the women in this study was 54.6, and an increase in breast density with estrogen-progestin therapy is largely observed in women over age 55; in younger women, it is difficult to find any differences between hormone users and nonusers.</w:t>
      </w:r>
      <w:r>
        <w:rPr>
          <w:vertAlign w:val="superscript"/>
        </w:rPr>
        <w:t>185</w:t>
      </w:r>
    </w:p>
    <w:p>
      <w:pPr>
        <w:pStyle w:val="BodyText"/>
        <w:spacing w:after="0" w:line="249" w:lineRule="auto"/>
        <w:sectPr>
          <w:pgSz w:w="12240" w:h="15840"/>
          <w:pgMar w:top="1380" w:bottom="280" w:left="1440" w:right="1440"/>
        </w:sectPr>
      </w:pPr>
    </w:p>
    <w:p>
      <w:pPr>
        <w:pStyle w:val="BodyText"/>
        <w:spacing w:line="249" w:lineRule="auto"/>
        <w:ind w:right="98" w:firstLine="450"/>
      </w:pPr>
      <w:r>
        <w:rPr/>
        <w:t>In the transdermal testosterone trial with women </w:t>
      </w:r>
      <w:r>
        <w:rPr>
          <w:i/>
        </w:rPr>
        <w:t>not </w:t>
      </w:r>
      <w:r>
        <w:rPr/>
        <w:t>on estrogen treatment, there was a 10.6% incidence of vaginal bleeding in the women who had not undergone hysterectomy and were receiving the higher dose, compared with 2.6% in the placebo group and 2.7% in the low-dose group.</w:t>
      </w:r>
      <w:r>
        <w:rPr>
          <w:vertAlign w:val="superscript"/>
        </w:rPr>
        <w:t>180</w:t>
      </w:r>
      <w:r>
        <w:rPr>
          <w:vertAlign w:val="baseline"/>
        </w:rPr>
        <w:t> Was this due to aromatization of testosterone in the </w:t>
      </w:r>
      <w:r>
        <w:rPr>
          <w:vertAlign w:val="baseline"/>
        </w:rPr>
        <w:t>endometrium? There were no cases of endometrial hyperplasia or cancer in this trial, but again, a longer duration of exposure might have unwanted consequences. This issue cannot be resolved without long-term data. In addition, the long-term effects on the cardiovascular system are unknown.</w:t>
      </w:r>
    </w:p>
    <w:p>
      <w:pPr>
        <w:pStyle w:val="BodyText"/>
        <w:spacing w:line="249" w:lineRule="auto" w:before="11"/>
        <w:ind w:right="98" w:firstLine="450"/>
      </w:pPr>
      <w:r>
        <w:rPr/>
        <w:t>Response in the clinical trials with transdermal testosterone did not correlate with testosterone levels at baseline, and higher levels </w:t>
      </w:r>
      <w:r>
        <w:rPr/>
        <w:t>during treatment did not predict androgenic side effects. This is not surprising because measurement of free and bioavailable testosterone is subject to considerable inaccuracy and variability. For this reason, testosterone levels cannot be used to diagnose the hypoactive sexual desire disorder.</w:t>
      </w:r>
      <w:r>
        <w:rPr>
          <w:vertAlign w:val="superscript"/>
        </w:rPr>
        <w:t>186</w:t>
      </w:r>
      <w:r>
        <w:rPr>
          <w:vertAlign w:val="baseline"/>
        </w:rPr>
        <w:t> The transdermal</w:t>
      </w:r>
      <w:r>
        <w:rPr>
          <w:spacing w:val="-2"/>
          <w:vertAlign w:val="baseline"/>
        </w:rPr>
        <w:t> </w:t>
      </w:r>
      <w:r>
        <w:rPr>
          <w:vertAlign w:val="baseline"/>
        </w:rPr>
        <w:t>clinical</w:t>
      </w:r>
      <w:r>
        <w:rPr>
          <w:spacing w:val="-2"/>
          <w:vertAlign w:val="baseline"/>
        </w:rPr>
        <w:t> </w:t>
      </w:r>
      <w:r>
        <w:rPr>
          <w:vertAlign w:val="baseline"/>
        </w:rPr>
        <w:t>trials</w:t>
      </w:r>
      <w:r>
        <w:rPr>
          <w:spacing w:val="-2"/>
          <w:vertAlign w:val="baseline"/>
        </w:rPr>
        <w:t> </w:t>
      </w:r>
      <w:r>
        <w:rPr>
          <w:vertAlign w:val="baseline"/>
        </w:rPr>
        <w:t>have</w:t>
      </w:r>
      <w:r>
        <w:rPr>
          <w:spacing w:val="-2"/>
          <w:vertAlign w:val="baseline"/>
        </w:rPr>
        <w:t> </w:t>
      </w:r>
      <w:r>
        <w:rPr>
          <w:vertAlign w:val="baseline"/>
        </w:rPr>
        <w:t>reported</w:t>
      </w:r>
      <w:r>
        <w:rPr>
          <w:spacing w:val="-2"/>
          <w:vertAlign w:val="baseline"/>
        </w:rPr>
        <w:t> </w:t>
      </w:r>
      <w:r>
        <w:rPr>
          <w:vertAlign w:val="baseline"/>
        </w:rPr>
        <w:t>that</w:t>
      </w:r>
      <w:r>
        <w:rPr>
          <w:spacing w:val="-2"/>
          <w:vertAlign w:val="baseline"/>
        </w:rPr>
        <w:t> </w:t>
      </w:r>
      <w:r>
        <w:rPr>
          <w:vertAlign w:val="baseline"/>
        </w:rPr>
        <w:t>all</w:t>
      </w:r>
      <w:r>
        <w:rPr>
          <w:spacing w:val="-2"/>
          <w:vertAlign w:val="baseline"/>
        </w:rPr>
        <w:t> </w:t>
      </w:r>
      <w:r>
        <w:rPr>
          <w:vertAlign w:val="baseline"/>
        </w:rPr>
        <w:t>testosterone</w:t>
      </w:r>
      <w:r>
        <w:rPr>
          <w:spacing w:val="-2"/>
          <w:vertAlign w:val="baseline"/>
        </w:rPr>
        <w:t> </w:t>
      </w:r>
      <w:r>
        <w:rPr>
          <w:vertAlign w:val="baseline"/>
        </w:rPr>
        <w:t>levels</w:t>
      </w:r>
      <w:r>
        <w:rPr>
          <w:spacing w:val="-2"/>
          <w:vertAlign w:val="baseline"/>
        </w:rPr>
        <w:t> </w:t>
      </w:r>
      <w:r>
        <w:rPr>
          <w:vertAlign w:val="baseline"/>
        </w:rPr>
        <w:t>remained within the premenopausal ranges. However, the mean level of free testosterone was relatively high at 6.8 pg/mL, although within the reference range. According to the data in the supplemental appendix, available only online, the mean levels were at or above the upper end of the reference age. In addition, because of individual variability, there was a wide range of testosterone levels, with a significant number of values elevated above normal.</w:t>
      </w:r>
      <w:r>
        <w:rPr>
          <w:spacing w:val="-5"/>
          <w:vertAlign w:val="baseline"/>
        </w:rPr>
        <w:t> </w:t>
      </w:r>
      <w:r>
        <w:rPr>
          <w:vertAlign w:val="baseline"/>
        </w:rPr>
        <w:t>For</w:t>
      </w:r>
      <w:r>
        <w:rPr>
          <w:spacing w:val="-5"/>
          <w:vertAlign w:val="baseline"/>
        </w:rPr>
        <w:t> </w:t>
      </w:r>
      <w:r>
        <w:rPr>
          <w:vertAlign w:val="baseline"/>
        </w:rPr>
        <w:t>many</w:t>
      </w:r>
      <w:r>
        <w:rPr>
          <w:spacing w:val="-5"/>
          <w:vertAlign w:val="baseline"/>
        </w:rPr>
        <w:t> </w:t>
      </w:r>
      <w:r>
        <w:rPr>
          <w:vertAlign w:val="baseline"/>
        </w:rPr>
        <w:t>women,</w:t>
      </w:r>
      <w:r>
        <w:rPr>
          <w:spacing w:val="-5"/>
          <w:vertAlign w:val="baseline"/>
        </w:rPr>
        <w:t> </w:t>
      </w:r>
      <w:r>
        <w:rPr>
          <w:vertAlign w:val="baseline"/>
        </w:rPr>
        <w:t>these</w:t>
      </w:r>
      <w:r>
        <w:rPr>
          <w:spacing w:val="-5"/>
          <w:vertAlign w:val="baseline"/>
        </w:rPr>
        <w:t> </w:t>
      </w:r>
      <w:r>
        <w:rPr>
          <w:vertAlign w:val="baseline"/>
        </w:rPr>
        <w:t>are</w:t>
      </w:r>
      <w:r>
        <w:rPr>
          <w:spacing w:val="-5"/>
          <w:vertAlign w:val="baseline"/>
        </w:rPr>
        <w:t> </w:t>
      </w:r>
      <w:r>
        <w:rPr>
          <w:vertAlign w:val="baseline"/>
        </w:rPr>
        <w:t>not</w:t>
      </w:r>
      <w:r>
        <w:rPr>
          <w:spacing w:val="-5"/>
          <w:vertAlign w:val="baseline"/>
        </w:rPr>
        <w:t> </w:t>
      </w:r>
      <w:r>
        <w:rPr>
          <w:vertAlign w:val="baseline"/>
        </w:rPr>
        <w:t>physiologic</w:t>
      </w:r>
      <w:r>
        <w:rPr>
          <w:spacing w:val="-5"/>
          <w:vertAlign w:val="baseline"/>
        </w:rPr>
        <w:t> </w:t>
      </w:r>
      <w:r>
        <w:rPr>
          <w:vertAlign w:val="baseline"/>
        </w:rPr>
        <w:t>levels.</w:t>
      </w:r>
      <w:r>
        <w:rPr>
          <w:spacing w:val="-5"/>
          <w:vertAlign w:val="baseline"/>
        </w:rPr>
        <w:t> </w:t>
      </w:r>
      <w:r>
        <w:rPr>
          <w:vertAlign w:val="baseline"/>
        </w:rPr>
        <w:t>We</w:t>
      </w:r>
      <w:r>
        <w:rPr>
          <w:spacing w:val="-5"/>
          <w:vertAlign w:val="baseline"/>
        </w:rPr>
        <w:t> </w:t>
      </w:r>
      <w:r>
        <w:rPr>
          <w:vertAlign w:val="baseline"/>
        </w:rPr>
        <w:t>do</w:t>
      </w:r>
      <w:r>
        <w:rPr>
          <w:spacing w:val="-5"/>
          <w:vertAlign w:val="baseline"/>
        </w:rPr>
        <w:t> </w:t>
      </w:r>
      <w:r>
        <w:rPr>
          <w:vertAlign w:val="baseline"/>
        </w:rPr>
        <w:t>not</w:t>
      </w:r>
      <w:r>
        <w:rPr>
          <w:spacing w:val="-5"/>
          <w:vertAlign w:val="baseline"/>
        </w:rPr>
        <w:t> </w:t>
      </w:r>
      <w:r>
        <w:rPr>
          <w:vertAlign w:val="baseline"/>
        </w:rPr>
        <w:t>know if it is possible to avoid unwanted consequences by careful monitoring of blood levels.</w:t>
      </w:r>
    </w:p>
    <w:p>
      <w:pPr>
        <w:pStyle w:val="BodyText"/>
        <w:spacing w:line="249" w:lineRule="auto" w:before="19"/>
        <w:ind w:right="99" w:firstLine="450"/>
      </w:pPr>
      <w:r>
        <w:rPr/>
        <w:t>Currently, there is no testosterone formulation that is approved </w:t>
      </w:r>
      <w:r>
        <w:rPr/>
        <w:t>for exclusive use in the female population in the United States.</w:t>
      </w:r>
      <w:r>
        <w:rPr>
          <w:vertAlign w:val="superscript"/>
        </w:rPr>
        <w:t>187</w:t>
      </w:r>
      <w:r>
        <w:rPr>
          <w:vertAlign w:val="baseline"/>
        </w:rPr>
        <w:t> In contrast, the Australia’s Therapeutic Goods Administration (TGA) approved Androfeme exclusively for women in 2019, and this drug is licensed nationwide in Australia.</w:t>
      </w:r>
      <w:r>
        <w:rPr>
          <w:vertAlign w:val="superscript"/>
        </w:rPr>
        <w:t>188</w:t>
      </w:r>
      <w:r>
        <w:rPr>
          <w:vertAlign w:val="baseline"/>
        </w:rPr>
        <w:t> Estratest, a combination of esterified estrogen with methyltestosterone—at higher (2.5-mg methyltestosterone) and lower (1.5 mg methyltestosterone) dose combination formulation was previously available</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United</w:t>
      </w:r>
      <w:r>
        <w:rPr>
          <w:spacing w:val="-1"/>
          <w:vertAlign w:val="baseline"/>
        </w:rPr>
        <w:t> </w:t>
      </w:r>
      <w:r>
        <w:rPr>
          <w:vertAlign w:val="baseline"/>
        </w:rPr>
        <w:t>States</w:t>
      </w:r>
      <w:r>
        <w:rPr>
          <w:spacing w:val="-1"/>
          <w:vertAlign w:val="baseline"/>
        </w:rPr>
        <w:t> </w:t>
      </w:r>
      <w:r>
        <w:rPr>
          <w:vertAlign w:val="baseline"/>
        </w:rPr>
        <w:t>for</w:t>
      </w:r>
      <w:r>
        <w:rPr>
          <w:spacing w:val="-1"/>
          <w:vertAlign w:val="baseline"/>
        </w:rPr>
        <w:t> </w:t>
      </w:r>
      <w:r>
        <w:rPr>
          <w:vertAlign w:val="baseline"/>
        </w:rPr>
        <w:t>off-label</w:t>
      </w:r>
      <w:r>
        <w:rPr>
          <w:spacing w:val="-1"/>
          <w:vertAlign w:val="baseline"/>
        </w:rPr>
        <w:t> </w:t>
      </w:r>
      <w:r>
        <w:rPr>
          <w:vertAlign w:val="baseline"/>
        </w:rPr>
        <w:t>use</w:t>
      </w:r>
      <w:r>
        <w:rPr>
          <w:vertAlign w:val="superscript"/>
        </w:rPr>
        <w:t>189</w:t>
      </w:r>
      <w:r>
        <w:rPr>
          <w:vertAlign w:val="baseline"/>
        </w:rPr>
        <w:t>; the product was, however, discontinued in March 2009. Compounded testosterone formulations in the form of gels, pellets, and injectable testosterone (decanoate, enanthate, cypionate)</w:t>
      </w:r>
      <w:r>
        <w:rPr>
          <w:spacing w:val="65"/>
          <w:vertAlign w:val="baseline"/>
        </w:rPr>
        <w:t> </w:t>
      </w:r>
      <w:r>
        <w:rPr>
          <w:vertAlign w:val="baseline"/>
        </w:rPr>
        <w:t>have</w:t>
      </w:r>
      <w:r>
        <w:rPr>
          <w:spacing w:val="65"/>
          <w:vertAlign w:val="baseline"/>
        </w:rPr>
        <w:t> </w:t>
      </w:r>
      <w:r>
        <w:rPr>
          <w:vertAlign w:val="baseline"/>
        </w:rPr>
        <w:t>been</w:t>
      </w:r>
      <w:r>
        <w:rPr>
          <w:spacing w:val="65"/>
          <w:vertAlign w:val="baseline"/>
        </w:rPr>
        <w:t> </w:t>
      </w:r>
      <w:r>
        <w:rPr>
          <w:vertAlign w:val="baseline"/>
        </w:rPr>
        <w:t>variably</w:t>
      </w:r>
      <w:r>
        <w:rPr>
          <w:spacing w:val="65"/>
          <w:vertAlign w:val="baseline"/>
        </w:rPr>
        <w:t> </w:t>
      </w:r>
      <w:r>
        <w:rPr>
          <w:vertAlign w:val="baseline"/>
        </w:rPr>
        <w:t>utilized</w:t>
      </w:r>
      <w:r>
        <w:rPr>
          <w:spacing w:val="65"/>
          <w:vertAlign w:val="baseline"/>
        </w:rPr>
        <w:t> </w:t>
      </w:r>
      <w:r>
        <w:rPr>
          <w:vertAlign w:val="baseline"/>
        </w:rPr>
        <w:t>but</w:t>
      </w:r>
      <w:r>
        <w:rPr>
          <w:spacing w:val="65"/>
          <w:vertAlign w:val="baseline"/>
        </w:rPr>
        <w:t> </w:t>
      </w:r>
      <w:r>
        <w:rPr>
          <w:vertAlign w:val="baseline"/>
        </w:rPr>
        <w:t>are</w:t>
      </w:r>
      <w:r>
        <w:rPr>
          <w:spacing w:val="65"/>
          <w:vertAlign w:val="baseline"/>
        </w:rPr>
        <w:t> </w:t>
      </w:r>
      <w:r>
        <w:rPr>
          <w:vertAlign w:val="baseline"/>
        </w:rPr>
        <w:t>not</w:t>
      </w:r>
      <w:r>
        <w:rPr>
          <w:spacing w:val="65"/>
          <w:vertAlign w:val="baseline"/>
        </w:rPr>
        <w:t> </w:t>
      </w:r>
      <w:r>
        <w:rPr>
          <w:vertAlign w:val="baseline"/>
        </w:rPr>
        <w:t>FDA-approved.</w:t>
      </w:r>
      <w:r>
        <w:rPr>
          <w:spacing w:val="65"/>
          <w:vertAlign w:val="baseline"/>
        </w:rPr>
        <w:t> </w:t>
      </w:r>
      <w:r>
        <w:rPr>
          <w:spacing w:val="-5"/>
          <w:vertAlign w:val="baseline"/>
        </w:rPr>
        <w:t>With</w:t>
      </w:r>
    </w:p>
    <w:p>
      <w:pPr>
        <w:pStyle w:val="BodyText"/>
        <w:spacing w:after="0" w:line="249" w:lineRule="auto"/>
        <w:sectPr>
          <w:pgSz w:w="12240" w:h="15840"/>
          <w:pgMar w:top="1380" w:bottom="280" w:left="1440" w:right="1440"/>
        </w:sectPr>
      </w:pPr>
    </w:p>
    <w:p>
      <w:pPr>
        <w:pStyle w:val="BodyText"/>
        <w:spacing w:line="249" w:lineRule="auto"/>
        <w:ind w:right="98"/>
      </w:pPr>
      <w:r>
        <w:rPr/>
        <w:t>gels, 5 mg (1%) is recommended.</w:t>
      </w:r>
      <w:r>
        <w:rPr>
          <w:vertAlign w:val="superscript"/>
        </w:rPr>
        <w:t>190</w:t>
      </w:r>
      <w:r>
        <w:rPr>
          <w:vertAlign w:val="baseline"/>
        </w:rPr>
        <w:t> Various doses have been used for injectable testosterone, with currently no adverse effects noted; however, outcomes have only been measured over a 6-month period.</w:t>
      </w:r>
      <w:r>
        <w:rPr>
          <w:vertAlign w:val="superscript"/>
        </w:rPr>
        <w:t>191</w:t>
      </w:r>
      <w:r>
        <w:rPr>
          <w:vertAlign w:val="baseline"/>
        </w:rPr>
        <w:t> </w:t>
      </w:r>
      <w:r>
        <w:rPr>
          <w:vertAlign w:val="baseline"/>
        </w:rPr>
        <w:t>Exercising extreme caution when considering testosterone pellet therapy is warranted, given concern for supraphysiologic doses achieved. Furthermore, in women with breast cancer, uterine cancer, CVD, or liver disease, testosterone use is generally contraindicated.</w:t>
      </w:r>
      <w:r>
        <w:rPr>
          <w:vertAlign w:val="superscript"/>
        </w:rPr>
        <w:t>189</w:t>
      </w:r>
    </w:p>
    <w:p>
      <w:pPr>
        <w:spacing w:line="249" w:lineRule="auto" w:before="8"/>
        <w:ind w:left="99" w:right="97" w:firstLine="450"/>
        <w:jc w:val="both"/>
        <w:rPr>
          <w:sz w:val="30"/>
        </w:rPr>
      </w:pPr>
      <w:r>
        <w:rPr>
          <w:sz w:val="30"/>
        </w:rPr>
        <w:t>There is little doubt that the pharmacologic amounts of testosterone can produce favorable effects on sexuality, but it remains doubtful that this beneficial impact can be seen while maintaining testosterone levels </w:t>
      </w:r>
      <w:r>
        <w:rPr>
          <w:sz w:val="30"/>
        </w:rPr>
        <w:t>within the normal physiologic range. Some women receiving pharmacologic amounts of testosterone develop very high circulating levels. The fundamental problem is that the long-term consequences of pharmacologic amounts of testosterone are unknown. </w:t>
      </w:r>
      <w:r>
        <w:rPr>
          <w:b/>
          <w:sz w:val="30"/>
        </w:rPr>
        <w:t>If a clinician and a patient choose to use supplemental androgens, our advice is to select a treatment that can be monitored with measurements of total testosterone in serum. </w:t>
      </w:r>
      <w:r>
        <w:rPr>
          <w:sz w:val="30"/>
        </w:rPr>
        <w:t>The choices include the testosterone transdermal patch, a testosterone skin gel (on the market for use in men), and testosterone compounded for individual use by a pharmacist. We are left with this question: Is a modest increase in one or two episodes per month sufficient to offset the unanswered question of long-term safety? Some women would say yes, but the clinician has an obligation to avoid excessive doses and to educate the patient regarding the unanswered questions. </w:t>
      </w:r>
      <w:r>
        <w:rPr>
          <w:b/>
          <w:sz w:val="30"/>
        </w:rPr>
        <w:t>Prior to initiation, we recommend obtaining baseline lipid, and liver function tests and periodic surveillance </w:t>
      </w:r>
      <w:r>
        <w:rPr>
          <w:sz w:val="30"/>
        </w:rPr>
        <w:t>(</w:t>
      </w:r>
      <w:r>
        <w:rPr>
          <w:b/>
          <w:sz w:val="30"/>
        </w:rPr>
        <w:t>3 months following initiation and yearly thereafter</w:t>
      </w:r>
      <w:r>
        <w:rPr>
          <w:sz w:val="30"/>
        </w:rPr>
        <w:t>) </w:t>
      </w:r>
      <w:r>
        <w:rPr>
          <w:b/>
          <w:sz w:val="30"/>
        </w:rPr>
        <w:t>are recommended to ensure safety. </w:t>
      </w:r>
      <w:r>
        <w:rPr>
          <w:sz w:val="30"/>
        </w:rPr>
        <w:t>The free testosterone index can be used to monitor testosterone levels (goal of physiologic levels) with all testosterone formulations. Of note, oral methyltestosterone cannot be measured, as it is not detected in existing testosterone assays.</w:t>
      </w:r>
      <w:r>
        <w:rPr>
          <w:sz w:val="30"/>
          <w:vertAlign w:val="superscript"/>
        </w:rPr>
        <w:t>189</w:t>
      </w:r>
      <w:r>
        <w:rPr>
          <w:sz w:val="30"/>
          <w:vertAlign w:val="baseline"/>
        </w:rPr>
        <w:t> As long-term safety data are limited, it is highly recommended that a discussion for treatment discontinuation be made with patients at 6 months following </w:t>
      </w:r>
      <w:r>
        <w:rPr>
          <w:spacing w:val="-2"/>
          <w:sz w:val="30"/>
          <w:vertAlign w:val="baseline"/>
        </w:rPr>
        <w:t>initiation.</w:t>
      </w:r>
      <w:r>
        <w:rPr>
          <w:spacing w:val="-2"/>
          <w:sz w:val="30"/>
          <w:vertAlign w:val="superscript"/>
        </w:rPr>
        <w:t>189,192</w:t>
      </w:r>
    </w:p>
    <w:p>
      <w:pPr>
        <w:spacing w:line="249" w:lineRule="auto" w:before="31"/>
        <w:ind w:left="99" w:right="100" w:firstLine="450"/>
        <w:jc w:val="both"/>
        <w:rPr>
          <w:b/>
          <w:sz w:val="30"/>
        </w:rPr>
      </w:pPr>
      <w:r>
        <w:rPr>
          <w:b/>
          <w:sz w:val="30"/>
        </w:rPr>
        <w:t>While a role of testosterone therapy in women’s health remains somewhat controversial, in the setting of reduced libido, testosterone may be beneficial for some menopausal women not responding to traditional HT.</w:t>
      </w:r>
    </w:p>
    <w:p>
      <w:pPr>
        <w:spacing w:after="0" w:line="249" w:lineRule="auto"/>
        <w:jc w:val="both"/>
        <w:rPr>
          <w:b/>
          <w:sz w:val="30"/>
        </w:rPr>
        <w:sectPr>
          <w:pgSz w:w="12240" w:h="15840"/>
          <w:pgMar w:top="1380" w:bottom="280" w:left="1440" w:right="1440"/>
        </w:sectPr>
      </w:pPr>
    </w:p>
    <w:p>
      <w:pPr>
        <w:spacing w:before="63"/>
        <w:ind w:left="99" w:right="0" w:firstLine="0"/>
        <w:jc w:val="left"/>
        <w:rPr>
          <w:rFonts w:ascii="Arial"/>
          <w:b/>
          <w:sz w:val="30"/>
        </w:rPr>
      </w:pPr>
      <w:r>
        <w:rPr>
          <w:rFonts w:ascii="Arial"/>
          <w:b/>
          <w:color w:val="2674AE"/>
          <w:spacing w:val="-2"/>
          <w:sz w:val="30"/>
        </w:rPr>
        <w:t>Dehydroepiandrosterone</w:t>
      </w:r>
    </w:p>
    <w:p>
      <w:pPr>
        <w:pStyle w:val="BodyText"/>
        <w:spacing w:line="249" w:lineRule="auto" w:before="167"/>
        <w:ind w:right="100"/>
      </w:pPr>
      <w:r>
        <w:rPr/>
        <w:t>Adrenal androgen production decreases dramatically with aging. The mechanism is not known, but it is not due to the loss of estrogen at menopause nor can it be reversed with estrogen treatment.</w:t>
      </w:r>
      <w:r>
        <w:rPr>
          <w:vertAlign w:val="superscript"/>
        </w:rPr>
        <w:t>193</w:t>
      </w:r>
      <w:r>
        <w:rPr>
          <w:vertAlign w:val="baseline"/>
        </w:rPr>
        <w:t> </w:t>
      </w:r>
      <w:r>
        <w:rPr>
          <w:vertAlign w:val="baseline"/>
        </w:rPr>
        <w:t>The</w:t>
      </w:r>
      <w:r>
        <w:rPr>
          <w:spacing w:val="40"/>
          <w:vertAlign w:val="baseline"/>
        </w:rPr>
        <w:t> </w:t>
      </w:r>
      <w:r>
        <w:rPr>
          <w:vertAlign w:val="baseline"/>
        </w:rPr>
        <w:t>impressive decline (75-85%) in circulating levels of dehydroepiandrosterone (DHEA) that occurs with aging (greater in men than in women) has stimulated a search for a beneficial impact of DHEA </w:t>
      </w:r>
      <w:r>
        <w:rPr>
          <w:spacing w:val="-2"/>
          <w:vertAlign w:val="baseline"/>
        </w:rPr>
        <w:t>supplementation.</w:t>
      </w:r>
      <w:r>
        <w:rPr>
          <w:spacing w:val="-2"/>
          <w:vertAlign w:val="superscript"/>
        </w:rPr>
        <w:t>194</w:t>
      </w:r>
    </w:p>
    <w:p>
      <w:pPr>
        <w:pStyle w:val="BodyText"/>
        <w:spacing w:line="249" w:lineRule="auto" w:before="8"/>
        <w:ind w:right="97" w:firstLine="450"/>
      </w:pPr>
      <w:r>
        <w:rPr/>
        <w:t>The only proven function of DHEA and its sulfate, DHEA-S, is to provide a pool of prohormone for conversion to androgens and ultimately estrogens. By age 70 or 80, the circulating levels in men and women are about 10% of peak levels that occur between 20 and 30 years of age. Systemic DHEA supplementation does not produce improvements </w:t>
      </w:r>
      <w:r>
        <w:rPr/>
        <w:t>in menopausal symptoms, mood, libido, cognition, or memory, but it does increase testosterone and decrease HDL cholesterol.</w:t>
      </w:r>
      <w:r>
        <w:rPr>
          <w:vertAlign w:val="superscript"/>
        </w:rPr>
        <w:t>195</w:t>
      </w:r>
      <w:r>
        <w:rPr>
          <w:vertAlign w:val="baseline"/>
        </w:rPr>
        <w:t> The acute administration of DHEA did produce a modest effect on sexual response in postmenopausal women, but the dose was enormous, 300 mg.</w:t>
      </w:r>
      <w:r>
        <w:rPr>
          <w:vertAlign w:val="superscript"/>
        </w:rPr>
        <w:t>196</w:t>
      </w:r>
    </w:p>
    <w:p>
      <w:pPr>
        <w:pStyle w:val="BodyText"/>
        <w:spacing w:line="249" w:lineRule="auto" w:before="11"/>
        <w:ind w:right="100" w:firstLine="450"/>
      </w:pPr>
      <w:r>
        <w:rPr/>
        <w:t>Although low levels of DHEA and DHEA-S have been reported to </w:t>
      </w:r>
      <w:r>
        <w:rPr/>
        <w:t>be associated</w:t>
      </w:r>
      <w:r>
        <w:rPr>
          <w:spacing w:val="-4"/>
        </w:rPr>
        <w:t> </w:t>
      </w:r>
      <w:r>
        <w:rPr/>
        <w:t>with</w:t>
      </w:r>
      <w:r>
        <w:rPr>
          <w:spacing w:val="-4"/>
        </w:rPr>
        <w:t> </w:t>
      </w:r>
      <w:r>
        <w:rPr/>
        <w:t>increased</w:t>
      </w:r>
      <w:r>
        <w:rPr>
          <w:spacing w:val="-4"/>
        </w:rPr>
        <w:t> </w:t>
      </w:r>
      <w:r>
        <w:rPr/>
        <w:t>risk</w:t>
      </w:r>
      <w:r>
        <w:rPr>
          <w:spacing w:val="-4"/>
        </w:rPr>
        <w:t> </w:t>
      </w:r>
      <w:r>
        <w:rPr/>
        <w:t>of</w:t>
      </w:r>
      <w:r>
        <w:rPr>
          <w:spacing w:val="-4"/>
        </w:rPr>
        <w:t> </w:t>
      </w:r>
      <w:r>
        <w:rPr/>
        <w:t>CVD</w:t>
      </w:r>
      <w:r>
        <w:rPr>
          <w:spacing w:val="-4"/>
        </w:rPr>
        <w:t> </w:t>
      </w:r>
      <w:r>
        <w:rPr/>
        <w:t>in</w:t>
      </w:r>
      <w:r>
        <w:rPr>
          <w:spacing w:val="-4"/>
        </w:rPr>
        <w:t> </w:t>
      </w:r>
      <w:r>
        <w:rPr/>
        <w:t>men,</w:t>
      </w:r>
      <w:r>
        <w:rPr>
          <w:spacing w:val="-4"/>
        </w:rPr>
        <w:t> </w:t>
      </w:r>
      <w:r>
        <w:rPr/>
        <w:t>in</w:t>
      </w:r>
      <w:r>
        <w:rPr>
          <w:spacing w:val="-4"/>
        </w:rPr>
        <w:t> </w:t>
      </w:r>
      <w:r>
        <w:rPr/>
        <w:t>women,</w:t>
      </w:r>
      <w:r>
        <w:rPr>
          <w:spacing w:val="-4"/>
        </w:rPr>
        <w:t> </w:t>
      </w:r>
      <w:r>
        <w:rPr/>
        <w:t>conflicting</w:t>
      </w:r>
      <w:r>
        <w:rPr>
          <w:spacing w:val="-4"/>
        </w:rPr>
        <w:t> </w:t>
      </w:r>
      <w:r>
        <w:rPr/>
        <w:t>results are found in cross-sectional data. In a longitudinal study of 236 women, higher levels of DHEA and DHEA-S in middle-aged women correlated</w:t>
      </w:r>
      <w:r>
        <w:rPr>
          <w:spacing w:val="40"/>
        </w:rPr>
        <w:t> </w:t>
      </w:r>
      <w:r>
        <w:rPr/>
        <w:t>with an </w:t>
      </w:r>
      <w:r>
        <w:rPr>
          <w:i/>
        </w:rPr>
        <w:t>increased </w:t>
      </w:r>
      <w:r>
        <w:rPr/>
        <w:t>risk of CVD.</w:t>
      </w:r>
      <w:r>
        <w:rPr>
          <w:vertAlign w:val="superscript"/>
        </w:rPr>
        <w:t>197</w:t>
      </w:r>
    </w:p>
    <w:p>
      <w:pPr>
        <w:pStyle w:val="BodyText"/>
        <w:spacing w:line="249" w:lineRule="auto" w:before="6"/>
        <w:ind w:right="99" w:firstLine="450"/>
      </w:pPr>
      <w:r>
        <w:rPr/>
        <w:t>DHEA supplementation, 50 mg/d, produced levels of DHEA-S </w:t>
      </w:r>
      <w:r>
        <w:rPr/>
        <w:t>in reproductive age range in older men, did not change levels of testosterone and dihydrotestosterone, and raised estradiol and estrone levels, although still within normal range.</w:t>
      </w:r>
      <w:r>
        <w:rPr>
          <w:vertAlign w:val="superscript"/>
        </w:rPr>
        <w:t>198</w:t>
      </w:r>
      <w:r>
        <w:rPr>
          <w:vertAlign w:val="baseline"/>
        </w:rPr>
        <w:t> However, in women, 25 or 50 mg/d increased testosterone levels, decreased SHBG levels, and produced adverse effects on the lipid profile.</w:t>
      </w:r>
      <w:r>
        <w:rPr>
          <w:vertAlign w:val="superscript"/>
        </w:rPr>
        <w:t>199,200</w:t>
      </w:r>
      <w:r>
        <w:rPr>
          <w:vertAlign w:val="baseline"/>
        </w:rPr>
        <w:t> Exogenously administered DHEA is converted to potent androgens and estrogens. Potential long-term effects include hirsutism, alopecia, voice changes, breast effects, and an increased risk of CHD. Supplementation with DHEA requires dose titration using the circulating level of total testosterone and keeping the concentration below 80 ng/dL. This can be difficult because of the variability in DHEA content of</w:t>
      </w:r>
      <w:r>
        <w:rPr>
          <w:spacing w:val="73"/>
          <w:w w:val="150"/>
          <w:vertAlign w:val="baseline"/>
        </w:rPr>
        <w:t> </w:t>
      </w:r>
      <w:r>
        <w:rPr>
          <w:vertAlign w:val="baseline"/>
        </w:rPr>
        <w:t>the</w:t>
      </w:r>
      <w:r>
        <w:rPr>
          <w:spacing w:val="74"/>
          <w:w w:val="150"/>
          <w:vertAlign w:val="baseline"/>
        </w:rPr>
        <w:t> </w:t>
      </w:r>
      <w:r>
        <w:rPr>
          <w:vertAlign w:val="baseline"/>
        </w:rPr>
        <w:t>many</w:t>
      </w:r>
      <w:r>
        <w:rPr>
          <w:spacing w:val="73"/>
          <w:w w:val="150"/>
          <w:vertAlign w:val="baseline"/>
        </w:rPr>
        <w:t> </w:t>
      </w:r>
      <w:r>
        <w:rPr>
          <w:vertAlign w:val="baseline"/>
        </w:rPr>
        <w:t>commercial</w:t>
      </w:r>
      <w:r>
        <w:rPr>
          <w:spacing w:val="74"/>
          <w:w w:val="150"/>
          <w:vertAlign w:val="baseline"/>
        </w:rPr>
        <w:t> </w:t>
      </w:r>
      <w:r>
        <w:rPr>
          <w:vertAlign w:val="baseline"/>
        </w:rPr>
        <w:t>products</w:t>
      </w:r>
      <w:r>
        <w:rPr>
          <w:spacing w:val="73"/>
          <w:w w:val="150"/>
          <w:vertAlign w:val="baseline"/>
        </w:rPr>
        <w:t> </w:t>
      </w:r>
      <w:r>
        <w:rPr>
          <w:vertAlign w:val="baseline"/>
        </w:rPr>
        <w:t>available</w:t>
      </w:r>
      <w:r>
        <w:rPr>
          <w:spacing w:val="74"/>
          <w:w w:val="150"/>
          <w:vertAlign w:val="baseline"/>
        </w:rPr>
        <w:t> </w:t>
      </w:r>
      <w:r>
        <w:rPr>
          <w:vertAlign w:val="baseline"/>
        </w:rPr>
        <w:t>in</w:t>
      </w:r>
      <w:r>
        <w:rPr>
          <w:spacing w:val="73"/>
          <w:w w:val="150"/>
          <w:vertAlign w:val="baseline"/>
        </w:rPr>
        <w:t> </w:t>
      </w:r>
      <w:r>
        <w:rPr>
          <w:vertAlign w:val="baseline"/>
        </w:rPr>
        <w:t>the</w:t>
      </w:r>
      <w:r>
        <w:rPr>
          <w:spacing w:val="74"/>
          <w:w w:val="150"/>
          <w:vertAlign w:val="baseline"/>
        </w:rPr>
        <w:t> </w:t>
      </w:r>
      <w:r>
        <w:rPr>
          <w:vertAlign w:val="baseline"/>
        </w:rPr>
        <w:t>market;</w:t>
      </w:r>
      <w:r>
        <w:rPr>
          <w:spacing w:val="73"/>
          <w:w w:val="150"/>
          <w:vertAlign w:val="baseline"/>
        </w:rPr>
        <w:t> </w:t>
      </w:r>
      <w:r>
        <w:rPr>
          <w:vertAlign w:val="baseline"/>
        </w:rPr>
        <w:t>the</w:t>
      </w:r>
      <w:r>
        <w:rPr>
          <w:spacing w:val="74"/>
          <w:w w:val="150"/>
          <w:vertAlign w:val="baseline"/>
        </w:rPr>
        <w:t> </w:t>
      </w:r>
      <w:r>
        <w:rPr>
          <w:spacing w:val="-5"/>
          <w:vertAlign w:val="baseline"/>
        </w:rPr>
        <w:t>FDA</w:t>
      </w:r>
    </w:p>
    <w:p>
      <w:pPr>
        <w:pStyle w:val="BodyText"/>
        <w:spacing w:after="0" w:line="249" w:lineRule="auto"/>
        <w:sectPr>
          <w:pgSz w:w="12240" w:h="15840"/>
          <w:pgMar w:top="1380" w:bottom="280" w:left="1440" w:right="1440"/>
        </w:sectPr>
      </w:pPr>
    </w:p>
    <w:p>
      <w:pPr>
        <w:pStyle w:val="BodyText"/>
        <w:spacing w:line="249" w:lineRule="auto"/>
        <w:ind w:right="105"/>
      </w:pPr>
      <w:r>
        <w:rPr/>
        <w:t>measured DHEA content of 45 commercial products, and assayed </w:t>
      </w:r>
      <w:r>
        <w:rPr/>
        <w:t>values varied widely from 0% to 109.5%!</w:t>
      </w:r>
      <w:r>
        <w:rPr>
          <w:vertAlign w:val="superscript"/>
        </w:rPr>
        <w:t>201</w:t>
      </w:r>
    </w:p>
    <w:p>
      <w:pPr>
        <w:pStyle w:val="BodyText"/>
        <w:spacing w:line="249" w:lineRule="auto" w:before="2"/>
        <w:ind w:right="103" w:firstLine="450"/>
      </w:pPr>
      <w:r>
        <w:rPr/>
        <w:t>In contrast to systemic DHEA formulations, a prospective, randomized, placebo-controlled trial of daily intravaginal use of DHEA (trade </w:t>
      </w:r>
      <w:r>
        <w:rPr/>
        <w:t>name </w:t>
      </w:r>
      <w:r>
        <w:rPr>
          <w:i/>
        </w:rPr>
        <w:t>Prasterone</w:t>
      </w:r>
      <w:r>
        <w:rPr/>
        <w:t>) in a dose of 0.5% (6.5 mg) demonstrated significantly</w:t>
      </w:r>
      <w:r>
        <w:rPr>
          <w:spacing w:val="40"/>
        </w:rPr>
        <w:t> </w:t>
      </w:r>
      <w:r>
        <w:rPr/>
        <w:t>improved symptoms of vaginal atrophy, with little change in the serum levels of DHEA, estradiol, and testosterone.</w:t>
      </w:r>
      <w:r>
        <w:rPr>
          <w:vertAlign w:val="superscript"/>
        </w:rPr>
        <w:t>202-206</w:t>
      </w:r>
      <w:r>
        <w:rPr>
          <w:vertAlign w:val="baseline"/>
        </w:rPr>
        <w:t> Presumably, the vaginally administered</w:t>
      </w:r>
      <w:r>
        <w:rPr>
          <w:spacing w:val="-3"/>
          <w:vertAlign w:val="baseline"/>
        </w:rPr>
        <w:t> </w:t>
      </w:r>
      <w:r>
        <w:rPr>
          <w:vertAlign w:val="baseline"/>
        </w:rPr>
        <w:t>DHEA</w:t>
      </w:r>
      <w:r>
        <w:rPr>
          <w:spacing w:val="-3"/>
          <w:vertAlign w:val="baseline"/>
        </w:rPr>
        <w:t> </w:t>
      </w:r>
      <w:r>
        <w:rPr>
          <w:vertAlign w:val="baseline"/>
        </w:rPr>
        <w:t>is</w:t>
      </w:r>
      <w:r>
        <w:rPr>
          <w:spacing w:val="-3"/>
          <w:vertAlign w:val="baseline"/>
        </w:rPr>
        <w:t> </w:t>
      </w:r>
      <w:r>
        <w:rPr>
          <w:vertAlign w:val="baseline"/>
        </w:rPr>
        <w:t>converted</w:t>
      </w:r>
      <w:r>
        <w:rPr>
          <w:spacing w:val="-3"/>
          <w:vertAlign w:val="baseline"/>
        </w:rPr>
        <w:t> </w:t>
      </w:r>
      <w:r>
        <w:rPr>
          <w:vertAlign w:val="baseline"/>
        </w:rPr>
        <w:t>locally</w:t>
      </w:r>
      <w:r>
        <w:rPr>
          <w:spacing w:val="-3"/>
          <w:vertAlign w:val="baseline"/>
        </w:rPr>
        <w:t> </w:t>
      </w:r>
      <w:r>
        <w:rPr>
          <w:vertAlign w:val="baseline"/>
        </w:rPr>
        <w:t>to</w:t>
      </w:r>
      <w:r>
        <w:rPr>
          <w:spacing w:val="-3"/>
          <w:vertAlign w:val="baseline"/>
        </w:rPr>
        <w:t> </w:t>
      </w:r>
      <w:r>
        <w:rPr>
          <w:vertAlign w:val="baseline"/>
        </w:rPr>
        <w:t>estrogen</w:t>
      </w:r>
      <w:r>
        <w:rPr>
          <w:spacing w:val="-3"/>
          <w:vertAlign w:val="baseline"/>
        </w:rPr>
        <w:t> </w:t>
      </w:r>
      <w:r>
        <w:rPr>
          <w:vertAlign w:val="baseline"/>
        </w:rPr>
        <w:t>and</w:t>
      </w:r>
      <w:r>
        <w:rPr>
          <w:spacing w:val="-3"/>
          <w:vertAlign w:val="baseline"/>
        </w:rPr>
        <w:t> </w:t>
      </w:r>
      <w:r>
        <w:rPr>
          <w:vertAlign w:val="baseline"/>
        </w:rPr>
        <w:t>testosterone</w:t>
      </w:r>
      <w:r>
        <w:rPr>
          <w:spacing w:val="-3"/>
          <w:vertAlign w:val="baseline"/>
        </w:rPr>
        <w:t> </w:t>
      </w:r>
      <w:r>
        <w:rPr>
          <w:vertAlign w:val="baseline"/>
        </w:rPr>
        <w:t>within the vaginal tissue, a phenomenon that is recognized as “intracrinology.”</w:t>
      </w:r>
      <w:r>
        <w:rPr>
          <w:vertAlign w:val="superscript"/>
        </w:rPr>
        <w:t>207</w:t>
      </w:r>
      <w:r>
        <w:rPr>
          <w:vertAlign w:val="baseline"/>
        </w:rPr>
        <w:t> In clinical trials comparing DHEA to 0.3-mg CEE or 10-μg E2 daily, DHEA was found to be at least as effective as CEE and/or estradiol in improving vulvovaginal symptoms.</w:t>
      </w:r>
      <w:r>
        <w:rPr>
          <w:vertAlign w:val="superscript"/>
        </w:rPr>
        <w:t>208</w:t>
      </w:r>
      <w:r>
        <w:rPr>
          <w:vertAlign w:val="baseline"/>
        </w:rPr>
        <w:t> There was no effect of vaginal DHEA on the endometrium or liver; however, impact on bone is unknown.</w:t>
      </w:r>
    </w:p>
    <w:p>
      <w:pPr>
        <w:pStyle w:val="BodyText"/>
        <w:spacing w:before="0"/>
        <w:ind w:left="0"/>
        <w:jc w:val="left"/>
        <w:rPr>
          <w:sz w:val="20"/>
        </w:rPr>
      </w:pPr>
    </w:p>
    <w:p>
      <w:pPr>
        <w:pStyle w:val="BodyText"/>
        <w:spacing w:before="125"/>
        <w:ind w:left="0"/>
        <w:jc w:val="left"/>
        <w:rPr>
          <w:sz w:val="20"/>
        </w:rPr>
      </w:pPr>
      <w:r>
        <w:rPr>
          <w:sz w:val="20"/>
        </w:rPr>
        <mc:AlternateContent>
          <mc:Choice Requires="wps">
            <w:drawing>
              <wp:anchor distT="0" distB="0" distL="0" distR="0" allowOverlap="1" layoutInCell="1" locked="0" behindDoc="1" simplePos="0" relativeHeight="487629824">
                <wp:simplePos x="0" y="0"/>
                <wp:positionH relativeFrom="page">
                  <wp:posOffset>981075</wp:posOffset>
                </wp:positionH>
                <wp:positionV relativeFrom="paragraph">
                  <wp:posOffset>240675</wp:posOffset>
                </wp:positionV>
                <wp:extent cx="285750" cy="5715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285750" cy="57150"/>
                        </a:xfrm>
                        <a:custGeom>
                          <a:avLst/>
                          <a:gdLst/>
                          <a:ahLst/>
                          <a:cxnLst/>
                          <a:rect l="l" t="t" r="r" b="b"/>
                          <a:pathLst>
                            <a:path w="285750" h="57150">
                              <a:moveTo>
                                <a:pt x="32364" y="57130"/>
                              </a:moveTo>
                              <a:lnTo>
                                <a:pt x="24785" y="57130"/>
                              </a:lnTo>
                              <a:lnTo>
                                <a:pt x="21140" y="56387"/>
                              </a:lnTo>
                              <a:lnTo>
                                <a:pt x="0" y="32346"/>
                              </a:lnTo>
                              <a:lnTo>
                                <a:pt x="0" y="24784"/>
                              </a:lnTo>
                              <a:lnTo>
                                <a:pt x="725" y="21135"/>
                              </a:lnTo>
                              <a:lnTo>
                                <a:pt x="3625" y="14096"/>
                              </a:lnTo>
                              <a:lnTo>
                                <a:pt x="5689" y="11010"/>
                              </a:lnTo>
                              <a:lnTo>
                                <a:pt x="8369" y="8353"/>
                              </a:lnTo>
                              <a:lnTo>
                                <a:pt x="11048" y="5657"/>
                              </a:lnTo>
                              <a:lnTo>
                                <a:pt x="14138" y="3590"/>
                              </a:lnTo>
                              <a:lnTo>
                                <a:pt x="21140" y="704"/>
                              </a:lnTo>
                              <a:lnTo>
                                <a:pt x="24785" y="0"/>
                              </a:lnTo>
                              <a:lnTo>
                                <a:pt x="32364" y="0"/>
                              </a:lnTo>
                              <a:lnTo>
                                <a:pt x="36009" y="704"/>
                              </a:lnTo>
                              <a:lnTo>
                                <a:pt x="43010" y="3590"/>
                              </a:lnTo>
                              <a:lnTo>
                                <a:pt x="46101" y="5657"/>
                              </a:lnTo>
                              <a:lnTo>
                                <a:pt x="48780" y="8353"/>
                              </a:lnTo>
                              <a:lnTo>
                                <a:pt x="51459" y="11010"/>
                              </a:lnTo>
                              <a:lnTo>
                                <a:pt x="53524" y="14096"/>
                              </a:lnTo>
                              <a:lnTo>
                                <a:pt x="56424" y="21135"/>
                              </a:lnTo>
                              <a:lnTo>
                                <a:pt x="57149" y="24784"/>
                              </a:lnTo>
                              <a:lnTo>
                                <a:pt x="57149" y="32346"/>
                              </a:lnTo>
                              <a:lnTo>
                                <a:pt x="36009" y="56387"/>
                              </a:lnTo>
                              <a:lnTo>
                                <a:pt x="32364" y="57130"/>
                              </a:lnTo>
                              <a:close/>
                            </a:path>
                            <a:path w="285750" h="57150">
                              <a:moveTo>
                                <a:pt x="146569" y="57130"/>
                              </a:moveTo>
                              <a:lnTo>
                                <a:pt x="138990" y="57130"/>
                              </a:lnTo>
                              <a:lnTo>
                                <a:pt x="135345" y="56387"/>
                              </a:lnTo>
                              <a:lnTo>
                                <a:pt x="114204" y="32346"/>
                              </a:lnTo>
                              <a:lnTo>
                                <a:pt x="114204" y="24784"/>
                              </a:lnTo>
                              <a:lnTo>
                                <a:pt x="114929" y="21135"/>
                              </a:lnTo>
                              <a:lnTo>
                                <a:pt x="117829" y="14096"/>
                              </a:lnTo>
                              <a:lnTo>
                                <a:pt x="119894" y="11010"/>
                              </a:lnTo>
                              <a:lnTo>
                                <a:pt x="122574" y="8353"/>
                              </a:lnTo>
                              <a:lnTo>
                                <a:pt x="125253" y="5657"/>
                              </a:lnTo>
                              <a:lnTo>
                                <a:pt x="128343" y="3590"/>
                              </a:lnTo>
                              <a:lnTo>
                                <a:pt x="135345" y="704"/>
                              </a:lnTo>
                              <a:lnTo>
                                <a:pt x="138990" y="0"/>
                              </a:lnTo>
                              <a:lnTo>
                                <a:pt x="146569" y="0"/>
                              </a:lnTo>
                              <a:lnTo>
                                <a:pt x="150214" y="704"/>
                              </a:lnTo>
                              <a:lnTo>
                                <a:pt x="157215" y="3590"/>
                              </a:lnTo>
                              <a:lnTo>
                                <a:pt x="160305" y="5657"/>
                              </a:lnTo>
                              <a:lnTo>
                                <a:pt x="162985" y="8353"/>
                              </a:lnTo>
                              <a:lnTo>
                                <a:pt x="165664" y="11010"/>
                              </a:lnTo>
                              <a:lnTo>
                                <a:pt x="167729" y="14096"/>
                              </a:lnTo>
                              <a:lnTo>
                                <a:pt x="170629" y="21135"/>
                              </a:lnTo>
                              <a:lnTo>
                                <a:pt x="171354" y="24784"/>
                              </a:lnTo>
                              <a:lnTo>
                                <a:pt x="171354" y="32346"/>
                              </a:lnTo>
                              <a:lnTo>
                                <a:pt x="150214" y="56387"/>
                              </a:lnTo>
                              <a:lnTo>
                                <a:pt x="146569" y="57130"/>
                              </a:lnTo>
                              <a:close/>
                            </a:path>
                            <a:path w="285750" h="57150">
                              <a:moveTo>
                                <a:pt x="260773" y="57130"/>
                              </a:moveTo>
                              <a:lnTo>
                                <a:pt x="253195" y="57130"/>
                              </a:lnTo>
                              <a:lnTo>
                                <a:pt x="249550" y="56387"/>
                              </a:lnTo>
                              <a:lnTo>
                                <a:pt x="228409" y="32346"/>
                              </a:lnTo>
                              <a:lnTo>
                                <a:pt x="228409" y="24784"/>
                              </a:lnTo>
                              <a:lnTo>
                                <a:pt x="229134" y="21135"/>
                              </a:lnTo>
                              <a:lnTo>
                                <a:pt x="232034" y="14096"/>
                              </a:lnTo>
                              <a:lnTo>
                                <a:pt x="234099" y="11010"/>
                              </a:lnTo>
                              <a:lnTo>
                                <a:pt x="236778" y="8353"/>
                              </a:lnTo>
                              <a:lnTo>
                                <a:pt x="239458" y="5657"/>
                              </a:lnTo>
                              <a:lnTo>
                                <a:pt x="242548" y="3590"/>
                              </a:lnTo>
                              <a:lnTo>
                                <a:pt x="249550" y="704"/>
                              </a:lnTo>
                              <a:lnTo>
                                <a:pt x="253195" y="0"/>
                              </a:lnTo>
                              <a:lnTo>
                                <a:pt x="260773" y="0"/>
                              </a:lnTo>
                              <a:lnTo>
                                <a:pt x="264418" y="704"/>
                              </a:lnTo>
                              <a:lnTo>
                                <a:pt x="271420" y="3590"/>
                              </a:lnTo>
                              <a:lnTo>
                                <a:pt x="274510" y="5657"/>
                              </a:lnTo>
                              <a:lnTo>
                                <a:pt x="277190" y="8353"/>
                              </a:lnTo>
                              <a:lnTo>
                                <a:pt x="279869" y="11010"/>
                              </a:lnTo>
                              <a:lnTo>
                                <a:pt x="281934" y="14096"/>
                              </a:lnTo>
                              <a:lnTo>
                                <a:pt x="284834" y="21135"/>
                              </a:lnTo>
                              <a:lnTo>
                                <a:pt x="285559" y="24784"/>
                              </a:lnTo>
                              <a:lnTo>
                                <a:pt x="285559" y="32346"/>
                              </a:lnTo>
                              <a:lnTo>
                                <a:pt x="264418" y="56387"/>
                              </a:lnTo>
                              <a:lnTo>
                                <a:pt x="260773" y="57130"/>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50809pt;width:22.5pt;height:4.5pt;mso-position-horizontal-relative:page;mso-position-vertical-relative:paragraph;z-index:-15686656;mso-wrap-distance-left:0;mso-wrap-distance-right:0" id="docshape116" coordorigin="1545,379" coordsize="450,90" path="m1596,469l1584,469,1578,468,1567,463,1562,460,1558,456,1554,452,1551,447,1546,436,1545,430,1545,418,1546,412,1551,401,1554,396,1558,392,1562,388,1567,385,1578,380,1584,379,1596,379,1602,380,1613,385,1618,388,1622,392,1626,396,1629,401,1634,412,1635,418,1635,430,1634,436,1629,447,1626,452,1622,456,1618,460,1613,463,1602,468,1596,469xm1776,469l1764,469,1758,468,1747,463,1742,460,1738,456,1734,452,1731,447,1726,436,1725,430,1725,418,1726,412,1731,401,1734,396,1738,392,1742,388,1747,385,1758,380,1764,379,1776,379,1782,380,1793,385,1797,388,1802,392,1806,396,1809,401,1814,412,1815,418,1815,430,1814,436,1809,447,1806,452,1802,456,1797,460,1793,463,1782,468,1776,469xm1956,469l1944,469,1938,468,1927,463,1922,460,1918,456,1914,452,1910,447,1906,436,1905,430,1905,418,1906,412,1910,401,1914,396,1918,392,1922,388,1927,385,1938,380,1944,379,1956,379,1961,380,1972,385,1977,388,1982,392,1986,396,1989,401,1994,412,1995,418,1995,430,1994,436,1989,447,1986,452,1982,456,1977,460,1972,463,1961,468,1956,469xe" filled="true" fillcolor="#bdb4d4" stroked="false">
                <v:path arrowok="t"/>
                <v:fill type="solid"/>
                <w10:wrap type="topAndBottom"/>
              </v:shape>
            </w:pict>
          </mc:Fallback>
        </mc:AlternateContent>
      </w:r>
    </w:p>
    <w:p>
      <w:pPr>
        <w:pStyle w:val="Heading3"/>
      </w:pPr>
      <w:r>
        <w:rPr>
          <w:color w:val="534089"/>
        </w:rPr>
        <w:t>SELECTIVE</w:t>
      </w:r>
      <w:r>
        <w:rPr>
          <w:color w:val="534089"/>
          <w:spacing w:val="-4"/>
        </w:rPr>
        <w:t> </w:t>
      </w:r>
      <w:r>
        <w:rPr>
          <w:color w:val="534089"/>
        </w:rPr>
        <w:t>ESTROGEN</w:t>
      </w:r>
      <w:r>
        <w:rPr>
          <w:color w:val="534089"/>
          <w:spacing w:val="-2"/>
        </w:rPr>
        <w:t> </w:t>
      </w:r>
      <w:r>
        <w:rPr>
          <w:color w:val="534089"/>
        </w:rPr>
        <w:t>RECEPTOR</w:t>
      </w:r>
      <w:r>
        <w:rPr>
          <w:color w:val="534089"/>
          <w:spacing w:val="-2"/>
        </w:rPr>
        <w:t> MODULATORS</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30336">
                <wp:simplePos x="0" y="0"/>
                <wp:positionH relativeFrom="page">
                  <wp:posOffset>981075</wp:posOffset>
                </wp:positionH>
                <wp:positionV relativeFrom="paragraph">
                  <wp:posOffset>45746</wp:posOffset>
                </wp:positionV>
                <wp:extent cx="5810250" cy="1905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103pt;width:457.499964pt;height:1.5pt;mso-position-horizontal-relative:page;mso-position-vertical-relative:paragraph;z-index:-15686144;mso-wrap-distance-left:0;mso-wrap-distance-right:0" id="docshape117" filled="true" fillcolor="#534089" stroked="false">
                <v:fill type="solid"/>
                <w10:wrap type="topAndBottom"/>
              </v:rect>
            </w:pict>
          </mc:Fallback>
        </mc:AlternateContent>
      </w:r>
    </w:p>
    <w:p>
      <w:pPr>
        <w:pStyle w:val="BodyText"/>
        <w:spacing w:line="249" w:lineRule="auto" w:before="215"/>
        <w:ind w:right="97"/>
      </w:pPr>
      <w:r>
        <w:rPr/>
        <w:t>A greater understanding of the ER mechanism (see Chapter 1) allows us </w:t>
      </w:r>
      <w:r>
        <w:rPr/>
        <w:t>to understand how mixed estrogen agonists/antagonists can have selective actions on specific target tissues. New agents are continuously being developed in efforts to isolate the desired actions (improvement in VMS</w:t>
      </w:r>
      <w:r>
        <w:rPr>
          <w:spacing w:val="40"/>
        </w:rPr>
        <w:t> </w:t>
      </w:r>
      <w:r>
        <w:rPr/>
        <w:t>and bone density) from unwanted side effects (proliferative effects on endometrial and breast tissue). Indeed, in time, we can expect to see new products with progressively better agonist/antagonist profiles, yielding increasingly user-friendly drugs.</w:t>
      </w:r>
    </w:p>
    <w:p>
      <w:pPr>
        <w:pStyle w:val="BodyText"/>
        <w:spacing w:before="53"/>
        <w:ind w:left="0"/>
        <w:jc w:val="left"/>
      </w:pPr>
    </w:p>
    <w:p>
      <w:pPr>
        <w:spacing w:before="0"/>
        <w:ind w:left="99" w:right="0" w:firstLine="0"/>
        <w:jc w:val="left"/>
        <w:rPr>
          <w:rFonts w:ascii="Arial"/>
          <w:b/>
          <w:sz w:val="30"/>
        </w:rPr>
      </w:pPr>
      <w:r>
        <w:rPr>
          <w:rFonts w:ascii="Arial"/>
          <w:b/>
          <w:color w:val="2674AE"/>
          <w:spacing w:val="-2"/>
          <w:sz w:val="30"/>
        </w:rPr>
        <w:t>Raloxifene</w:t>
      </w:r>
    </w:p>
    <w:p>
      <w:pPr>
        <w:pStyle w:val="BodyText"/>
        <w:spacing w:line="249" w:lineRule="auto" w:before="167"/>
        <w:ind w:right="98"/>
      </w:pPr>
      <w:r>
        <w:rPr/>
        <w:t>Therapeutic benefit of raloxifene is well established for the skeleton </w:t>
      </w:r>
      <w:r>
        <w:rPr/>
        <w:t>and breast tissue, and its role in menopause management is primarily for targeted benefits toward fracture and breast cancer risk reduction. Briefly, raloxifene exerts estrogenic effects on the skeleton (further discussed in Chapter</w:t>
      </w:r>
      <w:r>
        <w:rPr>
          <w:spacing w:val="-4"/>
        </w:rPr>
        <w:t> </w:t>
      </w:r>
      <w:r>
        <w:rPr/>
        <w:t>23) without having any proliferative effects on the endometrium. A major limitation of raloxifene and similar selective estrogen receptor modulators (SERMs) is the lack of efficacy against VMS; if anything, women</w:t>
      </w:r>
      <w:r>
        <w:rPr>
          <w:spacing w:val="21"/>
        </w:rPr>
        <w:t> </w:t>
      </w:r>
      <w:r>
        <w:rPr/>
        <w:t>taking</w:t>
      </w:r>
      <w:r>
        <w:rPr>
          <w:spacing w:val="21"/>
        </w:rPr>
        <w:t> </w:t>
      </w:r>
      <w:r>
        <w:rPr/>
        <w:t>raloxifene</w:t>
      </w:r>
      <w:r>
        <w:rPr>
          <w:spacing w:val="21"/>
        </w:rPr>
        <w:t> </w:t>
      </w:r>
      <w:r>
        <w:rPr/>
        <w:t>may</w:t>
      </w:r>
      <w:r>
        <w:rPr>
          <w:spacing w:val="21"/>
        </w:rPr>
        <w:t> </w:t>
      </w:r>
      <w:r>
        <w:rPr/>
        <w:t>even</w:t>
      </w:r>
      <w:r>
        <w:rPr>
          <w:spacing w:val="21"/>
        </w:rPr>
        <w:t> </w:t>
      </w:r>
      <w:r>
        <w:rPr/>
        <w:t>experience</w:t>
      </w:r>
      <w:r>
        <w:rPr>
          <w:spacing w:val="21"/>
        </w:rPr>
        <w:t> </w:t>
      </w:r>
      <w:r>
        <w:rPr/>
        <w:t>a</w:t>
      </w:r>
      <w:r>
        <w:rPr>
          <w:spacing w:val="21"/>
        </w:rPr>
        <w:t> </w:t>
      </w:r>
      <w:r>
        <w:rPr/>
        <w:t>worsening</w:t>
      </w:r>
      <w:r>
        <w:rPr>
          <w:spacing w:val="21"/>
        </w:rPr>
        <w:t> </w:t>
      </w:r>
      <w:r>
        <w:rPr/>
        <w:t>of</w:t>
      </w:r>
      <w:r>
        <w:rPr>
          <w:spacing w:val="21"/>
        </w:rPr>
        <w:t> </w:t>
      </w:r>
      <w:r>
        <w:rPr/>
        <w:t>hot</w:t>
      </w:r>
      <w:r>
        <w:rPr>
          <w:spacing w:val="21"/>
        </w:rPr>
        <w:t> </w:t>
      </w:r>
      <w:r>
        <w:rPr>
          <w:spacing w:val="-2"/>
        </w:rPr>
        <w:t>flushes!</w:t>
      </w:r>
    </w:p>
    <w:p>
      <w:pPr>
        <w:pStyle w:val="BodyText"/>
        <w:spacing w:after="0" w:line="249" w:lineRule="auto"/>
        <w:sectPr>
          <w:pgSz w:w="12240" w:h="15840"/>
          <w:pgMar w:top="1380" w:bottom="280" w:left="1440" w:right="1440"/>
        </w:sectPr>
      </w:pPr>
    </w:p>
    <w:p>
      <w:pPr>
        <w:pStyle w:val="BodyText"/>
        <w:spacing w:line="249" w:lineRule="auto"/>
        <w:ind w:right="98"/>
      </w:pPr>
      <w:r>
        <w:rPr/>
        <w:t>Overall, metabolic effects of raloxifene are neutral or even favorable </w:t>
      </w:r>
      <w:r>
        <w:rPr/>
        <w:t>on lipids.</w:t>
      </w:r>
      <w:r>
        <w:rPr>
          <w:vertAlign w:val="superscript"/>
        </w:rPr>
        <w:t>209-212</w:t>
      </w:r>
      <w:r>
        <w:rPr>
          <w:vertAlign w:val="baseline"/>
        </w:rPr>
        <w:t> The Multiple Outcomes of Raloxifene Evaluation (MORE) study of raloxifene administration to women with osteoporosis reported results from 8 years of follow-up.</w:t>
      </w:r>
      <w:r>
        <w:rPr>
          <w:vertAlign w:val="superscript"/>
        </w:rPr>
        <w:t>213,214</w:t>
      </w:r>
      <w:r>
        <w:rPr>
          <w:vertAlign w:val="baseline"/>
        </w:rPr>
        <w:t> Women with low </w:t>
      </w:r>
      <w:r>
        <w:rPr>
          <w:i/>
          <w:vertAlign w:val="baseline"/>
        </w:rPr>
        <w:t>T</w:t>
      </w:r>
      <w:r>
        <w:rPr>
          <w:vertAlign w:val="baseline"/>
        </w:rPr>
        <w:t>-scores had approximately a 50% reduction in vertebral fractures with raloxifene treatment and those with previous vertebral fractures had an approximate 35%</w:t>
      </w:r>
      <w:r>
        <w:rPr>
          <w:spacing w:val="-3"/>
          <w:vertAlign w:val="baseline"/>
        </w:rPr>
        <w:t> </w:t>
      </w:r>
      <w:r>
        <w:rPr>
          <w:vertAlign w:val="baseline"/>
        </w:rPr>
        <w:t>reduction</w:t>
      </w:r>
      <w:r>
        <w:rPr>
          <w:spacing w:val="-3"/>
          <w:vertAlign w:val="baseline"/>
        </w:rPr>
        <w:t> </w:t>
      </w:r>
      <w:r>
        <w:rPr>
          <w:vertAlign w:val="baseline"/>
        </w:rPr>
        <w:t>compared</w:t>
      </w:r>
      <w:r>
        <w:rPr>
          <w:spacing w:val="-3"/>
          <w:vertAlign w:val="baseline"/>
        </w:rPr>
        <w:t> </w:t>
      </w:r>
      <w:r>
        <w:rPr>
          <w:vertAlign w:val="baseline"/>
        </w:rPr>
        <w:t>to</w:t>
      </w:r>
      <w:r>
        <w:rPr>
          <w:spacing w:val="-3"/>
          <w:vertAlign w:val="baseline"/>
        </w:rPr>
        <w:t> </w:t>
      </w:r>
      <w:r>
        <w:rPr>
          <w:vertAlign w:val="baseline"/>
        </w:rPr>
        <w:t>placebo.</w:t>
      </w:r>
      <w:r>
        <w:rPr>
          <w:spacing w:val="-4"/>
          <w:vertAlign w:val="baseline"/>
        </w:rPr>
        <w:t> </w:t>
      </w:r>
      <w:r>
        <w:rPr>
          <w:vertAlign w:val="baseline"/>
        </w:rPr>
        <w:t>However,</w:t>
      </w:r>
      <w:r>
        <w:rPr>
          <w:spacing w:val="-5"/>
          <w:vertAlign w:val="baseline"/>
        </w:rPr>
        <w:t> </w:t>
      </w:r>
      <w:r>
        <w:rPr>
          <w:b/>
          <w:vertAlign w:val="baseline"/>
        </w:rPr>
        <w:t>there</w:t>
      </w:r>
      <w:r>
        <w:rPr>
          <w:b/>
          <w:spacing w:val="-3"/>
          <w:vertAlign w:val="baseline"/>
        </w:rPr>
        <w:t> </w:t>
      </w:r>
      <w:r>
        <w:rPr>
          <w:b/>
          <w:vertAlign w:val="baseline"/>
        </w:rPr>
        <w:t>has</w:t>
      </w:r>
      <w:r>
        <w:rPr>
          <w:b/>
          <w:spacing w:val="-3"/>
          <w:vertAlign w:val="baseline"/>
        </w:rPr>
        <w:t> </w:t>
      </w:r>
      <w:r>
        <w:rPr>
          <w:b/>
          <w:vertAlign w:val="baseline"/>
        </w:rPr>
        <w:t>been</w:t>
      </w:r>
      <w:r>
        <w:rPr>
          <w:b/>
          <w:spacing w:val="-3"/>
          <w:vertAlign w:val="baseline"/>
        </w:rPr>
        <w:t> </w:t>
      </w:r>
      <w:r>
        <w:rPr>
          <w:b/>
          <w:vertAlign w:val="baseline"/>
        </w:rPr>
        <w:t>no</w:t>
      </w:r>
      <w:r>
        <w:rPr>
          <w:b/>
          <w:spacing w:val="-3"/>
          <w:vertAlign w:val="baseline"/>
        </w:rPr>
        <w:t> </w:t>
      </w:r>
      <w:r>
        <w:rPr>
          <w:b/>
          <w:vertAlign w:val="baseline"/>
        </w:rPr>
        <w:t>evidence of a reduction in hip or wrist fractures. </w:t>
      </w:r>
      <w:r>
        <w:rPr>
          <w:vertAlign w:val="baseline"/>
        </w:rPr>
        <w:t>The major adverse effect was about a 3-fold increase in VTE. All SERMs, like estrogen, have an increased risk for VTE, normally within the first 1 to 2 years of drug initiation.</w:t>
      </w:r>
      <w:r>
        <w:rPr>
          <w:vertAlign w:val="superscript"/>
        </w:rPr>
        <w:t>215</w:t>
      </w:r>
      <w:r>
        <w:rPr>
          <w:spacing w:val="-3"/>
          <w:vertAlign w:val="baseline"/>
        </w:rPr>
        <w:t> </w:t>
      </w:r>
      <w:r>
        <w:rPr>
          <w:vertAlign w:val="baseline"/>
        </w:rPr>
        <w:t>The</w:t>
      </w:r>
      <w:r>
        <w:rPr>
          <w:spacing w:val="-3"/>
          <w:vertAlign w:val="baseline"/>
        </w:rPr>
        <w:t> </w:t>
      </w:r>
      <w:r>
        <w:rPr>
          <w:vertAlign w:val="baseline"/>
        </w:rPr>
        <w:t>size</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risk</w:t>
      </w:r>
      <w:r>
        <w:rPr>
          <w:spacing w:val="-3"/>
          <w:vertAlign w:val="baseline"/>
        </w:rPr>
        <w:t> </w:t>
      </w:r>
      <w:r>
        <w:rPr>
          <w:vertAlign w:val="baseline"/>
        </w:rPr>
        <w:t>is</w:t>
      </w:r>
      <w:r>
        <w:rPr>
          <w:spacing w:val="-3"/>
          <w:vertAlign w:val="baseline"/>
        </w:rPr>
        <w:t> </w:t>
      </w:r>
      <w:r>
        <w:rPr>
          <w:vertAlign w:val="baseline"/>
        </w:rPr>
        <w:t>comparable</w:t>
      </w:r>
      <w:r>
        <w:rPr>
          <w:spacing w:val="-3"/>
          <w:vertAlign w:val="baseline"/>
        </w:rPr>
        <w:t> </w:t>
      </w:r>
      <w:r>
        <w:rPr>
          <w:vertAlign w:val="baseline"/>
        </w:rPr>
        <w:t>for</w:t>
      </w:r>
      <w:r>
        <w:rPr>
          <w:spacing w:val="-3"/>
          <w:vertAlign w:val="baseline"/>
        </w:rPr>
        <w:t> </w:t>
      </w:r>
      <w:r>
        <w:rPr>
          <w:vertAlign w:val="baseline"/>
        </w:rPr>
        <w:t>all</w:t>
      </w:r>
      <w:r>
        <w:rPr>
          <w:spacing w:val="-3"/>
          <w:vertAlign w:val="baseline"/>
        </w:rPr>
        <w:t> </w:t>
      </w:r>
      <w:r>
        <w:rPr>
          <w:vertAlign w:val="baseline"/>
        </w:rPr>
        <w:t>SERMs,</w:t>
      </w:r>
      <w:r>
        <w:rPr>
          <w:spacing w:val="-3"/>
          <w:vertAlign w:val="baseline"/>
        </w:rPr>
        <w:t> </w:t>
      </w:r>
      <w:r>
        <w:rPr>
          <w:vertAlign w:val="baseline"/>
        </w:rPr>
        <w:t>and</w:t>
      </w:r>
      <w:r>
        <w:rPr>
          <w:spacing w:val="-3"/>
          <w:vertAlign w:val="baseline"/>
        </w:rPr>
        <w:t> </w:t>
      </w:r>
      <w:r>
        <w:rPr>
          <w:vertAlign w:val="baseline"/>
        </w:rPr>
        <w:t>nearly</w:t>
      </w:r>
      <w:r>
        <w:rPr>
          <w:spacing w:val="-3"/>
          <w:vertAlign w:val="baseline"/>
        </w:rPr>
        <w:t> </w:t>
      </w:r>
      <w:r>
        <w:rPr>
          <w:vertAlign w:val="baseline"/>
        </w:rPr>
        <w:t>all the cases occur in the first 1 or 2 years of exposure. A small number of women experience hot flushing with raloxifene. Raloxifene treatment in the MORE trial had neither a positive nor a negative effect on cognition.</w:t>
      </w:r>
      <w:r>
        <w:rPr>
          <w:vertAlign w:val="superscript"/>
        </w:rPr>
        <w:t>216</w:t>
      </w:r>
    </w:p>
    <w:p>
      <w:pPr>
        <w:pStyle w:val="BodyText"/>
        <w:spacing w:line="249" w:lineRule="auto" w:before="17"/>
        <w:ind w:right="100" w:firstLine="450"/>
      </w:pPr>
      <w:r>
        <w:rPr/>
        <w:t>Women who received raloxifene in the MORE trial had about an 80% reduction in the incidence of ER-positive breast cancers. The CORE study, the Continuing Outcomes Relevant to Evista trial, was designed to measure the impact of 4 additional years of raloxifene (60 mg/d), beginning during the fourth year of the MORE trial.</w:t>
      </w:r>
      <w:r>
        <w:rPr>
          <w:vertAlign w:val="superscript"/>
        </w:rPr>
        <w:t>217</w:t>
      </w:r>
      <w:r>
        <w:rPr>
          <w:vertAlign w:val="baseline"/>
        </w:rPr>
        <w:t> Of the 7,705 participants </w:t>
      </w:r>
      <w:r>
        <w:rPr>
          <w:vertAlign w:val="baseline"/>
        </w:rPr>
        <w:t>initially randomized in the MORE trial, 3,510 women elected to continue raloxifene treatment (2,336 completed the CORE trial) and 1,703 continued on</w:t>
      </w:r>
      <w:r>
        <w:rPr>
          <w:spacing w:val="40"/>
          <w:vertAlign w:val="baseline"/>
        </w:rPr>
        <w:t> </w:t>
      </w:r>
      <w:r>
        <w:rPr>
          <w:vertAlign w:val="baseline"/>
        </w:rPr>
        <w:t>placebo (1,106 completed the trial). During the 4-year CORE study, raloxifene treatment was associated with a 66% (HR = 0.34; CI = 0.18-0.66) reduction of ER-positive invasive breast cancer in the treated group. There was no difference in ER-negative tumors, nor. Over the entire 8-year period, the reduction in ER-positive cancers reached 76%. In the 8-year period, there was no difference in the number of deaths in the two groups.</w:t>
      </w:r>
    </w:p>
    <w:p>
      <w:pPr>
        <w:pStyle w:val="BodyText"/>
        <w:spacing w:line="249" w:lineRule="auto" w:before="16"/>
        <w:ind w:right="99" w:firstLine="450"/>
      </w:pPr>
      <w:r>
        <w:rPr/>
        <w:t>The Study of Tamoxifen and Raloxifene (STAR) trial enrolled 19,747 women</w:t>
      </w:r>
      <w:r>
        <w:rPr>
          <w:spacing w:val="-2"/>
        </w:rPr>
        <w:t> </w:t>
      </w:r>
      <w:r>
        <w:rPr/>
        <w:t>at</w:t>
      </w:r>
      <w:r>
        <w:rPr>
          <w:spacing w:val="-2"/>
        </w:rPr>
        <w:t> </w:t>
      </w:r>
      <w:r>
        <w:rPr/>
        <w:t>increased</w:t>
      </w:r>
      <w:r>
        <w:rPr>
          <w:spacing w:val="-2"/>
        </w:rPr>
        <w:t> </w:t>
      </w:r>
      <w:r>
        <w:rPr/>
        <w:t>risk</w:t>
      </w:r>
      <w:r>
        <w:rPr>
          <w:spacing w:val="-2"/>
        </w:rPr>
        <w:t> </w:t>
      </w:r>
      <w:r>
        <w:rPr/>
        <w:t>of</w:t>
      </w:r>
      <w:r>
        <w:rPr>
          <w:spacing w:val="-2"/>
        </w:rPr>
        <w:t> </w:t>
      </w:r>
      <w:r>
        <w:rPr/>
        <w:t>breast</w:t>
      </w:r>
      <w:r>
        <w:rPr>
          <w:spacing w:val="-2"/>
        </w:rPr>
        <w:t> </w:t>
      </w:r>
      <w:r>
        <w:rPr/>
        <w:t>cancer</w:t>
      </w:r>
      <w:r>
        <w:rPr>
          <w:spacing w:val="-2"/>
        </w:rPr>
        <w:t> </w:t>
      </w:r>
      <w:r>
        <w:rPr/>
        <w:t>who</w:t>
      </w:r>
      <w:r>
        <w:rPr>
          <w:spacing w:val="-2"/>
        </w:rPr>
        <w:t> </w:t>
      </w:r>
      <w:r>
        <w:rPr/>
        <w:t>were</w:t>
      </w:r>
      <w:r>
        <w:rPr>
          <w:spacing w:val="-2"/>
        </w:rPr>
        <w:t> </w:t>
      </w:r>
      <w:r>
        <w:rPr/>
        <w:t>randomized</w:t>
      </w:r>
      <w:r>
        <w:rPr>
          <w:spacing w:val="-2"/>
        </w:rPr>
        <w:t> </w:t>
      </w:r>
      <w:r>
        <w:rPr/>
        <w:t>to</w:t>
      </w:r>
      <w:r>
        <w:rPr>
          <w:spacing w:val="-2"/>
        </w:rPr>
        <w:t> </w:t>
      </w:r>
      <w:r>
        <w:rPr/>
        <w:t>treatment with either raloxifene, 60 mg daily, or tamoxifen, 20 mg daily, in more than 500 centers in the United States, Canada, and Puerto Rico.</w:t>
      </w:r>
      <w:r>
        <w:rPr>
          <w:vertAlign w:val="superscript"/>
        </w:rPr>
        <w:t>218</w:t>
      </w:r>
      <w:r>
        <w:rPr>
          <w:vertAlign w:val="baseline"/>
        </w:rPr>
        <w:t> After </w:t>
      </w:r>
      <w:r>
        <w:rPr>
          <w:vertAlign w:val="baseline"/>
        </w:rPr>
        <w:t>an average treatment period of almost 4 years, the numbers of invasive breast cancers were identical in the two groups of women. It was estimated that these results were equivalent to about a 50% reduction (based on the previous results in the tamoxifen prevention trial),</w:t>
      </w:r>
      <w:r>
        <w:rPr>
          <w:vertAlign w:val="superscript"/>
        </w:rPr>
        <w:t>219,220</w:t>
      </w:r>
      <w:r>
        <w:rPr>
          <w:vertAlign w:val="baseline"/>
        </w:rPr>
        <w:t> but without a placebo</w:t>
      </w:r>
      <w:r>
        <w:rPr>
          <w:spacing w:val="54"/>
          <w:w w:val="150"/>
          <w:vertAlign w:val="baseline"/>
        </w:rPr>
        <w:t> </w:t>
      </w:r>
      <w:r>
        <w:rPr>
          <w:vertAlign w:val="baseline"/>
        </w:rPr>
        <w:t>arm,</w:t>
      </w:r>
      <w:r>
        <w:rPr>
          <w:spacing w:val="55"/>
          <w:w w:val="150"/>
          <w:vertAlign w:val="baseline"/>
        </w:rPr>
        <w:t> </w:t>
      </w:r>
      <w:r>
        <w:rPr>
          <w:vertAlign w:val="baseline"/>
        </w:rPr>
        <w:t>an</w:t>
      </w:r>
      <w:r>
        <w:rPr>
          <w:spacing w:val="54"/>
          <w:w w:val="150"/>
          <w:vertAlign w:val="baseline"/>
        </w:rPr>
        <w:t> </w:t>
      </w:r>
      <w:r>
        <w:rPr>
          <w:vertAlign w:val="baseline"/>
        </w:rPr>
        <w:t>accurate</w:t>
      </w:r>
      <w:r>
        <w:rPr>
          <w:spacing w:val="55"/>
          <w:w w:val="150"/>
          <w:vertAlign w:val="baseline"/>
        </w:rPr>
        <w:t> </w:t>
      </w:r>
      <w:r>
        <w:rPr>
          <w:vertAlign w:val="baseline"/>
        </w:rPr>
        <w:t>assessment</w:t>
      </w:r>
      <w:r>
        <w:rPr>
          <w:spacing w:val="54"/>
          <w:w w:val="150"/>
          <w:vertAlign w:val="baseline"/>
        </w:rPr>
        <w:t> </w:t>
      </w:r>
      <w:r>
        <w:rPr>
          <w:vertAlign w:val="baseline"/>
        </w:rPr>
        <w:t>was</w:t>
      </w:r>
      <w:r>
        <w:rPr>
          <w:spacing w:val="55"/>
          <w:w w:val="150"/>
          <w:vertAlign w:val="baseline"/>
        </w:rPr>
        <w:t> </w:t>
      </w:r>
      <w:r>
        <w:rPr>
          <w:vertAlign w:val="baseline"/>
        </w:rPr>
        <w:t>impossible.</w:t>
      </w:r>
      <w:r>
        <w:rPr>
          <w:spacing w:val="54"/>
          <w:w w:val="150"/>
          <w:vertAlign w:val="baseline"/>
        </w:rPr>
        <w:t> </w:t>
      </w:r>
      <w:r>
        <w:rPr>
          <w:vertAlign w:val="baseline"/>
        </w:rPr>
        <w:t>Thus,</w:t>
      </w:r>
      <w:r>
        <w:rPr>
          <w:spacing w:val="53"/>
          <w:w w:val="150"/>
          <w:vertAlign w:val="baseline"/>
        </w:rPr>
        <w:t> </w:t>
      </w:r>
      <w:r>
        <w:rPr>
          <w:spacing w:val="-2"/>
          <w:vertAlign w:val="baseline"/>
        </w:rPr>
        <w:t>raloxifene</w:t>
      </w:r>
    </w:p>
    <w:p>
      <w:pPr>
        <w:pStyle w:val="BodyText"/>
        <w:spacing w:after="0" w:line="249" w:lineRule="auto"/>
        <w:sectPr>
          <w:pgSz w:w="12240" w:h="15840"/>
          <w:pgMar w:top="1380" w:bottom="280" w:left="1440" w:right="1440"/>
        </w:sectPr>
      </w:pPr>
    </w:p>
    <w:p>
      <w:pPr>
        <w:pStyle w:val="BodyText"/>
        <w:spacing w:line="249" w:lineRule="auto"/>
        <w:ind w:right="98"/>
      </w:pPr>
      <w:r>
        <w:rPr/>
        <w:t>appears to achieve the same reduction as tamoxifen in invasive </w:t>
      </w:r>
      <w:r>
        <w:rPr/>
        <w:t>breast cancers with a lesser increase in venous thrombosis and perhaps no increase in cataracts and uterine cancer. Fractures, as well as strokes and heart attacks, were equally prevalent in the two groups. “Quality of life” was said to be the same for both drugs.</w:t>
      </w:r>
    </w:p>
    <w:p>
      <w:pPr>
        <w:pStyle w:val="BodyText"/>
        <w:spacing w:line="249" w:lineRule="auto" w:before="6"/>
        <w:ind w:right="99" w:firstLine="450"/>
      </w:pPr>
      <w:r>
        <w:rPr/>
        <w:t>Tamoxifen, another well-recognized SERM, has been demonstrated to reduce the incidence of both lobular carcinoma in situ and ductal carcinoma in situ.</w:t>
      </w:r>
      <w:r>
        <w:rPr>
          <w:vertAlign w:val="superscript"/>
        </w:rPr>
        <w:t>219,220</w:t>
      </w:r>
      <w:r>
        <w:rPr>
          <w:vertAlign w:val="baseline"/>
        </w:rPr>
        <w:t> In the 7-year follow-up report of the tamoxifen for </w:t>
      </w:r>
      <w:r>
        <w:rPr>
          <w:vertAlign w:val="baseline"/>
        </w:rPr>
        <w:t>prevention study, the risk for breast cancer was 0.57 (CI = 0.46-0.79), a 43%</w:t>
      </w:r>
      <w:r>
        <w:rPr>
          <w:spacing w:val="80"/>
          <w:vertAlign w:val="baseline"/>
        </w:rPr>
        <w:t> </w:t>
      </w:r>
      <w:r>
        <w:rPr>
          <w:vertAlign w:val="baseline"/>
        </w:rPr>
        <w:t>reduction, and the risk for in situ disease was 0.63 (CI = 0.45-0.89), a 37% reduction.</w:t>
      </w:r>
      <w:r>
        <w:rPr>
          <w:vertAlign w:val="superscript"/>
        </w:rPr>
        <w:t>219</w:t>
      </w:r>
      <w:r>
        <w:rPr>
          <w:vertAlign w:val="baseline"/>
        </w:rPr>
        <w:t> Not only did raloxifene not yield a reduction in in situ cancers, the number with raloxifene in the STAR trial was greater. If raloxifene is truly preventing breast cancer, this should produce a reduction in in situ disease. Perhaps, with longer follow-up, a difference between the two treatment groups will no longer be apparent.</w:t>
      </w:r>
    </w:p>
    <w:p>
      <w:pPr>
        <w:pStyle w:val="BodyText"/>
        <w:spacing w:line="249" w:lineRule="auto" w:before="12"/>
        <w:ind w:right="98" w:firstLine="450"/>
      </w:pPr>
      <w:r>
        <w:rPr/>
        <w:t>In a 2-year randomized trial in monkeys, raloxifene exerted no protection against coronary artery atherosclerosis despite changes in circulating lipids similar to those achieved in women.</w:t>
      </w:r>
      <w:r>
        <w:rPr>
          <w:vertAlign w:val="superscript"/>
        </w:rPr>
        <w:t>221</w:t>
      </w:r>
      <w:r>
        <w:rPr>
          <w:vertAlign w:val="baseline"/>
        </w:rPr>
        <w:t> The Raloxifene</w:t>
      </w:r>
      <w:r>
        <w:rPr>
          <w:spacing w:val="40"/>
          <w:vertAlign w:val="baseline"/>
        </w:rPr>
        <w:t> </w:t>
      </w:r>
      <w:r>
        <w:rPr>
          <w:vertAlign w:val="baseline"/>
        </w:rPr>
        <w:t>Use for the Heart (RUTH) study included more than 10,000 women from</w:t>
      </w:r>
      <w:r>
        <w:rPr>
          <w:spacing w:val="40"/>
          <w:vertAlign w:val="baseline"/>
        </w:rPr>
        <w:t> </w:t>
      </w:r>
      <w:r>
        <w:rPr>
          <w:vertAlign w:val="baseline"/>
        </w:rPr>
        <w:t>26 countries, either at high risk for myocardial infarction or with </w:t>
      </w:r>
      <w:r>
        <w:rPr>
          <w:vertAlign w:val="baseline"/>
        </w:rPr>
        <w:t>known CHD.</w:t>
      </w:r>
      <w:r>
        <w:rPr>
          <w:vertAlign w:val="superscript"/>
        </w:rPr>
        <w:t>222,223</w:t>
      </w:r>
      <w:r>
        <w:rPr>
          <w:vertAlign w:val="baseline"/>
        </w:rPr>
        <w:t> The participants were randomized to placebo or raloxifene, 60 mg daily, and followed for up to 7 years. There was no effect of raloxifene treatment on CHD events; however, there was a small increase in stroke mortality. The results of the RUTH trial are not surprising. The known favorable impact of raloxifene on the cholesterol-lipid profile was not</w:t>
      </w:r>
      <w:r>
        <w:rPr>
          <w:spacing w:val="40"/>
          <w:vertAlign w:val="baseline"/>
        </w:rPr>
        <w:t> </w:t>
      </w:r>
      <w:r>
        <w:rPr>
          <w:vertAlign w:val="baseline"/>
        </w:rPr>
        <w:t>robust enough to prevent coronary events.</w:t>
      </w:r>
    </w:p>
    <w:p>
      <w:pPr>
        <w:pStyle w:val="BodyText"/>
        <w:spacing w:line="249" w:lineRule="auto" w:before="14"/>
        <w:ind w:right="97" w:firstLine="450"/>
      </w:pPr>
      <w:r>
        <w:rPr/>
        <w:t>Because the Nurses’ Health Study reported a reduction in coronary events associated with ET administered to young postmenopausal women, the RUTH trial performed a post hoc analysis of the impact of raloxifene according to age of the women at entry to the study as well as subgroups such as the use of medications, including statins.</w:t>
      </w:r>
      <w:r>
        <w:rPr>
          <w:vertAlign w:val="superscript"/>
        </w:rPr>
        <w:t>223</w:t>
      </w:r>
      <w:r>
        <w:rPr>
          <w:vertAlign w:val="baseline"/>
        </w:rPr>
        <w:t> Overall, raloxifene </w:t>
      </w:r>
      <w:r>
        <w:rPr>
          <w:vertAlign w:val="baseline"/>
        </w:rPr>
        <w:t>did not increase or decrease coronary events in either of the treated groups. The only category demonstrating a significant difference, a 40% reduction in coronary events, consisted of women less than 60 years of age. Despite the statistically significant reduction in coronary events in women under age</w:t>
      </w:r>
      <w:r>
        <w:rPr>
          <w:spacing w:val="40"/>
          <w:vertAlign w:val="baseline"/>
        </w:rPr>
        <w:t> </w:t>
      </w:r>
      <w:r>
        <w:rPr>
          <w:vertAlign w:val="baseline"/>
        </w:rPr>
        <w:t>60,</w:t>
      </w:r>
      <w:r>
        <w:rPr>
          <w:spacing w:val="65"/>
          <w:vertAlign w:val="baseline"/>
        </w:rPr>
        <w:t> </w:t>
      </w:r>
      <w:r>
        <w:rPr>
          <w:vertAlign w:val="baseline"/>
        </w:rPr>
        <w:t>there</w:t>
      </w:r>
      <w:r>
        <w:rPr>
          <w:spacing w:val="65"/>
          <w:vertAlign w:val="baseline"/>
        </w:rPr>
        <w:t> </w:t>
      </w:r>
      <w:r>
        <w:rPr>
          <w:vertAlign w:val="baseline"/>
        </w:rPr>
        <w:t>was</w:t>
      </w:r>
      <w:r>
        <w:rPr>
          <w:spacing w:val="65"/>
          <w:vertAlign w:val="baseline"/>
        </w:rPr>
        <w:t> </w:t>
      </w:r>
      <w:r>
        <w:rPr>
          <w:vertAlign w:val="baseline"/>
        </w:rPr>
        <w:t>no</w:t>
      </w:r>
      <w:r>
        <w:rPr>
          <w:spacing w:val="65"/>
          <w:vertAlign w:val="baseline"/>
        </w:rPr>
        <w:t> </w:t>
      </w:r>
      <w:r>
        <w:rPr>
          <w:vertAlign w:val="baseline"/>
        </w:rPr>
        <w:t>relationship</w:t>
      </w:r>
      <w:r>
        <w:rPr>
          <w:spacing w:val="65"/>
          <w:vertAlign w:val="baseline"/>
        </w:rPr>
        <w:t> </w:t>
      </w:r>
      <w:r>
        <w:rPr>
          <w:vertAlign w:val="baseline"/>
        </w:rPr>
        <w:t>in</w:t>
      </w:r>
      <w:r>
        <w:rPr>
          <w:spacing w:val="65"/>
          <w:vertAlign w:val="baseline"/>
        </w:rPr>
        <w:t> </w:t>
      </w:r>
      <w:r>
        <w:rPr>
          <w:vertAlign w:val="baseline"/>
        </w:rPr>
        <w:t>any</w:t>
      </w:r>
      <w:r>
        <w:rPr>
          <w:spacing w:val="65"/>
          <w:vertAlign w:val="baseline"/>
        </w:rPr>
        <w:t> </w:t>
      </w:r>
      <w:r>
        <w:rPr>
          <w:vertAlign w:val="baseline"/>
        </w:rPr>
        <w:t>subgroup</w:t>
      </w:r>
      <w:r>
        <w:rPr>
          <w:spacing w:val="65"/>
          <w:vertAlign w:val="baseline"/>
        </w:rPr>
        <w:t> </w:t>
      </w:r>
      <w:r>
        <w:rPr>
          <w:vertAlign w:val="baseline"/>
        </w:rPr>
        <w:t>according</w:t>
      </w:r>
      <w:r>
        <w:rPr>
          <w:spacing w:val="65"/>
          <w:vertAlign w:val="baseline"/>
        </w:rPr>
        <w:t> </w:t>
      </w:r>
      <w:r>
        <w:rPr>
          <w:vertAlign w:val="baseline"/>
        </w:rPr>
        <w:t>to</w:t>
      </w:r>
      <w:r>
        <w:rPr>
          <w:spacing w:val="65"/>
          <w:vertAlign w:val="baseline"/>
        </w:rPr>
        <w:t> </w:t>
      </w:r>
      <w:r>
        <w:rPr>
          <w:vertAlign w:val="baseline"/>
        </w:rPr>
        <w:t>years</w:t>
      </w:r>
      <w:r>
        <w:rPr>
          <w:spacing w:val="65"/>
          <w:vertAlign w:val="baseline"/>
        </w:rPr>
        <w:t> </w:t>
      </w:r>
      <w:r>
        <w:rPr>
          <w:spacing w:val="-2"/>
          <w:vertAlign w:val="baseline"/>
        </w:rPr>
        <w:t>since</w:t>
      </w:r>
    </w:p>
    <w:p>
      <w:pPr>
        <w:pStyle w:val="BodyText"/>
        <w:spacing w:after="0" w:line="249" w:lineRule="auto"/>
        <w:sectPr>
          <w:pgSz w:w="12240" w:h="15840"/>
          <w:pgMar w:top="1380" w:bottom="280" w:left="1440" w:right="1440"/>
        </w:sectPr>
      </w:pPr>
    </w:p>
    <w:p>
      <w:pPr>
        <w:pStyle w:val="BodyText"/>
        <w:spacing w:line="249" w:lineRule="auto"/>
        <w:ind w:right="98"/>
      </w:pPr>
      <w:r>
        <w:rPr/>
        <w:t>menopause, even in the group less than 10 years postmenopausal. The women who were less than 60 years of age were an average of 9.9 years since menopause, compared with 19.4 years for the overall study population.</w:t>
      </w:r>
      <w:r>
        <w:rPr>
          <w:spacing w:val="-5"/>
        </w:rPr>
        <w:t> </w:t>
      </w:r>
      <w:r>
        <w:rPr/>
        <w:t>As with HT, decision to use raloxifene should not be </w:t>
      </w:r>
      <w:r>
        <w:rPr/>
        <w:t>influenced by its potential for facilitatory effects on the cardiovascular system, but rather for its beneficial impact on bone and breast tissue.</w:t>
      </w:r>
    </w:p>
    <w:p>
      <w:pPr>
        <w:spacing w:line="249" w:lineRule="auto" w:before="7"/>
        <w:ind w:left="99" w:right="101" w:firstLine="450"/>
        <w:jc w:val="both"/>
        <w:rPr>
          <w:b/>
          <w:sz w:val="30"/>
        </w:rPr>
      </w:pPr>
      <w:r>
        <w:rPr>
          <w:b/>
          <w:sz w:val="30"/>
        </w:rPr>
        <w:t>In our view, raloxifene is an option for the prevention of osteoporosis-related</w:t>
      </w:r>
      <w:r>
        <w:rPr>
          <w:b/>
          <w:spacing w:val="-5"/>
          <w:sz w:val="30"/>
        </w:rPr>
        <w:t> </w:t>
      </w:r>
      <w:r>
        <w:rPr>
          <w:b/>
          <w:sz w:val="30"/>
        </w:rPr>
        <w:t>spinal</w:t>
      </w:r>
      <w:r>
        <w:rPr>
          <w:b/>
          <w:spacing w:val="-5"/>
          <w:sz w:val="30"/>
        </w:rPr>
        <w:t> </w:t>
      </w:r>
      <w:r>
        <w:rPr>
          <w:b/>
          <w:sz w:val="30"/>
        </w:rPr>
        <w:t>fractures,</w:t>
      </w:r>
      <w:r>
        <w:rPr>
          <w:b/>
          <w:spacing w:val="-5"/>
          <w:sz w:val="30"/>
        </w:rPr>
        <w:t> </w:t>
      </w:r>
      <w:r>
        <w:rPr>
          <w:b/>
          <w:sz w:val="30"/>
        </w:rPr>
        <w:t>especially</w:t>
      </w:r>
      <w:r>
        <w:rPr>
          <w:b/>
          <w:spacing w:val="-5"/>
          <w:sz w:val="30"/>
        </w:rPr>
        <w:t> </w:t>
      </w:r>
      <w:r>
        <w:rPr>
          <w:b/>
          <w:sz w:val="30"/>
        </w:rPr>
        <w:t>for</w:t>
      </w:r>
      <w:r>
        <w:rPr>
          <w:b/>
          <w:spacing w:val="-5"/>
          <w:sz w:val="30"/>
        </w:rPr>
        <w:t> </w:t>
      </w:r>
      <w:r>
        <w:rPr>
          <w:b/>
          <w:sz w:val="30"/>
        </w:rPr>
        <w:t>patients</w:t>
      </w:r>
      <w:r>
        <w:rPr>
          <w:b/>
          <w:spacing w:val="-5"/>
          <w:sz w:val="30"/>
        </w:rPr>
        <w:t> </w:t>
      </w:r>
      <w:r>
        <w:rPr>
          <w:b/>
          <w:sz w:val="30"/>
        </w:rPr>
        <w:t>reluctant</w:t>
      </w:r>
      <w:r>
        <w:rPr>
          <w:b/>
          <w:spacing w:val="-5"/>
          <w:sz w:val="30"/>
        </w:rPr>
        <w:t> </w:t>
      </w:r>
      <w:r>
        <w:rPr>
          <w:b/>
          <w:sz w:val="30"/>
        </w:rPr>
        <w:t>to use HT or in those wanting to combine some bone protection with a reduction in the risk of breast cancer. If using raloxifene for bone protection, periodic evaluation of BMD at the hip is recommended, and if bone loss occurs, patient and clinician should consider an alternative treatment option.</w:t>
      </w:r>
    </w:p>
    <w:p>
      <w:pPr>
        <w:pStyle w:val="BodyText"/>
        <w:spacing w:before="52"/>
        <w:ind w:left="0"/>
        <w:jc w:val="left"/>
        <w:rPr>
          <w:b/>
        </w:rPr>
      </w:pPr>
    </w:p>
    <w:p>
      <w:pPr>
        <w:spacing w:before="0"/>
        <w:ind w:left="99" w:right="0" w:firstLine="0"/>
        <w:jc w:val="left"/>
        <w:rPr>
          <w:rFonts w:ascii="Arial"/>
          <w:b/>
          <w:sz w:val="30"/>
        </w:rPr>
      </w:pPr>
      <w:r>
        <w:rPr>
          <w:rFonts w:ascii="Arial"/>
          <w:b/>
          <w:color w:val="2674AE"/>
          <w:spacing w:val="-2"/>
          <w:sz w:val="30"/>
        </w:rPr>
        <w:t>Ospemifene</w:t>
      </w:r>
    </w:p>
    <w:p>
      <w:pPr>
        <w:pStyle w:val="BodyText"/>
        <w:spacing w:line="249" w:lineRule="auto" w:before="167"/>
        <w:ind w:right="98"/>
      </w:pPr>
      <w:r>
        <w:rPr/>
        <w:t>Ospemifene (Osphena), the newest of these agents, has been approved </w:t>
      </w:r>
      <w:r>
        <w:rPr/>
        <w:t>by the FDA in the United States and Europe for its beneficial effects on</w:t>
      </w:r>
      <w:r>
        <w:rPr>
          <w:spacing w:val="40"/>
        </w:rPr>
        <w:t> </w:t>
      </w:r>
      <w:r>
        <w:rPr/>
        <w:t>vaginal</w:t>
      </w:r>
      <w:r>
        <w:rPr>
          <w:spacing w:val="-2"/>
        </w:rPr>
        <w:t> </w:t>
      </w:r>
      <w:r>
        <w:rPr/>
        <w:t>tissue.</w:t>
      </w:r>
      <w:r>
        <w:rPr>
          <w:spacing w:val="-3"/>
        </w:rPr>
        <w:t> </w:t>
      </w:r>
      <w:r>
        <w:rPr/>
        <w:t>As an oral formulation in a dose of 60 mg/d, it is effective in improving symptoms of vulvar and vaginal atrophy sites where ospemifene exerts a significant estrogenic impact.</w:t>
      </w:r>
      <w:r>
        <w:rPr>
          <w:vertAlign w:val="superscript"/>
        </w:rPr>
        <w:t>224</w:t>
      </w:r>
      <w:r>
        <w:rPr>
          <w:vertAlign w:val="baseline"/>
        </w:rPr>
        <w:t> In an action similar to sister SERM’s, ospemifene suppressed the development of breast cancer in a mouse model, and post hoc analysis of safety data is reassuring in terms of its effects on the breast, endometrium, and bone. Case studies offer reassurance regarding safety of ospemifene in managing symptoms of vulvovaginal</w:t>
      </w:r>
      <w:r>
        <w:rPr>
          <w:spacing w:val="-2"/>
          <w:vertAlign w:val="baseline"/>
        </w:rPr>
        <w:t> </w:t>
      </w:r>
      <w:r>
        <w:rPr>
          <w:vertAlign w:val="baseline"/>
        </w:rPr>
        <w:t>atrophy</w:t>
      </w:r>
      <w:r>
        <w:rPr>
          <w:spacing w:val="-2"/>
          <w:vertAlign w:val="baseline"/>
        </w:rPr>
        <w:t> </w:t>
      </w:r>
      <w:r>
        <w:rPr>
          <w:vertAlign w:val="baseline"/>
        </w:rPr>
        <w:t>in</w:t>
      </w:r>
      <w:r>
        <w:rPr>
          <w:spacing w:val="-2"/>
          <w:vertAlign w:val="baseline"/>
        </w:rPr>
        <w:t> </w:t>
      </w:r>
      <w:r>
        <w:rPr>
          <w:vertAlign w:val="baseline"/>
        </w:rPr>
        <w:t>women</w:t>
      </w:r>
      <w:r>
        <w:rPr>
          <w:spacing w:val="-2"/>
          <w:vertAlign w:val="baseline"/>
        </w:rPr>
        <w:t> </w:t>
      </w:r>
      <w:r>
        <w:rPr>
          <w:vertAlign w:val="baseline"/>
        </w:rPr>
        <w:t>with</w:t>
      </w:r>
      <w:r>
        <w:rPr>
          <w:spacing w:val="-2"/>
          <w:vertAlign w:val="baseline"/>
        </w:rPr>
        <w:t> </w:t>
      </w:r>
      <w:r>
        <w:rPr>
          <w:vertAlign w:val="baseline"/>
        </w:rPr>
        <w:t>a</w:t>
      </w:r>
      <w:r>
        <w:rPr>
          <w:spacing w:val="-2"/>
          <w:vertAlign w:val="baseline"/>
        </w:rPr>
        <w:t> </w:t>
      </w:r>
      <w:r>
        <w:rPr>
          <w:vertAlign w:val="baseline"/>
        </w:rPr>
        <w:t>history</w:t>
      </w:r>
      <w:r>
        <w:rPr>
          <w:spacing w:val="-2"/>
          <w:vertAlign w:val="baseline"/>
        </w:rPr>
        <w:t> </w:t>
      </w:r>
      <w:r>
        <w:rPr>
          <w:vertAlign w:val="baseline"/>
        </w:rPr>
        <w:t>of</w:t>
      </w:r>
      <w:r>
        <w:rPr>
          <w:spacing w:val="-2"/>
          <w:vertAlign w:val="baseline"/>
        </w:rPr>
        <w:t> </w:t>
      </w:r>
      <w:r>
        <w:rPr>
          <w:vertAlign w:val="baseline"/>
        </w:rPr>
        <w:t>breast</w:t>
      </w:r>
      <w:r>
        <w:rPr>
          <w:spacing w:val="-2"/>
          <w:vertAlign w:val="baseline"/>
        </w:rPr>
        <w:t> </w:t>
      </w:r>
      <w:r>
        <w:rPr>
          <w:vertAlign w:val="baseline"/>
        </w:rPr>
        <w:t>cancer.</w:t>
      </w:r>
      <w:r>
        <w:rPr>
          <w:vertAlign w:val="superscript"/>
        </w:rPr>
        <w:t>225</w:t>
      </w:r>
      <w:r>
        <w:rPr>
          <w:vertAlign w:val="baseline"/>
        </w:rPr>
        <w:t> However, similar to raloxifene, VMS can worsen.</w:t>
      </w:r>
      <w:r>
        <w:rPr>
          <w:vertAlign w:val="superscript"/>
        </w:rPr>
        <w:t>226</w:t>
      </w:r>
      <w:r>
        <w:rPr>
          <w:vertAlign w:val="baseline"/>
        </w:rPr>
        <w:t> More recently, improvements in urinary urge incontinence and in sexual function were observed following a 12-week treatment with ospemifene in postmenopausal women with symptoms of overactive bladder syndrome.</w:t>
      </w:r>
      <w:r>
        <w:rPr>
          <w:vertAlign w:val="superscript"/>
        </w:rPr>
        <w:t>227</w:t>
      </w:r>
    </w:p>
    <w:p>
      <w:pPr>
        <w:pStyle w:val="BodyText"/>
        <w:spacing w:before="60"/>
        <w:ind w:left="0"/>
        <w:jc w:val="left"/>
      </w:pPr>
    </w:p>
    <w:p>
      <w:pPr>
        <w:spacing w:line="249" w:lineRule="auto" w:before="1"/>
        <w:ind w:left="99" w:right="255" w:firstLine="0"/>
        <w:jc w:val="left"/>
        <w:rPr>
          <w:rFonts w:ascii="Arial"/>
          <w:b/>
          <w:sz w:val="30"/>
        </w:rPr>
      </w:pPr>
      <w:r>
        <w:rPr>
          <w:rFonts w:ascii="Arial"/>
          <w:b/>
          <w:color w:val="2674AE"/>
          <w:sz w:val="30"/>
        </w:rPr>
        <w:t>Effect</w:t>
      </w:r>
      <w:r>
        <w:rPr>
          <w:rFonts w:ascii="Arial"/>
          <w:b/>
          <w:color w:val="2674AE"/>
          <w:spacing w:val="-6"/>
          <w:sz w:val="30"/>
        </w:rPr>
        <w:t> </w:t>
      </w:r>
      <w:r>
        <w:rPr>
          <w:rFonts w:ascii="Arial"/>
          <w:b/>
          <w:color w:val="2674AE"/>
          <w:sz w:val="30"/>
        </w:rPr>
        <w:t>of</w:t>
      </w:r>
      <w:r>
        <w:rPr>
          <w:rFonts w:ascii="Arial"/>
          <w:b/>
          <w:color w:val="2674AE"/>
          <w:spacing w:val="-6"/>
          <w:sz w:val="30"/>
        </w:rPr>
        <w:t> </w:t>
      </w:r>
      <w:r>
        <w:rPr>
          <w:rFonts w:ascii="Arial"/>
          <w:b/>
          <w:color w:val="2674AE"/>
          <w:sz w:val="30"/>
        </w:rPr>
        <w:t>Selective</w:t>
      </w:r>
      <w:r>
        <w:rPr>
          <w:rFonts w:ascii="Arial"/>
          <w:b/>
          <w:color w:val="2674AE"/>
          <w:spacing w:val="-6"/>
          <w:sz w:val="30"/>
        </w:rPr>
        <w:t> </w:t>
      </w:r>
      <w:r>
        <w:rPr>
          <w:rFonts w:ascii="Arial"/>
          <w:b/>
          <w:color w:val="2674AE"/>
          <w:sz w:val="30"/>
        </w:rPr>
        <w:t>Estrogen</w:t>
      </w:r>
      <w:r>
        <w:rPr>
          <w:rFonts w:ascii="Arial"/>
          <w:b/>
          <w:color w:val="2674AE"/>
          <w:spacing w:val="-6"/>
          <w:sz w:val="30"/>
        </w:rPr>
        <w:t> </w:t>
      </w:r>
      <w:r>
        <w:rPr>
          <w:rFonts w:ascii="Arial"/>
          <w:b/>
          <w:color w:val="2674AE"/>
          <w:sz w:val="30"/>
        </w:rPr>
        <w:t>Receptor</w:t>
      </w:r>
      <w:r>
        <w:rPr>
          <w:rFonts w:ascii="Arial"/>
          <w:b/>
          <w:color w:val="2674AE"/>
          <w:spacing w:val="-6"/>
          <w:sz w:val="30"/>
        </w:rPr>
        <w:t> </w:t>
      </w:r>
      <w:r>
        <w:rPr>
          <w:rFonts w:ascii="Arial"/>
          <w:b/>
          <w:color w:val="2674AE"/>
          <w:sz w:val="30"/>
        </w:rPr>
        <w:t>Modulators</w:t>
      </w:r>
      <w:r>
        <w:rPr>
          <w:rFonts w:ascii="Arial"/>
          <w:b/>
          <w:color w:val="2674AE"/>
          <w:spacing w:val="-6"/>
          <w:sz w:val="30"/>
        </w:rPr>
        <w:t> </w:t>
      </w:r>
      <w:r>
        <w:rPr>
          <w:rFonts w:ascii="Arial"/>
          <w:b/>
          <w:color w:val="2674AE"/>
          <w:sz w:val="30"/>
        </w:rPr>
        <w:t>on</w:t>
      </w:r>
      <w:r>
        <w:rPr>
          <w:rFonts w:ascii="Arial"/>
          <w:b/>
          <w:color w:val="2674AE"/>
          <w:spacing w:val="-6"/>
          <w:sz w:val="30"/>
        </w:rPr>
        <w:t> </w:t>
      </w:r>
      <w:r>
        <w:rPr>
          <w:rFonts w:ascii="Arial"/>
          <w:b/>
          <w:color w:val="2674AE"/>
          <w:sz w:val="30"/>
        </w:rPr>
        <w:t>the </w:t>
      </w:r>
      <w:r>
        <w:rPr>
          <w:rFonts w:ascii="Arial"/>
          <w:b/>
          <w:color w:val="2674AE"/>
          <w:spacing w:val="-2"/>
          <w:sz w:val="30"/>
        </w:rPr>
        <w:t>Skeleton</w:t>
      </w:r>
    </w:p>
    <w:p>
      <w:pPr>
        <w:pStyle w:val="BodyText"/>
        <w:spacing w:before="153"/>
      </w:pPr>
      <w:r>
        <w:rPr/>
        <w:t>These</w:t>
      </w:r>
      <w:r>
        <w:rPr>
          <w:spacing w:val="-3"/>
        </w:rPr>
        <w:t> </w:t>
      </w:r>
      <w:r>
        <w:rPr/>
        <w:t>effects</w:t>
      </w:r>
      <w:r>
        <w:rPr>
          <w:spacing w:val="-1"/>
        </w:rPr>
        <w:t> </w:t>
      </w:r>
      <w:r>
        <w:rPr/>
        <w:t>are</w:t>
      </w:r>
      <w:r>
        <w:rPr>
          <w:spacing w:val="-1"/>
        </w:rPr>
        <w:t> </w:t>
      </w:r>
      <w:r>
        <w:rPr/>
        <w:t>discussed</w:t>
      </w:r>
      <w:r>
        <w:rPr>
          <w:spacing w:val="-1"/>
        </w:rPr>
        <w:t> </w:t>
      </w:r>
      <w:r>
        <w:rPr/>
        <w:t>in</w:t>
      </w:r>
      <w:r>
        <w:rPr>
          <w:spacing w:val="-2"/>
        </w:rPr>
        <w:t> </w:t>
      </w:r>
      <w:r>
        <w:rPr/>
        <w:t>Chapter</w:t>
      </w:r>
      <w:r>
        <w:rPr>
          <w:spacing w:val="-1"/>
        </w:rPr>
        <w:t> </w:t>
      </w:r>
      <w:r>
        <w:rPr>
          <w:spacing w:val="-5"/>
        </w:rPr>
        <w:t>23.</w:t>
      </w:r>
    </w:p>
    <w:p>
      <w:pPr>
        <w:spacing w:before="314"/>
        <w:ind w:left="99" w:right="0" w:firstLine="0"/>
        <w:jc w:val="left"/>
        <w:rPr>
          <w:rFonts w:ascii="Arial"/>
          <w:b/>
          <w:i/>
          <w:sz w:val="22"/>
        </w:rPr>
      </w:pPr>
      <w:r>
        <w:rPr>
          <w:rFonts w:ascii="Arial"/>
          <w:b/>
          <w:i/>
          <w:color w:val="A0234E"/>
          <w:sz w:val="22"/>
        </w:rPr>
        <w:t>Tissue-Selective</w:t>
      </w:r>
      <w:r>
        <w:rPr>
          <w:rFonts w:ascii="Arial"/>
          <w:b/>
          <w:i/>
          <w:color w:val="A0234E"/>
          <w:spacing w:val="25"/>
          <w:sz w:val="22"/>
        </w:rPr>
        <w:t> </w:t>
      </w:r>
      <w:r>
        <w:rPr>
          <w:rFonts w:ascii="Arial"/>
          <w:b/>
          <w:i/>
          <w:color w:val="A0234E"/>
          <w:sz w:val="22"/>
        </w:rPr>
        <w:t>Estrogen</w:t>
      </w:r>
      <w:r>
        <w:rPr>
          <w:rFonts w:ascii="Arial"/>
          <w:b/>
          <w:i/>
          <w:color w:val="A0234E"/>
          <w:spacing w:val="25"/>
          <w:sz w:val="22"/>
        </w:rPr>
        <w:t> </w:t>
      </w:r>
      <w:r>
        <w:rPr>
          <w:rFonts w:ascii="Arial"/>
          <w:b/>
          <w:i/>
          <w:color w:val="A0234E"/>
          <w:spacing w:val="-2"/>
          <w:sz w:val="22"/>
        </w:rPr>
        <w:t>Complex</w:t>
      </w:r>
    </w:p>
    <w:p>
      <w:pPr>
        <w:spacing w:after="0"/>
        <w:jc w:val="left"/>
        <w:rPr>
          <w:rFonts w:ascii="Arial"/>
          <w:b/>
          <w:i/>
          <w:sz w:val="22"/>
        </w:rPr>
        <w:sectPr>
          <w:pgSz w:w="12240" w:h="15840"/>
          <w:pgMar w:top="1380" w:bottom="280" w:left="1440" w:right="1440"/>
        </w:sectPr>
      </w:pPr>
    </w:p>
    <w:p>
      <w:pPr>
        <w:pStyle w:val="BodyText"/>
        <w:spacing w:line="249" w:lineRule="auto"/>
        <w:ind w:right="97"/>
      </w:pPr>
      <w:r>
        <w:rPr>
          <w:b/>
        </w:rPr>
        <w:t>The combination of an estrogen combined with an SERM is called a TSEC</w:t>
      </w:r>
      <w:r>
        <w:rPr>
          <w:b/>
          <w:spacing w:val="-4"/>
        </w:rPr>
        <w:t> </w:t>
      </w:r>
      <w:r>
        <w:rPr/>
        <w:t>(</w:t>
      </w:r>
      <w:r>
        <w:rPr>
          <w:b/>
        </w:rPr>
        <w:t>tissue-selective estrogen complex</w:t>
      </w:r>
      <w:r>
        <w:rPr/>
        <w:t>)</w:t>
      </w:r>
      <w:r>
        <w:rPr>
          <w:b/>
        </w:rPr>
        <w:t>. </w:t>
      </w:r>
      <w:r>
        <w:rPr/>
        <w:t>The idea is to gain the benefits of estrogen (improved VMS, improved BMD, and reduced fracture risk) while mitigating potential for adverse effects of estrogen on certain </w:t>
      </w:r>
      <w:r>
        <w:rPr/>
        <w:t>end organs (such as the endometrium and the breast). A series of RCTs (Selective Estrogens, Menopause, And Response to Therapy [SMART]) have paired conjugated estrogen with an SERM, bazedoxifene (BZA), with the goal of achieving symptom and bone benefit without the need for</w:t>
      </w:r>
      <w:r>
        <w:rPr>
          <w:spacing w:val="40"/>
        </w:rPr>
        <w:t> </w:t>
      </w:r>
      <w:r>
        <w:rPr/>
        <w:t>adding progestational agent to HT regimen in women who have a uterus, while allowing synergy of both agents on certain end organs such as the bone.</w:t>
      </w:r>
      <w:r>
        <w:rPr>
          <w:vertAlign w:val="superscript"/>
        </w:rPr>
        <w:t>228</w:t>
      </w:r>
      <w:r>
        <w:rPr>
          <w:vertAlign w:val="baseline"/>
        </w:rPr>
        <w:t> BZA belongs to the estrogen agonist-antagonist family of drugs. It has favorable effects on the bone and lipids but does not affect the endometrium or the breast.</w:t>
      </w:r>
      <w:r>
        <w:rPr>
          <w:vertAlign w:val="superscript"/>
        </w:rPr>
        <w:t>229,230</w:t>
      </w:r>
      <w:r>
        <w:rPr>
          <w:vertAlign w:val="baseline"/>
        </w:rPr>
        <w:t> Treatment with BZA alone for 2 years had no</w:t>
      </w:r>
      <w:r>
        <w:rPr>
          <w:spacing w:val="-13"/>
          <w:vertAlign w:val="baseline"/>
        </w:rPr>
        <w:t> </w:t>
      </w:r>
      <w:r>
        <w:rPr>
          <w:vertAlign w:val="baseline"/>
        </w:rPr>
        <w:t>effect</w:t>
      </w:r>
      <w:r>
        <w:rPr>
          <w:spacing w:val="-13"/>
          <w:vertAlign w:val="baseline"/>
        </w:rPr>
        <w:t> </w:t>
      </w:r>
      <w:r>
        <w:rPr>
          <w:vertAlign w:val="baseline"/>
        </w:rPr>
        <w:t>on</w:t>
      </w:r>
      <w:r>
        <w:rPr>
          <w:spacing w:val="-13"/>
          <w:vertAlign w:val="baseline"/>
        </w:rPr>
        <w:t> </w:t>
      </w:r>
      <w:r>
        <w:rPr>
          <w:vertAlign w:val="baseline"/>
        </w:rPr>
        <w:t>mammographic</w:t>
      </w:r>
      <w:r>
        <w:rPr>
          <w:spacing w:val="-13"/>
          <w:vertAlign w:val="baseline"/>
        </w:rPr>
        <w:t> </w:t>
      </w:r>
      <w:r>
        <w:rPr>
          <w:vertAlign w:val="baseline"/>
        </w:rPr>
        <w:t>breast</w:t>
      </w:r>
      <w:r>
        <w:rPr>
          <w:spacing w:val="-13"/>
          <w:vertAlign w:val="baseline"/>
        </w:rPr>
        <w:t> </w:t>
      </w:r>
      <w:r>
        <w:rPr>
          <w:vertAlign w:val="baseline"/>
        </w:rPr>
        <w:t>density.</w:t>
      </w:r>
      <w:r>
        <w:rPr>
          <w:vertAlign w:val="superscript"/>
        </w:rPr>
        <w:t>231</w:t>
      </w:r>
      <w:r>
        <w:rPr>
          <w:spacing w:val="-14"/>
          <w:vertAlign w:val="baseline"/>
        </w:rPr>
        <w:t> </w:t>
      </w:r>
      <w:r>
        <w:rPr>
          <w:vertAlign w:val="baseline"/>
        </w:rPr>
        <w:t>Furthermore,</w:t>
      </w:r>
      <w:r>
        <w:rPr>
          <w:spacing w:val="-13"/>
          <w:vertAlign w:val="baseline"/>
        </w:rPr>
        <w:t> </w:t>
      </w:r>
      <w:r>
        <w:rPr>
          <w:vertAlign w:val="baseline"/>
        </w:rPr>
        <w:t>in</w:t>
      </w:r>
      <w:r>
        <w:rPr>
          <w:spacing w:val="-13"/>
          <w:vertAlign w:val="baseline"/>
        </w:rPr>
        <w:t> </w:t>
      </w:r>
      <w:r>
        <w:rPr>
          <w:vertAlign w:val="baseline"/>
        </w:rPr>
        <w:t>the</w:t>
      </w:r>
      <w:r>
        <w:rPr>
          <w:spacing w:val="-13"/>
          <w:vertAlign w:val="baseline"/>
        </w:rPr>
        <w:t> </w:t>
      </w:r>
      <w:r>
        <w:rPr>
          <w:vertAlign w:val="baseline"/>
        </w:rPr>
        <w:t>SMART-5 trial (using BZA paired with CEE), there was no increased incidence of breast density or tenderness when compared to CEE/MPA; existing data thus are reassuring regarding breast safety of combination of BZA and </w:t>
      </w:r>
      <w:r>
        <w:rPr>
          <w:spacing w:val="-2"/>
          <w:vertAlign w:val="baseline"/>
        </w:rPr>
        <w:t>CEE.</w:t>
      </w:r>
      <w:r>
        <w:rPr>
          <w:spacing w:val="-2"/>
          <w:vertAlign w:val="superscript"/>
        </w:rPr>
        <w:t>232</w:t>
      </w:r>
    </w:p>
    <w:p>
      <w:pPr>
        <w:pStyle w:val="BodyText"/>
        <w:spacing w:line="249" w:lineRule="auto" w:before="22"/>
        <w:ind w:right="99" w:firstLine="450"/>
      </w:pPr>
      <w:r>
        <w:rPr/>
        <w:t>BZA combined with conjugated estrogens effectively suppresses hot flushes, improves vaginal atrophy, prevents bone loss, and does </w:t>
      </w:r>
      <w:r>
        <w:rPr/>
        <w:t>not stimulate the endometrium or cause breast tenderness.</w:t>
      </w:r>
      <w:r>
        <w:rPr>
          <w:vertAlign w:val="superscript"/>
        </w:rPr>
        <w:t>229,232-236</w:t>
      </w:r>
      <w:r>
        <w:rPr>
          <w:vertAlign w:val="baseline"/>
        </w:rPr>
        <w:t> The combination</w:t>
      </w:r>
      <w:r>
        <w:rPr>
          <w:spacing w:val="-3"/>
          <w:vertAlign w:val="baseline"/>
        </w:rPr>
        <w:t> </w:t>
      </w:r>
      <w:r>
        <w:rPr>
          <w:vertAlign w:val="baseline"/>
        </w:rPr>
        <w:t>of</w:t>
      </w:r>
      <w:r>
        <w:rPr>
          <w:spacing w:val="-3"/>
          <w:vertAlign w:val="baseline"/>
        </w:rPr>
        <w:t> </w:t>
      </w:r>
      <w:r>
        <w:rPr>
          <w:vertAlign w:val="baseline"/>
        </w:rPr>
        <w:t>20</w:t>
      </w:r>
      <w:r>
        <w:rPr>
          <w:spacing w:val="-3"/>
          <w:vertAlign w:val="baseline"/>
        </w:rPr>
        <w:t> </w:t>
      </w:r>
      <w:r>
        <w:rPr>
          <w:vertAlign w:val="baseline"/>
        </w:rPr>
        <w:t>mg</w:t>
      </w:r>
      <w:r>
        <w:rPr>
          <w:spacing w:val="-3"/>
          <w:vertAlign w:val="baseline"/>
        </w:rPr>
        <w:t> </w:t>
      </w:r>
      <w:r>
        <w:rPr>
          <w:vertAlign w:val="baseline"/>
        </w:rPr>
        <w:t>BZA</w:t>
      </w:r>
      <w:r>
        <w:rPr>
          <w:spacing w:val="-3"/>
          <w:vertAlign w:val="baseline"/>
        </w:rPr>
        <w:t> </w:t>
      </w:r>
      <w:r>
        <w:rPr>
          <w:vertAlign w:val="baseline"/>
        </w:rPr>
        <w:t>with</w:t>
      </w:r>
      <w:r>
        <w:rPr>
          <w:spacing w:val="-3"/>
          <w:vertAlign w:val="baseline"/>
        </w:rPr>
        <w:t> </w:t>
      </w:r>
      <w:r>
        <w:rPr>
          <w:vertAlign w:val="baseline"/>
        </w:rPr>
        <w:t>CEE</w:t>
      </w:r>
      <w:r>
        <w:rPr>
          <w:spacing w:val="-3"/>
          <w:vertAlign w:val="baseline"/>
        </w:rPr>
        <w:t> </w:t>
      </w:r>
      <w:r>
        <w:rPr>
          <w:vertAlign w:val="baseline"/>
        </w:rPr>
        <w:t>prevents</w:t>
      </w:r>
      <w:r>
        <w:rPr>
          <w:spacing w:val="-3"/>
          <w:vertAlign w:val="baseline"/>
        </w:rPr>
        <w:t> </w:t>
      </w:r>
      <w:r>
        <w:rPr>
          <w:vertAlign w:val="baseline"/>
        </w:rPr>
        <w:t>endometrial</w:t>
      </w:r>
      <w:r>
        <w:rPr>
          <w:spacing w:val="-3"/>
          <w:vertAlign w:val="baseline"/>
        </w:rPr>
        <w:t> </w:t>
      </w:r>
      <w:r>
        <w:rPr>
          <w:vertAlign w:val="baseline"/>
        </w:rPr>
        <w:t>hyperplasia</w:t>
      </w:r>
      <w:r>
        <w:rPr>
          <w:spacing w:val="-3"/>
          <w:vertAlign w:val="baseline"/>
        </w:rPr>
        <w:t> </w:t>
      </w:r>
      <w:r>
        <w:rPr>
          <w:vertAlign w:val="baseline"/>
        </w:rPr>
        <w:t>and has an extremely high rate of amenorrhea (at least 80%).</w:t>
      </w:r>
      <w:r>
        <w:rPr>
          <w:vertAlign w:val="superscript"/>
        </w:rPr>
        <w:t>237,238</w:t>
      </w:r>
      <w:r>
        <w:rPr>
          <w:vertAlign w:val="baseline"/>
        </w:rPr>
        <w:t> Given BZA’s antiestrogenic effects specific to the endometrium (even in the presence of CEE), the TSEC approach may be the future of HT, given that it maximizes the benefits of HT and also minimizes harm. It also allows for the</w:t>
      </w:r>
      <w:r>
        <w:rPr>
          <w:spacing w:val="40"/>
          <w:vertAlign w:val="baseline"/>
        </w:rPr>
        <w:t> </w:t>
      </w:r>
      <w:r>
        <w:rPr>
          <w:vertAlign w:val="baseline"/>
        </w:rPr>
        <w:t>avoidance</w:t>
      </w:r>
      <w:r>
        <w:rPr>
          <w:spacing w:val="-4"/>
          <w:vertAlign w:val="baseline"/>
        </w:rPr>
        <w:t> </w:t>
      </w:r>
      <w:r>
        <w:rPr>
          <w:vertAlign w:val="baseline"/>
        </w:rPr>
        <w:t>of</w:t>
      </w:r>
      <w:r>
        <w:rPr>
          <w:spacing w:val="-4"/>
          <w:vertAlign w:val="baseline"/>
        </w:rPr>
        <w:t> </w:t>
      </w:r>
      <w:r>
        <w:rPr>
          <w:vertAlign w:val="baseline"/>
        </w:rPr>
        <w:t>progestational</w:t>
      </w:r>
      <w:r>
        <w:rPr>
          <w:spacing w:val="-4"/>
          <w:vertAlign w:val="baseline"/>
        </w:rPr>
        <w:t> </w:t>
      </w:r>
      <w:r>
        <w:rPr>
          <w:vertAlign w:val="baseline"/>
        </w:rPr>
        <w:t>agents.</w:t>
      </w:r>
      <w:r>
        <w:rPr>
          <w:spacing w:val="-5"/>
          <w:vertAlign w:val="baseline"/>
        </w:rPr>
        <w:t> </w:t>
      </w:r>
      <w:r>
        <w:rPr>
          <w:b/>
          <w:vertAlign w:val="baseline"/>
        </w:rPr>
        <w:t>The first TSEC to be approved by the FDA in the United States is Duavee</w:t>
      </w:r>
      <w:r>
        <w:rPr>
          <w:vertAlign w:val="baseline"/>
        </w:rPr>
        <w:t>. This combination of BZA and estrogen may even be beneficial in special patient populations, such as multiple sclerosis (MS), where VMS may exacerbate MS symptoms. Preclinical</w:t>
      </w:r>
      <w:r>
        <w:rPr>
          <w:spacing w:val="-6"/>
          <w:vertAlign w:val="baseline"/>
        </w:rPr>
        <w:t> </w:t>
      </w:r>
      <w:r>
        <w:rPr>
          <w:vertAlign w:val="baseline"/>
        </w:rPr>
        <w:t>data</w:t>
      </w:r>
      <w:r>
        <w:rPr>
          <w:spacing w:val="-6"/>
          <w:vertAlign w:val="baseline"/>
        </w:rPr>
        <w:t> </w:t>
      </w:r>
      <w:r>
        <w:rPr>
          <w:vertAlign w:val="baseline"/>
        </w:rPr>
        <w:t>suggest</w:t>
      </w:r>
      <w:r>
        <w:rPr>
          <w:spacing w:val="-6"/>
          <w:vertAlign w:val="baseline"/>
        </w:rPr>
        <w:t> </w:t>
      </w:r>
      <w:r>
        <w:rPr>
          <w:vertAlign w:val="baseline"/>
        </w:rPr>
        <w:t>a</w:t>
      </w:r>
      <w:r>
        <w:rPr>
          <w:spacing w:val="-6"/>
          <w:vertAlign w:val="baseline"/>
        </w:rPr>
        <w:t> </w:t>
      </w:r>
      <w:r>
        <w:rPr>
          <w:vertAlign w:val="baseline"/>
        </w:rPr>
        <w:t>potential</w:t>
      </w:r>
      <w:r>
        <w:rPr>
          <w:spacing w:val="-6"/>
          <w:vertAlign w:val="baseline"/>
        </w:rPr>
        <w:t> </w:t>
      </w:r>
      <w:r>
        <w:rPr>
          <w:vertAlign w:val="baseline"/>
        </w:rPr>
        <w:t>of</w:t>
      </w:r>
      <w:r>
        <w:rPr>
          <w:spacing w:val="-6"/>
          <w:vertAlign w:val="baseline"/>
        </w:rPr>
        <w:t> </w:t>
      </w:r>
      <w:r>
        <w:rPr>
          <w:vertAlign w:val="baseline"/>
        </w:rPr>
        <w:t>BZA</w:t>
      </w:r>
      <w:r>
        <w:rPr>
          <w:spacing w:val="-6"/>
          <w:vertAlign w:val="baseline"/>
        </w:rPr>
        <w:t> </w:t>
      </w:r>
      <w:r>
        <w:rPr>
          <w:vertAlign w:val="baseline"/>
        </w:rPr>
        <w:t>in</w:t>
      </w:r>
      <w:r>
        <w:rPr>
          <w:spacing w:val="-6"/>
          <w:vertAlign w:val="baseline"/>
        </w:rPr>
        <w:t> </w:t>
      </w:r>
      <w:r>
        <w:rPr>
          <w:vertAlign w:val="baseline"/>
        </w:rPr>
        <w:t>facilitating</w:t>
      </w:r>
      <w:r>
        <w:rPr>
          <w:spacing w:val="-6"/>
          <w:vertAlign w:val="baseline"/>
        </w:rPr>
        <w:t> </w:t>
      </w:r>
      <w:r>
        <w:rPr>
          <w:vertAlign w:val="baseline"/>
        </w:rPr>
        <w:t>myelin</w:t>
      </w:r>
      <w:r>
        <w:rPr>
          <w:spacing w:val="-6"/>
          <w:vertAlign w:val="baseline"/>
        </w:rPr>
        <w:t> </w:t>
      </w:r>
      <w:r>
        <w:rPr>
          <w:vertAlign w:val="baseline"/>
        </w:rPr>
        <w:t>repair.</w:t>
      </w:r>
      <w:r>
        <w:rPr>
          <w:vertAlign w:val="superscript"/>
        </w:rPr>
        <w:t>239</w:t>
      </w:r>
      <w:r>
        <w:rPr>
          <w:spacing w:val="-8"/>
          <w:vertAlign w:val="baseline"/>
        </w:rPr>
        <w:t> </w:t>
      </w:r>
      <w:r>
        <w:rPr>
          <w:vertAlign w:val="baseline"/>
        </w:rPr>
        <w:t>A small sample RCT compared tolerability and effectiveness of Duavee</w:t>
      </w:r>
      <w:r>
        <w:rPr>
          <w:spacing w:val="40"/>
          <w:vertAlign w:val="baseline"/>
        </w:rPr>
        <w:t> </w:t>
      </w:r>
      <w:r>
        <w:rPr>
          <w:vertAlign w:val="baseline"/>
        </w:rPr>
        <w:t>versus placebo in 24 perimenopausal and postmenopausal women (mean age 51 ± 3.6 years) with MS. Reassuringly, there was no difference in MS-related relapses between Duavee versus placebo groups; symptom improvement</w:t>
      </w:r>
      <w:r>
        <w:rPr>
          <w:spacing w:val="44"/>
          <w:w w:val="150"/>
          <w:vertAlign w:val="baseline"/>
        </w:rPr>
        <w:t> </w:t>
      </w:r>
      <w:r>
        <w:rPr>
          <w:vertAlign w:val="baseline"/>
        </w:rPr>
        <w:t>was</w:t>
      </w:r>
      <w:r>
        <w:rPr>
          <w:spacing w:val="47"/>
          <w:w w:val="150"/>
          <w:vertAlign w:val="baseline"/>
        </w:rPr>
        <w:t> </w:t>
      </w:r>
      <w:r>
        <w:rPr>
          <w:vertAlign w:val="baseline"/>
        </w:rPr>
        <w:t>greater</w:t>
      </w:r>
      <w:r>
        <w:rPr>
          <w:spacing w:val="46"/>
          <w:w w:val="150"/>
          <w:vertAlign w:val="baseline"/>
        </w:rPr>
        <w:t> </w:t>
      </w:r>
      <w:r>
        <w:rPr>
          <w:vertAlign w:val="baseline"/>
        </w:rPr>
        <w:t>and</w:t>
      </w:r>
      <w:r>
        <w:rPr>
          <w:spacing w:val="47"/>
          <w:w w:val="150"/>
          <w:vertAlign w:val="baseline"/>
        </w:rPr>
        <w:t> </w:t>
      </w:r>
      <w:r>
        <w:rPr>
          <w:vertAlign w:val="baseline"/>
        </w:rPr>
        <w:t>sustained</w:t>
      </w:r>
      <w:r>
        <w:rPr>
          <w:spacing w:val="46"/>
          <w:w w:val="150"/>
          <w:vertAlign w:val="baseline"/>
        </w:rPr>
        <w:t> </w:t>
      </w:r>
      <w:r>
        <w:rPr>
          <w:vertAlign w:val="baseline"/>
        </w:rPr>
        <w:t>in</w:t>
      </w:r>
      <w:r>
        <w:rPr>
          <w:spacing w:val="47"/>
          <w:w w:val="150"/>
          <w:vertAlign w:val="baseline"/>
        </w:rPr>
        <w:t> </w:t>
      </w:r>
      <w:r>
        <w:rPr>
          <w:vertAlign w:val="baseline"/>
        </w:rPr>
        <w:t>the</w:t>
      </w:r>
      <w:r>
        <w:rPr>
          <w:spacing w:val="46"/>
          <w:w w:val="150"/>
          <w:vertAlign w:val="baseline"/>
        </w:rPr>
        <w:t> </w:t>
      </w:r>
      <w:r>
        <w:rPr>
          <w:vertAlign w:val="baseline"/>
        </w:rPr>
        <w:t>combination</w:t>
      </w:r>
      <w:r>
        <w:rPr>
          <w:spacing w:val="47"/>
          <w:w w:val="150"/>
          <w:vertAlign w:val="baseline"/>
        </w:rPr>
        <w:t> </w:t>
      </w:r>
      <w:r>
        <w:rPr>
          <w:spacing w:val="-2"/>
          <w:vertAlign w:val="baseline"/>
        </w:rPr>
        <w:t>BZA+CEE</w:t>
      </w:r>
    </w:p>
    <w:p>
      <w:pPr>
        <w:pStyle w:val="BodyText"/>
        <w:spacing w:after="0" w:line="249" w:lineRule="auto"/>
        <w:sectPr>
          <w:pgSz w:w="12240" w:h="15840"/>
          <w:pgMar w:top="1380" w:bottom="280" w:left="1440" w:right="1440"/>
        </w:sectPr>
      </w:pPr>
    </w:p>
    <w:p>
      <w:pPr>
        <w:pStyle w:val="BodyText"/>
        <w:spacing w:line="249" w:lineRule="auto"/>
        <w:ind w:right="97"/>
      </w:pPr>
      <w:r>
        <w:rPr/>
        <w:t>compared to placebo group, although this difference was not of </w:t>
      </w:r>
      <w:r>
        <w:rPr/>
        <w:t>statistical significance, most likely due to small sample size and short duration of intervention. At first diagnosis of MS, the preponderance of women is premenopausal; in recent decades, a shift in disease epidemiology has been observed with an increasing prevalence of MS in aging populations.</w:t>
      </w:r>
      <w:r>
        <w:rPr>
          <w:vertAlign w:val="superscript"/>
        </w:rPr>
        <w:t>240,241</w:t>
      </w:r>
      <w:r>
        <w:rPr>
          <w:vertAlign w:val="baseline"/>
        </w:rPr>
        <w:t> Menopause transition and postmenopausal years may be particularly challenging,</w:t>
      </w:r>
      <w:r>
        <w:rPr>
          <w:spacing w:val="-4"/>
          <w:vertAlign w:val="baseline"/>
        </w:rPr>
        <w:t> </w:t>
      </w:r>
      <w:r>
        <w:rPr>
          <w:vertAlign w:val="baseline"/>
        </w:rPr>
        <w:t>given</w:t>
      </w:r>
      <w:r>
        <w:rPr>
          <w:spacing w:val="-4"/>
          <w:vertAlign w:val="baseline"/>
        </w:rPr>
        <w:t> </w:t>
      </w:r>
      <w:r>
        <w:rPr>
          <w:vertAlign w:val="baseline"/>
        </w:rPr>
        <w:t>the</w:t>
      </w:r>
      <w:r>
        <w:rPr>
          <w:spacing w:val="-4"/>
          <w:vertAlign w:val="baseline"/>
        </w:rPr>
        <w:t> </w:t>
      </w:r>
      <w:r>
        <w:rPr>
          <w:vertAlign w:val="baseline"/>
        </w:rPr>
        <w:t>dual</w:t>
      </w:r>
      <w:r>
        <w:rPr>
          <w:spacing w:val="-4"/>
          <w:vertAlign w:val="baseline"/>
        </w:rPr>
        <w:t> </w:t>
      </w:r>
      <w:r>
        <w:rPr>
          <w:vertAlign w:val="baseline"/>
        </w:rPr>
        <w:t>whammy</w:t>
      </w:r>
      <w:r>
        <w:rPr>
          <w:spacing w:val="-4"/>
          <w:vertAlign w:val="baseline"/>
        </w:rPr>
        <w:t> </w:t>
      </w:r>
      <w:r>
        <w:rPr>
          <w:vertAlign w:val="baseline"/>
        </w:rPr>
        <w:t>of</w:t>
      </w:r>
      <w:r>
        <w:rPr>
          <w:spacing w:val="-4"/>
          <w:vertAlign w:val="baseline"/>
        </w:rPr>
        <w:t> </w:t>
      </w:r>
      <w:r>
        <w:rPr>
          <w:vertAlign w:val="baseline"/>
        </w:rPr>
        <w:t>menopausal</w:t>
      </w:r>
      <w:r>
        <w:rPr>
          <w:spacing w:val="-4"/>
          <w:vertAlign w:val="baseline"/>
        </w:rPr>
        <w:t> </w:t>
      </w:r>
      <w:r>
        <w:rPr>
          <w:vertAlign w:val="baseline"/>
        </w:rPr>
        <w:t>symptoms</w:t>
      </w:r>
      <w:r>
        <w:rPr>
          <w:spacing w:val="-4"/>
          <w:vertAlign w:val="baseline"/>
        </w:rPr>
        <w:t> </w:t>
      </w:r>
      <w:r>
        <w:rPr>
          <w:vertAlign w:val="baseline"/>
        </w:rPr>
        <w:t>adding</w:t>
      </w:r>
      <w:r>
        <w:rPr>
          <w:spacing w:val="-4"/>
          <w:vertAlign w:val="baseline"/>
        </w:rPr>
        <w:t> </w:t>
      </w:r>
      <w:r>
        <w:rPr>
          <w:vertAlign w:val="baseline"/>
        </w:rPr>
        <w:t>on</w:t>
      </w:r>
      <w:r>
        <w:rPr>
          <w:spacing w:val="-4"/>
          <w:vertAlign w:val="baseline"/>
        </w:rPr>
        <w:t> </w:t>
      </w:r>
      <w:r>
        <w:rPr>
          <w:vertAlign w:val="baseline"/>
        </w:rPr>
        <w:t>to the burden of MS. The earlier-mentioned feasibility trial highlighted safety as well as a need for larger RCTs</w:t>
      </w:r>
      <w:r>
        <w:rPr>
          <w:vertAlign w:val="superscript"/>
        </w:rPr>
        <w:t>242</w:t>
      </w:r>
      <w:r>
        <w:rPr>
          <w:vertAlign w:val="baseline"/>
        </w:rPr>
        <w:t> of HT in perimenopausal and menopausal women with MS.</w:t>
      </w:r>
    </w:p>
    <w:p>
      <w:pPr>
        <w:pStyle w:val="BodyText"/>
        <w:spacing w:before="0"/>
        <w:ind w:left="0"/>
        <w:jc w:val="left"/>
        <w:rPr>
          <w:sz w:val="20"/>
        </w:rPr>
      </w:pPr>
    </w:p>
    <w:p>
      <w:pPr>
        <w:pStyle w:val="BodyText"/>
        <w:spacing w:before="123"/>
        <w:ind w:left="0"/>
        <w:jc w:val="left"/>
        <w:rPr>
          <w:sz w:val="20"/>
        </w:rPr>
      </w:pPr>
      <w:r>
        <w:rPr>
          <w:sz w:val="20"/>
        </w:rPr>
        <mc:AlternateContent>
          <mc:Choice Requires="wps">
            <w:drawing>
              <wp:anchor distT="0" distB="0" distL="0" distR="0" allowOverlap="1" layoutInCell="1" locked="0" behindDoc="1" simplePos="0" relativeHeight="487630848">
                <wp:simplePos x="0" y="0"/>
                <wp:positionH relativeFrom="page">
                  <wp:posOffset>981075</wp:posOffset>
                </wp:positionH>
                <wp:positionV relativeFrom="paragraph">
                  <wp:posOffset>239625</wp:posOffset>
                </wp:positionV>
                <wp:extent cx="285750" cy="5715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285750" cy="57150"/>
                        </a:xfrm>
                        <a:custGeom>
                          <a:avLst/>
                          <a:gdLst/>
                          <a:ahLst/>
                          <a:cxnLst/>
                          <a:rect l="l" t="t" r="r" b="b"/>
                          <a:pathLst>
                            <a:path w="285750" h="57150">
                              <a:moveTo>
                                <a:pt x="32364" y="57111"/>
                              </a:moveTo>
                              <a:lnTo>
                                <a:pt x="24785" y="57111"/>
                              </a:lnTo>
                              <a:lnTo>
                                <a:pt x="21140" y="56368"/>
                              </a:lnTo>
                              <a:lnTo>
                                <a:pt x="0" y="32337"/>
                              </a:lnTo>
                              <a:lnTo>
                                <a:pt x="0" y="24745"/>
                              </a:lnTo>
                              <a:lnTo>
                                <a:pt x="24785" y="0"/>
                              </a:lnTo>
                              <a:lnTo>
                                <a:pt x="32364" y="0"/>
                              </a:lnTo>
                              <a:lnTo>
                                <a:pt x="57149" y="24745"/>
                              </a:lnTo>
                              <a:lnTo>
                                <a:pt x="57149" y="32337"/>
                              </a:lnTo>
                              <a:lnTo>
                                <a:pt x="32364" y="57111"/>
                              </a:lnTo>
                              <a:close/>
                            </a:path>
                            <a:path w="285750" h="57150">
                              <a:moveTo>
                                <a:pt x="146569" y="57111"/>
                              </a:moveTo>
                              <a:lnTo>
                                <a:pt x="138990" y="57111"/>
                              </a:lnTo>
                              <a:lnTo>
                                <a:pt x="135345" y="56368"/>
                              </a:lnTo>
                              <a:lnTo>
                                <a:pt x="114204" y="32337"/>
                              </a:lnTo>
                              <a:lnTo>
                                <a:pt x="114204" y="24745"/>
                              </a:lnTo>
                              <a:lnTo>
                                <a:pt x="138990" y="0"/>
                              </a:lnTo>
                              <a:lnTo>
                                <a:pt x="146569" y="0"/>
                              </a:lnTo>
                              <a:lnTo>
                                <a:pt x="171354" y="24745"/>
                              </a:lnTo>
                              <a:lnTo>
                                <a:pt x="171354" y="32337"/>
                              </a:lnTo>
                              <a:lnTo>
                                <a:pt x="146569" y="57111"/>
                              </a:lnTo>
                              <a:close/>
                            </a:path>
                            <a:path w="285750" h="57150">
                              <a:moveTo>
                                <a:pt x="260773" y="57111"/>
                              </a:moveTo>
                              <a:lnTo>
                                <a:pt x="253195" y="57111"/>
                              </a:lnTo>
                              <a:lnTo>
                                <a:pt x="249550" y="56368"/>
                              </a:lnTo>
                              <a:lnTo>
                                <a:pt x="228409" y="32337"/>
                              </a:lnTo>
                              <a:lnTo>
                                <a:pt x="228409" y="24745"/>
                              </a:lnTo>
                              <a:lnTo>
                                <a:pt x="253195" y="0"/>
                              </a:lnTo>
                              <a:lnTo>
                                <a:pt x="260773" y="0"/>
                              </a:lnTo>
                              <a:lnTo>
                                <a:pt x="285559" y="24745"/>
                              </a:lnTo>
                              <a:lnTo>
                                <a:pt x="285559" y="32337"/>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868168pt;width:22.5pt;height:4.5pt;mso-position-horizontal-relative:page;mso-position-vertical-relative:paragraph;z-index:-15685632;mso-wrap-distance-left:0;mso-wrap-distance-right:0" id="docshape118" coordorigin="1545,377" coordsize="450,90" path="m1596,467l1584,467,1578,466,1567,462,1562,458,1558,454,1554,450,1551,445,1548,440,1546,434,1545,428,1545,416,1546,411,1551,400,1554,395,1562,386,1567,383,1578,378,1584,377,1596,377,1602,378,1613,383,1618,386,1626,395,1629,400,1634,411,1635,416,1635,428,1634,434,1629,445,1626,450,1622,454,1618,458,1613,462,1602,466,1596,467xm1776,467l1764,467,1758,466,1747,462,1742,458,1738,454,1734,450,1731,445,1728,440,1726,434,1725,428,1725,416,1726,411,1731,400,1734,395,1742,386,1747,383,1758,378,1764,377,1776,377,1782,378,1793,383,1797,386,1806,395,1809,400,1814,411,1815,416,1815,428,1814,434,1809,445,1806,450,1802,454,1797,458,1793,462,1782,466,1776,467xm1956,467l1944,467,1938,466,1927,462,1922,458,1918,454,1914,450,1910,445,1908,440,1906,434,1905,428,1905,416,1906,411,1910,400,1914,395,1922,386,1927,383,1938,378,1944,377,1956,377,1961,378,1972,383,1977,386,1986,395,1989,400,1994,411,1995,416,1995,428,1994,434,1989,445,1986,450,1982,454,1977,458,1972,462,1961,466,1956,467xe" filled="true" fillcolor="#bdb4d4" stroked="false">
                <v:path arrowok="t"/>
                <v:fill type="solid"/>
                <w10:wrap type="topAndBottom"/>
              </v:shape>
            </w:pict>
          </mc:Fallback>
        </mc:AlternateContent>
      </w:r>
    </w:p>
    <w:p>
      <w:pPr>
        <w:pStyle w:val="Heading3"/>
      </w:pPr>
      <w:r>
        <w:rPr>
          <w:color w:val="534089"/>
          <w:spacing w:val="-2"/>
        </w:rPr>
        <w:t>TIBOLONE</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31360">
                <wp:simplePos x="0" y="0"/>
                <wp:positionH relativeFrom="page">
                  <wp:posOffset>981075</wp:posOffset>
                </wp:positionH>
                <wp:positionV relativeFrom="paragraph">
                  <wp:posOffset>45764</wp:posOffset>
                </wp:positionV>
                <wp:extent cx="5810250" cy="1905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3476pt;width:457.499964pt;height:1.5pt;mso-position-horizontal-relative:page;mso-position-vertical-relative:paragraph;z-index:-15685120;mso-wrap-distance-left:0;mso-wrap-distance-right:0" id="docshape119" filled="true" fillcolor="#534089" stroked="false">
                <v:fill type="solid"/>
                <w10:wrap type="topAndBottom"/>
              </v:rect>
            </w:pict>
          </mc:Fallback>
        </mc:AlternateContent>
      </w:r>
    </w:p>
    <w:p>
      <w:pPr>
        <w:pStyle w:val="BodyText"/>
        <w:spacing w:line="249" w:lineRule="auto" w:before="215"/>
        <w:ind w:right="97"/>
      </w:pPr>
      <w:r>
        <w:rPr/>
        <w:t>Tibolone is marketed for menopausal HT in many countries throughout the world but is not approved in the United States. Research on this product</w:t>
      </w:r>
      <w:r>
        <w:rPr>
          <w:spacing w:val="40"/>
        </w:rPr>
        <w:t> </w:t>
      </w:r>
      <w:r>
        <w:rPr/>
        <w:t>was initiated in the 1960s. Although tibolone was specifically developed </w:t>
      </w:r>
      <w:r>
        <w:rPr/>
        <w:t>as a drug to treat osteoporosis, the clinical performance of tibolone led rapidly to its approval for the treatment of menopausal symptoms as well as prevention of osteoporosis. Because of its unique metabolism to estrogen, progesterone, and androgens, tibolone can exert different hormonal activities at different sites. It has beneficial effects on bone density, improves</w:t>
      </w:r>
      <w:r>
        <w:rPr>
          <w:spacing w:val="-6"/>
        </w:rPr>
        <w:t> </w:t>
      </w:r>
      <w:r>
        <w:rPr/>
        <w:t>VMS,</w:t>
      </w:r>
      <w:r>
        <w:rPr>
          <w:spacing w:val="-6"/>
        </w:rPr>
        <w:t> </w:t>
      </w:r>
      <w:r>
        <w:rPr/>
        <w:t>and</w:t>
      </w:r>
      <w:r>
        <w:rPr>
          <w:spacing w:val="-6"/>
        </w:rPr>
        <w:t> </w:t>
      </w:r>
      <w:r>
        <w:rPr/>
        <w:t>does</w:t>
      </w:r>
      <w:r>
        <w:rPr>
          <w:spacing w:val="-6"/>
        </w:rPr>
        <w:t> </w:t>
      </w:r>
      <w:r>
        <w:rPr/>
        <w:t>not</w:t>
      </w:r>
      <w:r>
        <w:rPr>
          <w:spacing w:val="-6"/>
        </w:rPr>
        <w:t> </w:t>
      </w:r>
      <w:r>
        <w:rPr/>
        <w:t>have</w:t>
      </w:r>
      <w:r>
        <w:rPr>
          <w:spacing w:val="-6"/>
        </w:rPr>
        <w:t> </w:t>
      </w:r>
      <w:r>
        <w:rPr/>
        <w:t>estrogenic</w:t>
      </w:r>
      <w:r>
        <w:rPr>
          <w:spacing w:val="-6"/>
        </w:rPr>
        <w:t> </w:t>
      </w:r>
      <w:r>
        <w:rPr/>
        <w:t>effects</w:t>
      </w:r>
      <w:r>
        <w:rPr>
          <w:spacing w:val="-6"/>
        </w:rPr>
        <w:t> </w:t>
      </w:r>
      <w:r>
        <w:rPr/>
        <w:t>on</w:t>
      </w:r>
      <w:r>
        <w:rPr>
          <w:spacing w:val="-6"/>
        </w:rPr>
        <w:t> </w:t>
      </w:r>
      <w:r>
        <w:rPr/>
        <w:t>the</w:t>
      </w:r>
      <w:r>
        <w:rPr>
          <w:spacing w:val="-6"/>
        </w:rPr>
        <w:t> </w:t>
      </w:r>
      <w:r>
        <w:rPr/>
        <w:t>endometrium.</w:t>
      </w:r>
      <w:r>
        <w:rPr>
          <w:vertAlign w:val="superscript"/>
        </w:rPr>
        <w:t>243</w:t>
      </w:r>
      <w:r>
        <w:rPr>
          <w:vertAlign w:val="baseline"/>
        </w:rPr>
        <w:t> Despite its many beneficial effects, however, there are concerns regarding its safety. Adverse effects of tibolone on breast tissue and increased stroke risk are described with its use, and overall, it is perceived to be less</w:t>
      </w:r>
      <w:r>
        <w:rPr>
          <w:spacing w:val="40"/>
          <w:vertAlign w:val="baseline"/>
        </w:rPr>
        <w:t> </w:t>
      </w:r>
      <w:r>
        <w:rPr>
          <w:vertAlign w:val="baseline"/>
        </w:rPr>
        <w:t>effective than estrogen-based HT.</w:t>
      </w:r>
      <w:r>
        <w:rPr>
          <w:vertAlign w:val="superscript"/>
        </w:rPr>
        <w:t>244</w:t>
      </w:r>
      <w:r>
        <w:rPr>
          <w:vertAlign w:val="baseline"/>
        </w:rPr>
        <w:t> Given these concerns, we do not recommend it as a first-line management approach to menopause.</w:t>
      </w:r>
    </w:p>
    <w:p>
      <w:pPr>
        <w:pStyle w:val="BodyText"/>
        <w:spacing w:before="60"/>
        <w:ind w:left="0"/>
        <w:jc w:val="left"/>
      </w:pPr>
    </w:p>
    <w:p>
      <w:pPr>
        <w:spacing w:before="1"/>
        <w:ind w:left="99" w:right="0" w:firstLine="0"/>
        <w:jc w:val="left"/>
        <w:rPr>
          <w:rFonts w:ascii="Arial"/>
          <w:b/>
          <w:sz w:val="30"/>
        </w:rPr>
      </w:pPr>
      <w:r>
        <w:rPr>
          <w:rFonts w:ascii="Arial"/>
          <w:b/>
          <w:color w:val="2674AE"/>
          <w:sz w:val="30"/>
        </w:rPr>
        <w:t>The Chemistry of </w:t>
      </w:r>
      <w:r>
        <w:rPr>
          <w:rFonts w:ascii="Arial"/>
          <w:b/>
          <w:color w:val="2674AE"/>
          <w:spacing w:val="-2"/>
          <w:sz w:val="30"/>
        </w:rPr>
        <w:t>Tibolone</w:t>
      </w:r>
    </w:p>
    <w:p>
      <w:pPr>
        <w:pStyle w:val="BodyText"/>
        <w:spacing w:line="249" w:lineRule="auto" w:before="166"/>
        <w:ind w:right="98"/>
      </w:pPr>
      <w:r>
        <w:rPr/>
        <w:t>Tibolone is structurally related to the 19-nortestosterone progestins that are used clinically in oral contraceptives; however, its activity depends on its metabolism. Tibolone (7-a,17-a-17-hydroxy-7-methyl-19-norpregn-5(10)-en-20-yn-3-one) is metabolized among human and nonhuman primates into three</w:t>
      </w:r>
      <w:r>
        <w:rPr>
          <w:spacing w:val="60"/>
        </w:rPr>
        <w:t> </w:t>
      </w:r>
      <w:r>
        <w:rPr/>
        <w:t>biologically</w:t>
      </w:r>
      <w:r>
        <w:rPr>
          <w:spacing w:val="61"/>
        </w:rPr>
        <w:t> </w:t>
      </w:r>
      <w:r>
        <w:rPr/>
        <w:t>active</w:t>
      </w:r>
      <w:r>
        <w:rPr>
          <w:spacing w:val="61"/>
        </w:rPr>
        <w:t> </w:t>
      </w:r>
      <w:r>
        <w:rPr/>
        <w:t>metabolites</w:t>
      </w:r>
      <w:r>
        <w:rPr>
          <w:spacing w:val="61"/>
        </w:rPr>
        <w:t> </w:t>
      </w:r>
      <w:r>
        <w:rPr/>
        <w:t>(</w:t>
      </w:r>
      <w:r>
        <w:rPr>
          <w:b/>
          <w:color w:val="256E60"/>
        </w:rPr>
        <w:t>Figure</w:t>
      </w:r>
      <w:r>
        <w:rPr>
          <w:b/>
          <w:color w:val="256E60"/>
          <w:spacing w:val="61"/>
        </w:rPr>
        <w:t> </w:t>
      </w:r>
      <w:r>
        <w:rPr>
          <w:b/>
          <w:color w:val="256E60"/>
        </w:rPr>
        <w:t>22.2</w:t>
      </w:r>
      <w:r>
        <w:rPr/>
        <w:t>);</w:t>
      </w:r>
      <w:r>
        <w:rPr>
          <w:spacing w:val="66"/>
        </w:rPr>
        <w:t> </w:t>
      </w:r>
      <w:r>
        <w:rPr/>
        <w:t>the</w:t>
      </w:r>
      <w:r>
        <w:rPr>
          <w:spacing w:val="65"/>
        </w:rPr>
        <w:t> </w:t>
      </w:r>
      <w:r>
        <w:rPr/>
        <w:t>3a-hydroxy</w:t>
      </w:r>
      <w:r>
        <w:rPr>
          <w:spacing w:val="66"/>
        </w:rPr>
        <w:t> </w:t>
      </w:r>
      <w:r>
        <w:rPr>
          <w:spacing w:val="-4"/>
        </w:rPr>
        <w:t>(3a-</w:t>
      </w:r>
    </w:p>
    <w:p>
      <w:pPr>
        <w:pStyle w:val="BodyText"/>
        <w:spacing w:after="0" w:line="249" w:lineRule="auto"/>
        <w:sectPr>
          <w:pgSz w:w="12240" w:h="15840"/>
          <w:pgMar w:top="1380" w:bottom="280" w:left="1440" w:right="1440"/>
        </w:sectPr>
      </w:pPr>
    </w:p>
    <w:p>
      <w:pPr>
        <w:pStyle w:val="BodyText"/>
        <w:spacing w:line="249" w:lineRule="auto"/>
        <w:ind w:right="101"/>
      </w:pPr>
      <w:r>
        <w:rPr/>
        <w:t>OH) metabolite and the 3β-hydroxy (3β-OH) metabolite have estrogen agonist properties, whereas the Δ-4 ketoisomer has progestogenic and androgenic</w:t>
      </w:r>
      <w:r>
        <w:rPr>
          <w:spacing w:val="-8"/>
        </w:rPr>
        <w:t> </w:t>
      </w:r>
      <w:r>
        <w:rPr/>
        <w:t>effects.</w:t>
      </w:r>
      <w:r>
        <w:rPr>
          <w:vertAlign w:val="superscript"/>
        </w:rPr>
        <w:t>245,246</w:t>
      </w:r>
      <w:r>
        <w:rPr>
          <w:spacing w:val="-9"/>
          <w:vertAlign w:val="baseline"/>
        </w:rPr>
        <w:t> </w:t>
      </w:r>
      <w:r>
        <w:rPr>
          <w:vertAlign w:val="baseline"/>
        </w:rPr>
        <w:t>Although</w:t>
      </w:r>
      <w:r>
        <w:rPr>
          <w:spacing w:val="-8"/>
          <w:vertAlign w:val="baseline"/>
        </w:rPr>
        <w:t> </w:t>
      </w:r>
      <w:r>
        <w:rPr>
          <w:vertAlign w:val="baseline"/>
        </w:rPr>
        <w:t>tibolone</w:t>
      </w:r>
      <w:r>
        <w:rPr>
          <w:spacing w:val="-8"/>
          <w:vertAlign w:val="baseline"/>
        </w:rPr>
        <w:t> </w:t>
      </w:r>
      <w:r>
        <w:rPr>
          <w:vertAlign w:val="baseline"/>
        </w:rPr>
        <w:t>itself</w:t>
      </w:r>
      <w:r>
        <w:rPr>
          <w:spacing w:val="-8"/>
          <w:vertAlign w:val="baseline"/>
        </w:rPr>
        <w:t> </w:t>
      </w:r>
      <w:r>
        <w:rPr>
          <w:vertAlign w:val="baseline"/>
        </w:rPr>
        <w:t>binds</w:t>
      </w:r>
      <w:r>
        <w:rPr>
          <w:spacing w:val="-8"/>
          <w:vertAlign w:val="baseline"/>
        </w:rPr>
        <w:t> </w:t>
      </w:r>
      <w:r>
        <w:rPr>
          <w:vertAlign w:val="baseline"/>
        </w:rPr>
        <w:t>to</w:t>
      </w:r>
      <w:r>
        <w:rPr>
          <w:spacing w:val="-8"/>
          <w:vertAlign w:val="baseline"/>
        </w:rPr>
        <w:t> </w:t>
      </w:r>
      <w:r>
        <w:rPr>
          <w:vertAlign w:val="baseline"/>
        </w:rPr>
        <w:t>the</w:t>
      </w:r>
      <w:r>
        <w:rPr>
          <w:spacing w:val="-8"/>
          <w:vertAlign w:val="baseline"/>
        </w:rPr>
        <w:t> </w:t>
      </w:r>
      <w:r>
        <w:rPr>
          <w:vertAlign w:val="baseline"/>
        </w:rPr>
        <w:t>ER,</w:t>
      </w:r>
      <w:r>
        <w:rPr>
          <w:spacing w:val="-8"/>
          <w:vertAlign w:val="baseline"/>
        </w:rPr>
        <w:t> </w:t>
      </w:r>
      <w:r>
        <w:rPr>
          <w:vertAlign w:val="baseline"/>
        </w:rPr>
        <w:t>in</w:t>
      </w:r>
      <w:r>
        <w:rPr>
          <w:spacing w:val="-8"/>
          <w:vertAlign w:val="baseline"/>
        </w:rPr>
        <w:t> </w:t>
      </w:r>
      <w:r>
        <w:rPr>
          <w:vertAlign w:val="baseline"/>
        </w:rPr>
        <w:t>vivo</w:t>
      </w:r>
      <w:r>
        <w:rPr>
          <w:spacing w:val="-8"/>
          <w:vertAlign w:val="baseline"/>
        </w:rPr>
        <w:t> </w:t>
      </w:r>
      <w:r>
        <w:rPr>
          <w:vertAlign w:val="baseline"/>
        </w:rPr>
        <w:t>the activity of 3-hydroxymetabolite’s estrogenic activity is 100 times greater, with a greater affinity for the ER-a than for ER-β.</w:t>
      </w:r>
      <w:r>
        <w:rPr>
          <w:vertAlign w:val="superscript"/>
        </w:rPr>
        <w:t>246</w:t>
      </w:r>
      <w:r>
        <w:rPr>
          <w:vertAlign w:val="baseline"/>
        </w:rPr>
        <w:t> The loss of the hydroxyl group at position 3 of the A ring eliminates estrogenic activity in the</w:t>
      </w:r>
      <w:r>
        <w:rPr>
          <w:spacing w:val="-5"/>
          <w:vertAlign w:val="baseline"/>
        </w:rPr>
        <w:t> </w:t>
      </w:r>
      <w:r>
        <w:rPr>
          <w:vertAlign w:val="baseline"/>
        </w:rPr>
        <w:t>Δ-4</w:t>
      </w:r>
      <w:r>
        <w:rPr>
          <w:spacing w:val="-5"/>
          <w:vertAlign w:val="baseline"/>
        </w:rPr>
        <w:t> </w:t>
      </w:r>
      <w:r>
        <w:rPr>
          <w:vertAlign w:val="baseline"/>
        </w:rPr>
        <w:t>isomer.</w:t>
      </w:r>
      <w:r>
        <w:rPr>
          <w:spacing w:val="-6"/>
          <w:vertAlign w:val="baseline"/>
        </w:rPr>
        <w:t> </w:t>
      </w:r>
      <w:r>
        <w:rPr>
          <w:vertAlign w:val="baseline"/>
        </w:rPr>
        <w:t>The</w:t>
      </w:r>
      <w:r>
        <w:rPr>
          <w:spacing w:val="-5"/>
          <w:vertAlign w:val="baseline"/>
        </w:rPr>
        <w:t> </w:t>
      </w:r>
      <w:r>
        <w:rPr>
          <w:vertAlign w:val="baseline"/>
        </w:rPr>
        <w:t>Δ-4</w:t>
      </w:r>
      <w:r>
        <w:rPr>
          <w:spacing w:val="-5"/>
          <w:vertAlign w:val="baseline"/>
        </w:rPr>
        <w:t> </w:t>
      </w:r>
      <w:r>
        <w:rPr>
          <w:vertAlign w:val="baseline"/>
        </w:rPr>
        <w:t>isomer</w:t>
      </w:r>
      <w:r>
        <w:rPr>
          <w:spacing w:val="-5"/>
          <w:vertAlign w:val="baseline"/>
        </w:rPr>
        <w:t> </w:t>
      </w:r>
      <w:r>
        <w:rPr>
          <w:vertAlign w:val="baseline"/>
        </w:rPr>
        <w:t>exerts</w:t>
      </w:r>
      <w:r>
        <w:rPr>
          <w:spacing w:val="-5"/>
          <w:vertAlign w:val="baseline"/>
        </w:rPr>
        <w:t> </w:t>
      </w:r>
      <w:r>
        <w:rPr>
          <w:vertAlign w:val="baseline"/>
        </w:rPr>
        <w:t>its</w:t>
      </w:r>
      <w:r>
        <w:rPr>
          <w:spacing w:val="-5"/>
          <w:vertAlign w:val="baseline"/>
        </w:rPr>
        <w:t> </w:t>
      </w:r>
      <w:r>
        <w:rPr>
          <w:vertAlign w:val="baseline"/>
        </w:rPr>
        <w:t>androgenic</w:t>
      </w:r>
      <w:r>
        <w:rPr>
          <w:spacing w:val="-5"/>
          <w:vertAlign w:val="baseline"/>
        </w:rPr>
        <w:t> </w:t>
      </w:r>
      <w:r>
        <w:rPr>
          <w:vertAlign w:val="baseline"/>
        </w:rPr>
        <w:t>effects</w:t>
      </w:r>
      <w:r>
        <w:rPr>
          <w:spacing w:val="-5"/>
          <w:vertAlign w:val="baseline"/>
        </w:rPr>
        <w:t> </w:t>
      </w:r>
      <w:r>
        <w:rPr>
          <w:vertAlign w:val="baseline"/>
        </w:rPr>
        <w:t>primarily</w:t>
      </w:r>
      <w:r>
        <w:rPr>
          <w:spacing w:val="-5"/>
          <w:vertAlign w:val="baseline"/>
        </w:rPr>
        <w:t> </w:t>
      </w:r>
      <w:r>
        <w:rPr>
          <w:vertAlign w:val="baseline"/>
        </w:rPr>
        <w:t>in</w:t>
      </w:r>
      <w:r>
        <w:rPr>
          <w:spacing w:val="-5"/>
          <w:vertAlign w:val="baseline"/>
        </w:rPr>
        <w:t> </w:t>
      </w:r>
      <w:r>
        <w:rPr>
          <w:vertAlign w:val="baseline"/>
        </w:rPr>
        <w:t>the liver and brain.</w:t>
      </w:r>
    </w:p>
    <w:p>
      <w:pPr>
        <w:pStyle w:val="BodyText"/>
        <w:spacing w:line="249" w:lineRule="auto" w:before="10"/>
        <w:ind w:right="98" w:firstLine="450"/>
      </w:pPr>
      <w:r>
        <w:rPr/>
        <w:t>The conversion of tibolone into metabolites (</w:t>
      </w:r>
      <w:r>
        <w:rPr>
          <w:b/>
          <w:color w:val="256E60"/>
        </w:rPr>
        <w:t>Figure 22.2</w:t>
      </w:r>
      <w:r>
        <w:rPr/>
        <w:t>) occurs</w:t>
      </w:r>
      <w:r>
        <w:rPr>
          <w:spacing w:val="40"/>
        </w:rPr>
        <w:t> </w:t>
      </w:r>
      <w:r>
        <w:rPr/>
        <w:t>chiefly</w:t>
      </w:r>
      <w:r>
        <w:rPr>
          <w:spacing w:val="-1"/>
        </w:rPr>
        <w:t> </w:t>
      </w:r>
      <w:r>
        <w:rPr/>
        <w:t>in</w:t>
      </w:r>
      <w:r>
        <w:rPr>
          <w:spacing w:val="-1"/>
        </w:rPr>
        <w:t> </w:t>
      </w:r>
      <w:r>
        <w:rPr/>
        <w:t>the</w:t>
      </w:r>
      <w:r>
        <w:rPr>
          <w:spacing w:val="-1"/>
        </w:rPr>
        <w:t> </w:t>
      </w:r>
      <w:r>
        <w:rPr/>
        <w:t>liver</w:t>
      </w:r>
      <w:r>
        <w:rPr>
          <w:spacing w:val="-1"/>
        </w:rPr>
        <w:t> </w:t>
      </w:r>
      <w:r>
        <w:rPr/>
        <w:t>and</w:t>
      </w:r>
      <w:r>
        <w:rPr>
          <w:spacing w:val="-1"/>
        </w:rPr>
        <w:t> </w:t>
      </w:r>
      <w:r>
        <w:rPr/>
        <w:t>intestine.</w:t>
      </w:r>
      <w:r>
        <w:rPr>
          <w:spacing w:val="-1"/>
        </w:rPr>
        <w:t> </w:t>
      </w:r>
      <w:r>
        <w:rPr/>
        <w:t>The metabolism of the parent compound is rapid and very near total, yielding mainly the 3a-OH and 3β-</w:t>
      </w:r>
      <w:r>
        <w:rPr/>
        <w:t>OH</w:t>
      </w:r>
      <w:r>
        <w:rPr>
          <w:spacing w:val="40"/>
        </w:rPr>
        <w:t> </w:t>
      </w:r>
      <w:r>
        <w:rPr/>
        <w:t>metabolites in the circulation; the level of the 3a-OH metabolite is 3-fold higher compared with the 3β-OH metabolite.</w:t>
      </w:r>
      <w:r>
        <w:rPr>
          <w:vertAlign w:val="superscript"/>
        </w:rPr>
        <w:t>247,248</w:t>
      </w:r>
      <w:r>
        <w:rPr>
          <w:vertAlign w:val="baseline"/>
        </w:rPr>
        <w:t> Tibolone and the Δ-4 isomer can be detected only at peak levels 2 hours after ingestion, and, even then, the levels are very low, at the limit of detection. The half-life of the metabolites that predominate in the circulation (3a-OH and 3β-OH metabolites) is approximately 7 to 8 hours, and a steady state is attained by day</w:t>
      </w:r>
      <w:r>
        <w:rPr>
          <w:spacing w:val="-4"/>
          <w:vertAlign w:val="baseline"/>
        </w:rPr>
        <w:t> </w:t>
      </w:r>
      <w:r>
        <w:rPr>
          <w:vertAlign w:val="baseline"/>
        </w:rPr>
        <w:t>5.</w:t>
      </w:r>
      <w:r>
        <w:rPr>
          <w:vertAlign w:val="superscript"/>
        </w:rPr>
        <w:t>249</w:t>
      </w:r>
      <w:r>
        <w:rPr>
          <w:spacing w:val="-2"/>
          <w:vertAlign w:val="baseline"/>
        </w:rPr>
        <w:t> </w:t>
      </w:r>
      <w:r>
        <w:rPr>
          <w:vertAlign w:val="baseline"/>
        </w:rPr>
        <w:t>Eating</w:t>
      </w:r>
      <w:r>
        <w:rPr>
          <w:spacing w:val="-2"/>
          <w:vertAlign w:val="baseline"/>
        </w:rPr>
        <w:t> </w:t>
      </w:r>
      <w:r>
        <w:rPr>
          <w:vertAlign w:val="baseline"/>
        </w:rPr>
        <w:t>does</w:t>
      </w:r>
      <w:r>
        <w:rPr>
          <w:spacing w:val="-2"/>
          <w:vertAlign w:val="baseline"/>
        </w:rPr>
        <w:t> </w:t>
      </w:r>
      <w:r>
        <w:rPr>
          <w:vertAlign w:val="baseline"/>
        </w:rPr>
        <w:t>not</w:t>
      </w:r>
      <w:r>
        <w:rPr>
          <w:spacing w:val="-2"/>
          <w:vertAlign w:val="baseline"/>
        </w:rPr>
        <w:t> </w:t>
      </w:r>
      <w:r>
        <w:rPr>
          <w:vertAlign w:val="baseline"/>
        </w:rPr>
        <w:t>affect</w:t>
      </w:r>
      <w:r>
        <w:rPr>
          <w:spacing w:val="-2"/>
          <w:vertAlign w:val="baseline"/>
        </w:rPr>
        <w:t> </w:t>
      </w:r>
      <w:r>
        <w:rPr>
          <w:vertAlign w:val="baseline"/>
        </w:rPr>
        <w:t>the</w:t>
      </w:r>
      <w:r>
        <w:rPr>
          <w:spacing w:val="-2"/>
          <w:vertAlign w:val="baseline"/>
        </w:rPr>
        <w:t> </w:t>
      </w:r>
      <w:r>
        <w:rPr>
          <w:vertAlign w:val="baseline"/>
        </w:rPr>
        <w:t>metabolism,</w:t>
      </w:r>
      <w:r>
        <w:rPr>
          <w:spacing w:val="-2"/>
          <w:vertAlign w:val="baseline"/>
        </w:rPr>
        <w:t> </w:t>
      </w:r>
      <w:r>
        <w:rPr>
          <w:vertAlign w:val="baseline"/>
        </w:rPr>
        <w:t>and</w:t>
      </w:r>
      <w:r>
        <w:rPr>
          <w:spacing w:val="-2"/>
          <w:vertAlign w:val="baseline"/>
        </w:rPr>
        <w:t> </w:t>
      </w:r>
      <w:r>
        <w:rPr>
          <w:vertAlign w:val="baseline"/>
        </w:rPr>
        <w:t>tibolone</w:t>
      </w:r>
      <w:r>
        <w:rPr>
          <w:spacing w:val="-2"/>
          <w:vertAlign w:val="baseline"/>
        </w:rPr>
        <w:t> </w:t>
      </w:r>
      <w:r>
        <w:rPr>
          <w:vertAlign w:val="baseline"/>
        </w:rPr>
        <w:t>can</w:t>
      </w:r>
      <w:r>
        <w:rPr>
          <w:spacing w:val="-2"/>
          <w:vertAlign w:val="baseline"/>
        </w:rPr>
        <w:t> </w:t>
      </w:r>
      <w:r>
        <w:rPr>
          <w:vertAlign w:val="baseline"/>
        </w:rPr>
        <w:t>be</w:t>
      </w:r>
      <w:r>
        <w:rPr>
          <w:spacing w:val="-2"/>
          <w:vertAlign w:val="baseline"/>
        </w:rPr>
        <w:t> </w:t>
      </w:r>
      <w:r>
        <w:rPr>
          <w:vertAlign w:val="baseline"/>
        </w:rPr>
        <w:t>taken</w:t>
      </w:r>
      <w:r>
        <w:rPr>
          <w:spacing w:val="-2"/>
          <w:vertAlign w:val="baseline"/>
        </w:rPr>
        <w:t> </w:t>
      </w:r>
      <w:r>
        <w:rPr>
          <w:vertAlign w:val="baseline"/>
        </w:rPr>
        <w:t>at any time of the day.</w:t>
      </w:r>
      <w:r>
        <w:rPr>
          <w:vertAlign w:val="superscript"/>
        </w:rPr>
        <w:t>247</w:t>
      </w:r>
      <w:r>
        <w:rPr>
          <w:vertAlign w:val="baseline"/>
        </w:rPr>
        <w:t> The pharmacokinetics of tibolone are not affected by impaired renal function. There is a very weak effect of the metabolites on cytochrome P450 enzymes, and no interference is to be expected with coadministered drugs.</w:t>
      </w:r>
      <w:r>
        <w:rPr>
          <w:vertAlign w:val="superscript"/>
        </w:rPr>
        <w:t>248</w:t>
      </w:r>
      <w:r>
        <w:rPr>
          <w:vertAlign w:val="baseline"/>
        </w:rPr>
        <w:t> After the initial metabolism of tibolone, the products are rapidly sulfated, and more than 75% of the metabolites circulate as the sulfates to be activated by tissue sulfatases.</w:t>
      </w:r>
      <w:r>
        <w:rPr>
          <w:vertAlign w:val="superscript"/>
        </w:rPr>
        <w:t>248</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5821778" cy="3607593"/>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30" cstate="print"/>
                    <a:stretch>
                      <a:fillRect/>
                    </a:stretch>
                  </pic:blipFill>
                  <pic:spPr>
                    <a:xfrm>
                      <a:off x="0" y="0"/>
                      <a:ext cx="5821778" cy="3607593"/>
                    </a:xfrm>
                    <a:prstGeom prst="rect">
                      <a:avLst/>
                    </a:prstGeom>
                  </pic:spPr>
                </pic:pic>
              </a:graphicData>
            </a:graphic>
          </wp:inline>
        </w:drawing>
      </w:r>
      <w:r>
        <w:rPr>
          <w:sz w:val="20"/>
        </w:rPr>
      </w:r>
    </w:p>
    <w:p>
      <w:pPr>
        <w:pStyle w:val="BodyText"/>
        <w:spacing w:before="34"/>
        <w:ind w:left="0"/>
        <w:jc w:val="left"/>
        <w:rPr>
          <w:sz w:val="20"/>
        </w:rPr>
      </w:pPr>
      <w:r>
        <w:rPr>
          <w:sz w:val="20"/>
        </w:rPr>
        <mc:AlternateContent>
          <mc:Choice Requires="wps">
            <w:drawing>
              <wp:anchor distT="0" distB="0" distL="0" distR="0" allowOverlap="1" layoutInCell="1" locked="0" behindDoc="1" simplePos="0" relativeHeight="487631872">
                <wp:simplePos x="0" y="0"/>
                <wp:positionH relativeFrom="page">
                  <wp:posOffset>981075</wp:posOffset>
                </wp:positionH>
                <wp:positionV relativeFrom="paragraph">
                  <wp:posOffset>182881</wp:posOffset>
                </wp:positionV>
                <wp:extent cx="856615" cy="571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856615" cy="57150"/>
                        </a:xfrm>
                        <a:custGeom>
                          <a:avLst/>
                          <a:gdLst/>
                          <a:ahLst/>
                          <a:cxnLst/>
                          <a:rect l="l" t="t" r="r" b="b"/>
                          <a:pathLst>
                            <a:path w="856615" h="57150">
                              <a:moveTo>
                                <a:pt x="32364" y="57111"/>
                              </a:moveTo>
                              <a:lnTo>
                                <a:pt x="24785" y="57111"/>
                              </a:lnTo>
                              <a:lnTo>
                                <a:pt x="21140" y="56368"/>
                              </a:lnTo>
                              <a:lnTo>
                                <a:pt x="0" y="32337"/>
                              </a:lnTo>
                              <a:lnTo>
                                <a:pt x="0" y="24745"/>
                              </a:lnTo>
                              <a:lnTo>
                                <a:pt x="725" y="21097"/>
                              </a:lnTo>
                              <a:lnTo>
                                <a:pt x="3625" y="14068"/>
                              </a:lnTo>
                              <a:lnTo>
                                <a:pt x="5689" y="10972"/>
                              </a:lnTo>
                              <a:lnTo>
                                <a:pt x="8369" y="8334"/>
                              </a:lnTo>
                              <a:lnTo>
                                <a:pt x="11048" y="5657"/>
                              </a:lnTo>
                              <a:lnTo>
                                <a:pt x="14138" y="3609"/>
                              </a:lnTo>
                              <a:lnTo>
                                <a:pt x="21140" y="704"/>
                              </a:lnTo>
                              <a:lnTo>
                                <a:pt x="24785" y="0"/>
                              </a:lnTo>
                              <a:lnTo>
                                <a:pt x="32364" y="0"/>
                              </a:lnTo>
                              <a:lnTo>
                                <a:pt x="36009" y="704"/>
                              </a:lnTo>
                              <a:lnTo>
                                <a:pt x="43010" y="3609"/>
                              </a:lnTo>
                              <a:lnTo>
                                <a:pt x="46101" y="5657"/>
                              </a:lnTo>
                              <a:lnTo>
                                <a:pt x="48780" y="8334"/>
                              </a:lnTo>
                              <a:lnTo>
                                <a:pt x="51459" y="10972"/>
                              </a:lnTo>
                              <a:lnTo>
                                <a:pt x="53524" y="14068"/>
                              </a:lnTo>
                              <a:lnTo>
                                <a:pt x="56424" y="21097"/>
                              </a:lnTo>
                              <a:lnTo>
                                <a:pt x="57149" y="24745"/>
                              </a:lnTo>
                              <a:lnTo>
                                <a:pt x="57149" y="32337"/>
                              </a:lnTo>
                              <a:lnTo>
                                <a:pt x="36009" y="56368"/>
                              </a:lnTo>
                              <a:lnTo>
                                <a:pt x="32364" y="57111"/>
                              </a:lnTo>
                              <a:close/>
                            </a:path>
                            <a:path w="856615" h="57150">
                              <a:moveTo>
                                <a:pt x="146569" y="57111"/>
                              </a:moveTo>
                              <a:lnTo>
                                <a:pt x="138990" y="57111"/>
                              </a:lnTo>
                              <a:lnTo>
                                <a:pt x="135345" y="56368"/>
                              </a:lnTo>
                              <a:lnTo>
                                <a:pt x="114204" y="32337"/>
                              </a:lnTo>
                              <a:lnTo>
                                <a:pt x="114204" y="24745"/>
                              </a:lnTo>
                              <a:lnTo>
                                <a:pt x="114929" y="21097"/>
                              </a:lnTo>
                              <a:lnTo>
                                <a:pt x="117829" y="14068"/>
                              </a:lnTo>
                              <a:lnTo>
                                <a:pt x="119894" y="10972"/>
                              </a:lnTo>
                              <a:lnTo>
                                <a:pt x="122574" y="8334"/>
                              </a:lnTo>
                              <a:lnTo>
                                <a:pt x="125253" y="5657"/>
                              </a:lnTo>
                              <a:lnTo>
                                <a:pt x="128343" y="3609"/>
                              </a:lnTo>
                              <a:lnTo>
                                <a:pt x="135345" y="704"/>
                              </a:lnTo>
                              <a:lnTo>
                                <a:pt x="138990" y="0"/>
                              </a:lnTo>
                              <a:lnTo>
                                <a:pt x="146569" y="0"/>
                              </a:lnTo>
                              <a:lnTo>
                                <a:pt x="150214" y="704"/>
                              </a:lnTo>
                              <a:lnTo>
                                <a:pt x="157215" y="3609"/>
                              </a:lnTo>
                              <a:lnTo>
                                <a:pt x="160305" y="5657"/>
                              </a:lnTo>
                              <a:lnTo>
                                <a:pt x="162985" y="8334"/>
                              </a:lnTo>
                              <a:lnTo>
                                <a:pt x="165664" y="10972"/>
                              </a:lnTo>
                              <a:lnTo>
                                <a:pt x="167729" y="14068"/>
                              </a:lnTo>
                              <a:lnTo>
                                <a:pt x="170629" y="21097"/>
                              </a:lnTo>
                              <a:lnTo>
                                <a:pt x="171354" y="24745"/>
                              </a:lnTo>
                              <a:lnTo>
                                <a:pt x="171354" y="32337"/>
                              </a:lnTo>
                              <a:lnTo>
                                <a:pt x="150214" y="56368"/>
                              </a:lnTo>
                              <a:lnTo>
                                <a:pt x="146569" y="57111"/>
                              </a:lnTo>
                              <a:close/>
                            </a:path>
                            <a:path w="856615" h="57150">
                              <a:moveTo>
                                <a:pt x="260773" y="57111"/>
                              </a:moveTo>
                              <a:lnTo>
                                <a:pt x="253195" y="57111"/>
                              </a:lnTo>
                              <a:lnTo>
                                <a:pt x="249550" y="56368"/>
                              </a:lnTo>
                              <a:lnTo>
                                <a:pt x="228409" y="32337"/>
                              </a:lnTo>
                              <a:lnTo>
                                <a:pt x="228409" y="24745"/>
                              </a:lnTo>
                              <a:lnTo>
                                <a:pt x="229134" y="21097"/>
                              </a:lnTo>
                              <a:lnTo>
                                <a:pt x="232034" y="14068"/>
                              </a:lnTo>
                              <a:lnTo>
                                <a:pt x="234099" y="10972"/>
                              </a:lnTo>
                              <a:lnTo>
                                <a:pt x="236778" y="8334"/>
                              </a:lnTo>
                              <a:lnTo>
                                <a:pt x="239458" y="5657"/>
                              </a:lnTo>
                              <a:lnTo>
                                <a:pt x="242548" y="3609"/>
                              </a:lnTo>
                              <a:lnTo>
                                <a:pt x="249550" y="704"/>
                              </a:lnTo>
                              <a:lnTo>
                                <a:pt x="253195" y="0"/>
                              </a:lnTo>
                              <a:lnTo>
                                <a:pt x="260773" y="0"/>
                              </a:lnTo>
                              <a:lnTo>
                                <a:pt x="264418" y="704"/>
                              </a:lnTo>
                              <a:lnTo>
                                <a:pt x="271420" y="3609"/>
                              </a:lnTo>
                              <a:lnTo>
                                <a:pt x="274510" y="5657"/>
                              </a:lnTo>
                              <a:lnTo>
                                <a:pt x="277190" y="8334"/>
                              </a:lnTo>
                              <a:lnTo>
                                <a:pt x="279869" y="10972"/>
                              </a:lnTo>
                              <a:lnTo>
                                <a:pt x="281934" y="14068"/>
                              </a:lnTo>
                              <a:lnTo>
                                <a:pt x="284834" y="21097"/>
                              </a:lnTo>
                              <a:lnTo>
                                <a:pt x="285559" y="24745"/>
                              </a:lnTo>
                              <a:lnTo>
                                <a:pt x="285559" y="32337"/>
                              </a:lnTo>
                              <a:lnTo>
                                <a:pt x="264418" y="56368"/>
                              </a:lnTo>
                              <a:lnTo>
                                <a:pt x="260773" y="57111"/>
                              </a:lnTo>
                              <a:close/>
                            </a:path>
                            <a:path w="856615" h="57150">
                              <a:moveTo>
                                <a:pt x="374978" y="57111"/>
                              </a:moveTo>
                              <a:lnTo>
                                <a:pt x="367399" y="57111"/>
                              </a:lnTo>
                              <a:lnTo>
                                <a:pt x="363754" y="56368"/>
                              </a:lnTo>
                              <a:lnTo>
                                <a:pt x="342614" y="32337"/>
                              </a:lnTo>
                              <a:lnTo>
                                <a:pt x="342614" y="24745"/>
                              </a:lnTo>
                              <a:lnTo>
                                <a:pt x="343339" y="21097"/>
                              </a:lnTo>
                              <a:lnTo>
                                <a:pt x="346239" y="14068"/>
                              </a:lnTo>
                              <a:lnTo>
                                <a:pt x="348304" y="10972"/>
                              </a:lnTo>
                              <a:lnTo>
                                <a:pt x="350983" y="8334"/>
                              </a:lnTo>
                              <a:lnTo>
                                <a:pt x="353663" y="5657"/>
                              </a:lnTo>
                              <a:lnTo>
                                <a:pt x="356753" y="3609"/>
                              </a:lnTo>
                              <a:lnTo>
                                <a:pt x="363754" y="704"/>
                              </a:lnTo>
                              <a:lnTo>
                                <a:pt x="367399" y="0"/>
                              </a:lnTo>
                              <a:lnTo>
                                <a:pt x="374978" y="0"/>
                              </a:lnTo>
                              <a:lnTo>
                                <a:pt x="378623" y="704"/>
                              </a:lnTo>
                              <a:lnTo>
                                <a:pt x="385625" y="3609"/>
                              </a:lnTo>
                              <a:lnTo>
                                <a:pt x="388715" y="5657"/>
                              </a:lnTo>
                              <a:lnTo>
                                <a:pt x="391394" y="8334"/>
                              </a:lnTo>
                              <a:lnTo>
                                <a:pt x="394074" y="10972"/>
                              </a:lnTo>
                              <a:lnTo>
                                <a:pt x="396138" y="14068"/>
                              </a:lnTo>
                              <a:lnTo>
                                <a:pt x="399039" y="21097"/>
                              </a:lnTo>
                              <a:lnTo>
                                <a:pt x="399764" y="24745"/>
                              </a:lnTo>
                              <a:lnTo>
                                <a:pt x="399764" y="32337"/>
                              </a:lnTo>
                              <a:lnTo>
                                <a:pt x="378623" y="56368"/>
                              </a:lnTo>
                              <a:lnTo>
                                <a:pt x="374978" y="57111"/>
                              </a:lnTo>
                              <a:close/>
                            </a:path>
                            <a:path w="856615" h="57150">
                              <a:moveTo>
                                <a:pt x="489183" y="57111"/>
                              </a:moveTo>
                              <a:lnTo>
                                <a:pt x="481604" y="57111"/>
                              </a:lnTo>
                              <a:lnTo>
                                <a:pt x="477959" y="56368"/>
                              </a:lnTo>
                              <a:lnTo>
                                <a:pt x="456818" y="32337"/>
                              </a:lnTo>
                              <a:lnTo>
                                <a:pt x="456818" y="24745"/>
                              </a:lnTo>
                              <a:lnTo>
                                <a:pt x="457543" y="21097"/>
                              </a:lnTo>
                              <a:lnTo>
                                <a:pt x="460444" y="14068"/>
                              </a:lnTo>
                              <a:lnTo>
                                <a:pt x="462508" y="10972"/>
                              </a:lnTo>
                              <a:lnTo>
                                <a:pt x="465188" y="8334"/>
                              </a:lnTo>
                              <a:lnTo>
                                <a:pt x="467867" y="5657"/>
                              </a:lnTo>
                              <a:lnTo>
                                <a:pt x="470957" y="3609"/>
                              </a:lnTo>
                              <a:lnTo>
                                <a:pt x="477959" y="704"/>
                              </a:lnTo>
                              <a:lnTo>
                                <a:pt x="481604" y="0"/>
                              </a:lnTo>
                              <a:lnTo>
                                <a:pt x="489183" y="0"/>
                              </a:lnTo>
                              <a:lnTo>
                                <a:pt x="492828" y="704"/>
                              </a:lnTo>
                              <a:lnTo>
                                <a:pt x="499829" y="3609"/>
                              </a:lnTo>
                              <a:lnTo>
                                <a:pt x="502920" y="5657"/>
                              </a:lnTo>
                              <a:lnTo>
                                <a:pt x="505599" y="8334"/>
                              </a:lnTo>
                              <a:lnTo>
                                <a:pt x="508278" y="10972"/>
                              </a:lnTo>
                              <a:lnTo>
                                <a:pt x="510343" y="14068"/>
                              </a:lnTo>
                              <a:lnTo>
                                <a:pt x="513243" y="21097"/>
                              </a:lnTo>
                              <a:lnTo>
                                <a:pt x="513968" y="24745"/>
                              </a:lnTo>
                              <a:lnTo>
                                <a:pt x="513968" y="32337"/>
                              </a:lnTo>
                              <a:lnTo>
                                <a:pt x="492828" y="56368"/>
                              </a:lnTo>
                              <a:lnTo>
                                <a:pt x="489183" y="57111"/>
                              </a:lnTo>
                              <a:close/>
                            </a:path>
                            <a:path w="856615" h="57150">
                              <a:moveTo>
                                <a:pt x="603387" y="57111"/>
                              </a:moveTo>
                              <a:lnTo>
                                <a:pt x="595809" y="57111"/>
                              </a:lnTo>
                              <a:lnTo>
                                <a:pt x="592164" y="56368"/>
                              </a:lnTo>
                              <a:lnTo>
                                <a:pt x="571023" y="32337"/>
                              </a:lnTo>
                              <a:lnTo>
                                <a:pt x="571023" y="24745"/>
                              </a:lnTo>
                              <a:lnTo>
                                <a:pt x="571748" y="21097"/>
                              </a:lnTo>
                              <a:lnTo>
                                <a:pt x="574648" y="14068"/>
                              </a:lnTo>
                              <a:lnTo>
                                <a:pt x="576713" y="10972"/>
                              </a:lnTo>
                              <a:lnTo>
                                <a:pt x="579393" y="8334"/>
                              </a:lnTo>
                              <a:lnTo>
                                <a:pt x="582072" y="5657"/>
                              </a:lnTo>
                              <a:lnTo>
                                <a:pt x="585162" y="3609"/>
                              </a:lnTo>
                              <a:lnTo>
                                <a:pt x="592164" y="704"/>
                              </a:lnTo>
                              <a:lnTo>
                                <a:pt x="595809" y="0"/>
                              </a:lnTo>
                              <a:lnTo>
                                <a:pt x="603387" y="0"/>
                              </a:lnTo>
                              <a:lnTo>
                                <a:pt x="607032" y="704"/>
                              </a:lnTo>
                              <a:lnTo>
                                <a:pt x="614034" y="3609"/>
                              </a:lnTo>
                              <a:lnTo>
                                <a:pt x="617124" y="5657"/>
                              </a:lnTo>
                              <a:lnTo>
                                <a:pt x="619804" y="8334"/>
                              </a:lnTo>
                              <a:lnTo>
                                <a:pt x="622483" y="10972"/>
                              </a:lnTo>
                              <a:lnTo>
                                <a:pt x="624548" y="14068"/>
                              </a:lnTo>
                              <a:lnTo>
                                <a:pt x="627448" y="21097"/>
                              </a:lnTo>
                              <a:lnTo>
                                <a:pt x="628173" y="24745"/>
                              </a:lnTo>
                              <a:lnTo>
                                <a:pt x="628173" y="32337"/>
                              </a:lnTo>
                              <a:lnTo>
                                <a:pt x="607032" y="56368"/>
                              </a:lnTo>
                              <a:lnTo>
                                <a:pt x="603387" y="57111"/>
                              </a:lnTo>
                              <a:close/>
                            </a:path>
                            <a:path w="856615" h="57150">
                              <a:moveTo>
                                <a:pt x="717592" y="57111"/>
                              </a:moveTo>
                              <a:lnTo>
                                <a:pt x="710014" y="57111"/>
                              </a:lnTo>
                              <a:lnTo>
                                <a:pt x="706369" y="56368"/>
                              </a:lnTo>
                              <a:lnTo>
                                <a:pt x="685228" y="32337"/>
                              </a:lnTo>
                              <a:lnTo>
                                <a:pt x="685228" y="24745"/>
                              </a:lnTo>
                              <a:lnTo>
                                <a:pt x="685953" y="21097"/>
                              </a:lnTo>
                              <a:lnTo>
                                <a:pt x="688853" y="14068"/>
                              </a:lnTo>
                              <a:lnTo>
                                <a:pt x="690918" y="10972"/>
                              </a:lnTo>
                              <a:lnTo>
                                <a:pt x="693597" y="8334"/>
                              </a:lnTo>
                              <a:lnTo>
                                <a:pt x="696277" y="5657"/>
                              </a:lnTo>
                              <a:lnTo>
                                <a:pt x="699367" y="3609"/>
                              </a:lnTo>
                              <a:lnTo>
                                <a:pt x="706369" y="704"/>
                              </a:lnTo>
                              <a:lnTo>
                                <a:pt x="710014" y="0"/>
                              </a:lnTo>
                              <a:lnTo>
                                <a:pt x="717592" y="0"/>
                              </a:lnTo>
                              <a:lnTo>
                                <a:pt x="721237" y="704"/>
                              </a:lnTo>
                              <a:lnTo>
                                <a:pt x="728239" y="3609"/>
                              </a:lnTo>
                              <a:lnTo>
                                <a:pt x="731329" y="5657"/>
                              </a:lnTo>
                              <a:lnTo>
                                <a:pt x="734009" y="8334"/>
                              </a:lnTo>
                              <a:lnTo>
                                <a:pt x="736688" y="10972"/>
                              </a:lnTo>
                              <a:lnTo>
                                <a:pt x="738753" y="14068"/>
                              </a:lnTo>
                              <a:lnTo>
                                <a:pt x="741653" y="21097"/>
                              </a:lnTo>
                              <a:lnTo>
                                <a:pt x="742378" y="24745"/>
                              </a:lnTo>
                              <a:lnTo>
                                <a:pt x="742378" y="32337"/>
                              </a:lnTo>
                              <a:lnTo>
                                <a:pt x="721237" y="56368"/>
                              </a:lnTo>
                              <a:lnTo>
                                <a:pt x="717592" y="57111"/>
                              </a:lnTo>
                              <a:close/>
                            </a:path>
                            <a:path w="856615" h="57150">
                              <a:moveTo>
                                <a:pt x="831797" y="57111"/>
                              </a:moveTo>
                              <a:lnTo>
                                <a:pt x="824218" y="57111"/>
                              </a:lnTo>
                              <a:lnTo>
                                <a:pt x="820573" y="56368"/>
                              </a:lnTo>
                              <a:lnTo>
                                <a:pt x="799433" y="32337"/>
                              </a:lnTo>
                              <a:lnTo>
                                <a:pt x="799433" y="24745"/>
                              </a:lnTo>
                              <a:lnTo>
                                <a:pt x="800158" y="21097"/>
                              </a:lnTo>
                              <a:lnTo>
                                <a:pt x="803058" y="14068"/>
                              </a:lnTo>
                              <a:lnTo>
                                <a:pt x="805123" y="10972"/>
                              </a:lnTo>
                              <a:lnTo>
                                <a:pt x="807802" y="8334"/>
                              </a:lnTo>
                              <a:lnTo>
                                <a:pt x="810481" y="5657"/>
                              </a:lnTo>
                              <a:lnTo>
                                <a:pt x="813572" y="3609"/>
                              </a:lnTo>
                              <a:lnTo>
                                <a:pt x="820573" y="704"/>
                              </a:lnTo>
                              <a:lnTo>
                                <a:pt x="824218" y="0"/>
                              </a:lnTo>
                              <a:lnTo>
                                <a:pt x="831797" y="0"/>
                              </a:lnTo>
                              <a:lnTo>
                                <a:pt x="835442" y="704"/>
                              </a:lnTo>
                              <a:lnTo>
                                <a:pt x="842444" y="3609"/>
                              </a:lnTo>
                              <a:lnTo>
                                <a:pt x="845534" y="5657"/>
                              </a:lnTo>
                              <a:lnTo>
                                <a:pt x="848213" y="8334"/>
                              </a:lnTo>
                              <a:lnTo>
                                <a:pt x="850893" y="10972"/>
                              </a:lnTo>
                              <a:lnTo>
                                <a:pt x="852957" y="14068"/>
                              </a:lnTo>
                              <a:lnTo>
                                <a:pt x="855858" y="21097"/>
                              </a:lnTo>
                              <a:lnTo>
                                <a:pt x="856583" y="24745"/>
                              </a:lnTo>
                              <a:lnTo>
                                <a:pt x="856583" y="32337"/>
                              </a:lnTo>
                              <a:lnTo>
                                <a:pt x="835442" y="56368"/>
                              </a:lnTo>
                              <a:lnTo>
                                <a:pt x="831797" y="57111"/>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4.400083pt;width:67.45pt;height:4.5pt;mso-position-horizontal-relative:page;mso-position-vertical-relative:paragraph;z-index:-15684608;mso-wrap-distance-left:0;mso-wrap-distance-right:0" id="docshape120" coordorigin="1545,288" coordsize="1349,90" path="m1596,378l1584,378,1578,377,1567,372,1562,369,1558,365,1554,360,1551,356,1546,345,1545,339,1545,327,1546,321,1551,310,1554,305,1558,301,1562,297,1567,294,1578,289,1584,288,1596,288,1602,289,1613,294,1618,297,1622,301,1626,305,1629,310,1634,321,1635,327,1635,339,1634,345,1629,356,1626,360,1622,365,1618,369,1613,372,1602,377,1596,378xm1776,378l1764,378,1758,377,1747,372,1742,369,1738,365,1734,360,1731,356,1726,345,1725,339,1725,327,1726,321,1731,310,1734,305,1738,301,1742,297,1747,294,1758,289,1764,288,1776,288,1782,289,1793,294,1797,297,1802,301,1806,305,1809,310,1814,321,1815,327,1815,339,1814,345,1809,356,1806,360,1802,365,1797,369,1793,372,1782,377,1776,378xm1956,378l1944,378,1938,377,1927,372,1922,369,1918,365,1914,360,1910,356,1906,345,1905,339,1905,327,1906,321,1910,310,1914,305,1918,301,1922,297,1927,294,1938,289,1944,288,1956,288,1961,289,1972,294,1977,297,1982,301,1986,305,1989,310,1994,321,1995,327,1995,339,1994,345,1989,356,1986,360,1982,365,1977,369,1972,372,1961,377,1956,378xm2136,378l2124,378,2118,377,2107,372,2102,369,2098,365,2094,360,2090,356,2086,345,2085,339,2085,327,2086,321,2090,310,2094,305,2098,301,2102,297,2107,294,2118,289,2124,288,2136,288,2141,289,2152,294,2157,297,2161,301,2166,305,2169,310,2173,321,2175,327,2175,339,2173,345,2169,356,2166,360,2161,365,2157,369,2152,372,2141,377,2136,378xm2315,378l2303,378,2298,377,2287,372,2282,369,2278,365,2273,360,2270,356,2266,345,2264,339,2264,327,2266,321,2270,310,2273,305,2278,301,2282,297,2287,294,2298,289,2303,288,2315,288,2321,289,2332,294,2337,297,2341,301,2345,305,2349,310,2353,321,2354,327,2354,339,2353,345,2349,356,2345,360,2341,365,2337,369,2332,372,2321,377,2315,378xm2495,378l2483,378,2478,377,2467,372,2462,369,2457,365,2453,360,2450,356,2445,345,2444,339,2444,327,2445,321,2450,310,2453,305,2457,301,2462,297,2467,294,2478,289,2483,288,2495,288,2501,289,2512,294,2517,297,2521,301,2525,305,2529,310,2533,321,2534,327,2534,339,2533,345,2529,356,2525,360,2521,365,2517,369,2512,372,2501,377,2495,378xm2675,378l2663,378,2657,377,2646,372,2641,369,2637,365,2633,360,2630,356,2625,345,2624,339,2624,327,2625,321,2630,310,2633,305,2637,301,2641,297,2646,294,2657,289,2663,288,2675,288,2681,289,2692,294,2697,297,2701,301,2705,305,2708,310,2713,321,2714,327,2714,339,2713,345,2708,356,2705,360,2701,365,2697,369,2692,372,2681,377,2675,378xm2855,378l2843,378,2837,377,2826,372,2821,369,2817,365,2813,360,2810,356,2805,345,2804,339,2804,327,2805,321,2810,310,2813,305,2817,301,2821,297,2826,294,2837,289,2843,288,2855,288,2861,289,2872,294,2877,297,2881,301,2885,305,2888,310,2893,321,2894,327,2894,339,2893,345,2888,356,2885,360,2881,365,2877,369,2872,372,2861,377,2855,378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22.2</w:t>
      </w:r>
    </w:p>
    <w:p>
      <w:pPr>
        <w:pStyle w:val="BodyText"/>
        <w:spacing w:before="216"/>
        <w:ind w:left="0"/>
        <w:jc w:val="left"/>
        <w:rPr>
          <w:rFonts w:ascii="Arial"/>
          <w:b/>
          <w:sz w:val="22"/>
        </w:rPr>
      </w:pPr>
    </w:p>
    <w:p>
      <w:pPr>
        <w:pStyle w:val="BodyText"/>
        <w:spacing w:line="249" w:lineRule="auto" w:before="0"/>
        <w:ind w:right="98" w:firstLine="450"/>
      </w:pPr>
      <w:r>
        <w:rPr/>
        <w:t>The metabolism of tibolone is not limited to the liver and intestine. Important effects are explained by specific local tissue metabolism. </w:t>
      </w:r>
      <w:r>
        <w:rPr/>
        <w:t>For example, the Δ-4 isomer is primarily produced within the endometrium, binds to the progesterone receptor (PR), and protects the endometrium from the agonist effects of the two estrogenic metabolites.</w:t>
      </w:r>
      <w:r>
        <w:rPr>
          <w:vertAlign w:val="superscript"/>
        </w:rPr>
        <w:t>248-253</w:t>
      </w:r>
    </w:p>
    <w:p>
      <w:pPr>
        <w:pStyle w:val="BodyText"/>
        <w:spacing w:line="249" w:lineRule="auto" w:before="6"/>
        <w:ind w:right="100" w:firstLine="450"/>
      </w:pPr>
      <w:r>
        <w:rPr/>
        <w:t>Tibolone is available in two daily doses, 1.25 and 2.5 mg. There </w:t>
      </w:r>
      <w:r>
        <w:rPr/>
        <w:t>is considerable variability (~30-40%) within and between subjects, but the 1.25- and 2.5-mg doses produce the same bioequivalence as measured by maximum levels and areas under the curve for the 3a-OH and 3β-OH metabolites.</w:t>
      </w:r>
      <w:r>
        <w:rPr>
          <w:vertAlign w:val="superscript"/>
        </w:rPr>
        <w:t>247</w:t>
      </w:r>
      <w:r>
        <w:rPr>
          <w:vertAlign w:val="baseline"/>
        </w:rPr>
        <w:t> However, there are differences in clinical responses, which influence the choice of dose.</w:t>
      </w:r>
    </w:p>
    <w:p>
      <w:pPr>
        <w:pStyle w:val="BodyText"/>
        <w:spacing w:before="51"/>
        <w:ind w:left="0"/>
        <w:jc w:val="left"/>
      </w:pPr>
    </w:p>
    <w:p>
      <w:pPr>
        <w:spacing w:before="0"/>
        <w:ind w:left="99" w:right="0" w:firstLine="0"/>
        <w:jc w:val="left"/>
        <w:rPr>
          <w:rFonts w:ascii="Arial"/>
          <w:b/>
          <w:sz w:val="30"/>
        </w:rPr>
      </w:pPr>
      <w:r>
        <w:rPr>
          <w:rFonts w:ascii="Arial"/>
          <w:b/>
          <w:color w:val="2674AE"/>
          <w:sz w:val="30"/>
        </w:rPr>
        <w:t>Effect</w:t>
      </w:r>
      <w:r>
        <w:rPr>
          <w:rFonts w:ascii="Arial"/>
          <w:b/>
          <w:color w:val="2674AE"/>
          <w:spacing w:val="-2"/>
          <w:sz w:val="30"/>
        </w:rPr>
        <w:t> </w:t>
      </w:r>
      <w:r>
        <w:rPr>
          <w:rFonts w:ascii="Arial"/>
          <w:b/>
          <w:color w:val="2674AE"/>
          <w:sz w:val="30"/>
        </w:rPr>
        <w:t>of</w:t>
      </w:r>
      <w:r>
        <w:rPr>
          <w:rFonts w:ascii="Arial"/>
          <w:b/>
          <w:color w:val="2674AE"/>
          <w:spacing w:val="-1"/>
          <w:sz w:val="30"/>
        </w:rPr>
        <w:t> </w:t>
      </w:r>
      <w:r>
        <w:rPr>
          <w:rFonts w:ascii="Arial"/>
          <w:b/>
          <w:color w:val="2674AE"/>
          <w:sz w:val="30"/>
        </w:rPr>
        <w:t>Tibolone</w:t>
      </w:r>
      <w:r>
        <w:rPr>
          <w:rFonts w:ascii="Arial"/>
          <w:b/>
          <w:color w:val="2674AE"/>
          <w:spacing w:val="-1"/>
          <w:sz w:val="30"/>
        </w:rPr>
        <w:t> </w:t>
      </w:r>
      <w:r>
        <w:rPr>
          <w:rFonts w:ascii="Arial"/>
          <w:b/>
          <w:color w:val="2674AE"/>
          <w:sz w:val="30"/>
        </w:rPr>
        <w:t>on</w:t>
      </w:r>
      <w:r>
        <w:rPr>
          <w:rFonts w:ascii="Arial"/>
          <w:b/>
          <w:color w:val="2674AE"/>
          <w:spacing w:val="-1"/>
          <w:sz w:val="30"/>
        </w:rPr>
        <w:t> </w:t>
      </w:r>
      <w:r>
        <w:rPr>
          <w:rFonts w:ascii="Arial"/>
          <w:b/>
          <w:color w:val="2674AE"/>
          <w:sz w:val="30"/>
        </w:rPr>
        <w:t>Menopausal</w:t>
      </w:r>
      <w:r>
        <w:rPr>
          <w:rFonts w:ascii="Arial"/>
          <w:b/>
          <w:color w:val="2674AE"/>
          <w:spacing w:val="-1"/>
          <w:sz w:val="30"/>
        </w:rPr>
        <w:t> </w:t>
      </w:r>
      <w:r>
        <w:rPr>
          <w:rFonts w:ascii="Arial"/>
          <w:b/>
          <w:color w:val="2674AE"/>
          <w:spacing w:val="-2"/>
          <w:sz w:val="30"/>
        </w:rPr>
        <w:t>Symptoms</w:t>
      </w:r>
    </w:p>
    <w:p>
      <w:pPr>
        <w:pStyle w:val="BodyText"/>
        <w:spacing w:line="249" w:lineRule="auto" w:before="166"/>
        <w:ind w:right="99"/>
      </w:pPr>
      <w:r>
        <w:rPr/>
        <w:t>Menopausal symptoms provide the main motivation for women to </w:t>
      </w:r>
      <w:r>
        <w:rPr/>
        <w:t>use postmenopausal</w:t>
      </w:r>
      <w:r>
        <w:rPr>
          <w:spacing w:val="-6"/>
        </w:rPr>
        <w:t> </w:t>
      </w:r>
      <w:r>
        <w:rPr/>
        <w:t>HT.</w:t>
      </w:r>
      <w:r>
        <w:rPr>
          <w:spacing w:val="-7"/>
        </w:rPr>
        <w:t> </w:t>
      </w:r>
      <w:r>
        <w:rPr/>
        <w:t>Tibolone</w:t>
      </w:r>
      <w:r>
        <w:rPr>
          <w:spacing w:val="-6"/>
        </w:rPr>
        <w:t> </w:t>
      </w:r>
      <w:r>
        <w:rPr/>
        <w:t>must</w:t>
      </w:r>
      <w:r>
        <w:rPr>
          <w:spacing w:val="-6"/>
        </w:rPr>
        <w:t> </w:t>
      </w:r>
      <w:r>
        <w:rPr/>
        <w:t>perform</w:t>
      </w:r>
      <w:r>
        <w:rPr>
          <w:spacing w:val="-6"/>
        </w:rPr>
        <w:t> </w:t>
      </w:r>
      <w:r>
        <w:rPr/>
        <w:t>well</w:t>
      </w:r>
      <w:r>
        <w:rPr>
          <w:spacing w:val="-6"/>
        </w:rPr>
        <w:t> </w:t>
      </w:r>
      <w:r>
        <w:rPr/>
        <w:t>in</w:t>
      </w:r>
      <w:r>
        <w:rPr>
          <w:spacing w:val="-6"/>
        </w:rPr>
        <w:t> </w:t>
      </w:r>
      <w:r>
        <w:rPr/>
        <w:t>this</w:t>
      </w:r>
      <w:r>
        <w:rPr>
          <w:spacing w:val="-6"/>
        </w:rPr>
        <w:t> </w:t>
      </w:r>
      <w:r>
        <w:rPr/>
        <w:t>category</w:t>
      </w:r>
      <w:r>
        <w:rPr>
          <w:spacing w:val="-6"/>
        </w:rPr>
        <w:t> </w:t>
      </w:r>
      <w:r>
        <w:rPr/>
        <w:t>for</w:t>
      </w:r>
      <w:r>
        <w:rPr>
          <w:spacing w:val="-6"/>
        </w:rPr>
        <w:t> </w:t>
      </w:r>
      <w:r>
        <w:rPr/>
        <w:t>it</w:t>
      </w:r>
      <w:r>
        <w:rPr>
          <w:spacing w:val="-6"/>
        </w:rPr>
        <w:t> </w:t>
      </w:r>
      <w:r>
        <w:rPr/>
        <w:t>to</w:t>
      </w:r>
      <w:r>
        <w:rPr>
          <w:spacing w:val="-6"/>
        </w:rPr>
        <w:t> </w:t>
      </w:r>
      <w:r>
        <w:rPr/>
        <w:t>be an</w:t>
      </w:r>
      <w:r>
        <w:rPr>
          <w:spacing w:val="75"/>
          <w:w w:val="150"/>
        </w:rPr>
        <w:t> </w:t>
      </w:r>
      <w:r>
        <w:rPr/>
        <w:t>attractive</w:t>
      </w:r>
      <w:r>
        <w:rPr>
          <w:spacing w:val="76"/>
          <w:w w:val="150"/>
        </w:rPr>
        <w:t> </w:t>
      </w:r>
      <w:r>
        <w:rPr/>
        <w:t>option</w:t>
      </w:r>
      <w:r>
        <w:rPr>
          <w:spacing w:val="75"/>
          <w:w w:val="150"/>
        </w:rPr>
        <w:t> </w:t>
      </w:r>
      <w:r>
        <w:rPr/>
        <w:t>for</w:t>
      </w:r>
      <w:r>
        <w:rPr>
          <w:spacing w:val="76"/>
          <w:w w:val="150"/>
        </w:rPr>
        <w:t> </w:t>
      </w:r>
      <w:r>
        <w:rPr/>
        <w:t>clinicians</w:t>
      </w:r>
      <w:r>
        <w:rPr>
          <w:spacing w:val="75"/>
          <w:w w:val="150"/>
        </w:rPr>
        <w:t> </w:t>
      </w:r>
      <w:r>
        <w:rPr/>
        <w:t>and</w:t>
      </w:r>
      <w:r>
        <w:rPr>
          <w:spacing w:val="76"/>
          <w:w w:val="150"/>
        </w:rPr>
        <w:t> </w:t>
      </w:r>
      <w:r>
        <w:rPr/>
        <w:t>patients.</w:t>
      </w:r>
      <w:r>
        <w:rPr>
          <w:spacing w:val="75"/>
          <w:w w:val="150"/>
        </w:rPr>
        <w:t> </w:t>
      </w:r>
      <w:r>
        <w:rPr/>
        <w:t>Clinical</w:t>
      </w:r>
      <w:r>
        <w:rPr>
          <w:spacing w:val="75"/>
          <w:w w:val="150"/>
        </w:rPr>
        <w:t> </w:t>
      </w:r>
      <w:r>
        <w:rPr/>
        <w:t>studies</w:t>
      </w:r>
      <w:r>
        <w:rPr>
          <w:spacing w:val="74"/>
          <w:w w:val="150"/>
        </w:rPr>
        <w:t> </w:t>
      </w:r>
      <w:r>
        <w:rPr>
          <w:spacing w:val="-4"/>
        </w:rPr>
        <w:t>have</w:t>
      </w:r>
    </w:p>
    <w:p>
      <w:pPr>
        <w:pStyle w:val="BodyText"/>
        <w:spacing w:after="0" w:line="249" w:lineRule="auto"/>
        <w:sectPr>
          <w:pgSz w:w="12240" w:h="15840"/>
          <w:pgMar w:top="1440" w:bottom="280" w:left="1440" w:right="1440"/>
        </w:sectPr>
      </w:pPr>
    </w:p>
    <w:p>
      <w:pPr>
        <w:pStyle w:val="BodyText"/>
        <w:spacing w:line="249" w:lineRule="auto"/>
        <w:ind w:right="97"/>
      </w:pPr>
      <w:r>
        <w:rPr/>
        <w:t>established that tibolone exerts an estrogenic beneficial impact on hot flushing and vaginal dryness. Appropriate studies have documented that tibolone in a daily dose of 2.5 mg is as effective as standard</w:t>
      </w:r>
      <w:r>
        <w:rPr>
          <w:spacing w:val="40"/>
        </w:rPr>
        <w:t> </w:t>
      </w:r>
      <w:r>
        <w:rPr/>
        <w:t>postmenopausal hormone regimens in treating hot flushing.</w:t>
      </w:r>
      <w:r>
        <w:rPr>
          <w:vertAlign w:val="superscript"/>
        </w:rPr>
        <w:t>254-260</w:t>
      </w:r>
      <w:r>
        <w:rPr>
          <w:vertAlign w:val="baseline"/>
        </w:rPr>
        <w:t> The </w:t>
      </w:r>
      <w:r>
        <w:rPr>
          <w:vertAlign w:val="baseline"/>
        </w:rPr>
        <w:t>1.25-mg dose takes longer to be effective, and this dose also has a higher incidence of persistent VMS.</w:t>
      </w:r>
      <w:r>
        <w:rPr>
          <w:vertAlign w:val="superscript"/>
        </w:rPr>
        <w:t>261</w:t>
      </w:r>
      <w:r>
        <w:rPr>
          <w:vertAlign w:val="baseline"/>
        </w:rPr>
        <w:t> Fortunately, tibolone treatment provides an estrogenic effect on the vagina. Tibolone, 2.5 mg daily, relieves vaginal dryness and dyspareunia, and in most studies, tibolone is as effective as estrogen</w:t>
      </w:r>
      <w:r>
        <w:rPr>
          <w:spacing w:val="-11"/>
          <w:vertAlign w:val="baseline"/>
        </w:rPr>
        <w:t> </w:t>
      </w:r>
      <w:r>
        <w:rPr>
          <w:vertAlign w:val="baseline"/>
        </w:rPr>
        <w:t>treatment.</w:t>
      </w:r>
      <w:r>
        <w:rPr>
          <w:vertAlign w:val="superscript"/>
        </w:rPr>
        <w:t>256-260,262-265</w:t>
      </w:r>
      <w:r>
        <w:rPr>
          <w:spacing w:val="-12"/>
          <w:vertAlign w:val="baseline"/>
        </w:rPr>
        <w:t> </w:t>
      </w:r>
      <w:r>
        <w:rPr>
          <w:vertAlign w:val="baseline"/>
        </w:rPr>
        <w:t>In</w:t>
      </w:r>
      <w:r>
        <w:rPr>
          <w:spacing w:val="-11"/>
          <w:vertAlign w:val="baseline"/>
        </w:rPr>
        <w:t> </w:t>
      </w:r>
      <w:r>
        <w:rPr>
          <w:vertAlign w:val="baseline"/>
        </w:rPr>
        <w:t>addition,</w:t>
      </w:r>
      <w:r>
        <w:rPr>
          <w:spacing w:val="-11"/>
          <w:vertAlign w:val="baseline"/>
        </w:rPr>
        <w:t> </w:t>
      </w:r>
      <w:r>
        <w:rPr>
          <w:vertAlign w:val="baseline"/>
        </w:rPr>
        <w:t>tibolone</w:t>
      </w:r>
      <w:r>
        <w:rPr>
          <w:spacing w:val="-11"/>
          <w:vertAlign w:val="baseline"/>
        </w:rPr>
        <w:t> </w:t>
      </w:r>
      <w:r>
        <w:rPr>
          <w:vertAlign w:val="baseline"/>
        </w:rPr>
        <w:t>effectively</w:t>
      </w:r>
      <w:r>
        <w:rPr>
          <w:spacing w:val="-11"/>
          <w:vertAlign w:val="baseline"/>
        </w:rPr>
        <w:t> </w:t>
      </w:r>
      <w:r>
        <w:rPr>
          <w:vertAlign w:val="baseline"/>
        </w:rPr>
        <w:t>treats</w:t>
      </w:r>
      <w:r>
        <w:rPr>
          <w:spacing w:val="-11"/>
          <w:vertAlign w:val="baseline"/>
        </w:rPr>
        <w:t> </w:t>
      </w:r>
      <w:r>
        <w:rPr>
          <w:vertAlign w:val="baseline"/>
        </w:rPr>
        <w:t>the</w:t>
      </w:r>
      <w:r>
        <w:rPr>
          <w:spacing w:val="-11"/>
          <w:vertAlign w:val="baseline"/>
        </w:rPr>
        <w:t> </w:t>
      </w:r>
      <w:r>
        <w:rPr>
          <w:vertAlign w:val="baseline"/>
        </w:rPr>
        <w:t>side effect of hot flushing associated with gonadotropin-releasing hormone (GnRH) agonist therapy in premenopausal women.</w:t>
      </w:r>
      <w:r>
        <w:rPr>
          <w:vertAlign w:val="superscript"/>
        </w:rPr>
        <w:t>266</w:t>
      </w:r>
    </w:p>
    <w:p>
      <w:pPr>
        <w:pStyle w:val="BodyText"/>
        <w:spacing w:line="249" w:lineRule="auto" w:before="13"/>
        <w:ind w:right="98" w:firstLine="450"/>
      </w:pPr>
      <w:r>
        <w:rPr/>
        <w:t>A decided advantage for tibolone over standard HT can be found in studies examining sexuality. In prospective, randomized trials </w:t>
      </w:r>
      <w:r>
        <w:rPr/>
        <w:t>comparing tibolone with estrogen or estrogen-progestin therapy, tibolone has been associated</w:t>
      </w:r>
      <w:r>
        <w:rPr>
          <w:spacing w:val="-9"/>
        </w:rPr>
        <w:t> </w:t>
      </w:r>
      <w:r>
        <w:rPr/>
        <w:t>with</w:t>
      </w:r>
      <w:r>
        <w:rPr>
          <w:spacing w:val="-9"/>
        </w:rPr>
        <w:t> </w:t>
      </w:r>
      <w:r>
        <w:rPr/>
        <w:t>a</w:t>
      </w:r>
      <w:r>
        <w:rPr>
          <w:spacing w:val="-9"/>
        </w:rPr>
        <w:t> </w:t>
      </w:r>
      <w:r>
        <w:rPr/>
        <w:t>better</w:t>
      </w:r>
      <w:r>
        <w:rPr>
          <w:spacing w:val="-9"/>
        </w:rPr>
        <w:t> </w:t>
      </w:r>
      <w:r>
        <w:rPr/>
        <w:t>sexual</w:t>
      </w:r>
      <w:r>
        <w:rPr>
          <w:spacing w:val="-9"/>
        </w:rPr>
        <w:t> </w:t>
      </w:r>
      <w:r>
        <w:rPr/>
        <w:t>response.</w:t>
      </w:r>
      <w:r>
        <w:rPr>
          <w:vertAlign w:val="superscript"/>
        </w:rPr>
        <w:t>257,260,267-270</w:t>
      </w:r>
      <w:r>
        <w:rPr>
          <w:spacing w:val="-9"/>
          <w:vertAlign w:val="baseline"/>
        </w:rPr>
        <w:t> </w:t>
      </w:r>
      <w:r>
        <w:rPr>
          <w:vertAlign w:val="baseline"/>
        </w:rPr>
        <w:t>An</w:t>
      </w:r>
      <w:r>
        <w:rPr>
          <w:spacing w:val="-9"/>
          <w:vertAlign w:val="baseline"/>
        </w:rPr>
        <w:t> </w:t>
      </w:r>
      <w:r>
        <w:rPr>
          <w:vertAlign w:val="baseline"/>
        </w:rPr>
        <w:t>increase</w:t>
      </w:r>
      <w:r>
        <w:rPr>
          <w:spacing w:val="-9"/>
          <w:vertAlign w:val="baseline"/>
        </w:rPr>
        <w:t> </w:t>
      </w:r>
      <w:r>
        <w:rPr>
          <w:vertAlign w:val="baseline"/>
        </w:rPr>
        <w:t>in</w:t>
      </w:r>
      <w:r>
        <w:rPr>
          <w:spacing w:val="-9"/>
          <w:vertAlign w:val="baseline"/>
        </w:rPr>
        <w:t> </w:t>
      </w:r>
      <w:r>
        <w:rPr>
          <w:vertAlign w:val="baseline"/>
        </w:rPr>
        <w:t>libido</w:t>
      </w:r>
      <w:r>
        <w:rPr>
          <w:spacing w:val="-9"/>
          <w:vertAlign w:val="baseline"/>
        </w:rPr>
        <w:t> </w:t>
      </w:r>
      <w:r>
        <w:rPr>
          <w:vertAlign w:val="baseline"/>
        </w:rPr>
        <w:t>has been reported in studies comparing tibolone with placebo,</w:t>
      </w:r>
      <w:r>
        <w:rPr>
          <w:vertAlign w:val="superscript"/>
        </w:rPr>
        <w:t>265,271</w:t>
      </w:r>
      <w:r>
        <w:rPr>
          <w:vertAlign w:val="baseline"/>
        </w:rPr>
        <w:t> and the response has been greater than that with ET, comparable to that associated with androgen treatment.</w:t>
      </w:r>
      <w:r>
        <w:rPr>
          <w:vertAlign w:val="superscript"/>
        </w:rPr>
        <w:t>272</w:t>
      </w:r>
      <w:r>
        <w:rPr>
          <w:vertAlign w:val="baseline"/>
        </w:rPr>
        <w:t> The overall effect has included an increase in sexual interest and sexual performance, specifically fantasies, arousal, and </w:t>
      </w:r>
      <w:r>
        <w:rPr>
          <w:spacing w:val="-2"/>
          <w:vertAlign w:val="baseline"/>
        </w:rPr>
        <w:t>orgasm.</w:t>
      </w:r>
    </w:p>
    <w:p>
      <w:pPr>
        <w:pStyle w:val="BodyText"/>
        <w:spacing w:line="249" w:lineRule="auto" w:before="11"/>
        <w:ind w:right="99" w:firstLine="450"/>
      </w:pPr>
      <w:r>
        <w:rPr/>
        <w:t>There are two possible mechanisms for tibolone’s effect on sexuality: a direct androgenic effect of the Δ-4 isomer and/or an increase in the circulating</w:t>
      </w:r>
      <w:r>
        <w:rPr>
          <w:spacing w:val="-2"/>
        </w:rPr>
        <w:t> </w:t>
      </w:r>
      <w:r>
        <w:rPr/>
        <w:t>level</w:t>
      </w:r>
      <w:r>
        <w:rPr>
          <w:spacing w:val="-2"/>
        </w:rPr>
        <w:t> </w:t>
      </w:r>
      <w:r>
        <w:rPr/>
        <w:t>of</w:t>
      </w:r>
      <w:r>
        <w:rPr>
          <w:spacing w:val="-2"/>
        </w:rPr>
        <w:t> </w:t>
      </w:r>
      <w:r>
        <w:rPr/>
        <w:t>free</w:t>
      </w:r>
      <w:r>
        <w:rPr>
          <w:spacing w:val="-2"/>
        </w:rPr>
        <w:t> </w:t>
      </w:r>
      <w:r>
        <w:rPr/>
        <w:t>testosterone.</w:t>
      </w:r>
      <w:r>
        <w:rPr>
          <w:spacing w:val="-3"/>
        </w:rPr>
        <w:t> </w:t>
      </w:r>
      <w:r>
        <w:rPr/>
        <w:t>Tibolone is associated with a </w:t>
      </w:r>
      <w:r>
        <w:rPr/>
        <w:t>profound change in the circulating levels of SHBG, about a 50% decrease.</w:t>
      </w:r>
      <w:r>
        <w:rPr>
          <w:vertAlign w:val="superscript"/>
        </w:rPr>
        <w:t>265,273</w:t>
      </w:r>
      <w:r>
        <w:rPr>
          <w:vertAlign w:val="baseline"/>
        </w:rPr>
        <w:t> This is undoubtedly due to the Δ-4 isomer and an androgenic effect on the liver. Tibolone treatment, therefore, produces a decrease in the concentration of total testosterone (bound and unbound) but a substantial increase in the amount of free, unbound testosterone. This hormonal profile is a striking contrast to that associated with ET, which increases SHBG and decreases both total and free testosterone levels. The androgen side effects of acne</w:t>
      </w:r>
      <w:r>
        <w:rPr>
          <w:spacing w:val="40"/>
          <w:vertAlign w:val="baseline"/>
        </w:rPr>
        <w:t> </w:t>
      </w:r>
      <w:r>
        <w:rPr>
          <w:vertAlign w:val="baseline"/>
        </w:rPr>
        <w:t>and hirsutism, however, have not been reported with tibolone treatment.</w:t>
      </w:r>
    </w:p>
    <w:p>
      <w:pPr>
        <w:pStyle w:val="BodyText"/>
        <w:spacing w:line="249" w:lineRule="auto" w:before="14"/>
        <w:ind w:right="100" w:firstLine="450"/>
      </w:pPr>
      <w:r>
        <w:rPr/>
        <w:t>When women who had been on tibolone for 10 years were </w:t>
      </w:r>
      <w:r>
        <w:rPr/>
        <w:t>compared with a matched group, the treated women were less clumsy, were less anxious in response to mild stress, and demonstrated better memory for facts, although there was no difference in memory for events and worse performance</w:t>
      </w:r>
      <w:r>
        <w:rPr>
          <w:spacing w:val="6"/>
        </w:rPr>
        <w:t> </w:t>
      </w:r>
      <w:r>
        <w:rPr/>
        <w:t>on</w:t>
      </w:r>
      <w:r>
        <w:rPr>
          <w:spacing w:val="6"/>
        </w:rPr>
        <w:t> </w:t>
      </w:r>
      <w:r>
        <w:rPr/>
        <w:t>sustained</w:t>
      </w:r>
      <w:r>
        <w:rPr>
          <w:spacing w:val="7"/>
        </w:rPr>
        <w:t> </w:t>
      </w:r>
      <w:r>
        <w:rPr/>
        <w:t>attention</w:t>
      </w:r>
      <w:r>
        <w:rPr>
          <w:spacing w:val="6"/>
        </w:rPr>
        <w:t> </w:t>
      </w:r>
      <w:r>
        <w:rPr/>
        <w:t>and</w:t>
      </w:r>
      <w:r>
        <w:rPr>
          <w:spacing w:val="7"/>
        </w:rPr>
        <w:t> </w:t>
      </w:r>
      <w:r>
        <w:rPr/>
        <w:t>planning.</w:t>
      </w:r>
      <w:r>
        <w:rPr>
          <w:vertAlign w:val="superscript"/>
        </w:rPr>
        <w:t>274</w:t>
      </w:r>
      <w:r>
        <w:rPr>
          <w:spacing w:val="6"/>
          <w:vertAlign w:val="baseline"/>
        </w:rPr>
        <w:t> </w:t>
      </w:r>
      <w:r>
        <w:rPr>
          <w:vertAlign w:val="baseline"/>
        </w:rPr>
        <w:t>Overall,</w:t>
      </w:r>
      <w:r>
        <w:rPr>
          <w:spacing w:val="8"/>
          <w:vertAlign w:val="baseline"/>
        </w:rPr>
        <w:t> </w:t>
      </w:r>
      <w:r>
        <w:rPr>
          <w:vertAlign w:val="baseline"/>
        </w:rPr>
        <w:t>tibolone</w:t>
      </w:r>
      <w:r>
        <w:rPr>
          <w:spacing w:val="7"/>
          <w:vertAlign w:val="baseline"/>
        </w:rPr>
        <w:t> </w:t>
      </w:r>
      <w:r>
        <w:rPr>
          <w:spacing w:val="-2"/>
          <w:vertAlign w:val="baseline"/>
        </w:rPr>
        <w:t>exerts</w:t>
      </w:r>
    </w:p>
    <w:p>
      <w:pPr>
        <w:pStyle w:val="BodyText"/>
        <w:spacing w:after="0" w:line="249" w:lineRule="auto"/>
        <w:sectPr>
          <w:pgSz w:w="12240" w:h="15840"/>
          <w:pgMar w:top="1380" w:bottom="280" w:left="1440" w:right="1440"/>
        </w:sectPr>
      </w:pPr>
    </w:p>
    <w:p>
      <w:pPr>
        <w:pStyle w:val="BodyText"/>
        <w:spacing w:line="249" w:lineRule="auto"/>
        <w:ind w:right="98"/>
      </w:pPr>
      <w:r>
        <w:rPr/>
        <w:t>a positive effect on mood that is modest in impact.</w:t>
      </w:r>
      <w:r>
        <w:rPr>
          <w:vertAlign w:val="superscript"/>
        </w:rPr>
        <w:t>273,275</w:t>
      </w:r>
      <w:r>
        <w:rPr>
          <w:vertAlign w:val="baseline"/>
        </w:rPr>
        <w:t> However, this is </w:t>
      </w:r>
      <w:r>
        <w:rPr>
          <w:vertAlign w:val="baseline"/>
        </w:rPr>
        <w:t>an area in which it is not easy to achieve consistent effects, a problem often due to the differences in measurement tools and definitions. The study of cognition is difficult because of the need to match treated and control groups for intelligence, age, occupation, education, and mental state (eg, depression).</w:t>
      </w:r>
      <w:r>
        <w:rPr>
          <w:spacing w:val="-6"/>
          <w:vertAlign w:val="baseline"/>
        </w:rPr>
        <w:t> </w:t>
      </w:r>
      <w:r>
        <w:rPr>
          <w:vertAlign w:val="baseline"/>
        </w:rPr>
        <w:t>Because of this difficulty, the literature reporting the effects of HT on cognition provides an inconsistent picture. This is further complicated by the sensitivity and appropriateness of the assessment tools that are used. This is an area that requires standardization and new approaches for research, not only for tibolone but for all pharmacologic treatments that affect the central nervous system.</w:t>
      </w:r>
    </w:p>
    <w:p>
      <w:pPr>
        <w:pStyle w:val="BodyText"/>
        <w:spacing w:before="57"/>
        <w:ind w:left="0"/>
        <w:jc w:val="left"/>
      </w:pPr>
    </w:p>
    <w:p>
      <w:pPr>
        <w:spacing w:before="0"/>
        <w:ind w:left="99" w:right="0" w:firstLine="0"/>
        <w:jc w:val="both"/>
        <w:rPr>
          <w:rFonts w:ascii="Arial"/>
          <w:b/>
          <w:sz w:val="30"/>
        </w:rPr>
      </w:pPr>
      <w:r>
        <w:rPr>
          <w:rFonts w:ascii="Arial"/>
          <w:b/>
          <w:color w:val="2674AE"/>
          <w:sz w:val="30"/>
        </w:rPr>
        <w:t>Effect</w:t>
      </w:r>
      <w:r>
        <w:rPr>
          <w:rFonts w:ascii="Arial"/>
          <w:b/>
          <w:color w:val="2674AE"/>
          <w:spacing w:val="-1"/>
          <w:sz w:val="30"/>
        </w:rPr>
        <w:t> </w:t>
      </w:r>
      <w:r>
        <w:rPr>
          <w:rFonts w:ascii="Arial"/>
          <w:b/>
          <w:color w:val="2674AE"/>
          <w:sz w:val="30"/>
        </w:rPr>
        <w:t>of</w:t>
      </w:r>
      <w:r>
        <w:rPr>
          <w:rFonts w:ascii="Arial"/>
          <w:b/>
          <w:color w:val="2674AE"/>
          <w:spacing w:val="-1"/>
          <w:sz w:val="30"/>
        </w:rPr>
        <w:t> </w:t>
      </w:r>
      <w:r>
        <w:rPr>
          <w:rFonts w:ascii="Arial"/>
          <w:b/>
          <w:color w:val="2674AE"/>
          <w:sz w:val="30"/>
        </w:rPr>
        <w:t>Tibolone</w:t>
      </w:r>
      <w:r>
        <w:rPr>
          <w:rFonts w:ascii="Arial"/>
          <w:b/>
          <w:color w:val="2674AE"/>
          <w:spacing w:val="-1"/>
          <w:sz w:val="30"/>
        </w:rPr>
        <w:t> </w:t>
      </w:r>
      <w:r>
        <w:rPr>
          <w:rFonts w:ascii="Arial"/>
          <w:b/>
          <w:color w:val="2674AE"/>
          <w:sz w:val="30"/>
        </w:rPr>
        <w:t>on</w:t>
      </w:r>
      <w:r>
        <w:rPr>
          <w:rFonts w:ascii="Arial"/>
          <w:b/>
          <w:color w:val="2674AE"/>
          <w:spacing w:val="-1"/>
          <w:sz w:val="30"/>
        </w:rPr>
        <w:t> </w:t>
      </w:r>
      <w:r>
        <w:rPr>
          <w:rFonts w:ascii="Arial"/>
          <w:b/>
          <w:color w:val="2674AE"/>
          <w:sz w:val="30"/>
        </w:rPr>
        <w:t>the</w:t>
      </w:r>
      <w:r>
        <w:rPr>
          <w:rFonts w:ascii="Arial"/>
          <w:b/>
          <w:color w:val="2674AE"/>
          <w:spacing w:val="-1"/>
          <w:sz w:val="30"/>
        </w:rPr>
        <w:t> </w:t>
      </w:r>
      <w:r>
        <w:rPr>
          <w:rFonts w:ascii="Arial"/>
          <w:b/>
          <w:color w:val="2674AE"/>
          <w:sz w:val="30"/>
        </w:rPr>
        <w:t>Cardiovascular</w:t>
      </w:r>
      <w:r>
        <w:rPr>
          <w:rFonts w:ascii="Arial"/>
          <w:b/>
          <w:color w:val="2674AE"/>
          <w:spacing w:val="-1"/>
          <w:sz w:val="30"/>
        </w:rPr>
        <w:t> </w:t>
      </w:r>
      <w:r>
        <w:rPr>
          <w:rFonts w:ascii="Arial"/>
          <w:b/>
          <w:color w:val="2674AE"/>
          <w:spacing w:val="-2"/>
          <w:sz w:val="30"/>
        </w:rPr>
        <w:t>System</w:t>
      </w:r>
    </w:p>
    <w:p>
      <w:pPr>
        <w:pStyle w:val="BodyText"/>
        <w:spacing w:line="249" w:lineRule="auto" w:before="166"/>
        <w:ind w:right="98"/>
      </w:pPr>
      <w:r>
        <w:rPr/>
        <w:t>Consistent with reports of tibolone’s effects on HDL cholesterol in postmenopausal women, tibolone-treated monkeys have much lower </w:t>
      </w:r>
      <w:r>
        <w:rPr/>
        <w:t>HDL cholesterol compared with control monkeys.</w:t>
      </w:r>
      <w:r>
        <w:rPr>
          <w:vertAlign w:val="superscript"/>
        </w:rPr>
        <w:t>276</w:t>
      </w:r>
      <w:r>
        <w:rPr>
          <w:vertAlign w:val="baseline"/>
        </w:rPr>
        <w:t> Although tibolone treatment resulted in lower circulating HDL cholesterol, coronary artery atherosclerosis extent in monkeys was not significantly different from the control group. Similar results were observed in the carotid arteries.</w:t>
      </w:r>
      <w:r>
        <w:rPr>
          <w:vertAlign w:val="superscript"/>
        </w:rPr>
        <w:t>277</w:t>
      </w:r>
      <w:r>
        <w:rPr>
          <w:vertAlign w:val="baseline"/>
        </w:rPr>
        <w:t> That observation prompted the question of whether the HDL cholesterol reductions noted among the animals treated with tibolone were associated with physiologically meaningful reductions in HDL cholesterol function. HDL cholesterol has a critical role in reverse cholesterol transport, the mechanism by which cell cholesterol (ie, artery wall cholesterol) can be returned</w:t>
      </w:r>
      <w:r>
        <w:rPr>
          <w:spacing w:val="-1"/>
          <w:vertAlign w:val="baseline"/>
        </w:rPr>
        <w:t> </w:t>
      </w:r>
      <w:r>
        <w:rPr>
          <w:vertAlign w:val="baseline"/>
        </w:rPr>
        <w:t>through</w:t>
      </w:r>
      <w:r>
        <w:rPr>
          <w:spacing w:val="-1"/>
          <w:vertAlign w:val="baseline"/>
        </w:rPr>
        <w:t> </w:t>
      </w:r>
      <w:r>
        <w:rPr>
          <w:vertAlign w:val="baseline"/>
        </w:rPr>
        <w:t>the</w:t>
      </w:r>
      <w:r>
        <w:rPr>
          <w:spacing w:val="-1"/>
          <w:vertAlign w:val="baseline"/>
        </w:rPr>
        <w:t> </w:t>
      </w:r>
      <w:r>
        <w:rPr>
          <w:vertAlign w:val="baseline"/>
        </w:rPr>
        <w:t>plasma</w:t>
      </w:r>
      <w:r>
        <w:rPr>
          <w:spacing w:val="-1"/>
          <w:vertAlign w:val="baseline"/>
        </w:rPr>
        <w:t> </w:t>
      </w:r>
      <w:r>
        <w:rPr>
          <w:vertAlign w:val="baseline"/>
        </w:rPr>
        <w:t>to</w:t>
      </w:r>
      <w:r>
        <w:rPr>
          <w:spacing w:val="-1"/>
          <w:vertAlign w:val="baseline"/>
        </w:rPr>
        <w:t> </w:t>
      </w:r>
      <w:r>
        <w:rPr>
          <w:vertAlign w:val="baseline"/>
        </w:rPr>
        <w:t>the</w:t>
      </w:r>
      <w:r>
        <w:rPr>
          <w:spacing w:val="-1"/>
          <w:vertAlign w:val="baseline"/>
        </w:rPr>
        <w:t> </w:t>
      </w:r>
      <w:r>
        <w:rPr>
          <w:vertAlign w:val="baseline"/>
        </w:rPr>
        <w:t>liver</w:t>
      </w:r>
      <w:r>
        <w:rPr>
          <w:spacing w:val="-1"/>
          <w:vertAlign w:val="baseline"/>
        </w:rPr>
        <w:t> </w:t>
      </w:r>
      <w:r>
        <w:rPr>
          <w:vertAlign w:val="baseline"/>
        </w:rPr>
        <w:t>for</w:t>
      </w:r>
      <w:r>
        <w:rPr>
          <w:spacing w:val="-1"/>
          <w:vertAlign w:val="baseline"/>
        </w:rPr>
        <w:t> </w:t>
      </w:r>
      <w:r>
        <w:rPr>
          <w:vertAlign w:val="baseline"/>
        </w:rPr>
        <w:t>excretion.</w:t>
      </w:r>
      <w:r>
        <w:rPr>
          <w:vertAlign w:val="superscript"/>
        </w:rPr>
        <w:t>278</w:t>
      </w:r>
      <w:r>
        <w:rPr>
          <w:vertAlign w:val="baseline"/>
        </w:rPr>
        <w:t> Further, it has been found that cholesterol efflux capacity predicts the severity and extent of coronary artery disease in human patients.</w:t>
      </w:r>
      <w:r>
        <w:rPr>
          <w:vertAlign w:val="superscript"/>
        </w:rPr>
        <w:t>279</w:t>
      </w:r>
      <w:r>
        <w:rPr>
          <w:vertAlign w:val="baseline"/>
        </w:rPr>
        <w:t> Postmenopausal monkeys treated with tibolone had </w:t>
      </w:r>
      <w:r>
        <w:rPr>
          <w:i/>
          <w:vertAlign w:val="baseline"/>
        </w:rPr>
        <w:t>no </w:t>
      </w:r>
      <w:r>
        <w:rPr>
          <w:vertAlign w:val="baseline"/>
        </w:rPr>
        <w:t>reduction in cholesterol efflux.</w:t>
      </w:r>
      <w:r>
        <w:rPr>
          <w:vertAlign w:val="superscript"/>
        </w:rPr>
        <w:t>280</w:t>
      </w:r>
      <w:r>
        <w:rPr>
          <w:vertAlign w:val="baseline"/>
        </w:rPr>
        <w:t> This disassociation between reductions in circulating concentrations of HDL cholesterol and the lack of change in HDL cholesterol function suggests the likelihood that this may account in large part for the finding that coronary artery atherosclerosis was not increased or decreased in the monkey model.</w:t>
      </w:r>
    </w:p>
    <w:p>
      <w:pPr>
        <w:pStyle w:val="BodyText"/>
        <w:spacing w:before="24"/>
        <w:ind w:left="549"/>
      </w:pPr>
      <w:r>
        <w:rPr/>
        <w:t>Short-term</w:t>
      </w:r>
      <w:r>
        <w:rPr>
          <w:spacing w:val="19"/>
        </w:rPr>
        <w:t> </w:t>
      </w:r>
      <w:r>
        <w:rPr/>
        <w:t>clinical</w:t>
      </w:r>
      <w:r>
        <w:rPr>
          <w:spacing w:val="19"/>
        </w:rPr>
        <w:t> </w:t>
      </w:r>
      <w:r>
        <w:rPr/>
        <w:t>studies</w:t>
      </w:r>
      <w:r>
        <w:rPr>
          <w:spacing w:val="19"/>
        </w:rPr>
        <w:t> </w:t>
      </w:r>
      <w:r>
        <w:rPr/>
        <w:t>uniformly</w:t>
      </w:r>
      <w:r>
        <w:rPr>
          <w:spacing w:val="19"/>
        </w:rPr>
        <w:t> </w:t>
      </w:r>
      <w:r>
        <w:rPr/>
        <w:t>document</w:t>
      </w:r>
      <w:r>
        <w:rPr>
          <w:spacing w:val="19"/>
        </w:rPr>
        <w:t> </w:t>
      </w:r>
      <w:r>
        <w:rPr/>
        <w:t>that</w:t>
      </w:r>
      <w:r>
        <w:rPr>
          <w:spacing w:val="19"/>
        </w:rPr>
        <w:t> </w:t>
      </w:r>
      <w:r>
        <w:rPr/>
        <w:t>tibolone</w:t>
      </w:r>
      <w:r>
        <w:rPr>
          <w:spacing w:val="19"/>
        </w:rPr>
        <w:t> </w:t>
      </w:r>
      <w:r>
        <w:rPr>
          <w:spacing w:val="-2"/>
        </w:rPr>
        <w:t>treatment,</w:t>
      </w:r>
    </w:p>
    <w:p>
      <w:pPr>
        <w:pStyle w:val="BodyText"/>
        <w:spacing w:line="249" w:lineRule="auto" w:before="15"/>
        <w:ind w:right="106"/>
      </w:pPr>
      <w:r>
        <w:rPr/>
        <w:t>2.5 mg/d, reduces HDL cholesterol levels in women by about 20%; however,</w:t>
      </w:r>
      <w:r>
        <w:rPr>
          <w:spacing w:val="64"/>
        </w:rPr>
        <w:t> </w:t>
      </w:r>
      <w:r>
        <w:rPr/>
        <w:t>there</w:t>
      </w:r>
      <w:r>
        <w:rPr>
          <w:spacing w:val="67"/>
        </w:rPr>
        <w:t> </w:t>
      </w:r>
      <w:r>
        <w:rPr/>
        <w:t>is</w:t>
      </w:r>
      <w:r>
        <w:rPr>
          <w:spacing w:val="67"/>
        </w:rPr>
        <w:t> </w:t>
      </w:r>
      <w:r>
        <w:rPr/>
        <w:t>also</w:t>
      </w:r>
      <w:r>
        <w:rPr>
          <w:spacing w:val="67"/>
        </w:rPr>
        <w:t> </w:t>
      </w:r>
      <w:r>
        <w:rPr/>
        <w:t>a</w:t>
      </w:r>
      <w:r>
        <w:rPr>
          <w:spacing w:val="67"/>
        </w:rPr>
        <w:t> </w:t>
      </w:r>
      <w:r>
        <w:rPr/>
        <w:t>reduction</w:t>
      </w:r>
      <w:r>
        <w:rPr>
          <w:spacing w:val="66"/>
        </w:rPr>
        <w:t> </w:t>
      </w:r>
      <w:r>
        <w:rPr/>
        <w:t>in</w:t>
      </w:r>
      <w:r>
        <w:rPr>
          <w:spacing w:val="67"/>
        </w:rPr>
        <w:t> </w:t>
      </w:r>
      <w:r>
        <w:rPr/>
        <w:t>total</w:t>
      </w:r>
      <w:r>
        <w:rPr>
          <w:spacing w:val="67"/>
        </w:rPr>
        <w:t> </w:t>
      </w:r>
      <w:r>
        <w:rPr/>
        <w:t>cholesterol</w:t>
      </w:r>
      <w:r>
        <w:rPr>
          <w:spacing w:val="67"/>
        </w:rPr>
        <w:t> </w:t>
      </w:r>
      <w:r>
        <w:rPr/>
        <w:t>(about</w:t>
      </w:r>
      <w:r>
        <w:rPr>
          <w:spacing w:val="67"/>
        </w:rPr>
        <w:t> </w:t>
      </w:r>
      <w:r>
        <w:rPr/>
        <w:t>10%)</w:t>
      </w:r>
      <w:r>
        <w:rPr>
          <w:spacing w:val="67"/>
        </w:rPr>
        <w:t> </w:t>
      </w:r>
      <w:r>
        <w:rPr>
          <w:spacing w:val="-5"/>
        </w:rPr>
        <w:t>an</w:t>
      </w:r>
      <w:r>
        <w:rPr>
          <w:spacing w:val="-5"/>
        </w:rPr>
        <w:t>d</w:t>
      </w:r>
    </w:p>
    <w:p>
      <w:pPr>
        <w:pStyle w:val="BodyText"/>
        <w:spacing w:after="0" w:line="249" w:lineRule="auto"/>
        <w:sectPr>
          <w:pgSz w:w="12240" w:h="15840"/>
          <w:pgMar w:top="1380" w:bottom="280" w:left="1440" w:right="1440"/>
        </w:sectPr>
      </w:pPr>
    </w:p>
    <w:p>
      <w:pPr>
        <w:pStyle w:val="BodyText"/>
        <w:spacing w:line="249" w:lineRule="auto"/>
        <w:ind w:right="97"/>
      </w:pPr>
      <w:r>
        <w:rPr/>
        <w:t>triglycerides (about 20%) and a slight decrease or no change in LDL cholesterol levels.</w:t>
      </w:r>
      <w:r>
        <w:rPr>
          <w:vertAlign w:val="superscript"/>
        </w:rPr>
        <w:t>268,276,281-286</w:t>
      </w:r>
      <w:r>
        <w:rPr>
          <w:vertAlign w:val="baseline"/>
        </w:rPr>
        <w:t> In women, therefore, tibolone does </w:t>
      </w:r>
      <w:r>
        <w:rPr>
          <w:vertAlign w:val="baseline"/>
        </w:rPr>
        <w:t>not increase LDL cholesterol, and the reduction in HDL cholesterol is less than that recorded in monkeys. In addition, tibolone decreases LDL cholesterol oxidation and produces a shift away from the more atherogenic small dense LDL cholesterol, which would be beneficial.</w:t>
      </w:r>
      <w:r>
        <w:rPr>
          <w:vertAlign w:val="superscript"/>
        </w:rPr>
        <w:t>287</w:t>
      </w:r>
      <w:r>
        <w:rPr>
          <w:vertAlign w:val="baseline"/>
        </w:rPr>
        <w:t> The potential harmful effects associated with reductions in HDL cholesterol are further balanced by tibolone-associated reductions in endothelin and lipoprotein(a), anti-ischemic effects detected in women with angina and an improvement in insulin sensitivity.</w:t>
      </w:r>
      <w:r>
        <w:rPr>
          <w:vertAlign w:val="superscript"/>
        </w:rPr>
        <w:t>286,288-291</w:t>
      </w:r>
      <w:r>
        <w:rPr>
          <w:vertAlign w:val="baseline"/>
        </w:rPr>
        <w:t> In longer term studies, HDL cholesterol levels did not come back to baseline at the end of 2 years of treatment, but did return to baseline at the end of 3 years.</w:t>
      </w:r>
      <w:r>
        <w:rPr>
          <w:vertAlign w:val="superscript"/>
        </w:rPr>
        <w:t>286,292-294</w:t>
      </w:r>
      <w:r>
        <w:rPr>
          <w:vertAlign w:val="baseline"/>
        </w:rPr>
        <w:t> Other studies have found that the decrease in HDL cholesterol is statistically insignificant.</w:t>
      </w:r>
      <w:r>
        <w:rPr>
          <w:vertAlign w:val="superscript"/>
        </w:rPr>
        <w:t>295,296</w:t>
      </w:r>
    </w:p>
    <w:p>
      <w:pPr>
        <w:pStyle w:val="BodyText"/>
        <w:spacing w:line="249" w:lineRule="auto" w:before="16"/>
        <w:ind w:right="97" w:firstLine="450"/>
      </w:pPr>
      <w:r>
        <w:rPr/>
        <w:t>The recognition that reductions in HDL cholesterol are potentially harmful is based on the important roles for HDL cholesterol in </w:t>
      </w:r>
      <w:r>
        <w:rPr/>
        <w:t>the mediation of cholesterol movement from lipid-laden cells and inhibition of LDL cholesterol oxidation. However, the experimental results in the monkey model indicate that reductions in HDL cholesterol concentrations are not directly paralleled by reductions in important HDL cholesterol functions. At least one reason for this lack of direct correlation is the complex nature of HDL cholesterol lipoproteins, a heterogeneous collection of particles that differ in their activities.</w:t>
      </w:r>
      <w:r>
        <w:rPr>
          <w:vertAlign w:val="superscript"/>
        </w:rPr>
        <w:t>297</w:t>
      </w:r>
      <w:r>
        <w:rPr>
          <w:vertAlign w:val="baseline"/>
        </w:rPr>
        <w:t> The overall change in HDL cholesterol</w:t>
      </w:r>
      <w:r>
        <w:rPr>
          <w:spacing w:val="-3"/>
          <w:vertAlign w:val="baseline"/>
        </w:rPr>
        <w:t> </w:t>
      </w:r>
      <w:r>
        <w:rPr>
          <w:vertAlign w:val="baseline"/>
        </w:rPr>
        <w:t>levels</w:t>
      </w:r>
      <w:r>
        <w:rPr>
          <w:spacing w:val="-3"/>
          <w:vertAlign w:val="baseline"/>
        </w:rPr>
        <w:t> </w:t>
      </w:r>
      <w:r>
        <w:rPr>
          <w:vertAlign w:val="baseline"/>
        </w:rPr>
        <w:t>will</w:t>
      </w:r>
      <w:r>
        <w:rPr>
          <w:spacing w:val="-3"/>
          <w:vertAlign w:val="baseline"/>
        </w:rPr>
        <w:t> </w:t>
      </w:r>
      <w:r>
        <w:rPr>
          <w:vertAlign w:val="baseline"/>
        </w:rPr>
        <w:t>not</w:t>
      </w:r>
      <w:r>
        <w:rPr>
          <w:spacing w:val="-3"/>
          <w:vertAlign w:val="baseline"/>
        </w:rPr>
        <w:t> </w:t>
      </w:r>
      <w:r>
        <w:rPr>
          <w:vertAlign w:val="baseline"/>
        </w:rPr>
        <w:t>reflect</w:t>
      </w:r>
      <w:r>
        <w:rPr>
          <w:spacing w:val="-3"/>
          <w:vertAlign w:val="baseline"/>
        </w:rPr>
        <w:t> </w:t>
      </w:r>
      <w:r>
        <w:rPr>
          <w:vertAlign w:val="baseline"/>
        </w:rPr>
        <w:t>specific</w:t>
      </w:r>
      <w:r>
        <w:rPr>
          <w:spacing w:val="-3"/>
          <w:vertAlign w:val="baseline"/>
        </w:rPr>
        <w:t> </w:t>
      </w:r>
      <w:r>
        <w:rPr>
          <w:vertAlign w:val="baseline"/>
        </w:rPr>
        <w:t>changes</w:t>
      </w:r>
      <w:r>
        <w:rPr>
          <w:spacing w:val="-3"/>
          <w:vertAlign w:val="baseline"/>
        </w:rPr>
        <w:t> </w:t>
      </w:r>
      <w:r>
        <w:rPr>
          <w:vertAlign w:val="baseline"/>
        </w:rPr>
        <w:t>in</w:t>
      </w:r>
      <w:r>
        <w:rPr>
          <w:spacing w:val="-3"/>
          <w:vertAlign w:val="baseline"/>
        </w:rPr>
        <w:t> </w:t>
      </w:r>
      <w:r>
        <w:rPr>
          <w:vertAlign w:val="baseline"/>
        </w:rPr>
        <w:t>particles</w:t>
      </w:r>
      <w:r>
        <w:rPr>
          <w:spacing w:val="-3"/>
          <w:vertAlign w:val="baseline"/>
        </w:rPr>
        <w:t> </w:t>
      </w:r>
      <w:r>
        <w:rPr>
          <w:vertAlign w:val="baseline"/>
        </w:rPr>
        <w:t>that</w:t>
      </w:r>
      <w:r>
        <w:rPr>
          <w:spacing w:val="-3"/>
          <w:vertAlign w:val="baseline"/>
        </w:rPr>
        <w:t> </w:t>
      </w:r>
      <w:r>
        <w:rPr>
          <w:vertAlign w:val="baseline"/>
        </w:rPr>
        <w:t>can</w:t>
      </w:r>
      <w:r>
        <w:rPr>
          <w:spacing w:val="-3"/>
          <w:vertAlign w:val="baseline"/>
        </w:rPr>
        <w:t> </w:t>
      </w:r>
      <w:r>
        <w:rPr>
          <w:vertAlign w:val="baseline"/>
        </w:rPr>
        <w:t>affect specific biologic activities. Like results in the monkey model, a randomized trial in women demonstrated that significant reductions in HDL cholesterol levels (average 27%) caused by tibolone treatment, 2.5 mg/d, were due to a decrease in one subclass of HDL cholesterol particles, and measures of HDL cholesterol antiatherogenic functions (reverse cholesterol transport and inhibition of LDL cholesterol oxidation) were not impaired.</w:t>
      </w:r>
      <w:r>
        <w:rPr>
          <w:vertAlign w:val="superscript"/>
        </w:rPr>
        <w:t>291</w:t>
      </w:r>
      <w:r>
        <w:rPr>
          <w:vertAlign w:val="baseline"/>
        </w:rPr>
        <w:t> The study was limited by the short, 12-week duration of treatment; however, the findings are consistent with those obtained in the 2-year monkey experiment. These human results were confirmed and strengthened by a study of 68 postmenopausal women randomized to daily treatment for 3 months with either 2.5-mg tibolone or placebo.</w:t>
      </w:r>
      <w:r>
        <w:rPr>
          <w:vertAlign w:val="superscript"/>
        </w:rPr>
        <w:t>298</w:t>
      </w:r>
      <w:r>
        <w:rPr>
          <w:vertAlign w:val="baseline"/>
        </w:rPr>
        <w:t> Changes in HDL cholesterol</w:t>
      </w:r>
      <w:r>
        <w:rPr>
          <w:spacing w:val="39"/>
          <w:vertAlign w:val="baseline"/>
        </w:rPr>
        <w:t> </w:t>
      </w:r>
      <w:r>
        <w:rPr>
          <w:vertAlign w:val="baseline"/>
        </w:rPr>
        <w:t>were</w:t>
      </w:r>
      <w:r>
        <w:rPr>
          <w:spacing w:val="41"/>
          <w:vertAlign w:val="baseline"/>
        </w:rPr>
        <w:t> </w:t>
      </w:r>
      <w:r>
        <w:rPr>
          <w:vertAlign w:val="baseline"/>
        </w:rPr>
        <w:t>associated</w:t>
      </w:r>
      <w:r>
        <w:rPr>
          <w:spacing w:val="41"/>
          <w:vertAlign w:val="baseline"/>
        </w:rPr>
        <w:t> </w:t>
      </w:r>
      <w:r>
        <w:rPr>
          <w:vertAlign w:val="baseline"/>
        </w:rPr>
        <w:t>with</w:t>
      </w:r>
      <w:r>
        <w:rPr>
          <w:spacing w:val="41"/>
          <w:vertAlign w:val="baseline"/>
        </w:rPr>
        <w:t> </w:t>
      </w:r>
      <w:r>
        <w:rPr>
          <w:vertAlign w:val="baseline"/>
        </w:rPr>
        <w:t>an</w:t>
      </w:r>
      <w:r>
        <w:rPr>
          <w:spacing w:val="41"/>
          <w:vertAlign w:val="baseline"/>
        </w:rPr>
        <w:t> </w:t>
      </w:r>
      <w:r>
        <w:rPr>
          <w:vertAlign w:val="baseline"/>
        </w:rPr>
        <w:t>increase</w:t>
      </w:r>
      <w:r>
        <w:rPr>
          <w:spacing w:val="41"/>
          <w:vertAlign w:val="baseline"/>
        </w:rPr>
        <w:t> </w:t>
      </w:r>
      <w:r>
        <w:rPr>
          <w:vertAlign w:val="baseline"/>
        </w:rPr>
        <w:t>in</w:t>
      </w:r>
      <w:r>
        <w:rPr>
          <w:spacing w:val="41"/>
          <w:vertAlign w:val="baseline"/>
        </w:rPr>
        <w:t> </w:t>
      </w:r>
      <w:r>
        <w:rPr>
          <w:vertAlign w:val="baseline"/>
        </w:rPr>
        <w:t>hepatic</w:t>
      </w:r>
      <w:r>
        <w:rPr>
          <w:spacing w:val="41"/>
          <w:vertAlign w:val="baseline"/>
        </w:rPr>
        <w:t> </w:t>
      </w:r>
      <w:r>
        <w:rPr>
          <w:vertAlign w:val="baseline"/>
        </w:rPr>
        <w:t>lipase</w:t>
      </w:r>
      <w:r>
        <w:rPr>
          <w:spacing w:val="41"/>
          <w:vertAlign w:val="baseline"/>
        </w:rPr>
        <w:t> </w:t>
      </w:r>
      <w:r>
        <w:rPr>
          <w:vertAlign w:val="baseline"/>
        </w:rPr>
        <w:t>activity,</w:t>
      </w:r>
      <w:r>
        <w:rPr>
          <w:spacing w:val="41"/>
          <w:vertAlign w:val="baseline"/>
        </w:rPr>
        <w:t> </w:t>
      </w:r>
      <w:r>
        <w:rPr>
          <w:spacing w:val="-7"/>
          <w:vertAlign w:val="baseline"/>
        </w:rPr>
        <w:t>an</w:t>
      </w:r>
    </w:p>
    <w:p>
      <w:pPr>
        <w:pStyle w:val="BodyText"/>
        <w:spacing w:after="0" w:line="249" w:lineRule="auto"/>
        <w:sectPr>
          <w:pgSz w:w="12240" w:h="15840"/>
          <w:pgMar w:top="1380" w:bottom="280" w:left="1440" w:right="1440"/>
        </w:sectPr>
      </w:pPr>
    </w:p>
    <w:p>
      <w:pPr>
        <w:pStyle w:val="BodyText"/>
        <w:spacing w:line="249" w:lineRule="auto"/>
        <w:ind w:right="99"/>
      </w:pPr>
      <w:r>
        <w:rPr/>
        <w:t>androgenic effect, again without impairing the ability of plasma to </w:t>
      </w:r>
      <w:r>
        <w:rPr/>
        <w:t>maintain cholesterol efflux.</w:t>
      </w:r>
    </w:p>
    <w:p>
      <w:pPr>
        <w:pStyle w:val="BodyText"/>
        <w:spacing w:line="249" w:lineRule="auto" w:before="2"/>
        <w:ind w:right="99" w:firstLine="450"/>
      </w:pPr>
      <w:r>
        <w:rPr/>
        <w:t>Results in the monkey model are consistent with an overall neutral impact on the cardiovascular system.</w:t>
      </w:r>
      <w:r>
        <w:rPr>
          <w:vertAlign w:val="superscript"/>
        </w:rPr>
        <w:t>277</w:t>
      </w:r>
      <w:r>
        <w:rPr>
          <w:vertAlign w:val="baseline"/>
        </w:rPr>
        <w:t> A long-term (average of 7.5 years) follow-up of women treated with tibolone found no increase in carotid artery intimal-media thickness (cIMT) nor the number of atherosclerotic plaques, results that are consistent with the monkey model.</w:t>
      </w:r>
      <w:r>
        <w:rPr>
          <w:vertAlign w:val="superscript"/>
        </w:rPr>
        <w:t>299</w:t>
      </w:r>
      <w:r>
        <w:rPr>
          <w:vertAlign w:val="baseline"/>
        </w:rPr>
        <w:t> This </w:t>
      </w:r>
      <w:r>
        <w:rPr>
          <w:vertAlign w:val="baseline"/>
        </w:rPr>
        <w:t>neutral impact is further supported by failing to find any effect of tibolone on experimentally induced brachial artery dilation or on vascular resistance measured in the carotid and middle cerebral arteries.</w:t>
      </w:r>
      <w:r>
        <w:rPr>
          <w:vertAlign w:val="superscript"/>
        </w:rPr>
        <w:t>295,300</w:t>
      </w:r>
      <w:r>
        <w:rPr>
          <w:vertAlign w:val="baseline"/>
        </w:rPr>
        <w:t> On the other hand, a method studying venous dilation in the hand found an improvement in endothelium-dependent responses after tibolone treatment.</w:t>
      </w:r>
      <w:r>
        <w:rPr>
          <w:vertAlign w:val="superscript"/>
        </w:rPr>
        <w:t>301</w:t>
      </w:r>
      <w:r>
        <w:rPr>
          <w:vertAlign w:val="baseline"/>
        </w:rPr>
        <w:t> Myocardial infarction and heart failure have been reported to be associated with overactivity of the sympathetic component of the cardiac autonomic nervous system, and tibolone treatment decreases plasma levels of free fatty acids, an effect that results in an improved ratio of cardiac sympathetic tone to</w:t>
      </w:r>
      <w:r>
        <w:rPr>
          <w:spacing w:val="-1"/>
          <w:vertAlign w:val="baseline"/>
        </w:rPr>
        <w:t> </w:t>
      </w:r>
      <w:r>
        <w:rPr>
          <w:vertAlign w:val="baseline"/>
        </w:rPr>
        <w:t>parasympathetic</w:t>
      </w:r>
      <w:r>
        <w:rPr>
          <w:spacing w:val="-1"/>
          <w:vertAlign w:val="baseline"/>
        </w:rPr>
        <w:t> </w:t>
      </w:r>
      <w:r>
        <w:rPr>
          <w:vertAlign w:val="baseline"/>
        </w:rPr>
        <w:t>tone,</w:t>
      </w:r>
      <w:r>
        <w:rPr>
          <w:spacing w:val="-1"/>
          <w:vertAlign w:val="baseline"/>
        </w:rPr>
        <w:t> </w:t>
      </w:r>
      <w:r>
        <w:rPr>
          <w:vertAlign w:val="baseline"/>
        </w:rPr>
        <w:t>and</w:t>
      </w:r>
      <w:r>
        <w:rPr>
          <w:spacing w:val="-1"/>
          <w:vertAlign w:val="baseline"/>
        </w:rPr>
        <w:t> </w:t>
      </w:r>
      <w:r>
        <w:rPr>
          <w:vertAlign w:val="baseline"/>
        </w:rPr>
        <w:t>a</w:t>
      </w:r>
      <w:r>
        <w:rPr>
          <w:spacing w:val="-1"/>
          <w:vertAlign w:val="baseline"/>
        </w:rPr>
        <w:t> </w:t>
      </w:r>
      <w:r>
        <w:rPr>
          <w:vertAlign w:val="baseline"/>
        </w:rPr>
        <w:t>theoretical</w:t>
      </w:r>
      <w:r>
        <w:rPr>
          <w:spacing w:val="-1"/>
          <w:vertAlign w:val="baseline"/>
        </w:rPr>
        <w:t> </w:t>
      </w:r>
      <w:r>
        <w:rPr>
          <w:vertAlign w:val="baseline"/>
        </w:rPr>
        <w:t>lowering</w:t>
      </w:r>
      <w:r>
        <w:rPr>
          <w:spacing w:val="-1"/>
          <w:vertAlign w:val="baseline"/>
        </w:rPr>
        <w:t> </w:t>
      </w:r>
      <w:r>
        <w:rPr>
          <w:vertAlign w:val="baseline"/>
        </w:rPr>
        <w:t>of</w:t>
      </w:r>
      <w:r>
        <w:rPr>
          <w:spacing w:val="-1"/>
          <w:vertAlign w:val="baseline"/>
        </w:rPr>
        <w:t> </w:t>
      </w:r>
      <w:r>
        <w:rPr>
          <w:vertAlign w:val="baseline"/>
        </w:rPr>
        <w:t>myocardial</w:t>
      </w:r>
      <w:r>
        <w:rPr>
          <w:spacing w:val="-1"/>
          <w:vertAlign w:val="baseline"/>
        </w:rPr>
        <w:t> </w:t>
      </w:r>
      <w:r>
        <w:rPr>
          <w:vertAlign w:val="baseline"/>
        </w:rPr>
        <w:t>infarction and heart failure risk.</w:t>
      </w:r>
      <w:r>
        <w:rPr>
          <w:vertAlign w:val="superscript"/>
        </w:rPr>
        <w:t>302</w:t>
      </w:r>
      <w:r>
        <w:rPr>
          <w:vertAlign w:val="baseline"/>
        </w:rPr>
        <w:t> Another favorable effect connected to tibolone and its metabolites is a direct impact on endothelial cells that results in a beneficial decrease in endothelial-leukocyte adhesion molecules, another human finding similar to that in the monkey trial.</w:t>
      </w:r>
      <w:r>
        <w:rPr>
          <w:vertAlign w:val="superscript"/>
        </w:rPr>
        <w:t>303</w:t>
      </w:r>
    </w:p>
    <w:p>
      <w:pPr>
        <w:pStyle w:val="BodyText"/>
        <w:spacing w:line="249" w:lineRule="auto" w:before="23"/>
        <w:ind w:right="100" w:firstLine="450"/>
      </w:pPr>
      <w:r>
        <w:rPr/>
        <w:t>The OPAL (Osteoporosis Prevention and Arterial effects of tibolone) study was a 3-year, randomized, double-blind trial in six US centers </w:t>
      </w:r>
      <w:r>
        <w:rPr/>
        <w:t>and five European centers, treating 866 postmenopausal women with either daily 2.5-mg tibolone, 0.625/2.5 mg daily of conjugated estrogens/MPA, or placebo.</w:t>
      </w:r>
      <w:r>
        <w:rPr>
          <w:vertAlign w:val="superscript"/>
        </w:rPr>
        <w:t>304</w:t>
      </w:r>
      <w:r>
        <w:rPr>
          <w:vertAlign w:val="baseline"/>
        </w:rPr>
        <w:t> The arterial end point of the study was cIMT measured by ultrasonography every 6 months. Both the tibolone-treated group and the estrogen/progestin-treated group demonstrated an increase in intima-media thickness at a rate significantly greater than the placebo group, leading to the</w:t>
      </w:r>
      <w:r>
        <w:rPr>
          <w:spacing w:val="-4"/>
          <w:vertAlign w:val="baseline"/>
        </w:rPr>
        <w:t> </w:t>
      </w:r>
      <w:r>
        <w:rPr>
          <w:vertAlign w:val="baseline"/>
        </w:rPr>
        <w:t>conclusion</w:t>
      </w:r>
      <w:r>
        <w:rPr>
          <w:spacing w:val="-4"/>
          <w:vertAlign w:val="baseline"/>
        </w:rPr>
        <w:t> </w:t>
      </w:r>
      <w:r>
        <w:rPr>
          <w:vertAlign w:val="baseline"/>
        </w:rPr>
        <w:t>that</w:t>
      </w:r>
      <w:r>
        <w:rPr>
          <w:spacing w:val="-4"/>
          <w:vertAlign w:val="baseline"/>
        </w:rPr>
        <w:t> </w:t>
      </w:r>
      <w:r>
        <w:rPr>
          <w:vertAlign w:val="baseline"/>
        </w:rPr>
        <w:t>both</w:t>
      </w:r>
      <w:r>
        <w:rPr>
          <w:spacing w:val="-4"/>
          <w:vertAlign w:val="baseline"/>
        </w:rPr>
        <w:t> </w:t>
      </w:r>
      <w:r>
        <w:rPr>
          <w:vertAlign w:val="baseline"/>
        </w:rPr>
        <w:t>tibolone</w:t>
      </w:r>
      <w:r>
        <w:rPr>
          <w:spacing w:val="-4"/>
          <w:vertAlign w:val="baseline"/>
        </w:rPr>
        <w:t> </w:t>
      </w:r>
      <w:r>
        <w:rPr>
          <w:vertAlign w:val="baseline"/>
        </w:rPr>
        <w:t>and</w:t>
      </w:r>
      <w:r>
        <w:rPr>
          <w:spacing w:val="-4"/>
          <w:vertAlign w:val="baseline"/>
        </w:rPr>
        <w:t> </w:t>
      </w:r>
      <w:r>
        <w:rPr>
          <w:vertAlign w:val="baseline"/>
        </w:rPr>
        <w:t>estrogen/progestin</w:t>
      </w:r>
      <w:r>
        <w:rPr>
          <w:spacing w:val="-4"/>
          <w:vertAlign w:val="baseline"/>
        </w:rPr>
        <w:t> </w:t>
      </w:r>
      <w:r>
        <w:rPr>
          <w:vertAlign w:val="baseline"/>
        </w:rPr>
        <w:t>treatment</w:t>
      </w:r>
      <w:r>
        <w:rPr>
          <w:spacing w:val="-4"/>
          <w:vertAlign w:val="baseline"/>
        </w:rPr>
        <w:t> </w:t>
      </w:r>
      <w:r>
        <w:rPr>
          <w:vertAlign w:val="baseline"/>
        </w:rPr>
        <w:t>increased atherosclerosis compared with the placebo group.</w:t>
      </w:r>
    </w:p>
    <w:p>
      <w:pPr>
        <w:pStyle w:val="BodyText"/>
        <w:spacing w:line="249" w:lineRule="auto" w:before="13"/>
        <w:ind w:right="98" w:firstLine="450"/>
      </w:pPr>
      <w:r>
        <w:rPr/>
        <w:t>In the OPAL trial, European women differed from American women in multiple ways: higher lipids, higher blood pressure levels, and more smokers. Hysterectomized women were excluded in the United States, but not in Europe (28% of the study population). The overall mean results indicated</w:t>
      </w:r>
      <w:r>
        <w:rPr>
          <w:spacing w:val="29"/>
        </w:rPr>
        <w:t>  </w:t>
      </w:r>
      <w:r>
        <w:rPr/>
        <w:t>a</w:t>
      </w:r>
      <w:r>
        <w:rPr>
          <w:spacing w:val="31"/>
        </w:rPr>
        <w:t>  </w:t>
      </w:r>
      <w:r>
        <w:rPr/>
        <w:t>difference</w:t>
      </w:r>
      <w:r>
        <w:rPr>
          <w:spacing w:val="31"/>
        </w:rPr>
        <w:t>  </w:t>
      </w:r>
      <w:r>
        <w:rPr/>
        <w:t>comparing</w:t>
      </w:r>
      <w:r>
        <w:rPr>
          <w:spacing w:val="31"/>
        </w:rPr>
        <w:t>  </w:t>
      </w:r>
      <w:r>
        <w:rPr/>
        <w:t>both</w:t>
      </w:r>
      <w:r>
        <w:rPr>
          <w:spacing w:val="31"/>
        </w:rPr>
        <w:t>  </w:t>
      </w:r>
      <w:r>
        <w:rPr/>
        <w:t>treatment</w:t>
      </w:r>
      <w:r>
        <w:rPr>
          <w:spacing w:val="31"/>
        </w:rPr>
        <w:t>  </w:t>
      </w:r>
      <w:r>
        <w:rPr/>
        <w:t>groups</w:t>
      </w:r>
      <w:r>
        <w:rPr>
          <w:spacing w:val="31"/>
        </w:rPr>
        <w:t>  </w:t>
      </w:r>
      <w:r>
        <w:rPr/>
        <w:t>to</w:t>
      </w:r>
      <w:r>
        <w:rPr>
          <w:spacing w:val="32"/>
        </w:rPr>
        <w:t>  </w:t>
      </w:r>
      <w:r>
        <w:rPr>
          <w:spacing w:val="-2"/>
        </w:rPr>
        <w:t>placebo.</w:t>
      </w:r>
    </w:p>
    <w:p>
      <w:pPr>
        <w:pStyle w:val="BodyText"/>
        <w:spacing w:after="0" w:line="249" w:lineRule="auto"/>
        <w:sectPr>
          <w:pgSz w:w="12240" w:h="15840"/>
          <w:pgMar w:top="1380" w:bottom="280" w:left="1440" w:right="1440"/>
        </w:sectPr>
      </w:pPr>
    </w:p>
    <w:p>
      <w:pPr>
        <w:pStyle w:val="BodyText"/>
        <w:spacing w:line="249" w:lineRule="auto"/>
        <w:ind w:right="98"/>
      </w:pPr>
      <w:r>
        <w:rPr/>
        <w:t>However, the European women had improvement in atherosclerosis in </w:t>
      </w:r>
      <w:r>
        <w:rPr/>
        <w:t>the placebo</w:t>
      </w:r>
      <w:r>
        <w:rPr>
          <w:spacing w:val="-4"/>
        </w:rPr>
        <w:t> </w:t>
      </w:r>
      <w:r>
        <w:rPr/>
        <w:t>group,</w:t>
      </w:r>
      <w:r>
        <w:rPr>
          <w:spacing w:val="-4"/>
        </w:rPr>
        <w:t> </w:t>
      </w:r>
      <w:r>
        <w:rPr/>
        <w:t>making</w:t>
      </w:r>
      <w:r>
        <w:rPr>
          <w:spacing w:val="-4"/>
        </w:rPr>
        <w:t> </w:t>
      </w:r>
      <w:r>
        <w:rPr/>
        <w:t>it</w:t>
      </w:r>
      <w:r>
        <w:rPr>
          <w:spacing w:val="-4"/>
        </w:rPr>
        <w:t> </w:t>
      </w:r>
      <w:r>
        <w:rPr/>
        <w:t>easy</w:t>
      </w:r>
      <w:r>
        <w:rPr>
          <w:spacing w:val="-4"/>
        </w:rPr>
        <w:t> </w:t>
      </w:r>
      <w:r>
        <w:rPr/>
        <w:t>to</w:t>
      </w:r>
      <w:r>
        <w:rPr>
          <w:spacing w:val="-4"/>
        </w:rPr>
        <w:t> </w:t>
      </w:r>
      <w:r>
        <w:rPr/>
        <w:t>calculate</w:t>
      </w:r>
      <w:r>
        <w:rPr>
          <w:spacing w:val="-4"/>
        </w:rPr>
        <w:t> </w:t>
      </w:r>
      <w:r>
        <w:rPr/>
        <w:t>a</w:t>
      </w:r>
      <w:r>
        <w:rPr>
          <w:spacing w:val="-4"/>
        </w:rPr>
        <w:t> </w:t>
      </w:r>
      <w:r>
        <w:rPr/>
        <w:t>significant</w:t>
      </w:r>
      <w:r>
        <w:rPr>
          <w:spacing w:val="-4"/>
        </w:rPr>
        <w:t> </w:t>
      </w:r>
      <w:r>
        <w:rPr/>
        <w:t>difference</w:t>
      </w:r>
      <w:r>
        <w:rPr>
          <w:spacing w:val="-4"/>
        </w:rPr>
        <w:t> </w:t>
      </w:r>
      <w:r>
        <w:rPr/>
        <w:t>compared to the treated groups. In American women, there were no differences comparing the three treatment groups; all demonstrated progression of thickness. Thus, the overall conclusion was inordinately influenced by the results in the European women. The investigators could not explain these differences. Unfortunately, the OPAL trial did not achieve its goal of providing robust data on cardiovascular effects, due to the older age of the women and the notably different results in American and European women. There continues to be good reason to believe that tibolone has a neutral effect</w:t>
      </w:r>
      <w:r>
        <w:rPr>
          <w:spacing w:val="-1"/>
        </w:rPr>
        <w:t> </w:t>
      </w:r>
      <w:r>
        <w:rPr/>
        <w:t>on</w:t>
      </w:r>
      <w:r>
        <w:rPr>
          <w:spacing w:val="-1"/>
        </w:rPr>
        <w:t> </w:t>
      </w:r>
      <w:r>
        <w:rPr/>
        <w:t>the</w:t>
      </w:r>
      <w:r>
        <w:rPr>
          <w:spacing w:val="-1"/>
        </w:rPr>
        <w:t> </w:t>
      </w:r>
      <w:r>
        <w:rPr/>
        <w:t>cardiovascular</w:t>
      </w:r>
      <w:r>
        <w:rPr>
          <w:spacing w:val="-1"/>
        </w:rPr>
        <w:t> </w:t>
      </w:r>
      <w:r>
        <w:rPr/>
        <w:t>system.</w:t>
      </w:r>
      <w:r>
        <w:rPr>
          <w:spacing w:val="-2"/>
        </w:rPr>
        <w:t> </w:t>
      </w:r>
      <w:r>
        <w:rPr/>
        <w:t>In</w:t>
      </w:r>
      <w:r>
        <w:rPr>
          <w:spacing w:val="-1"/>
        </w:rPr>
        <w:t> </w:t>
      </w:r>
      <w:r>
        <w:rPr/>
        <w:t>addition,</w:t>
      </w:r>
      <w:r>
        <w:rPr>
          <w:spacing w:val="-1"/>
        </w:rPr>
        <w:t> </w:t>
      </w:r>
      <w:r>
        <w:rPr/>
        <w:t>tibolone</w:t>
      </w:r>
      <w:r>
        <w:rPr>
          <w:spacing w:val="-1"/>
        </w:rPr>
        <w:t> </w:t>
      </w:r>
      <w:r>
        <w:rPr/>
        <w:t>does</w:t>
      </w:r>
      <w:r>
        <w:rPr>
          <w:spacing w:val="-1"/>
        </w:rPr>
        <w:t> </w:t>
      </w:r>
      <w:r>
        <w:rPr/>
        <w:t>not</w:t>
      </w:r>
      <w:r>
        <w:rPr>
          <w:spacing w:val="-1"/>
        </w:rPr>
        <w:t> </w:t>
      </w:r>
      <w:r>
        <w:rPr/>
        <w:t>adversely affect the blood pressure in women with established hypertension.</w:t>
      </w:r>
      <w:r>
        <w:rPr>
          <w:vertAlign w:val="superscript"/>
        </w:rPr>
        <w:t>284</w:t>
      </w:r>
    </w:p>
    <w:p>
      <w:pPr>
        <w:pStyle w:val="BodyText"/>
        <w:spacing w:line="249" w:lineRule="auto" w:before="14"/>
        <w:ind w:right="101" w:firstLine="450"/>
      </w:pPr>
      <w:r>
        <w:rPr/>
        <w:t>A case-control study assessed the risk of VTE in a very large</w:t>
      </w:r>
      <w:r>
        <w:rPr>
          <w:spacing w:val="80"/>
        </w:rPr>
        <w:t> </w:t>
      </w:r>
      <w:r>
        <w:rPr/>
        <w:t>population of postmenopausal women (23,505 cases and 231,562 controls) derived from the UK General Practice Research Database.</w:t>
      </w:r>
      <w:r>
        <w:rPr>
          <w:vertAlign w:val="superscript"/>
        </w:rPr>
        <w:t>305</w:t>
      </w:r>
      <w:r>
        <w:rPr>
          <w:vertAlign w:val="baseline"/>
        </w:rPr>
        <w:t> No increase </w:t>
      </w:r>
      <w:r>
        <w:rPr>
          <w:vertAlign w:val="baseline"/>
        </w:rPr>
        <w:t>in risk was observed with the current use of either tibolone or transdermal estrogen compared with a significant increase associated with the current use of oral estrogen.</w:t>
      </w:r>
    </w:p>
    <w:p>
      <w:pPr>
        <w:pStyle w:val="BodyText"/>
        <w:spacing w:before="51"/>
        <w:ind w:left="0"/>
        <w:jc w:val="left"/>
      </w:pPr>
    </w:p>
    <w:p>
      <w:pPr>
        <w:spacing w:before="1"/>
        <w:ind w:left="99" w:right="0" w:firstLine="0"/>
        <w:jc w:val="both"/>
        <w:rPr>
          <w:rFonts w:ascii="Arial"/>
          <w:b/>
          <w:sz w:val="30"/>
        </w:rPr>
      </w:pPr>
      <w:r>
        <w:rPr>
          <w:rFonts w:ascii="Arial"/>
          <w:b/>
          <w:color w:val="2674AE"/>
          <w:sz w:val="30"/>
        </w:rPr>
        <w:t>Effect</w:t>
      </w:r>
      <w:r>
        <w:rPr>
          <w:rFonts w:ascii="Arial"/>
          <w:b/>
          <w:color w:val="2674AE"/>
          <w:spacing w:val="-2"/>
          <w:sz w:val="30"/>
        </w:rPr>
        <w:t> </w:t>
      </w:r>
      <w:r>
        <w:rPr>
          <w:rFonts w:ascii="Arial"/>
          <w:b/>
          <w:color w:val="2674AE"/>
          <w:sz w:val="30"/>
        </w:rPr>
        <w:t>of</w:t>
      </w:r>
      <w:r>
        <w:rPr>
          <w:rFonts w:ascii="Arial"/>
          <w:b/>
          <w:color w:val="2674AE"/>
          <w:spacing w:val="-1"/>
          <w:sz w:val="30"/>
        </w:rPr>
        <w:t> </w:t>
      </w:r>
      <w:r>
        <w:rPr>
          <w:rFonts w:ascii="Arial"/>
          <w:b/>
          <w:color w:val="2674AE"/>
          <w:sz w:val="30"/>
        </w:rPr>
        <w:t>Tibolone</w:t>
      </w:r>
      <w:r>
        <w:rPr>
          <w:rFonts w:ascii="Arial"/>
          <w:b/>
          <w:color w:val="2674AE"/>
          <w:spacing w:val="-2"/>
          <w:sz w:val="30"/>
        </w:rPr>
        <w:t> </w:t>
      </w:r>
      <w:r>
        <w:rPr>
          <w:rFonts w:ascii="Arial"/>
          <w:b/>
          <w:color w:val="2674AE"/>
          <w:sz w:val="30"/>
        </w:rPr>
        <w:t>on</w:t>
      </w:r>
      <w:r>
        <w:rPr>
          <w:rFonts w:ascii="Arial"/>
          <w:b/>
          <w:color w:val="2674AE"/>
          <w:spacing w:val="-1"/>
          <w:sz w:val="30"/>
        </w:rPr>
        <w:t> </w:t>
      </w:r>
      <w:r>
        <w:rPr>
          <w:rFonts w:ascii="Arial"/>
          <w:b/>
          <w:color w:val="2674AE"/>
          <w:spacing w:val="-2"/>
          <w:sz w:val="30"/>
        </w:rPr>
        <w:t>Diabetes</w:t>
      </w:r>
    </w:p>
    <w:p>
      <w:pPr>
        <w:pStyle w:val="BodyText"/>
        <w:spacing w:line="249" w:lineRule="auto" w:before="166"/>
        <w:ind w:right="98"/>
      </w:pPr>
      <w:r>
        <w:rPr/>
        <w:t>The administration of tibolone, 2.5 mg/d, to older women with type </w:t>
      </w:r>
      <w:r>
        <w:rPr/>
        <w:t>2 diabetes mellitus produced no significant changes in the lipid profile.</w:t>
      </w:r>
      <w:r>
        <w:rPr>
          <w:vertAlign w:val="superscript"/>
        </w:rPr>
        <w:t>306</w:t>
      </w:r>
      <w:r>
        <w:rPr>
          <w:vertAlign w:val="baseline"/>
        </w:rPr>
        <w:t> Tibolone treatment is associated with an increase in insulin sensitivity in women with insulin resistance, although some have reported no effect in normal women.</w:t>
      </w:r>
      <w:r>
        <w:rPr>
          <w:vertAlign w:val="superscript"/>
        </w:rPr>
        <w:t>283,291,307,308</w:t>
      </w:r>
      <w:r>
        <w:rPr>
          <w:vertAlign w:val="baseline"/>
        </w:rPr>
        <w:t> Therefore, tibolone is an attractive option for postmenopausal women with diabetes mellitus.</w:t>
      </w:r>
    </w:p>
    <w:p>
      <w:pPr>
        <w:pStyle w:val="BodyText"/>
        <w:spacing w:before="51"/>
        <w:ind w:left="0"/>
        <w:jc w:val="left"/>
      </w:pPr>
    </w:p>
    <w:p>
      <w:pPr>
        <w:spacing w:before="0"/>
        <w:ind w:left="99" w:right="0" w:firstLine="0"/>
        <w:jc w:val="both"/>
        <w:rPr>
          <w:rFonts w:ascii="Arial"/>
          <w:b/>
          <w:sz w:val="30"/>
        </w:rPr>
      </w:pPr>
      <w:r>
        <w:rPr>
          <w:rFonts w:ascii="Arial"/>
          <w:b/>
          <w:color w:val="2674AE"/>
          <w:sz w:val="30"/>
        </w:rPr>
        <w:t>Effect</w:t>
      </w:r>
      <w:r>
        <w:rPr>
          <w:rFonts w:ascii="Arial"/>
          <w:b/>
          <w:color w:val="2674AE"/>
          <w:spacing w:val="-2"/>
          <w:sz w:val="30"/>
        </w:rPr>
        <w:t> </w:t>
      </w:r>
      <w:r>
        <w:rPr>
          <w:rFonts w:ascii="Arial"/>
          <w:b/>
          <w:color w:val="2674AE"/>
          <w:sz w:val="30"/>
        </w:rPr>
        <w:t>of</w:t>
      </w:r>
      <w:r>
        <w:rPr>
          <w:rFonts w:ascii="Arial"/>
          <w:b/>
          <w:color w:val="2674AE"/>
          <w:spacing w:val="-1"/>
          <w:sz w:val="30"/>
        </w:rPr>
        <w:t> </w:t>
      </w:r>
      <w:r>
        <w:rPr>
          <w:rFonts w:ascii="Arial"/>
          <w:b/>
          <w:color w:val="2674AE"/>
          <w:sz w:val="30"/>
        </w:rPr>
        <w:t>Tibolone</w:t>
      </w:r>
      <w:r>
        <w:rPr>
          <w:rFonts w:ascii="Arial"/>
          <w:b/>
          <w:color w:val="2674AE"/>
          <w:spacing w:val="-1"/>
          <w:sz w:val="30"/>
        </w:rPr>
        <w:t> </w:t>
      </w:r>
      <w:r>
        <w:rPr>
          <w:rFonts w:ascii="Arial"/>
          <w:b/>
          <w:color w:val="2674AE"/>
          <w:sz w:val="30"/>
        </w:rPr>
        <w:t>on</w:t>
      </w:r>
      <w:r>
        <w:rPr>
          <w:rFonts w:ascii="Arial"/>
          <w:b/>
          <w:color w:val="2674AE"/>
          <w:spacing w:val="-1"/>
          <w:sz w:val="30"/>
        </w:rPr>
        <w:t> </w:t>
      </w:r>
      <w:r>
        <w:rPr>
          <w:rFonts w:ascii="Arial"/>
          <w:b/>
          <w:color w:val="2674AE"/>
          <w:sz w:val="30"/>
        </w:rPr>
        <w:t>the</w:t>
      </w:r>
      <w:r>
        <w:rPr>
          <w:rFonts w:ascii="Arial"/>
          <w:b/>
          <w:color w:val="2674AE"/>
          <w:spacing w:val="-1"/>
          <w:sz w:val="30"/>
        </w:rPr>
        <w:t> </w:t>
      </w:r>
      <w:r>
        <w:rPr>
          <w:rFonts w:ascii="Arial"/>
          <w:b/>
          <w:color w:val="2674AE"/>
          <w:spacing w:val="-2"/>
          <w:sz w:val="30"/>
        </w:rPr>
        <w:t>Uterus</w:t>
      </w:r>
    </w:p>
    <w:p>
      <w:pPr>
        <w:pStyle w:val="BodyText"/>
        <w:spacing w:line="249" w:lineRule="auto" w:before="166"/>
        <w:ind w:right="101"/>
      </w:pPr>
      <w:r>
        <w:rPr/>
        <w:t>Tibolone does not stimulate endometrial proliferation. This is because </w:t>
      </w:r>
      <w:r>
        <w:rPr/>
        <w:t>the predominant if not exclusive tibolone metabolite produced within the endometrium is the Δ-4 isomer, which binds to the PR and protects the endometrium</w:t>
      </w:r>
      <w:r>
        <w:rPr>
          <w:spacing w:val="15"/>
        </w:rPr>
        <w:t> </w:t>
      </w:r>
      <w:r>
        <w:rPr/>
        <w:t>from</w:t>
      </w:r>
      <w:r>
        <w:rPr>
          <w:spacing w:val="17"/>
        </w:rPr>
        <w:t> </w:t>
      </w:r>
      <w:r>
        <w:rPr/>
        <w:t>the</w:t>
      </w:r>
      <w:r>
        <w:rPr>
          <w:spacing w:val="18"/>
        </w:rPr>
        <w:t> </w:t>
      </w:r>
      <w:r>
        <w:rPr/>
        <w:t>agonist</w:t>
      </w:r>
      <w:r>
        <w:rPr>
          <w:spacing w:val="17"/>
        </w:rPr>
        <w:t> </w:t>
      </w:r>
      <w:r>
        <w:rPr/>
        <w:t>effects</w:t>
      </w:r>
      <w:r>
        <w:rPr>
          <w:spacing w:val="17"/>
        </w:rPr>
        <w:t> </w:t>
      </w:r>
      <w:r>
        <w:rPr/>
        <w:t>of</w:t>
      </w:r>
      <w:r>
        <w:rPr>
          <w:spacing w:val="18"/>
        </w:rPr>
        <w:t> </w:t>
      </w:r>
      <w:r>
        <w:rPr/>
        <w:t>the</w:t>
      </w:r>
      <w:r>
        <w:rPr>
          <w:spacing w:val="17"/>
        </w:rPr>
        <w:t> </w:t>
      </w:r>
      <w:r>
        <w:rPr/>
        <w:t>two</w:t>
      </w:r>
      <w:r>
        <w:rPr>
          <w:spacing w:val="17"/>
        </w:rPr>
        <w:t> </w:t>
      </w:r>
      <w:r>
        <w:rPr/>
        <w:t>estrogenic</w:t>
      </w:r>
      <w:r>
        <w:rPr>
          <w:spacing w:val="18"/>
        </w:rPr>
        <w:t> </w:t>
      </w:r>
      <w:r>
        <w:rPr>
          <w:spacing w:val="-2"/>
        </w:rPr>
        <w:t>metabolites.</w:t>
      </w:r>
      <w:r>
        <w:rPr>
          <w:spacing w:val="-2"/>
          <w:vertAlign w:val="superscript"/>
        </w:rPr>
        <w:t>250-</w:t>
      </w:r>
    </w:p>
    <w:p>
      <w:pPr>
        <w:pStyle w:val="BodyText"/>
        <w:spacing w:line="249" w:lineRule="auto" w:before="5"/>
        <w:ind w:right="104"/>
      </w:pPr>
      <w:r>
        <w:rPr>
          <w:vertAlign w:val="superscript"/>
        </w:rPr>
        <w:t>253</w:t>
      </w:r>
      <w:r>
        <w:rPr>
          <w:vertAlign w:val="baseline"/>
        </w:rPr>
        <w:t> This protective effect has been documented in long-term (up to 8 years) human</w:t>
      </w:r>
      <w:r>
        <w:rPr>
          <w:spacing w:val="-19"/>
          <w:vertAlign w:val="baseline"/>
        </w:rPr>
        <w:t> </w:t>
      </w:r>
      <w:r>
        <w:rPr>
          <w:vertAlign w:val="baseline"/>
        </w:rPr>
        <w:t>studies.</w:t>
      </w:r>
      <w:r>
        <w:rPr>
          <w:vertAlign w:val="superscript"/>
        </w:rPr>
        <w:t>252,253,256,263,264,309-311</w:t>
      </w:r>
      <w:r>
        <w:rPr>
          <w:spacing w:val="-19"/>
          <w:vertAlign w:val="baseline"/>
        </w:rPr>
        <w:t> </w:t>
      </w:r>
      <w:r>
        <w:rPr>
          <w:vertAlign w:val="baseline"/>
        </w:rPr>
        <w:t>Isolated</w:t>
      </w:r>
      <w:r>
        <w:rPr>
          <w:spacing w:val="-19"/>
          <w:vertAlign w:val="baseline"/>
        </w:rPr>
        <w:t> </w:t>
      </w:r>
      <w:r>
        <w:rPr>
          <w:vertAlign w:val="baseline"/>
        </w:rPr>
        <w:t>cases</w:t>
      </w:r>
      <w:r>
        <w:rPr>
          <w:spacing w:val="-18"/>
          <w:vertAlign w:val="baseline"/>
        </w:rPr>
        <w:t> </w:t>
      </w:r>
      <w:r>
        <w:rPr>
          <w:vertAlign w:val="baseline"/>
        </w:rPr>
        <w:t>of</w:t>
      </w:r>
      <w:r>
        <w:rPr>
          <w:spacing w:val="-19"/>
          <w:vertAlign w:val="baseline"/>
        </w:rPr>
        <w:t> </w:t>
      </w:r>
      <w:r>
        <w:rPr>
          <w:vertAlign w:val="baseline"/>
        </w:rPr>
        <w:t>endometrial</w:t>
      </w:r>
      <w:r>
        <w:rPr>
          <w:spacing w:val="-19"/>
          <w:vertAlign w:val="baseline"/>
        </w:rPr>
        <w:t> </w:t>
      </w:r>
      <w:r>
        <w:rPr>
          <w:vertAlign w:val="baseline"/>
        </w:rPr>
        <w:t>proliferation have</w:t>
      </w:r>
      <w:r>
        <w:rPr>
          <w:spacing w:val="6"/>
          <w:vertAlign w:val="baseline"/>
        </w:rPr>
        <w:t> </w:t>
      </w:r>
      <w:r>
        <w:rPr>
          <w:vertAlign w:val="baseline"/>
        </w:rPr>
        <w:t>been</w:t>
      </w:r>
      <w:r>
        <w:rPr>
          <w:spacing w:val="6"/>
          <w:vertAlign w:val="baseline"/>
        </w:rPr>
        <w:t> </w:t>
      </w:r>
      <w:r>
        <w:rPr>
          <w:vertAlign w:val="baseline"/>
        </w:rPr>
        <w:t>reported,</w:t>
      </w:r>
      <w:r>
        <w:rPr>
          <w:spacing w:val="6"/>
          <w:vertAlign w:val="baseline"/>
        </w:rPr>
        <w:t> </w:t>
      </w:r>
      <w:r>
        <w:rPr>
          <w:vertAlign w:val="baseline"/>
        </w:rPr>
        <w:t>for</w:t>
      </w:r>
      <w:r>
        <w:rPr>
          <w:spacing w:val="6"/>
          <w:vertAlign w:val="baseline"/>
        </w:rPr>
        <w:t> </w:t>
      </w:r>
      <w:r>
        <w:rPr>
          <w:vertAlign w:val="baseline"/>
        </w:rPr>
        <w:t>example,</w:t>
      </w:r>
      <w:r>
        <w:rPr>
          <w:spacing w:val="6"/>
          <w:vertAlign w:val="baseline"/>
        </w:rPr>
        <w:t> </w:t>
      </w:r>
      <w:r>
        <w:rPr>
          <w:vertAlign w:val="baseline"/>
        </w:rPr>
        <w:t>4</w:t>
      </w:r>
      <w:r>
        <w:rPr>
          <w:spacing w:val="6"/>
          <w:vertAlign w:val="baseline"/>
        </w:rPr>
        <w:t> </w:t>
      </w:r>
      <w:r>
        <w:rPr>
          <w:vertAlign w:val="baseline"/>
        </w:rPr>
        <w:t>of</w:t>
      </w:r>
      <w:r>
        <w:rPr>
          <w:spacing w:val="6"/>
          <w:vertAlign w:val="baseline"/>
        </w:rPr>
        <w:t> </w:t>
      </w:r>
      <w:r>
        <w:rPr>
          <w:vertAlign w:val="baseline"/>
        </w:rPr>
        <w:t>150</w:t>
      </w:r>
      <w:r>
        <w:rPr>
          <w:spacing w:val="6"/>
          <w:vertAlign w:val="baseline"/>
        </w:rPr>
        <w:t> </w:t>
      </w:r>
      <w:r>
        <w:rPr>
          <w:vertAlign w:val="baseline"/>
        </w:rPr>
        <w:t>women</w:t>
      </w:r>
      <w:r>
        <w:rPr>
          <w:spacing w:val="6"/>
          <w:vertAlign w:val="baseline"/>
        </w:rPr>
        <w:t> </w:t>
      </w:r>
      <w:r>
        <w:rPr>
          <w:vertAlign w:val="baseline"/>
        </w:rPr>
        <w:t>treated</w:t>
      </w:r>
      <w:r>
        <w:rPr>
          <w:spacing w:val="6"/>
          <w:vertAlign w:val="baseline"/>
        </w:rPr>
        <w:t> </w:t>
      </w:r>
      <w:r>
        <w:rPr>
          <w:vertAlign w:val="baseline"/>
        </w:rPr>
        <w:t>with</w:t>
      </w:r>
      <w:r>
        <w:rPr>
          <w:spacing w:val="6"/>
          <w:vertAlign w:val="baseline"/>
        </w:rPr>
        <w:t> </w:t>
      </w:r>
      <w:r>
        <w:rPr>
          <w:vertAlign w:val="baseline"/>
        </w:rPr>
        <w:t>2.5</w:t>
      </w:r>
      <w:r>
        <w:rPr>
          <w:spacing w:val="6"/>
          <w:vertAlign w:val="baseline"/>
        </w:rPr>
        <w:t> </w:t>
      </w:r>
      <w:r>
        <w:rPr>
          <w:vertAlign w:val="baseline"/>
        </w:rPr>
        <w:t>mg</w:t>
      </w:r>
      <w:r>
        <w:rPr>
          <w:spacing w:val="6"/>
          <w:vertAlign w:val="baseline"/>
        </w:rPr>
        <w:t> </w:t>
      </w:r>
      <w:r>
        <w:rPr>
          <w:spacing w:val="-2"/>
          <w:vertAlign w:val="baseline"/>
        </w:rPr>
        <w:t>daily</w:t>
      </w:r>
    </w:p>
    <w:p>
      <w:pPr>
        <w:pStyle w:val="BodyText"/>
        <w:spacing w:after="0" w:line="249" w:lineRule="auto"/>
        <w:sectPr>
          <w:pgSz w:w="12240" w:h="15840"/>
          <w:pgMar w:top="1380" w:bottom="280" w:left="1440" w:right="1440"/>
        </w:sectPr>
      </w:pPr>
    </w:p>
    <w:p>
      <w:pPr>
        <w:pStyle w:val="BodyText"/>
        <w:spacing w:line="249" w:lineRule="auto"/>
        <w:ind w:right="98"/>
      </w:pPr>
      <w:r>
        <w:rPr/>
        <w:t>for 2 years.</w:t>
      </w:r>
      <w:r>
        <w:rPr>
          <w:vertAlign w:val="superscript"/>
        </w:rPr>
        <w:t>312</w:t>
      </w:r>
      <w:r>
        <w:rPr>
          <w:vertAlign w:val="baseline"/>
        </w:rPr>
        <w:t> In a 5-year follow-up, 47 of 434 women </w:t>
      </w:r>
      <w:r>
        <w:rPr>
          <w:vertAlign w:val="baseline"/>
        </w:rPr>
        <w:t>experienced bleeding, and of these, 11 had endometrial polyps or fibroids, but there</w:t>
      </w:r>
      <w:r>
        <w:rPr>
          <w:spacing w:val="40"/>
          <w:vertAlign w:val="baseline"/>
        </w:rPr>
        <w:t> </w:t>
      </w:r>
      <w:r>
        <w:rPr>
          <w:vertAlign w:val="baseline"/>
        </w:rPr>
        <w:t>were two with simple hyperplasia and two with endometrial carcinoma in situ.</w:t>
      </w:r>
      <w:r>
        <w:rPr>
          <w:vertAlign w:val="superscript"/>
        </w:rPr>
        <w:t>313</w:t>
      </w:r>
      <w:r>
        <w:rPr>
          <w:vertAlign w:val="baseline"/>
        </w:rPr>
        <w:t> This underscores the standard clinical principle to investigate persistent vaginal bleeding in any postmenopausal woman. In the major US clinical trial, three cases of endometrial cancer were observed, but, in each case, preexisting carcinoma was later detected when the initial biopsy samples</w:t>
      </w:r>
      <w:r>
        <w:rPr>
          <w:spacing w:val="-8"/>
          <w:vertAlign w:val="baseline"/>
        </w:rPr>
        <w:t> </w:t>
      </w:r>
      <w:r>
        <w:rPr>
          <w:vertAlign w:val="baseline"/>
        </w:rPr>
        <w:t>were</w:t>
      </w:r>
      <w:r>
        <w:rPr>
          <w:spacing w:val="-8"/>
          <w:vertAlign w:val="baseline"/>
        </w:rPr>
        <w:t> </w:t>
      </w:r>
      <w:r>
        <w:rPr>
          <w:vertAlign w:val="baseline"/>
        </w:rPr>
        <w:t>more</w:t>
      </w:r>
      <w:r>
        <w:rPr>
          <w:spacing w:val="-8"/>
          <w:vertAlign w:val="baseline"/>
        </w:rPr>
        <w:t> </w:t>
      </w:r>
      <w:r>
        <w:rPr>
          <w:vertAlign w:val="baseline"/>
        </w:rPr>
        <w:t>extensively</w:t>
      </w:r>
      <w:r>
        <w:rPr>
          <w:spacing w:val="-8"/>
          <w:vertAlign w:val="baseline"/>
        </w:rPr>
        <w:t> </w:t>
      </w:r>
      <w:r>
        <w:rPr>
          <w:vertAlign w:val="baseline"/>
        </w:rPr>
        <w:t>examined.</w:t>
      </w:r>
      <w:r>
        <w:rPr>
          <w:vertAlign w:val="superscript"/>
        </w:rPr>
        <w:t>286</w:t>
      </w:r>
      <w:r>
        <w:rPr>
          <w:spacing w:val="-6"/>
          <w:vertAlign w:val="baseline"/>
        </w:rPr>
        <w:t> </w:t>
      </w:r>
      <w:r>
        <w:rPr>
          <w:vertAlign w:val="baseline"/>
        </w:rPr>
        <w:t>Nevertheless,</w:t>
      </w:r>
      <w:r>
        <w:rPr>
          <w:spacing w:val="-5"/>
          <w:vertAlign w:val="baseline"/>
        </w:rPr>
        <w:t> </w:t>
      </w:r>
      <w:r>
        <w:rPr>
          <w:vertAlign w:val="baseline"/>
        </w:rPr>
        <w:t>a</w:t>
      </w:r>
      <w:r>
        <w:rPr>
          <w:spacing w:val="-5"/>
          <w:vertAlign w:val="baseline"/>
        </w:rPr>
        <w:t> </w:t>
      </w:r>
      <w:r>
        <w:rPr>
          <w:vertAlign w:val="baseline"/>
        </w:rPr>
        <w:t>second</w:t>
      </w:r>
      <w:r>
        <w:rPr>
          <w:spacing w:val="-5"/>
          <w:vertAlign w:val="baseline"/>
        </w:rPr>
        <w:t> </w:t>
      </w:r>
      <w:r>
        <w:rPr>
          <w:vertAlign w:val="baseline"/>
        </w:rPr>
        <w:t>large</w:t>
      </w:r>
      <w:r>
        <w:rPr>
          <w:spacing w:val="-5"/>
          <w:vertAlign w:val="baseline"/>
        </w:rPr>
        <w:t> </w:t>
      </w:r>
      <w:r>
        <w:rPr>
          <w:vertAlign w:val="baseline"/>
        </w:rPr>
        <w:t>2-year trial was conducted, the THEBES study, and no endometrial hyperplasia or cancer occurred in the tibolone-treated groups.</w:t>
      </w:r>
      <w:r>
        <w:rPr>
          <w:vertAlign w:val="superscript"/>
        </w:rPr>
        <w:t>314</w:t>
      </w:r>
    </w:p>
    <w:p>
      <w:pPr>
        <w:pStyle w:val="BodyText"/>
        <w:spacing w:line="249" w:lineRule="auto" w:before="12"/>
        <w:ind w:right="98" w:firstLine="450"/>
      </w:pPr>
      <w:r>
        <w:rPr/>
        <w:t>The reported breakthrough bleeding rates with tibolone treatment </w:t>
      </w:r>
      <w:r>
        <w:rPr/>
        <w:t>have been comparable to treatment with combined, continuous estrogen-progestin therapy, but well-designed comparison clinical trials indicate that the rate is less with tibolone.</w:t>
      </w:r>
      <w:r>
        <w:rPr>
          <w:vertAlign w:val="superscript"/>
        </w:rPr>
        <w:t>257-260,265,282,309,315,316</w:t>
      </w:r>
      <w:r>
        <w:rPr>
          <w:vertAlign w:val="baseline"/>
        </w:rPr>
        <w:t> In addition, amenorrhea is achieved more rapidly; 90% of tibolone-treated women are amenorrheic by 6 months.</w:t>
      </w:r>
      <w:r>
        <w:rPr>
          <w:vertAlign w:val="superscript"/>
        </w:rPr>
        <w:t>258,313,317</w:t>
      </w:r>
      <w:r>
        <w:rPr>
          <w:vertAlign w:val="baseline"/>
        </w:rPr>
        <w:t> Bleeding is less in older women and can be greater with the 2.5-mg dose compared with the 1.25-mg dose, but the difference is too small to be detected in some studies.</w:t>
      </w:r>
      <w:r>
        <w:rPr>
          <w:vertAlign w:val="superscript"/>
        </w:rPr>
        <w:t>261,286,318</w:t>
      </w:r>
      <w:r>
        <w:rPr>
          <w:vertAlign w:val="baseline"/>
        </w:rPr>
        <w:t> Importantly, a lack of correlation has been observed between bleeding and endometrial thickness measured by ultrasonography.</w:t>
      </w:r>
      <w:r>
        <w:rPr>
          <w:vertAlign w:val="superscript"/>
        </w:rPr>
        <w:t>318,319</w:t>
      </w:r>
      <w:r>
        <w:rPr>
          <w:vertAlign w:val="baseline"/>
        </w:rPr>
        <w:t> </w:t>
      </w:r>
      <w:r>
        <w:rPr>
          <w:b/>
          <w:vertAlign w:val="baseline"/>
        </w:rPr>
        <w:t>This again emphasizes the need to biopsy tibolone-treated women with persistent bleeding</w:t>
      </w:r>
      <w:r>
        <w:rPr>
          <w:vertAlign w:val="baseline"/>
        </w:rPr>
        <w:t>.</w:t>
      </w:r>
    </w:p>
    <w:p>
      <w:pPr>
        <w:pStyle w:val="BodyText"/>
        <w:spacing w:line="249" w:lineRule="auto" w:before="13"/>
        <w:ind w:right="97" w:firstLine="450"/>
      </w:pPr>
      <w:r>
        <w:rPr/>
        <w:t>Careful evaluations of women with fibroids who have been treated </w:t>
      </w:r>
      <w:r>
        <w:rPr/>
        <w:t>with tibolone have revealed no evidence of myoma growth, with up to 3 years of follow-up.</w:t>
      </w:r>
      <w:r>
        <w:rPr>
          <w:vertAlign w:val="superscript"/>
        </w:rPr>
        <w:t>320-322</w:t>
      </w:r>
      <w:r>
        <w:rPr>
          <w:vertAlign w:val="baseline"/>
        </w:rPr>
        <w:t> Furthermore, add-back treatment with tibolone effectively prevents flushing and bone loss and does not impair the fibroid response to therapy with GnRH analogues.</w:t>
      </w:r>
      <w:r>
        <w:rPr>
          <w:vertAlign w:val="superscript"/>
        </w:rPr>
        <w:t>323</w:t>
      </w:r>
    </w:p>
    <w:p>
      <w:pPr>
        <w:pStyle w:val="BodyText"/>
        <w:spacing w:before="50"/>
        <w:ind w:left="0"/>
        <w:jc w:val="left"/>
      </w:pPr>
    </w:p>
    <w:p>
      <w:pPr>
        <w:spacing w:before="0"/>
        <w:ind w:left="99" w:right="0" w:firstLine="0"/>
        <w:jc w:val="both"/>
        <w:rPr>
          <w:rFonts w:ascii="Arial"/>
          <w:b/>
          <w:sz w:val="30"/>
        </w:rPr>
      </w:pPr>
      <w:r>
        <w:rPr>
          <w:rFonts w:ascii="Arial"/>
          <w:b/>
          <w:color w:val="2674AE"/>
          <w:sz w:val="30"/>
        </w:rPr>
        <w:t>Effect</w:t>
      </w:r>
      <w:r>
        <w:rPr>
          <w:rFonts w:ascii="Arial"/>
          <w:b/>
          <w:color w:val="2674AE"/>
          <w:spacing w:val="-2"/>
          <w:sz w:val="30"/>
        </w:rPr>
        <w:t> </w:t>
      </w:r>
      <w:r>
        <w:rPr>
          <w:rFonts w:ascii="Arial"/>
          <w:b/>
          <w:color w:val="2674AE"/>
          <w:sz w:val="30"/>
        </w:rPr>
        <w:t>of</w:t>
      </w:r>
      <w:r>
        <w:rPr>
          <w:rFonts w:ascii="Arial"/>
          <w:b/>
          <w:color w:val="2674AE"/>
          <w:spacing w:val="-1"/>
          <w:sz w:val="30"/>
        </w:rPr>
        <w:t> </w:t>
      </w:r>
      <w:r>
        <w:rPr>
          <w:rFonts w:ascii="Arial"/>
          <w:b/>
          <w:color w:val="2674AE"/>
          <w:sz w:val="30"/>
        </w:rPr>
        <w:t>Tibolone</w:t>
      </w:r>
      <w:r>
        <w:rPr>
          <w:rFonts w:ascii="Arial"/>
          <w:b/>
          <w:color w:val="2674AE"/>
          <w:spacing w:val="-1"/>
          <w:sz w:val="30"/>
        </w:rPr>
        <w:t> </w:t>
      </w:r>
      <w:r>
        <w:rPr>
          <w:rFonts w:ascii="Arial"/>
          <w:b/>
          <w:color w:val="2674AE"/>
          <w:sz w:val="30"/>
        </w:rPr>
        <w:t>on</w:t>
      </w:r>
      <w:r>
        <w:rPr>
          <w:rFonts w:ascii="Arial"/>
          <w:b/>
          <w:color w:val="2674AE"/>
          <w:spacing w:val="-1"/>
          <w:sz w:val="30"/>
        </w:rPr>
        <w:t> </w:t>
      </w:r>
      <w:r>
        <w:rPr>
          <w:rFonts w:ascii="Arial"/>
          <w:b/>
          <w:color w:val="2674AE"/>
          <w:sz w:val="30"/>
        </w:rPr>
        <w:t>the</w:t>
      </w:r>
      <w:r>
        <w:rPr>
          <w:rFonts w:ascii="Arial"/>
          <w:b/>
          <w:color w:val="2674AE"/>
          <w:spacing w:val="-1"/>
          <w:sz w:val="30"/>
        </w:rPr>
        <w:t> </w:t>
      </w:r>
      <w:r>
        <w:rPr>
          <w:rFonts w:ascii="Arial"/>
          <w:b/>
          <w:color w:val="2674AE"/>
          <w:spacing w:val="-2"/>
          <w:sz w:val="30"/>
        </w:rPr>
        <w:t>Breast</w:t>
      </w:r>
    </w:p>
    <w:p>
      <w:pPr>
        <w:pStyle w:val="BodyText"/>
        <w:spacing w:line="249" w:lineRule="auto" w:before="167"/>
        <w:ind w:right="102"/>
      </w:pPr>
      <w:r>
        <w:rPr/>
        <w:t>The breast tissue, normal and abnormal, contains all the enzymes </w:t>
      </w:r>
      <w:r>
        <w:rPr/>
        <w:t>necessary for the formation of estrogens (sulfatase, aromatase, and 17β-hydroxysteroid dehydrogenase) and the conversion of estrogens into their sulfates (sulfotransferase) (</w:t>
      </w:r>
      <w:r>
        <w:rPr>
          <w:b/>
          <w:color w:val="256E60"/>
        </w:rPr>
        <w:t>Figure 22.3</w:t>
      </w:r>
      <w:r>
        <w:rPr/>
        <w:t>). Estrone sulfate concentrations are high in the breast (higher than in plasma) and even higher in cancer tissue. This state is achieved in postmenopausal women with very low systemic levels of estrogen, indicating that a local mechanism is operative.</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4667250" cy="402907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31" cstate="print"/>
                    <a:stretch>
                      <a:fillRect/>
                    </a:stretch>
                  </pic:blipFill>
                  <pic:spPr>
                    <a:xfrm>
                      <a:off x="0" y="0"/>
                      <a:ext cx="4667250" cy="4029075"/>
                    </a:xfrm>
                    <a:prstGeom prst="rect">
                      <a:avLst/>
                    </a:prstGeom>
                  </pic:spPr>
                </pic:pic>
              </a:graphicData>
            </a:graphic>
          </wp:inline>
        </w:drawing>
      </w:r>
      <w:r>
        <w:rPr>
          <w:sz w:val="20"/>
        </w:rPr>
      </w:r>
    </w:p>
    <w:p>
      <w:pPr>
        <w:pStyle w:val="BodyText"/>
        <w:spacing w:before="46"/>
        <w:ind w:left="0"/>
        <w:jc w:val="left"/>
        <w:rPr>
          <w:sz w:val="20"/>
        </w:rPr>
      </w:pPr>
      <w:r>
        <w:rPr>
          <w:sz w:val="20"/>
        </w:rPr>
        <mc:AlternateContent>
          <mc:Choice Requires="wps">
            <w:drawing>
              <wp:anchor distT="0" distB="0" distL="0" distR="0" allowOverlap="1" layoutInCell="1" locked="0" behindDoc="1" simplePos="0" relativeHeight="487632384">
                <wp:simplePos x="0" y="0"/>
                <wp:positionH relativeFrom="page">
                  <wp:posOffset>981075</wp:posOffset>
                </wp:positionH>
                <wp:positionV relativeFrom="paragraph">
                  <wp:posOffset>190501</wp:posOffset>
                </wp:positionV>
                <wp:extent cx="856615" cy="5715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856615" cy="57150"/>
                        </a:xfrm>
                        <a:custGeom>
                          <a:avLst/>
                          <a:gdLst/>
                          <a:ahLst/>
                          <a:cxnLst/>
                          <a:rect l="l" t="t" r="r" b="b"/>
                          <a:pathLst>
                            <a:path w="856615" h="57150">
                              <a:moveTo>
                                <a:pt x="32364" y="57111"/>
                              </a:moveTo>
                              <a:lnTo>
                                <a:pt x="24785" y="57111"/>
                              </a:lnTo>
                              <a:lnTo>
                                <a:pt x="21140" y="56368"/>
                              </a:lnTo>
                              <a:lnTo>
                                <a:pt x="0" y="32337"/>
                              </a:lnTo>
                              <a:lnTo>
                                <a:pt x="0" y="24745"/>
                              </a:lnTo>
                              <a:lnTo>
                                <a:pt x="725" y="21097"/>
                              </a:lnTo>
                              <a:lnTo>
                                <a:pt x="3625" y="14068"/>
                              </a:lnTo>
                              <a:lnTo>
                                <a:pt x="5689" y="10972"/>
                              </a:lnTo>
                              <a:lnTo>
                                <a:pt x="8369" y="8334"/>
                              </a:lnTo>
                              <a:lnTo>
                                <a:pt x="11048" y="5657"/>
                              </a:lnTo>
                              <a:lnTo>
                                <a:pt x="14138" y="3571"/>
                              </a:lnTo>
                              <a:lnTo>
                                <a:pt x="21140" y="704"/>
                              </a:lnTo>
                              <a:lnTo>
                                <a:pt x="24785" y="0"/>
                              </a:lnTo>
                              <a:lnTo>
                                <a:pt x="32364" y="0"/>
                              </a:lnTo>
                              <a:lnTo>
                                <a:pt x="36009" y="704"/>
                              </a:lnTo>
                              <a:lnTo>
                                <a:pt x="43010" y="3571"/>
                              </a:lnTo>
                              <a:lnTo>
                                <a:pt x="46101" y="5657"/>
                              </a:lnTo>
                              <a:lnTo>
                                <a:pt x="48780" y="8334"/>
                              </a:lnTo>
                              <a:lnTo>
                                <a:pt x="51459" y="10972"/>
                              </a:lnTo>
                              <a:lnTo>
                                <a:pt x="53524" y="14068"/>
                              </a:lnTo>
                              <a:lnTo>
                                <a:pt x="56424" y="21097"/>
                              </a:lnTo>
                              <a:lnTo>
                                <a:pt x="57149" y="24745"/>
                              </a:lnTo>
                              <a:lnTo>
                                <a:pt x="57149" y="32337"/>
                              </a:lnTo>
                              <a:lnTo>
                                <a:pt x="36009" y="56368"/>
                              </a:lnTo>
                              <a:lnTo>
                                <a:pt x="32364" y="57111"/>
                              </a:lnTo>
                              <a:close/>
                            </a:path>
                            <a:path w="856615" h="57150">
                              <a:moveTo>
                                <a:pt x="146569" y="57111"/>
                              </a:moveTo>
                              <a:lnTo>
                                <a:pt x="138990" y="57111"/>
                              </a:lnTo>
                              <a:lnTo>
                                <a:pt x="135345" y="56368"/>
                              </a:lnTo>
                              <a:lnTo>
                                <a:pt x="114204" y="32337"/>
                              </a:lnTo>
                              <a:lnTo>
                                <a:pt x="114204" y="24745"/>
                              </a:lnTo>
                              <a:lnTo>
                                <a:pt x="114929" y="21097"/>
                              </a:lnTo>
                              <a:lnTo>
                                <a:pt x="117829" y="14068"/>
                              </a:lnTo>
                              <a:lnTo>
                                <a:pt x="119894" y="10972"/>
                              </a:lnTo>
                              <a:lnTo>
                                <a:pt x="122574" y="8334"/>
                              </a:lnTo>
                              <a:lnTo>
                                <a:pt x="125253" y="5657"/>
                              </a:lnTo>
                              <a:lnTo>
                                <a:pt x="128343" y="3571"/>
                              </a:lnTo>
                              <a:lnTo>
                                <a:pt x="135345" y="704"/>
                              </a:lnTo>
                              <a:lnTo>
                                <a:pt x="138990" y="0"/>
                              </a:lnTo>
                              <a:lnTo>
                                <a:pt x="146569" y="0"/>
                              </a:lnTo>
                              <a:lnTo>
                                <a:pt x="150214" y="704"/>
                              </a:lnTo>
                              <a:lnTo>
                                <a:pt x="157215" y="3571"/>
                              </a:lnTo>
                              <a:lnTo>
                                <a:pt x="160305" y="5657"/>
                              </a:lnTo>
                              <a:lnTo>
                                <a:pt x="162985" y="8334"/>
                              </a:lnTo>
                              <a:lnTo>
                                <a:pt x="165664" y="10972"/>
                              </a:lnTo>
                              <a:lnTo>
                                <a:pt x="167729" y="14068"/>
                              </a:lnTo>
                              <a:lnTo>
                                <a:pt x="170629" y="21097"/>
                              </a:lnTo>
                              <a:lnTo>
                                <a:pt x="171354" y="24745"/>
                              </a:lnTo>
                              <a:lnTo>
                                <a:pt x="171354" y="32337"/>
                              </a:lnTo>
                              <a:lnTo>
                                <a:pt x="150214" y="56368"/>
                              </a:lnTo>
                              <a:lnTo>
                                <a:pt x="146569" y="57111"/>
                              </a:lnTo>
                              <a:close/>
                            </a:path>
                            <a:path w="856615" h="57150">
                              <a:moveTo>
                                <a:pt x="260773" y="57111"/>
                              </a:moveTo>
                              <a:lnTo>
                                <a:pt x="253195" y="57111"/>
                              </a:lnTo>
                              <a:lnTo>
                                <a:pt x="249550" y="56368"/>
                              </a:lnTo>
                              <a:lnTo>
                                <a:pt x="228409" y="32337"/>
                              </a:lnTo>
                              <a:lnTo>
                                <a:pt x="228409" y="24745"/>
                              </a:lnTo>
                              <a:lnTo>
                                <a:pt x="229134" y="21097"/>
                              </a:lnTo>
                              <a:lnTo>
                                <a:pt x="232034" y="14068"/>
                              </a:lnTo>
                              <a:lnTo>
                                <a:pt x="234099" y="10972"/>
                              </a:lnTo>
                              <a:lnTo>
                                <a:pt x="236778" y="8334"/>
                              </a:lnTo>
                              <a:lnTo>
                                <a:pt x="239458" y="5657"/>
                              </a:lnTo>
                              <a:lnTo>
                                <a:pt x="242548" y="3571"/>
                              </a:lnTo>
                              <a:lnTo>
                                <a:pt x="249550" y="704"/>
                              </a:lnTo>
                              <a:lnTo>
                                <a:pt x="253195" y="0"/>
                              </a:lnTo>
                              <a:lnTo>
                                <a:pt x="260773" y="0"/>
                              </a:lnTo>
                              <a:lnTo>
                                <a:pt x="264418" y="704"/>
                              </a:lnTo>
                              <a:lnTo>
                                <a:pt x="271420" y="3571"/>
                              </a:lnTo>
                              <a:lnTo>
                                <a:pt x="274510" y="5657"/>
                              </a:lnTo>
                              <a:lnTo>
                                <a:pt x="277190" y="8334"/>
                              </a:lnTo>
                              <a:lnTo>
                                <a:pt x="279869" y="10972"/>
                              </a:lnTo>
                              <a:lnTo>
                                <a:pt x="281934" y="14068"/>
                              </a:lnTo>
                              <a:lnTo>
                                <a:pt x="284834" y="21097"/>
                              </a:lnTo>
                              <a:lnTo>
                                <a:pt x="285559" y="24745"/>
                              </a:lnTo>
                              <a:lnTo>
                                <a:pt x="285559" y="32337"/>
                              </a:lnTo>
                              <a:lnTo>
                                <a:pt x="264418" y="56368"/>
                              </a:lnTo>
                              <a:lnTo>
                                <a:pt x="260773" y="57111"/>
                              </a:lnTo>
                              <a:close/>
                            </a:path>
                            <a:path w="856615" h="57150">
                              <a:moveTo>
                                <a:pt x="374978" y="57111"/>
                              </a:moveTo>
                              <a:lnTo>
                                <a:pt x="367399" y="57111"/>
                              </a:lnTo>
                              <a:lnTo>
                                <a:pt x="363754" y="56368"/>
                              </a:lnTo>
                              <a:lnTo>
                                <a:pt x="342614" y="32337"/>
                              </a:lnTo>
                              <a:lnTo>
                                <a:pt x="342614" y="24745"/>
                              </a:lnTo>
                              <a:lnTo>
                                <a:pt x="343339" y="21097"/>
                              </a:lnTo>
                              <a:lnTo>
                                <a:pt x="346239" y="14068"/>
                              </a:lnTo>
                              <a:lnTo>
                                <a:pt x="348304" y="10972"/>
                              </a:lnTo>
                              <a:lnTo>
                                <a:pt x="350983" y="8334"/>
                              </a:lnTo>
                              <a:lnTo>
                                <a:pt x="353663" y="5657"/>
                              </a:lnTo>
                              <a:lnTo>
                                <a:pt x="356753" y="3571"/>
                              </a:lnTo>
                              <a:lnTo>
                                <a:pt x="363754" y="704"/>
                              </a:lnTo>
                              <a:lnTo>
                                <a:pt x="367399" y="0"/>
                              </a:lnTo>
                              <a:lnTo>
                                <a:pt x="374978" y="0"/>
                              </a:lnTo>
                              <a:lnTo>
                                <a:pt x="378623" y="704"/>
                              </a:lnTo>
                              <a:lnTo>
                                <a:pt x="385625" y="3571"/>
                              </a:lnTo>
                              <a:lnTo>
                                <a:pt x="388715" y="5657"/>
                              </a:lnTo>
                              <a:lnTo>
                                <a:pt x="391394" y="8334"/>
                              </a:lnTo>
                              <a:lnTo>
                                <a:pt x="394074" y="10972"/>
                              </a:lnTo>
                              <a:lnTo>
                                <a:pt x="396138" y="14068"/>
                              </a:lnTo>
                              <a:lnTo>
                                <a:pt x="399039" y="21097"/>
                              </a:lnTo>
                              <a:lnTo>
                                <a:pt x="399764" y="24745"/>
                              </a:lnTo>
                              <a:lnTo>
                                <a:pt x="399764" y="32337"/>
                              </a:lnTo>
                              <a:lnTo>
                                <a:pt x="378623" y="56368"/>
                              </a:lnTo>
                              <a:lnTo>
                                <a:pt x="374978" y="57111"/>
                              </a:lnTo>
                              <a:close/>
                            </a:path>
                            <a:path w="856615" h="57150">
                              <a:moveTo>
                                <a:pt x="489183" y="57111"/>
                              </a:moveTo>
                              <a:lnTo>
                                <a:pt x="481604" y="57111"/>
                              </a:lnTo>
                              <a:lnTo>
                                <a:pt x="477959" y="56368"/>
                              </a:lnTo>
                              <a:lnTo>
                                <a:pt x="456818" y="32337"/>
                              </a:lnTo>
                              <a:lnTo>
                                <a:pt x="456818" y="24745"/>
                              </a:lnTo>
                              <a:lnTo>
                                <a:pt x="457543" y="21097"/>
                              </a:lnTo>
                              <a:lnTo>
                                <a:pt x="460444" y="14068"/>
                              </a:lnTo>
                              <a:lnTo>
                                <a:pt x="462508" y="10972"/>
                              </a:lnTo>
                              <a:lnTo>
                                <a:pt x="465188" y="8334"/>
                              </a:lnTo>
                              <a:lnTo>
                                <a:pt x="467867" y="5657"/>
                              </a:lnTo>
                              <a:lnTo>
                                <a:pt x="470957" y="3571"/>
                              </a:lnTo>
                              <a:lnTo>
                                <a:pt x="477959" y="704"/>
                              </a:lnTo>
                              <a:lnTo>
                                <a:pt x="481604" y="0"/>
                              </a:lnTo>
                              <a:lnTo>
                                <a:pt x="489183" y="0"/>
                              </a:lnTo>
                              <a:lnTo>
                                <a:pt x="492828" y="704"/>
                              </a:lnTo>
                              <a:lnTo>
                                <a:pt x="499829" y="3571"/>
                              </a:lnTo>
                              <a:lnTo>
                                <a:pt x="502920" y="5657"/>
                              </a:lnTo>
                              <a:lnTo>
                                <a:pt x="505599" y="8334"/>
                              </a:lnTo>
                              <a:lnTo>
                                <a:pt x="508278" y="10972"/>
                              </a:lnTo>
                              <a:lnTo>
                                <a:pt x="510343" y="14068"/>
                              </a:lnTo>
                              <a:lnTo>
                                <a:pt x="513243" y="21097"/>
                              </a:lnTo>
                              <a:lnTo>
                                <a:pt x="513968" y="24745"/>
                              </a:lnTo>
                              <a:lnTo>
                                <a:pt x="513968" y="32337"/>
                              </a:lnTo>
                              <a:lnTo>
                                <a:pt x="492828" y="56368"/>
                              </a:lnTo>
                              <a:lnTo>
                                <a:pt x="489183" y="57111"/>
                              </a:lnTo>
                              <a:close/>
                            </a:path>
                            <a:path w="856615" h="57150">
                              <a:moveTo>
                                <a:pt x="603387" y="57111"/>
                              </a:moveTo>
                              <a:lnTo>
                                <a:pt x="595809" y="57111"/>
                              </a:lnTo>
                              <a:lnTo>
                                <a:pt x="592164" y="56368"/>
                              </a:lnTo>
                              <a:lnTo>
                                <a:pt x="571023" y="32337"/>
                              </a:lnTo>
                              <a:lnTo>
                                <a:pt x="571023" y="24745"/>
                              </a:lnTo>
                              <a:lnTo>
                                <a:pt x="571748" y="21097"/>
                              </a:lnTo>
                              <a:lnTo>
                                <a:pt x="574648" y="14068"/>
                              </a:lnTo>
                              <a:lnTo>
                                <a:pt x="576713" y="10972"/>
                              </a:lnTo>
                              <a:lnTo>
                                <a:pt x="579393" y="8334"/>
                              </a:lnTo>
                              <a:lnTo>
                                <a:pt x="582072" y="5657"/>
                              </a:lnTo>
                              <a:lnTo>
                                <a:pt x="585162" y="3571"/>
                              </a:lnTo>
                              <a:lnTo>
                                <a:pt x="592164" y="704"/>
                              </a:lnTo>
                              <a:lnTo>
                                <a:pt x="595809" y="0"/>
                              </a:lnTo>
                              <a:lnTo>
                                <a:pt x="603387" y="0"/>
                              </a:lnTo>
                              <a:lnTo>
                                <a:pt x="607032" y="704"/>
                              </a:lnTo>
                              <a:lnTo>
                                <a:pt x="614034" y="3571"/>
                              </a:lnTo>
                              <a:lnTo>
                                <a:pt x="617124" y="5657"/>
                              </a:lnTo>
                              <a:lnTo>
                                <a:pt x="619804" y="8334"/>
                              </a:lnTo>
                              <a:lnTo>
                                <a:pt x="622483" y="10972"/>
                              </a:lnTo>
                              <a:lnTo>
                                <a:pt x="624548" y="14068"/>
                              </a:lnTo>
                              <a:lnTo>
                                <a:pt x="627448" y="21097"/>
                              </a:lnTo>
                              <a:lnTo>
                                <a:pt x="628173" y="24745"/>
                              </a:lnTo>
                              <a:lnTo>
                                <a:pt x="628173" y="32337"/>
                              </a:lnTo>
                              <a:lnTo>
                                <a:pt x="607032" y="56368"/>
                              </a:lnTo>
                              <a:lnTo>
                                <a:pt x="603387" y="57111"/>
                              </a:lnTo>
                              <a:close/>
                            </a:path>
                            <a:path w="856615" h="57150">
                              <a:moveTo>
                                <a:pt x="717592" y="57111"/>
                              </a:moveTo>
                              <a:lnTo>
                                <a:pt x="710014" y="57111"/>
                              </a:lnTo>
                              <a:lnTo>
                                <a:pt x="706369" y="56368"/>
                              </a:lnTo>
                              <a:lnTo>
                                <a:pt x="685228" y="32337"/>
                              </a:lnTo>
                              <a:lnTo>
                                <a:pt x="685228" y="24745"/>
                              </a:lnTo>
                              <a:lnTo>
                                <a:pt x="685953" y="21097"/>
                              </a:lnTo>
                              <a:lnTo>
                                <a:pt x="688853" y="14068"/>
                              </a:lnTo>
                              <a:lnTo>
                                <a:pt x="690918" y="10972"/>
                              </a:lnTo>
                              <a:lnTo>
                                <a:pt x="693597" y="8334"/>
                              </a:lnTo>
                              <a:lnTo>
                                <a:pt x="696277" y="5657"/>
                              </a:lnTo>
                              <a:lnTo>
                                <a:pt x="699367" y="3571"/>
                              </a:lnTo>
                              <a:lnTo>
                                <a:pt x="706369" y="704"/>
                              </a:lnTo>
                              <a:lnTo>
                                <a:pt x="710014" y="0"/>
                              </a:lnTo>
                              <a:lnTo>
                                <a:pt x="717592" y="0"/>
                              </a:lnTo>
                              <a:lnTo>
                                <a:pt x="721237" y="704"/>
                              </a:lnTo>
                              <a:lnTo>
                                <a:pt x="728239" y="3571"/>
                              </a:lnTo>
                              <a:lnTo>
                                <a:pt x="731329" y="5657"/>
                              </a:lnTo>
                              <a:lnTo>
                                <a:pt x="734009" y="8334"/>
                              </a:lnTo>
                              <a:lnTo>
                                <a:pt x="736688" y="10972"/>
                              </a:lnTo>
                              <a:lnTo>
                                <a:pt x="738753" y="14068"/>
                              </a:lnTo>
                              <a:lnTo>
                                <a:pt x="741653" y="21097"/>
                              </a:lnTo>
                              <a:lnTo>
                                <a:pt x="742378" y="24745"/>
                              </a:lnTo>
                              <a:lnTo>
                                <a:pt x="742378" y="32337"/>
                              </a:lnTo>
                              <a:lnTo>
                                <a:pt x="721237" y="56368"/>
                              </a:lnTo>
                              <a:lnTo>
                                <a:pt x="717592" y="57111"/>
                              </a:lnTo>
                              <a:close/>
                            </a:path>
                            <a:path w="856615" h="57150">
                              <a:moveTo>
                                <a:pt x="831797" y="57111"/>
                              </a:moveTo>
                              <a:lnTo>
                                <a:pt x="824218" y="57111"/>
                              </a:lnTo>
                              <a:lnTo>
                                <a:pt x="820573" y="56368"/>
                              </a:lnTo>
                              <a:lnTo>
                                <a:pt x="799433" y="32337"/>
                              </a:lnTo>
                              <a:lnTo>
                                <a:pt x="799433" y="24745"/>
                              </a:lnTo>
                              <a:lnTo>
                                <a:pt x="800158" y="21097"/>
                              </a:lnTo>
                              <a:lnTo>
                                <a:pt x="803058" y="14068"/>
                              </a:lnTo>
                              <a:lnTo>
                                <a:pt x="805123" y="10972"/>
                              </a:lnTo>
                              <a:lnTo>
                                <a:pt x="807802" y="8334"/>
                              </a:lnTo>
                              <a:lnTo>
                                <a:pt x="810481" y="5657"/>
                              </a:lnTo>
                              <a:lnTo>
                                <a:pt x="813572" y="3571"/>
                              </a:lnTo>
                              <a:lnTo>
                                <a:pt x="820573" y="704"/>
                              </a:lnTo>
                              <a:lnTo>
                                <a:pt x="824218" y="0"/>
                              </a:lnTo>
                              <a:lnTo>
                                <a:pt x="831797" y="0"/>
                              </a:lnTo>
                              <a:lnTo>
                                <a:pt x="835442" y="704"/>
                              </a:lnTo>
                              <a:lnTo>
                                <a:pt x="842444" y="3571"/>
                              </a:lnTo>
                              <a:lnTo>
                                <a:pt x="845534" y="5657"/>
                              </a:lnTo>
                              <a:lnTo>
                                <a:pt x="848213" y="8334"/>
                              </a:lnTo>
                              <a:lnTo>
                                <a:pt x="850893" y="10972"/>
                              </a:lnTo>
                              <a:lnTo>
                                <a:pt x="852957" y="14068"/>
                              </a:lnTo>
                              <a:lnTo>
                                <a:pt x="855858" y="21097"/>
                              </a:lnTo>
                              <a:lnTo>
                                <a:pt x="856583" y="24745"/>
                              </a:lnTo>
                              <a:lnTo>
                                <a:pt x="856583" y="32337"/>
                              </a:lnTo>
                              <a:lnTo>
                                <a:pt x="835442" y="56368"/>
                              </a:lnTo>
                              <a:lnTo>
                                <a:pt x="831797" y="57111"/>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5.00009pt;width:67.45pt;height:4.5pt;mso-position-horizontal-relative:page;mso-position-vertical-relative:paragraph;z-index:-15684096;mso-wrap-distance-left:0;mso-wrap-distance-right:0" id="docshape121" coordorigin="1545,300" coordsize="1349,90" path="m1596,390l1584,390,1578,389,1567,384,1562,381,1558,377,1554,373,1551,368,1546,357,1545,351,1545,339,1546,333,1551,322,1554,317,1558,313,1562,309,1567,306,1578,301,1584,300,1596,300,1602,301,1613,306,1618,309,1622,313,1626,317,1629,322,1634,333,1635,339,1635,351,1634,357,1629,368,1626,373,1622,377,1618,381,1613,384,1602,389,1596,390xm1776,390l1764,390,1758,389,1747,384,1742,381,1738,377,1734,373,1731,368,1726,357,1725,351,1725,339,1726,333,1731,322,1734,317,1738,313,1742,309,1747,306,1758,301,1764,300,1776,300,1782,301,1793,306,1797,309,1802,313,1806,317,1809,322,1814,333,1815,339,1815,351,1814,357,1809,368,1806,373,1802,377,1797,381,1793,384,1782,389,1776,390xm1956,390l1944,390,1938,389,1927,384,1922,381,1918,377,1914,373,1910,368,1906,357,1905,351,1905,339,1906,333,1910,322,1914,317,1918,313,1922,309,1927,306,1938,301,1944,300,1956,300,1961,301,1972,306,1977,309,1982,313,1986,317,1989,322,1994,333,1995,339,1995,351,1994,357,1989,368,1986,373,1982,377,1977,381,1972,384,1961,389,1956,390xm2136,390l2124,390,2118,389,2107,384,2102,381,2098,377,2094,373,2090,368,2086,357,2085,351,2085,339,2086,333,2090,322,2094,317,2098,313,2102,309,2107,306,2118,301,2124,300,2136,300,2141,301,2152,306,2157,309,2161,313,2166,317,2169,322,2173,333,2175,339,2175,351,2173,357,2169,368,2166,373,2161,377,2157,381,2152,384,2141,389,2136,390xm2315,390l2303,390,2298,389,2287,384,2282,381,2278,377,2273,373,2270,368,2266,357,2264,351,2264,339,2266,333,2270,322,2273,317,2278,313,2282,309,2287,306,2298,301,2303,300,2315,300,2321,301,2332,306,2337,309,2341,313,2345,317,2349,322,2353,333,2354,339,2354,351,2353,357,2349,368,2345,373,2341,377,2337,381,2332,384,2321,389,2315,390xm2495,390l2483,390,2478,389,2467,384,2462,381,2457,377,2453,373,2450,368,2445,357,2444,351,2444,339,2445,333,2450,322,2453,317,2457,313,2462,309,2467,306,2478,301,2483,300,2495,300,2501,301,2512,306,2517,309,2521,313,2525,317,2529,322,2533,333,2534,339,2534,351,2533,357,2529,368,2525,373,2521,377,2517,381,2512,384,2501,389,2495,390xm2675,390l2663,390,2657,389,2646,384,2641,381,2637,377,2633,373,2630,368,2625,357,2624,351,2624,339,2625,333,2630,322,2633,317,2637,313,2641,309,2646,306,2657,301,2663,300,2675,300,2681,301,2692,306,2697,309,2701,313,2705,317,2708,322,2713,333,2714,339,2714,351,2713,357,2708,368,2705,373,2701,377,2697,381,2692,384,2681,389,2675,390xm2855,390l2843,390,2837,389,2826,384,2821,381,2817,377,2813,373,2810,368,2805,357,2804,351,2804,339,2805,333,2810,322,2813,317,2817,313,2821,309,2826,306,2837,301,2843,300,2855,300,2861,301,2872,306,2877,309,2881,313,2885,317,2888,322,2893,333,2894,339,2894,351,2893,357,2888,368,2885,373,2881,377,2877,381,2872,384,2861,389,2855,390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22.3</w:t>
      </w:r>
    </w:p>
    <w:p>
      <w:pPr>
        <w:pStyle w:val="BodyText"/>
        <w:spacing w:before="216"/>
        <w:ind w:left="0"/>
        <w:jc w:val="left"/>
        <w:rPr>
          <w:rFonts w:ascii="Arial"/>
          <w:b/>
          <w:sz w:val="22"/>
        </w:rPr>
      </w:pPr>
    </w:p>
    <w:p>
      <w:pPr>
        <w:pStyle w:val="BodyText"/>
        <w:spacing w:line="249" w:lineRule="auto" w:before="0"/>
        <w:ind w:right="98" w:firstLine="450"/>
      </w:pPr>
      <w:r>
        <w:rPr/>
        <w:t>The major pathway of estrogen synthesis in human breast tumor cells is by conversion of estrone sulfate to estrone by estrone sulfatase, a pathway that is more important than the aromatase pathway.</w:t>
      </w:r>
      <w:r>
        <w:rPr>
          <w:vertAlign w:val="superscript"/>
        </w:rPr>
        <w:t>324</w:t>
      </w:r>
      <w:r>
        <w:rPr>
          <w:vertAlign w:val="baseline"/>
        </w:rPr>
        <w:t> Aromatase is an enzyme complex that produces the irreversible conversion of androgens to estrogens. The location of aromatase activity is predominantly in the stromal tissue of the breast.</w:t>
      </w:r>
      <w:r>
        <w:rPr>
          <w:spacing w:val="-1"/>
          <w:vertAlign w:val="baseline"/>
        </w:rPr>
        <w:t> </w:t>
      </w:r>
      <w:r>
        <w:rPr>
          <w:vertAlign w:val="baseline"/>
        </w:rPr>
        <w:t>Comparing normal to tumor tissue, the levels </w:t>
      </w:r>
      <w:r>
        <w:rPr>
          <w:vertAlign w:val="baseline"/>
        </w:rPr>
        <w:t>of estrone sulfate and estradiol were higher in the tumor tissue.</w:t>
      </w:r>
      <w:r>
        <w:rPr>
          <w:vertAlign w:val="superscript"/>
        </w:rPr>
        <w:t>325</w:t>
      </w:r>
      <w:r>
        <w:rPr>
          <w:vertAlign w:val="baseline"/>
        </w:rPr>
        <w:t> Sulfatase activity is 130 to 200 times greater than aromatase activity in all breast tissues examined, and the sulfatase and aromatase activity was higher in the tumor tissue than in normal tissue. Thus, estrogen concentrations in the breast are elevated in women with breast cancer, and formation of estradiol from sulfated estrogen is the primary pathway. Most importantly, this increase in estrogen activity is independent of the ER status of the tissue.</w:t>
      </w:r>
    </w:p>
    <w:p>
      <w:pPr>
        <w:pStyle w:val="BodyText"/>
        <w:spacing w:line="249" w:lineRule="auto" w:before="16"/>
        <w:ind w:right="106" w:firstLine="450"/>
      </w:pPr>
      <w:r>
        <w:rPr/>
        <w:t>Tibolone and its metabolites inhibit estrone sulfatase and </w:t>
      </w:r>
      <w:r>
        <w:rPr/>
        <w:t>17β-hydroxysteroid</w:t>
      </w:r>
      <w:r>
        <w:rPr>
          <w:spacing w:val="71"/>
        </w:rPr>
        <w:t> </w:t>
      </w:r>
      <w:r>
        <w:rPr/>
        <w:t>dehydrogenase</w:t>
      </w:r>
      <w:r>
        <w:rPr>
          <w:spacing w:val="71"/>
        </w:rPr>
        <w:t> </w:t>
      </w:r>
      <w:r>
        <w:rPr/>
        <w:t>in</w:t>
      </w:r>
      <w:r>
        <w:rPr>
          <w:spacing w:val="71"/>
        </w:rPr>
        <w:t> </w:t>
      </w:r>
      <w:r>
        <w:rPr/>
        <w:t>normal</w:t>
      </w:r>
      <w:r>
        <w:rPr>
          <w:spacing w:val="71"/>
        </w:rPr>
        <w:t> </w:t>
      </w:r>
      <w:r>
        <w:rPr/>
        <w:t>stromal</w:t>
      </w:r>
      <w:r>
        <w:rPr>
          <w:spacing w:val="71"/>
        </w:rPr>
        <w:t> </w:t>
      </w:r>
      <w:r>
        <w:rPr/>
        <w:t>cells</w:t>
      </w:r>
      <w:r>
        <w:rPr>
          <w:spacing w:val="71"/>
        </w:rPr>
        <w:t> </w:t>
      </w:r>
      <w:r>
        <w:rPr/>
        <w:t>and</w:t>
      </w:r>
      <w:r>
        <w:rPr>
          <w:spacing w:val="71"/>
        </w:rPr>
        <w:t> </w:t>
      </w:r>
      <w:r>
        <w:rPr/>
        <w:t>in</w:t>
      </w:r>
      <w:r>
        <w:rPr>
          <w:spacing w:val="71"/>
        </w:rPr>
        <w:t> </w:t>
      </w:r>
      <w:r>
        <w:rPr>
          <w:spacing w:val="-2"/>
        </w:rPr>
        <w:t>hormone-</w:t>
      </w:r>
    </w:p>
    <w:p>
      <w:pPr>
        <w:pStyle w:val="BodyText"/>
        <w:spacing w:after="0" w:line="249" w:lineRule="auto"/>
        <w:sectPr>
          <w:pgSz w:w="12240" w:h="15840"/>
          <w:pgMar w:top="1440" w:bottom="280" w:left="1440" w:right="1440"/>
        </w:sectPr>
      </w:pPr>
    </w:p>
    <w:p>
      <w:pPr>
        <w:pStyle w:val="BodyText"/>
        <w:spacing w:line="249" w:lineRule="auto"/>
        <w:ind w:right="100"/>
      </w:pPr>
      <w:r>
        <w:rPr/>
        <w:t>dependent breast cancer cells (MCF-7 and T47D).</w:t>
      </w:r>
      <w:r>
        <w:rPr>
          <w:vertAlign w:val="superscript"/>
        </w:rPr>
        <w:t>326-329</w:t>
      </w:r>
      <w:r>
        <w:rPr>
          <w:vertAlign w:val="baseline"/>
        </w:rPr>
        <w:t> This </w:t>
      </w:r>
      <w:r>
        <w:rPr>
          <w:vertAlign w:val="baseline"/>
        </w:rPr>
        <w:t>inhibits conversion of estrone sulfate to estradiol. In addition, tibolone and its 3-hydroxymetabolites increase the conversion of estrone back to estrone sulfate by increasing the activity of sulfotransferase.</w:t>
      </w:r>
      <w:r>
        <w:rPr>
          <w:vertAlign w:val="superscript"/>
        </w:rPr>
        <w:t>330</w:t>
      </w:r>
      <w:r>
        <w:rPr>
          <w:vertAlign w:val="baseline"/>
        </w:rPr>
        <w:t> Tibolone and all three metabolites inhibit the conversion of estrone to estradiol by 17β-hydroxysteroid dehydrogenase.</w:t>
      </w:r>
      <w:r>
        <w:rPr>
          <w:vertAlign w:val="superscript"/>
        </w:rPr>
        <w:t>327</w:t>
      </w:r>
      <w:r>
        <w:rPr>
          <w:vertAlign w:val="baseline"/>
        </w:rPr>
        <w:t> Although the combined effects resemble progestin activity, tibolone is more potent. Tibolone increases aromatase activity in stromal cells but only at high concentrations that are beyond in vivo levels.</w:t>
      </w:r>
      <w:r>
        <w:rPr>
          <w:vertAlign w:val="superscript"/>
        </w:rPr>
        <w:t>328</w:t>
      </w:r>
      <w:r>
        <w:rPr>
          <w:vertAlign w:val="baseline"/>
        </w:rPr>
        <w:t> These tibolone-induced enzyme changes would lower the active estrogen concentrations in breast tissue.</w:t>
      </w:r>
    </w:p>
    <w:p>
      <w:pPr>
        <w:pStyle w:val="BodyText"/>
        <w:spacing w:line="249" w:lineRule="auto" w:before="12"/>
        <w:ind w:right="99" w:firstLine="450"/>
      </w:pPr>
      <w:r>
        <w:rPr/>
        <w:t>In the rat and mouse breast cancer models (cancer induced by 7,12-dimethylbena[a]anthracene, DMBA), tibolone exerts protective effects to the same degree as tamoxifen.</w:t>
      </w:r>
      <w:r>
        <w:rPr>
          <w:vertAlign w:val="superscript"/>
        </w:rPr>
        <w:t>331</w:t>
      </w:r>
      <w:r>
        <w:rPr>
          <w:vertAlign w:val="baseline"/>
        </w:rPr>
        <w:t> However, tibolone is not </w:t>
      </w:r>
      <w:r>
        <w:rPr>
          <w:vertAlign w:val="baseline"/>
        </w:rPr>
        <w:t>antiestrogenic and does not inhibit aromatase. Therefore, the mechanism is explained by the enzyme effects summarized previously, inhibition of sulfatase and 17β-hydroxysteroid dehydrogenase and stimulation of sulfotransferase to increase the production of inactive sulfates.</w:t>
      </w:r>
      <w:r>
        <w:rPr>
          <w:vertAlign w:val="superscript"/>
        </w:rPr>
        <w:t>328</w:t>
      </w:r>
      <w:r>
        <w:rPr>
          <w:vertAlign w:val="baseline"/>
        </w:rPr>
        <w:t> In addition, tibolone</w:t>
      </w:r>
      <w:r>
        <w:rPr>
          <w:spacing w:val="40"/>
          <w:vertAlign w:val="baseline"/>
        </w:rPr>
        <w:t> </w:t>
      </w:r>
      <w:r>
        <w:rPr>
          <w:vertAlign w:val="baseline"/>
        </w:rPr>
        <w:t>increases cellular differentiation and stimulates apoptosis, at least with normal breast cells in vitro.</w:t>
      </w:r>
      <w:r>
        <w:rPr>
          <w:vertAlign w:val="superscript"/>
        </w:rPr>
        <w:t>332</w:t>
      </w:r>
      <w:r>
        <w:rPr>
          <w:vertAlign w:val="baseline"/>
        </w:rPr>
        <w:t> An increase in apoptosis is an action of the parent tibolone and its Δ-4 isomer. Thus, tibolone acts like progestins and weak androgens in breast cell line studies examining proliferation, differentiation, and apoptosis.</w:t>
      </w:r>
    </w:p>
    <w:p>
      <w:pPr>
        <w:pStyle w:val="BodyText"/>
        <w:spacing w:line="249" w:lineRule="auto" w:before="15"/>
        <w:ind w:right="101" w:firstLine="450"/>
      </w:pPr>
      <w:r>
        <w:rPr/>
        <w:t>Tibolone and its metabolites do not display the same activity directed toward the sulfatase enzyme in all tissues. Strong inhibition of sulfatase is a major feature in breast cells, but tibolone and its metabolites </w:t>
      </w:r>
      <w:r>
        <w:rPr/>
        <w:t>inhibit sulfatase only moderately in the endometrium (still contributing to an antiestrogenic effect) and provide no inhibition of sulfatase in the bone (allowing a greater estrogenic impact).</w:t>
      </w:r>
      <w:r>
        <w:rPr>
          <w:vertAlign w:val="superscript"/>
        </w:rPr>
        <w:t>333</w:t>
      </w:r>
    </w:p>
    <w:p>
      <w:pPr>
        <w:pStyle w:val="BodyText"/>
        <w:spacing w:line="249" w:lineRule="auto" w:before="7"/>
        <w:ind w:right="100" w:firstLine="450"/>
      </w:pPr>
      <w:r>
        <w:rPr/>
        <w:t>Postmenopausal HT increases breast density on mammography in </w:t>
      </w:r>
      <w:r>
        <w:rPr/>
        <w:t>about 10% to 20% of estrogen users and about 20% to 35% of estrogen-progestin users, an effect that occurs within the first months of treatment. In contrast, tibolone does not increase breast density and causes far less mastalgia than that seen with estrogen treatment.</w:t>
      </w:r>
      <w:r>
        <w:rPr>
          <w:vertAlign w:val="superscript"/>
        </w:rPr>
        <w:t>258,270,286,316,334-338</w:t>
      </w:r>
      <w:r>
        <w:rPr>
          <w:vertAlign w:val="baseline"/>
        </w:rPr>
        <w:t> In addition, in women at high risk of breast cancer who underwent a bilateral salpingo-oophorectomy, treatment with either tibolone or traditional HT was still associated</w:t>
      </w:r>
      <w:r>
        <w:rPr>
          <w:spacing w:val="36"/>
          <w:vertAlign w:val="baseline"/>
        </w:rPr>
        <w:t> </w:t>
      </w:r>
      <w:r>
        <w:rPr>
          <w:vertAlign w:val="baseline"/>
        </w:rPr>
        <w:t>with</w:t>
      </w:r>
      <w:r>
        <w:rPr>
          <w:spacing w:val="39"/>
          <w:vertAlign w:val="baseline"/>
        </w:rPr>
        <w:t> </w:t>
      </w:r>
      <w:r>
        <w:rPr>
          <w:vertAlign w:val="baseline"/>
        </w:rPr>
        <w:t>a</w:t>
      </w:r>
      <w:r>
        <w:rPr>
          <w:spacing w:val="39"/>
          <w:vertAlign w:val="baseline"/>
        </w:rPr>
        <w:t> </w:t>
      </w:r>
      <w:r>
        <w:rPr>
          <w:vertAlign w:val="baseline"/>
        </w:rPr>
        <w:t>decrease</w:t>
      </w:r>
      <w:r>
        <w:rPr>
          <w:spacing w:val="38"/>
          <w:vertAlign w:val="baseline"/>
        </w:rPr>
        <w:t> </w:t>
      </w:r>
      <w:r>
        <w:rPr>
          <w:vertAlign w:val="baseline"/>
        </w:rPr>
        <w:t>in</w:t>
      </w:r>
      <w:r>
        <w:rPr>
          <w:spacing w:val="39"/>
          <w:vertAlign w:val="baseline"/>
        </w:rPr>
        <w:t> </w:t>
      </w:r>
      <w:r>
        <w:rPr>
          <w:vertAlign w:val="baseline"/>
        </w:rPr>
        <w:t>breast</w:t>
      </w:r>
      <w:r>
        <w:rPr>
          <w:spacing w:val="39"/>
          <w:vertAlign w:val="baseline"/>
        </w:rPr>
        <w:t> </w:t>
      </w:r>
      <w:r>
        <w:rPr>
          <w:vertAlign w:val="baseline"/>
        </w:rPr>
        <w:t>density.</w:t>
      </w:r>
      <w:r>
        <w:rPr>
          <w:spacing w:val="39"/>
          <w:vertAlign w:val="baseline"/>
        </w:rPr>
        <w:t> </w:t>
      </w:r>
      <w:r>
        <w:rPr>
          <w:vertAlign w:val="baseline"/>
        </w:rPr>
        <w:t>However,</w:t>
      </w:r>
      <w:r>
        <w:rPr>
          <w:spacing w:val="41"/>
          <w:vertAlign w:val="baseline"/>
        </w:rPr>
        <w:t> </w:t>
      </w:r>
      <w:r>
        <w:rPr>
          <w:vertAlign w:val="baseline"/>
        </w:rPr>
        <w:t>a</w:t>
      </w:r>
      <w:r>
        <w:rPr>
          <w:spacing w:val="42"/>
          <w:vertAlign w:val="baseline"/>
        </w:rPr>
        <w:t> </w:t>
      </w:r>
      <w:r>
        <w:rPr>
          <w:vertAlign w:val="baseline"/>
        </w:rPr>
        <w:t>greater</w:t>
      </w:r>
      <w:r>
        <w:rPr>
          <w:spacing w:val="42"/>
          <w:vertAlign w:val="baseline"/>
        </w:rPr>
        <w:t> </w:t>
      </w:r>
      <w:r>
        <w:rPr>
          <w:spacing w:val="-2"/>
          <w:vertAlign w:val="baseline"/>
        </w:rPr>
        <w:t>decrease</w:t>
      </w:r>
    </w:p>
    <w:p>
      <w:pPr>
        <w:pStyle w:val="BodyText"/>
        <w:spacing w:after="0" w:line="249" w:lineRule="auto"/>
        <w:sectPr>
          <w:pgSz w:w="12240" w:h="15840"/>
          <w:pgMar w:top="1380" w:bottom="280" w:left="1440" w:right="1440"/>
        </w:sectPr>
      </w:pPr>
    </w:p>
    <w:p>
      <w:pPr>
        <w:pStyle w:val="BodyText"/>
        <w:spacing w:line="249" w:lineRule="auto"/>
        <w:ind w:right="100"/>
      </w:pPr>
      <w:r>
        <w:rPr/>
        <w:t>was noted with tibolone.</w:t>
      </w:r>
      <w:r>
        <w:rPr>
          <w:vertAlign w:val="superscript"/>
        </w:rPr>
        <w:t>339</w:t>
      </w:r>
      <w:r>
        <w:rPr>
          <w:vertAlign w:val="baseline"/>
        </w:rPr>
        <w:t> It is logical to conclude that these </w:t>
      </w:r>
      <w:r>
        <w:rPr>
          <w:vertAlign w:val="baseline"/>
        </w:rPr>
        <w:t>favorable responses are a consequence of the tibolone effects on the breast tissue enzymes involved in local estrogen production.</w:t>
      </w:r>
    </w:p>
    <w:p>
      <w:pPr>
        <w:pStyle w:val="BodyText"/>
        <w:spacing w:line="249" w:lineRule="auto" w:before="3"/>
        <w:ind w:right="97" w:firstLine="450"/>
      </w:pPr>
      <w:r>
        <w:rPr/>
        <w:t>The Livial Intervention following Breast cancer: Efficacy, Recurrence, And</w:t>
      </w:r>
      <w:r>
        <w:rPr>
          <w:spacing w:val="-9"/>
        </w:rPr>
        <w:t> </w:t>
      </w:r>
      <w:r>
        <w:rPr/>
        <w:t>Tolerability</w:t>
      </w:r>
      <w:r>
        <w:rPr>
          <w:spacing w:val="-9"/>
        </w:rPr>
        <w:t> </w:t>
      </w:r>
      <w:r>
        <w:rPr/>
        <w:t>Endpoints</w:t>
      </w:r>
      <w:r>
        <w:rPr>
          <w:spacing w:val="-9"/>
        </w:rPr>
        <w:t> </w:t>
      </w:r>
      <w:r>
        <w:rPr/>
        <w:t>(LIBERATE)</w:t>
      </w:r>
      <w:r>
        <w:rPr>
          <w:spacing w:val="-9"/>
        </w:rPr>
        <w:t> </w:t>
      </w:r>
      <w:r>
        <w:rPr/>
        <w:t>trial</w:t>
      </w:r>
      <w:r>
        <w:rPr>
          <w:spacing w:val="-9"/>
        </w:rPr>
        <w:t> </w:t>
      </w:r>
      <w:r>
        <w:rPr/>
        <w:t>was</w:t>
      </w:r>
      <w:r>
        <w:rPr>
          <w:spacing w:val="-9"/>
        </w:rPr>
        <w:t> </w:t>
      </w:r>
      <w:r>
        <w:rPr/>
        <w:t>a</w:t>
      </w:r>
      <w:r>
        <w:rPr>
          <w:spacing w:val="-9"/>
        </w:rPr>
        <w:t> </w:t>
      </w:r>
      <w:r>
        <w:rPr/>
        <w:t>multinational,</w:t>
      </w:r>
      <w:r>
        <w:rPr>
          <w:spacing w:val="-9"/>
        </w:rPr>
        <w:t> </w:t>
      </w:r>
      <w:r>
        <w:rPr/>
        <w:t>placebo-controlled, randomized study of women with VMS who had had breast cancer surgically treated within the previous 5 years.</w:t>
      </w:r>
      <w:r>
        <w:rPr>
          <w:vertAlign w:val="superscript"/>
        </w:rPr>
        <w:t>340</w:t>
      </w:r>
      <w:r>
        <w:rPr>
          <w:vertAlign w:val="baseline"/>
        </w:rPr>
        <w:t> The study was designed to demonstrate that 2.5-mg daily dose of tibolone was superior to placebo, but when the drug monitoring safety board notified the sponsor</w:t>
      </w:r>
      <w:r>
        <w:rPr>
          <w:spacing w:val="40"/>
          <w:vertAlign w:val="baseline"/>
        </w:rPr>
        <w:t> </w:t>
      </w:r>
      <w:r>
        <w:rPr>
          <w:vertAlign w:val="baseline"/>
        </w:rPr>
        <w:t>that there appeared to be an excess of breast cancers in the treated group,</w:t>
      </w:r>
      <w:r>
        <w:rPr>
          <w:spacing w:val="40"/>
          <w:vertAlign w:val="baseline"/>
        </w:rPr>
        <w:t> </w:t>
      </w:r>
      <w:r>
        <w:rPr>
          <w:vertAlign w:val="baseline"/>
        </w:rPr>
        <w:t>the trial was canceled on July 31, 2007, 5 months before its scheduled end. The median duration of participation and treatment was about 3 years, with a wide range from a few weeks to almost 5 years. The participants used a variety of adjuvant treatments for breast cancer, mostly tamoxifen, 66.8%, while 6.5% used AIs. Final numbers for analysis were 1,556 women in the treated group and 1,542 in the placebo group. The women aged under 40 </w:t>
      </w:r>
      <w:r>
        <w:rPr>
          <w:vertAlign w:val="baseline"/>
        </w:rPr>
        <w:t>to 79 years, with a mean age of 52.7 years. An estimated 57.8% had positive lymph nodes, and 70% had a tumor stage of IIA or higher. ER status was known in 2,808 women in whom the tumors were ER-positive in 77.8%. In the intent-to-treat analysis, the HR for recurrent breast cancer in the tibolone-treated women was 1.40 (CI = 1.14-1.70). The absolute risk for tibolone was 51 cancers per 1,000 women per year and 36 in the placebo group. The increase occurred only in women with ER-positive tumors. There was no difference in mortality rates between the two groups during the 5-year study period. There were no differences in cardiovascular events or gynecologic cancers, while VMS, quality-of-life measures, and bone density all improved with tibolone treatment.</w:t>
      </w:r>
    </w:p>
    <w:p>
      <w:pPr>
        <w:pStyle w:val="BodyText"/>
        <w:spacing w:line="249" w:lineRule="auto" w:before="30"/>
        <w:ind w:right="97" w:firstLine="450"/>
      </w:pPr>
      <w:r>
        <w:rPr/>
        <w:t>How do the LIBERATE results that indicate an estrogenic action of tibolone in breast cancer survivors jibe with the literature indicating that tibolone exerts a nonestrogenic effect on breast tissue? Indeed, it was realistic to expect tibolone to have a salutary effect on the breast. It is well documented that the breast responds to tibolone with less </w:t>
      </w:r>
      <w:r>
        <w:rPr/>
        <w:t>stimulation compared with estrogen, judged by changes in mammographic breast density and the characteristics of tissue obtained by fine-needle aspiration. In the LIFT clinical trial (discussed in Chapter 23) that had vertebral fractures</w:t>
      </w:r>
      <w:r>
        <w:rPr>
          <w:spacing w:val="44"/>
        </w:rPr>
        <w:t> </w:t>
      </w:r>
      <w:r>
        <w:rPr/>
        <w:t>as</w:t>
      </w:r>
      <w:r>
        <w:rPr>
          <w:spacing w:val="53"/>
        </w:rPr>
        <w:t> </w:t>
      </w:r>
      <w:r>
        <w:rPr/>
        <w:t>the</w:t>
      </w:r>
      <w:r>
        <w:rPr>
          <w:spacing w:val="53"/>
        </w:rPr>
        <w:t> </w:t>
      </w:r>
      <w:r>
        <w:rPr/>
        <w:t>primary</w:t>
      </w:r>
      <w:r>
        <w:rPr>
          <w:spacing w:val="53"/>
        </w:rPr>
        <w:t> </w:t>
      </w:r>
      <w:r>
        <w:rPr/>
        <w:t>end</w:t>
      </w:r>
      <w:r>
        <w:rPr>
          <w:spacing w:val="53"/>
        </w:rPr>
        <w:t> </w:t>
      </w:r>
      <w:r>
        <w:rPr/>
        <w:t>point</w:t>
      </w:r>
      <w:r>
        <w:rPr>
          <w:spacing w:val="53"/>
        </w:rPr>
        <w:t> </w:t>
      </w:r>
      <w:r>
        <w:rPr/>
        <w:t>and</w:t>
      </w:r>
      <w:r>
        <w:rPr>
          <w:spacing w:val="53"/>
        </w:rPr>
        <w:t> </w:t>
      </w:r>
      <w:r>
        <w:rPr/>
        <w:t>breast</w:t>
      </w:r>
      <w:r>
        <w:rPr>
          <w:spacing w:val="53"/>
        </w:rPr>
        <w:t> </w:t>
      </w:r>
      <w:r>
        <w:rPr/>
        <w:t>cancer</w:t>
      </w:r>
      <w:r>
        <w:rPr>
          <w:spacing w:val="53"/>
        </w:rPr>
        <w:t> </w:t>
      </w:r>
      <w:r>
        <w:rPr/>
        <w:t>as</w:t>
      </w:r>
      <w:r>
        <w:rPr>
          <w:spacing w:val="53"/>
        </w:rPr>
        <w:t> </w:t>
      </w:r>
      <w:r>
        <w:rPr/>
        <w:t>a</w:t>
      </w:r>
      <w:r>
        <w:rPr>
          <w:spacing w:val="53"/>
        </w:rPr>
        <w:t> </w:t>
      </w:r>
      <w:r>
        <w:rPr/>
        <w:t>secondary</w:t>
      </w:r>
      <w:r>
        <w:rPr>
          <w:spacing w:val="53"/>
        </w:rPr>
        <w:t> </w:t>
      </w:r>
      <w:r>
        <w:rPr>
          <w:spacing w:val="-5"/>
        </w:rPr>
        <w:t>end</w:t>
      </w:r>
    </w:p>
    <w:p>
      <w:pPr>
        <w:pStyle w:val="BodyText"/>
        <w:spacing w:after="0" w:line="249" w:lineRule="auto"/>
        <w:sectPr>
          <w:pgSz w:w="12240" w:h="15840"/>
          <w:pgMar w:top="1380" w:bottom="280" w:left="1440" w:right="1440"/>
        </w:sectPr>
      </w:pPr>
    </w:p>
    <w:p>
      <w:pPr>
        <w:pStyle w:val="BodyText"/>
        <w:rPr>
          <w:i/>
        </w:rPr>
      </w:pPr>
      <w:r>
        <w:rPr/>
        <w:t>point,</w:t>
      </w:r>
      <w:r>
        <w:rPr>
          <w:spacing w:val="14"/>
        </w:rPr>
        <w:t> </w:t>
      </w:r>
      <w:r>
        <w:rPr/>
        <w:t>the</w:t>
      </w:r>
      <w:r>
        <w:rPr>
          <w:spacing w:val="16"/>
        </w:rPr>
        <w:t> </w:t>
      </w:r>
      <w:r>
        <w:rPr/>
        <w:t>risk</w:t>
      </w:r>
      <w:r>
        <w:rPr>
          <w:spacing w:val="16"/>
        </w:rPr>
        <w:t> </w:t>
      </w:r>
      <w:r>
        <w:rPr/>
        <w:t>of</w:t>
      </w:r>
      <w:r>
        <w:rPr>
          <w:spacing w:val="16"/>
        </w:rPr>
        <w:t> </w:t>
      </w:r>
      <w:r>
        <w:rPr/>
        <w:t>breast</w:t>
      </w:r>
      <w:r>
        <w:rPr>
          <w:spacing w:val="16"/>
        </w:rPr>
        <w:t> </w:t>
      </w:r>
      <w:r>
        <w:rPr/>
        <w:t>cancer</w:t>
      </w:r>
      <w:r>
        <w:rPr>
          <w:spacing w:val="16"/>
        </w:rPr>
        <w:t> </w:t>
      </w:r>
      <w:r>
        <w:rPr/>
        <w:t>after</w:t>
      </w:r>
      <w:r>
        <w:rPr>
          <w:spacing w:val="16"/>
        </w:rPr>
        <w:t> </w:t>
      </w:r>
      <w:r>
        <w:rPr/>
        <w:t>3</w:t>
      </w:r>
      <w:r>
        <w:rPr>
          <w:spacing w:val="16"/>
        </w:rPr>
        <w:t> </w:t>
      </w:r>
      <w:r>
        <w:rPr/>
        <w:t>years</w:t>
      </w:r>
      <w:r>
        <w:rPr>
          <w:spacing w:val="16"/>
        </w:rPr>
        <w:t> </w:t>
      </w:r>
      <w:r>
        <w:rPr/>
        <w:t>was</w:t>
      </w:r>
      <w:r>
        <w:rPr>
          <w:spacing w:val="16"/>
        </w:rPr>
        <w:t> </w:t>
      </w:r>
      <w:r>
        <w:rPr/>
        <w:t>significantly</w:t>
      </w:r>
      <w:r>
        <w:rPr>
          <w:spacing w:val="16"/>
        </w:rPr>
        <w:t> </w:t>
      </w:r>
      <w:r>
        <w:rPr/>
        <w:t>68%</w:t>
      </w:r>
      <w:r>
        <w:rPr>
          <w:spacing w:val="16"/>
        </w:rPr>
        <w:t> </w:t>
      </w:r>
      <w:r>
        <w:rPr>
          <w:i/>
          <w:spacing w:val="-2"/>
        </w:rPr>
        <w:t>reduced</w:t>
      </w:r>
    </w:p>
    <w:p>
      <w:pPr>
        <w:pStyle w:val="BodyText"/>
        <w:spacing w:before="15"/>
      </w:pPr>
      <w:r>
        <w:rPr/>
        <w:t>with</w:t>
      </w:r>
      <w:r>
        <w:rPr>
          <w:spacing w:val="-2"/>
        </w:rPr>
        <w:t> </w:t>
      </w:r>
      <w:r>
        <w:rPr/>
        <w:t>tibolone</w:t>
      </w:r>
      <w:r>
        <w:rPr>
          <w:spacing w:val="-1"/>
        </w:rPr>
        <w:t> </w:t>
      </w:r>
      <w:r>
        <w:rPr/>
        <w:t>treatment,</w:t>
      </w:r>
      <w:r>
        <w:rPr>
          <w:spacing w:val="-1"/>
        </w:rPr>
        <w:t> </w:t>
      </w:r>
      <w:r>
        <w:rPr/>
        <w:t>although</w:t>
      </w:r>
      <w:r>
        <w:rPr>
          <w:spacing w:val="-2"/>
        </w:rPr>
        <w:t> </w:t>
      </w:r>
      <w:r>
        <w:rPr/>
        <w:t>the</w:t>
      </w:r>
      <w:r>
        <w:rPr>
          <w:spacing w:val="-1"/>
        </w:rPr>
        <w:t> </w:t>
      </w:r>
      <w:r>
        <w:rPr/>
        <w:t>dose</w:t>
      </w:r>
      <w:r>
        <w:rPr>
          <w:spacing w:val="-1"/>
        </w:rPr>
        <w:t> </w:t>
      </w:r>
      <w:r>
        <w:rPr/>
        <w:t>was</w:t>
      </w:r>
      <w:r>
        <w:rPr>
          <w:spacing w:val="-2"/>
        </w:rPr>
        <w:t> </w:t>
      </w:r>
      <w:r>
        <w:rPr/>
        <w:t>lower,</w:t>
      </w:r>
      <w:r>
        <w:rPr>
          <w:spacing w:val="-1"/>
        </w:rPr>
        <w:t> </w:t>
      </w:r>
      <w:r>
        <w:rPr/>
        <w:t>1.25</w:t>
      </w:r>
      <w:r>
        <w:rPr>
          <w:spacing w:val="-1"/>
        </w:rPr>
        <w:t> </w:t>
      </w:r>
      <w:r>
        <w:rPr/>
        <w:t>mg</w:t>
      </w:r>
      <w:r>
        <w:rPr>
          <w:spacing w:val="-1"/>
        </w:rPr>
        <w:t> </w:t>
      </w:r>
      <w:r>
        <w:rPr>
          <w:spacing w:val="-2"/>
        </w:rPr>
        <w:t>daily.</w:t>
      </w:r>
      <w:r>
        <w:rPr>
          <w:spacing w:val="-2"/>
          <w:vertAlign w:val="superscript"/>
        </w:rPr>
        <w:t>341</w:t>
      </w:r>
    </w:p>
    <w:p>
      <w:pPr>
        <w:pStyle w:val="BodyText"/>
        <w:spacing w:line="249" w:lineRule="auto" w:before="15"/>
        <w:ind w:right="98" w:firstLine="450"/>
      </w:pPr>
      <w:r>
        <w:rPr/>
        <w:t>It is important to note that the previous literature documenting</w:t>
      </w:r>
      <w:r>
        <w:rPr>
          <w:spacing w:val="40"/>
        </w:rPr>
        <w:t> </w:t>
      </w:r>
      <w:r>
        <w:rPr/>
        <w:t>beneficial actions of tibolone on the breast reflected the impact of tibolone on normal breast tissue; it is plausible that tibolone’s activity to lower local bioactive estrogen levels in target tissues might be lost in cancer cells. </w:t>
      </w:r>
      <w:r>
        <w:rPr/>
        <w:t>The contrary</w:t>
      </w:r>
      <w:r>
        <w:rPr>
          <w:spacing w:val="-3"/>
        </w:rPr>
        <w:t> </w:t>
      </w:r>
      <w:r>
        <w:rPr/>
        <w:t>results</w:t>
      </w:r>
      <w:r>
        <w:rPr>
          <w:spacing w:val="-3"/>
        </w:rPr>
        <w:t> </w:t>
      </w:r>
      <w:r>
        <w:rPr/>
        <w:t>in</w:t>
      </w:r>
      <w:r>
        <w:rPr>
          <w:spacing w:val="-3"/>
        </w:rPr>
        <w:t> </w:t>
      </w:r>
      <w:r>
        <w:rPr/>
        <w:t>the</w:t>
      </w:r>
      <w:r>
        <w:rPr>
          <w:spacing w:val="-3"/>
        </w:rPr>
        <w:t> </w:t>
      </w:r>
      <w:r>
        <w:rPr/>
        <w:t>LIFT</w:t>
      </w:r>
      <w:r>
        <w:rPr>
          <w:spacing w:val="-3"/>
        </w:rPr>
        <w:t> </w:t>
      </w:r>
      <w:r>
        <w:rPr/>
        <w:t>trial</w:t>
      </w:r>
      <w:r>
        <w:rPr>
          <w:spacing w:val="-3"/>
        </w:rPr>
        <w:t> </w:t>
      </w:r>
      <w:r>
        <w:rPr/>
        <w:t>could</w:t>
      </w:r>
      <w:r>
        <w:rPr>
          <w:spacing w:val="-3"/>
        </w:rPr>
        <w:t> </w:t>
      </w:r>
      <w:r>
        <w:rPr/>
        <w:t>reflect</w:t>
      </w:r>
      <w:r>
        <w:rPr>
          <w:spacing w:val="-3"/>
        </w:rPr>
        <w:t> </w:t>
      </w:r>
      <w:r>
        <w:rPr/>
        <w:t>its</w:t>
      </w:r>
      <w:r>
        <w:rPr>
          <w:spacing w:val="-3"/>
        </w:rPr>
        <w:t> </w:t>
      </w:r>
      <w:r>
        <w:rPr/>
        <w:t>older</w:t>
      </w:r>
      <w:r>
        <w:rPr>
          <w:spacing w:val="-3"/>
        </w:rPr>
        <w:t> </w:t>
      </w:r>
      <w:r>
        <w:rPr/>
        <w:t>population</w:t>
      </w:r>
      <w:r>
        <w:rPr>
          <w:spacing w:val="-3"/>
        </w:rPr>
        <w:t> </w:t>
      </w:r>
      <w:r>
        <w:rPr/>
        <w:t>of</w:t>
      </w:r>
      <w:r>
        <w:rPr>
          <w:spacing w:val="-3"/>
        </w:rPr>
        <w:t> </w:t>
      </w:r>
      <w:r>
        <w:rPr/>
        <w:t>women at high risk for fractures, a population that also differed by having lower body weights, no history of tamoxifen treatment, and lower risk factors for breast cancer.</w:t>
      </w:r>
    </w:p>
    <w:p>
      <w:pPr>
        <w:pStyle w:val="BodyText"/>
        <w:spacing w:line="249" w:lineRule="auto" w:before="10"/>
        <w:ind w:right="99" w:firstLine="450"/>
        <w:rPr>
          <w:b/>
        </w:rPr>
      </w:pPr>
      <w:r>
        <w:rPr/>
        <w:t>Although the LIBERATE trial may apply to all breast cancer </w:t>
      </w:r>
      <w:r>
        <w:rPr/>
        <w:t>survivors, speaking strictly in a scientific sense, the results were derived mainly from tamoxifen users with 10-fold fewer users of AIs. The possibility that estrogen or tibolone would interfere with the beneficial effects of tamoxifen or AIs has always been one of the objections to treating breast cancer survivors with estrogenic hormones. In a subgroup analysis of the LIBERATE trial, the group of women who had used AIs had a greater risk of recurrent breast cancer compared with tamoxifen; however, the CI was wide because of relatively small numbers. Possibly, the estrogenic effect of tibolone would be more pronounced on an occult breast cancer in estrogen-depleted tissue compared with tissue where tamoxifen was bound to the ER and prevented estrogenic stimulation. We do not know if the LIBERATE data are meaningful for future treatment regimens. Nevertheless, </w:t>
      </w:r>
      <w:r>
        <w:rPr>
          <w:b/>
        </w:rPr>
        <w:t>until</w:t>
      </w:r>
      <w:r>
        <w:rPr>
          <w:b/>
          <w:spacing w:val="40"/>
        </w:rPr>
        <w:t> </w:t>
      </w:r>
      <w:r>
        <w:rPr>
          <w:b/>
        </w:rPr>
        <w:t>there are new data, the use of tibolone in women with a history of breast cancer remains relatively contraindicated.</w:t>
      </w:r>
    </w:p>
    <w:p>
      <w:pPr>
        <w:pStyle w:val="BodyText"/>
        <w:spacing w:before="62"/>
        <w:ind w:left="0"/>
        <w:jc w:val="left"/>
        <w:rPr>
          <w:b/>
        </w:rPr>
      </w:pPr>
    </w:p>
    <w:p>
      <w:pPr>
        <w:spacing w:before="0"/>
        <w:ind w:left="99" w:right="0" w:firstLine="0"/>
        <w:jc w:val="both"/>
        <w:rPr>
          <w:rFonts w:ascii="Arial"/>
          <w:b/>
          <w:sz w:val="30"/>
        </w:rPr>
      </w:pPr>
      <w:r>
        <w:rPr>
          <w:rFonts w:ascii="Arial"/>
          <w:b/>
          <w:color w:val="2674AE"/>
          <w:sz w:val="30"/>
        </w:rPr>
        <w:t>Effect</w:t>
      </w:r>
      <w:r>
        <w:rPr>
          <w:rFonts w:ascii="Arial"/>
          <w:b/>
          <w:color w:val="2674AE"/>
          <w:spacing w:val="-2"/>
          <w:sz w:val="30"/>
        </w:rPr>
        <w:t> </w:t>
      </w:r>
      <w:r>
        <w:rPr>
          <w:rFonts w:ascii="Arial"/>
          <w:b/>
          <w:color w:val="2674AE"/>
          <w:sz w:val="30"/>
        </w:rPr>
        <w:t>of</w:t>
      </w:r>
      <w:r>
        <w:rPr>
          <w:rFonts w:ascii="Arial"/>
          <w:b/>
          <w:color w:val="2674AE"/>
          <w:spacing w:val="-1"/>
          <w:sz w:val="30"/>
        </w:rPr>
        <w:t> </w:t>
      </w:r>
      <w:r>
        <w:rPr>
          <w:rFonts w:ascii="Arial"/>
          <w:b/>
          <w:color w:val="2674AE"/>
          <w:sz w:val="30"/>
        </w:rPr>
        <w:t>Tibolone</w:t>
      </w:r>
      <w:r>
        <w:rPr>
          <w:rFonts w:ascii="Arial"/>
          <w:b/>
          <w:color w:val="2674AE"/>
          <w:spacing w:val="-1"/>
          <w:sz w:val="30"/>
        </w:rPr>
        <w:t> </w:t>
      </w:r>
      <w:r>
        <w:rPr>
          <w:rFonts w:ascii="Arial"/>
          <w:b/>
          <w:color w:val="2674AE"/>
          <w:sz w:val="30"/>
        </w:rPr>
        <w:t>on</w:t>
      </w:r>
      <w:r>
        <w:rPr>
          <w:rFonts w:ascii="Arial"/>
          <w:b/>
          <w:color w:val="2674AE"/>
          <w:spacing w:val="-1"/>
          <w:sz w:val="30"/>
        </w:rPr>
        <w:t> </w:t>
      </w:r>
      <w:r>
        <w:rPr>
          <w:rFonts w:ascii="Arial"/>
          <w:b/>
          <w:color w:val="2674AE"/>
          <w:sz w:val="30"/>
        </w:rPr>
        <w:t>the</w:t>
      </w:r>
      <w:r>
        <w:rPr>
          <w:rFonts w:ascii="Arial"/>
          <w:b/>
          <w:color w:val="2674AE"/>
          <w:spacing w:val="-1"/>
          <w:sz w:val="30"/>
        </w:rPr>
        <w:t> </w:t>
      </w:r>
      <w:r>
        <w:rPr>
          <w:rFonts w:ascii="Arial"/>
          <w:b/>
          <w:color w:val="2674AE"/>
          <w:spacing w:val="-4"/>
          <w:sz w:val="30"/>
        </w:rPr>
        <w:t>Bone</w:t>
      </w:r>
    </w:p>
    <w:p>
      <w:pPr>
        <w:pStyle w:val="BodyText"/>
        <w:spacing w:before="166"/>
      </w:pPr>
      <w:r>
        <w:rPr/>
        <w:t>These</w:t>
      </w:r>
      <w:r>
        <w:rPr>
          <w:spacing w:val="-3"/>
        </w:rPr>
        <w:t> </w:t>
      </w:r>
      <w:r>
        <w:rPr/>
        <w:t>effects</w:t>
      </w:r>
      <w:r>
        <w:rPr>
          <w:spacing w:val="-1"/>
        </w:rPr>
        <w:t> </w:t>
      </w:r>
      <w:r>
        <w:rPr/>
        <w:t>are</w:t>
      </w:r>
      <w:r>
        <w:rPr>
          <w:spacing w:val="-1"/>
        </w:rPr>
        <w:t> </w:t>
      </w:r>
      <w:r>
        <w:rPr/>
        <w:t>discussed</w:t>
      </w:r>
      <w:r>
        <w:rPr>
          <w:spacing w:val="-1"/>
        </w:rPr>
        <w:t> </w:t>
      </w:r>
      <w:r>
        <w:rPr/>
        <w:t>in</w:t>
      </w:r>
      <w:r>
        <w:rPr>
          <w:spacing w:val="-2"/>
        </w:rPr>
        <w:t> </w:t>
      </w:r>
      <w:r>
        <w:rPr/>
        <w:t>Chapter</w:t>
      </w:r>
      <w:r>
        <w:rPr>
          <w:spacing w:val="-1"/>
        </w:rPr>
        <w:t> </w:t>
      </w:r>
      <w:r>
        <w:rPr>
          <w:spacing w:val="-5"/>
        </w:rPr>
        <w:t>23.</w:t>
      </w:r>
    </w:p>
    <w:p>
      <w:pPr>
        <w:pStyle w:val="BodyText"/>
        <w:spacing w:before="0"/>
        <w:ind w:left="0"/>
        <w:jc w:val="left"/>
        <w:rPr>
          <w:sz w:val="20"/>
        </w:rPr>
      </w:pPr>
    </w:p>
    <w:p>
      <w:pPr>
        <w:pStyle w:val="BodyText"/>
        <w:spacing w:before="126"/>
        <w:ind w:left="0"/>
        <w:jc w:val="left"/>
        <w:rPr>
          <w:sz w:val="20"/>
        </w:rPr>
      </w:pPr>
      <w:r>
        <w:rPr>
          <w:sz w:val="20"/>
        </w:rPr>
        <mc:AlternateContent>
          <mc:Choice Requires="wps">
            <w:drawing>
              <wp:anchor distT="0" distB="0" distL="0" distR="0" allowOverlap="1" layoutInCell="1" locked="0" behindDoc="1" simplePos="0" relativeHeight="487632896">
                <wp:simplePos x="0" y="0"/>
                <wp:positionH relativeFrom="page">
                  <wp:posOffset>981074</wp:posOffset>
                </wp:positionH>
                <wp:positionV relativeFrom="paragraph">
                  <wp:posOffset>241287</wp:posOffset>
                </wp:positionV>
                <wp:extent cx="5810250" cy="1334135"/>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5810250" cy="1334135"/>
                          <a:chExt cx="5810250" cy="1334135"/>
                        </a:xfrm>
                      </wpg:grpSpPr>
                      <wps:wsp>
                        <wps:cNvPr id="142" name="Graphic 14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143" name="Graphic 143"/>
                        <wps:cNvSpPr/>
                        <wps:spPr>
                          <a:xfrm>
                            <a:off x="0" y="742949"/>
                            <a:ext cx="5810250" cy="591185"/>
                          </a:xfrm>
                          <a:custGeom>
                            <a:avLst/>
                            <a:gdLst/>
                            <a:ahLst/>
                            <a:cxnLst/>
                            <a:rect l="l" t="t" r="r" b="b"/>
                            <a:pathLst>
                              <a:path w="5810250" h="591185">
                                <a:moveTo>
                                  <a:pt x="0" y="590561"/>
                                </a:moveTo>
                                <a:lnTo>
                                  <a:pt x="5810249" y="590561"/>
                                </a:lnTo>
                                <a:lnTo>
                                  <a:pt x="5810249" y="0"/>
                                </a:lnTo>
                                <a:lnTo>
                                  <a:pt x="0" y="0"/>
                                </a:lnTo>
                                <a:lnTo>
                                  <a:pt x="0" y="590561"/>
                                </a:lnTo>
                                <a:close/>
                              </a:path>
                            </a:pathLst>
                          </a:custGeom>
                          <a:solidFill>
                            <a:srgbClr val="E9F1CD"/>
                          </a:solidFill>
                        </wps:spPr>
                        <wps:bodyPr wrap="square" lIns="0" tIns="0" rIns="0" bIns="0" rtlCol="0">
                          <a:prstTxWarp prst="textNoShape">
                            <a:avLst/>
                          </a:prstTxWarp>
                          <a:noAutofit/>
                        </wps:bodyPr>
                      </wps:wsp>
                      <wps:wsp>
                        <wps:cNvPr id="144" name="Graphic 144"/>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45" name="Graphic 145"/>
                        <wps:cNvSpPr/>
                        <wps:spPr>
                          <a:xfrm>
                            <a:off x="209550" y="228616"/>
                            <a:ext cx="371475" cy="57150"/>
                          </a:xfrm>
                          <a:custGeom>
                            <a:avLst/>
                            <a:gdLst/>
                            <a:ahLst/>
                            <a:cxnLst/>
                            <a:rect l="l" t="t" r="r" b="b"/>
                            <a:pathLst>
                              <a:path w="371475" h="57150">
                                <a:moveTo>
                                  <a:pt x="32364" y="57111"/>
                                </a:moveTo>
                                <a:lnTo>
                                  <a:pt x="24785" y="57111"/>
                                </a:lnTo>
                                <a:lnTo>
                                  <a:pt x="21140" y="56368"/>
                                </a:lnTo>
                                <a:lnTo>
                                  <a:pt x="0" y="32337"/>
                                </a:lnTo>
                                <a:lnTo>
                                  <a:pt x="0" y="24745"/>
                                </a:lnTo>
                                <a:lnTo>
                                  <a:pt x="725" y="21097"/>
                                </a:lnTo>
                                <a:lnTo>
                                  <a:pt x="3625" y="14068"/>
                                </a:lnTo>
                                <a:lnTo>
                                  <a:pt x="5689" y="10972"/>
                                </a:lnTo>
                                <a:lnTo>
                                  <a:pt x="8369" y="8334"/>
                                </a:lnTo>
                                <a:lnTo>
                                  <a:pt x="11048" y="5619"/>
                                </a:lnTo>
                                <a:lnTo>
                                  <a:pt x="14138" y="3571"/>
                                </a:lnTo>
                                <a:lnTo>
                                  <a:pt x="21140" y="704"/>
                                </a:lnTo>
                                <a:lnTo>
                                  <a:pt x="24785" y="0"/>
                                </a:lnTo>
                                <a:lnTo>
                                  <a:pt x="32364" y="0"/>
                                </a:lnTo>
                                <a:lnTo>
                                  <a:pt x="36009" y="704"/>
                                </a:lnTo>
                                <a:lnTo>
                                  <a:pt x="43011" y="3571"/>
                                </a:lnTo>
                                <a:lnTo>
                                  <a:pt x="46101" y="5619"/>
                                </a:lnTo>
                                <a:lnTo>
                                  <a:pt x="48780" y="8334"/>
                                </a:lnTo>
                                <a:lnTo>
                                  <a:pt x="51459" y="10972"/>
                                </a:lnTo>
                                <a:lnTo>
                                  <a:pt x="53524" y="14068"/>
                                </a:lnTo>
                                <a:lnTo>
                                  <a:pt x="56424" y="21097"/>
                                </a:lnTo>
                                <a:lnTo>
                                  <a:pt x="57149" y="24745"/>
                                </a:lnTo>
                                <a:lnTo>
                                  <a:pt x="57149" y="32337"/>
                                </a:lnTo>
                                <a:lnTo>
                                  <a:pt x="36009" y="56368"/>
                                </a:lnTo>
                                <a:lnTo>
                                  <a:pt x="32364" y="57111"/>
                                </a:lnTo>
                                <a:close/>
                              </a:path>
                              <a:path w="371475" h="57150">
                                <a:moveTo>
                                  <a:pt x="137044" y="57111"/>
                                </a:moveTo>
                                <a:lnTo>
                                  <a:pt x="129465" y="57111"/>
                                </a:lnTo>
                                <a:lnTo>
                                  <a:pt x="125820" y="56368"/>
                                </a:lnTo>
                                <a:lnTo>
                                  <a:pt x="104679" y="32337"/>
                                </a:lnTo>
                                <a:lnTo>
                                  <a:pt x="104679" y="24745"/>
                                </a:lnTo>
                                <a:lnTo>
                                  <a:pt x="105404" y="21097"/>
                                </a:lnTo>
                                <a:lnTo>
                                  <a:pt x="108304" y="14068"/>
                                </a:lnTo>
                                <a:lnTo>
                                  <a:pt x="110369" y="10972"/>
                                </a:lnTo>
                                <a:lnTo>
                                  <a:pt x="113049" y="8334"/>
                                </a:lnTo>
                                <a:lnTo>
                                  <a:pt x="115728" y="5619"/>
                                </a:lnTo>
                                <a:lnTo>
                                  <a:pt x="118818" y="3571"/>
                                </a:lnTo>
                                <a:lnTo>
                                  <a:pt x="125820" y="704"/>
                                </a:lnTo>
                                <a:lnTo>
                                  <a:pt x="129465" y="0"/>
                                </a:lnTo>
                                <a:lnTo>
                                  <a:pt x="137044" y="0"/>
                                </a:lnTo>
                                <a:lnTo>
                                  <a:pt x="140689" y="704"/>
                                </a:lnTo>
                                <a:lnTo>
                                  <a:pt x="147690" y="3571"/>
                                </a:lnTo>
                                <a:lnTo>
                                  <a:pt x="150780" y="5619"/>
                                </a:lnTo>
                                <a:lnTo>
                                  <a:pt x="153460" y="8334"/>
                                </a:lnTo>
                                <a:lnTo>
                                  <a:pt x="156139" y="10972"/>
                                </a:lnTo>
                                <a:lnTo>
                                  <a:pt x="158204" y="14068"/>
                                </a:lnTo>
                                <a:lnTo>
                                  <a:pt x="161104" y="21097"/>
                                </a:lnTo>
                                <a:lnTo>
                                  <a:pt x="161829" y="24745"/>
                                </a:lnTo>
                                <a:lnTo>
                                  <a:pt x="161829" y="32337"/>
                                </a:lnTo>
                                <a:lnTo>
                                  <a:pt x="140689" y="56368"/>
                                </a:lnTo>
                                <a:lnTo>
                                  <a:pt x="137044" y="57111"/>
                                </a:lnTo>
                                <a:close/>
                              </a:path>
                              <a:path w="371475" h="57150">
                                <a:moveTo>
                                  <a:pt x="241723" y="57111"/>
                                </a:moveTo>
                                <a:lnTo>
                                  <a:pt x="234145" y="57111"/>
                                </a:lnTo>
                                <a:lnTo>
                                  <a:pt x="230500" y="56368"/>
                                </a:lnTo>
                                <a:lnTo>
                                  <a:pt x="209359" y="32337"/>
                                </a:lnTo>
                                <a:lnTo>
                                  <a:pt x="209359" y="24745"/>
                                </a:lnTo>
                                <a:lnTo>
                                  <a:pt x="210084" y="21097"/>
                                </a:lnTo>
                                <a:lnTo>
                                  <a:pt x="212984" y="14068"/>
                                </a:lnTo>
                                <a:lnTo>
                                  <a:pt x="215049" y="10972"/>
                                </a:lnTo>
                                <a:lnTo>
                                  <a:pt x="217728" y="8334"/>
                                </a:lnTo>
                                <a:lnTo>
                                  <a:pt x="220408" y="5619"/>
                                </a:lnTo>
                                <a:lnTo>
                                  <a:pt x="223498" y="3571"/>
                                </a:lnTo>
                                <a:lnTo>
                                  <a:pt x="230500" y="704"/>
                                </a:lnTo>
                                <a:lnTo>
                                  <a:pt x="234145" y="0"/>
                                </a:lnTo>
                                <a:lnTo>
                                  <a:pt x="241723" y="0"/>
                                </a:lnTo>
                                <a:lnTo>
                                  <a:pt x="245368" y="704"/>
                                </a:lnTo>
                                <a:lnTo>
                                  <a:pt x="252370" y="3571"/>
                                </a:lnTo>
                                <a:lnTo>
                                  <a:pt x="255460" y="5619"/>
                                </a:lnTo>
                                <a:lnTo>
                                  <a:pt x="258140" y="8334"/>
                                </a:lnTo>
                                <a:lnTo>
                                  <a:pt x="260819" y="10972"/>
                                </a:lnTo>
                                <a:lnTo>
                                  <a:pt x="262884" y="14068"/>
                                </a:lnTo>
                                <a:lnTo>
                                  <a:pt x="265784" y="21097"/>
                                </a:lnTo>
                                <a:lnTo>
                                  <a:pt x="266509" y="24745"/>
                                </a:lnTo>
                                <a:lnTo>
                                  <a:pt x="266509" y="32337"/>
                                </a:lnTo>
                                <a:lnTo>
                                  <a:pt x="245368" y="56368"/>
                                </a:lnTo>
                                <a:lnTo>
                                  <a:pt x="241723" y="57111"/>
                                </a:lnTo>
                                <a:close/>
                              </a:path>
                              <a:path w="371475" h="57150">
                                <a:moveTo>
                                  <a:pt x="346403" y="57111"/>
                                </a:moveTo>
                                <a:lnTo>
                                  <a:pt x="338824" y="57111"/>
                                </a:lnTo>
                                <a:lnTo>
                                  <a:pt x="335179" y="56368"/>
                                </a:lnTo>
                                <a:lnTo>
                                  <a:pt x="314039" y="32337"/>
                                </a:lnTo>
                                <a:lnTo>
                                  <a:pt x="314039" y="24745"/>
                                </a:lnTo>
                                <a:lnTo>
                                  <a:pt x="314764" y="21097"/>
                                </a:lnTo>
                                <a:lnTo>
                                  <a:pt x="317664" y="14068"/>
                                </a:lnTo>
                                <a:lnTo>
                                  <a:pt x="319729" y="10972"/>
                                </a:lnTo>
                                <a:lnTo>
                                  <a:pt x="322408" y="8334"/>
                                </a:lnTo>
                                <a:lnTo>
                                  <a:pt x="325088" y="5619"/>
                                </a:lnTo>
                                <a:lnTo>
                                  <a:pt x="328178" y="3571"/>
                                </a:lnTo>
                                <a:lnTo>
                                  <a:pt x="335179" y="704"/>
                                </a:lnTo>
                                <a:lnTo>
                                  <a:pt x="338824" y="0"/>
                                </a:lnTo>
                                <a:lnTo>
                                  <a:pt x="346403" y="0"/>
                                </a:lnTo>
                                <a:lnTo>
                                  <a:pt x="350048" y="704"/>
                                </a:lnTo>
                                <a:lnTo>
                                  <a:pt x="357050" y="3571"/>
                                </a:lnTo>
                                <a:lnTo>
                                  <a:pt x="360140" y="5619"/>
                                </a:lnTo>
                                <a:lnTo>
                                  <a:pt x="362819" y="8334"/>
                                </a:lnTo>
                                <a:lnTo>
                                  <a:pt x="365499" y="10972"/>
                                </a:lnTo>
                                <a:lnTo>
                                  <a:pt x="367563" y="14068"/>
                                </a:lnTo>
                                <a:lnTo>
                                  <a:pt x="370464" y="21097"/>
                                </a:lnTo>
                                <a:lnTo>
                                  <a:pt x="371189" y="24745"/>
                                </a:lnTo>
                                <a:lnTo>
                                  <a:pt x="371189" y="32337"/>
                                </a:lnTo>
                                <a:lnTo>
                                  <a:pt x="350048" y="56368"/>
                                </a:lnTo>
                                <a:lnTo>
                                  <a:pt x="346403" y="57111"/>
                                </a:lnTo>
                                <a:close/>
                              </a:path>
                            </a:pathLst>
                          </a:custGeom>
                          <a:solidFill>
                            <a:srgbClr val="D0E399"/>
                          </a:solidFill>
                        </wps:spPr>
                        <wps:bodyPr wrap="square" lIns="0" tIns="0" rIns="0" bIns="0" rtlCol="0">
                          <a:prstTxWarp prst="textNoShape">
                            <a:avLst/>
                          </a:prstTxWarp>
                          <a:noAutofit/>
                        </wps:bodyPr>
                      </wps:wsp>
                      <wps:wsp>
                        <wps:cNvPr id="146" name="Graphic 146"/>
                        <wps:cNvSpPr/>
                        <wps:spPr>
                          <a:xfrm>
                            <a:off x="133350" y="1000124"/>
                            <a:ext cx="47625" cy="47625"/>
                          </a:xfrm>
                          <a:custGeom>
                            <a:avLst/>
                            <a:gdLst/>
                            <a:ahLst/>
                            <a:cxnLst/>
                            <a:rect l="l" t="t" r="r" b="b"/>
                            <a:pathLst>
                              <a:path w="47625" h="47625">
                                <a:moveTo>
                                  <a:pt x="26970" y="47586"/>
                                </a:moveTo>
                                <a:lnTo>
                                  <a:pt x="20654" y="47586"/>
                                </a:lnTo>
                                <a:lnTo>
                                  <a:pt x="17617" y="46996"/>
                                </a:lnTo>
                                <a:lnTo>
                                  <a:pt x="0" y="26936"/>
                                </a:lnTo>
                                <a:lnTo>
                                  <a:pt x="0" y="20650"/>
                                </a:lnTo>
                                <a:lnTo>
                                  <a:pt x="20654" y="0"/>
                                </a:lnTo>
                                <a:lnTo>
                                  <a:pt x="26970" y="0"/>
                                </a:lnTo>
                                <a:lnTo>
                                  <a:pt x="47625" y="23812"/>
                                </a:lnTo>
                                <a:lnTo>
                                  <a:pt x="47624" y="26936"/>
                                </a:lnTo>
                                <a:lnTo>
                                  <a:pt x="26970" y="47586"/>
                                </a:lnTo>
                                <a:close/>
                              </a:path>
                            </a:pathLst>
                          </a:custGeom>
                          <a:solidFill>
                            <a:srgbClr val="2B816F"/>
                          </a:solidFill>
                        </wps:spPr>
                        <wps:bodyPr wrap="square" lIns="0" tIns="0" rIns="0" bIns="0" rtlCol="0">
                          <a:prstTxWarp prst="textNoShape">
                            <a:avLst/>
                          </a:prstTxWarp>
                          <a:noAutofit/>
                        </wps:bodyPr>
                      </wps:wsp>
                      <wps:wsp>
                        <wps:cNvPr id="147" name="Textbox 147"/>
                        <wps:cNvSpPr txBox="1"/>
                        <wps:spPr>
                          <a:xfrm>
                            <a:off x="0" y="742949"/>
                            <a:ext cx="5810250" cy="591185"/>
                          </a:xfrm>
                          <a:prstGeom prst="rect">
                            <a:avLst/>
                          </a:prstGeom>
                        </wps:spPr>
                        <wps:txbx>
                          <w:txbxContent>
                            <w:p>
                              <w:pPr>
                                <w:spacing w:line="240" w:lineRule="auto" w:before="51"/>
                                <w:rPr>
                                  <w:sz w:val="22"/>
                                </w:rPr>
                              </w:pPr>
                            </w:p>
                            <w:p>
                              <w:pPr>
                                <w:spacing w:line="256" w:lineRule="auto" w:before="0"/>
                                <w:ind w:left="444" w:right="610" w:firstLine="0"/>
                                <w:jc w:val="left"/>
                                <w:rPr>
                                  <w:b/>
                                  <w:sz w:val="22"/>
                                </w:rPr>
                              </w:pPr>
                              <w:r>
                                <w:rPr>
                                  <w:b/>
                                  <w:sz w:val="22"/>
                                </w:rPr>
                                <w:t>Tibolone</w:t>
                              </w:r>
                              <w:r>
                                <w:rPr>
                                  <w:b/>
                                  <w:spacing w:val="73"/>
                                  <w:sz w:val="22"/>
                                </w:rPr>
                                <w:t> </w:t>
                              </w:r>
                              <w:r>
                                <w:rPr>
                                  <w:b/>
                                  <w:sz w:val="22"/>
                                </w:rPr>
                                <w:t>is</w:t>
                              </w:r>
                              <w:r>
                                <w:rPr>
                                  <w:b/>
                                  <w:spacing w:val="73"/>
                                  <w:sz w:val="22"/>
                                </w:rPr>
                                <w:t> </w:t>
                              </w:r>
                              <w:r>
                                <w:rPr>
                                  <w:b/>
                                  <w:sz w:val="22"/>
                                </w:rPr>
                                <w:t>an</w:t>
                              </w:r>
                              <w:r>
                                <w:rPr>
                                  <w:b/>
                                  <w:spacing w:val="73"/>
                                  <w:sz w:val="22"/>
                                </w:rPr>
                                <w:t> </w:t>
                              </w:r>
                              <w:r>
                                <w:rPr>
                                  <w:b/>
                                  <w:sz w:val="22"/>
                                </w:rPr>
                                <w:t>appropriate</w:t>
                              </w:r>
                              <w:r>
                                <w:rPr>
                                  <w:b/>
                                  <w:spacing w:val="73"/>
                                  <w:sz w:val="22"/>
                                </w:rPr>
                                <w:t> </w:t>
                              </w:r>
                              <w:r>
                                <w:rPr>
                                  <w:b/>
                                  <w:sz w:val="22"/>
                                </w:rPr>
                                <w:t>choice</w:t>
                              </w:r>
                              <w:r>
                                <w:rPr>
                                  <w:b/>
                                  <w:spacing w:val="73"/>
                                  <w:sz w:val="22"/>
                                </w:rPr>
                                <w:t> </w:t>
                              </w:r>
                              <w:r>
                                <w:rPr>
                                  <w:b/>
                                  <w:sz w:val="22"/>
                                </w:rPr>
                                <w:t>for</w:t>
                              </w:r>
                              <w:r>
                                <w:rPr>
                                  <w:b/>
                                  <w:spacing w:val="73"/>
                                  <w:sz w:val="22"/>
                                </w:rPr>
                                <w:t> </w:t>
                              </w:r>
                              <w:r>
                                <w:rPr>
                                  <w:b/>
                                  <w:sz w:val="22"/>
                                </w:rPr>
                                <w:t>HT,</w:t>
                              </w:r>
                              <w:r>
                                <w:rPr>
                                  <w:b/>
                                  <w:spacing w:val="73"/>
                                  <w:sz w:val="22"/>
                                </w:rPr>
                                <w:t> </w:t>
                              </w:r>
                              <w:r>
                                <w:rPr>
                                  <w:b/>
                                  <w:sz w:val="22"/>
                                </w:rPr>
                                <w:t>suitable</w:t>
                              </w:r>
                              <w:r>
                                <w:rPr>
                                  <w:b/>
                                  <w:spacing w:val="73"/>
                                  <w:sz w:val="22"/>
                                </w:rPr>
                                <w:t> </w:t>
                              </w:r>
                              <w:r>
                                <w:rPr>
                                  <w:b/>
                                  <w:sz w:val="22"/>
                                </w:rPr>
                                <w:t>for</w:t>
                              </w:r>
                              <w:r>
                                <w:rPr>
                                  <w:b/>
                                  <w:spacing w:val="73"/>
                                  <w:sz w:val="22"/>
                                </w:rPr>
                                <w:t> </w:t>
                              </w:r>
                              <w:r>
                                <w:rPr>
                                  <w:b/>
                                  <w:sz w:val="22"/>
                                </w:rPr>
                                <w:t>many</w:t>
                              </w:r>
                              <w:r>
                                <w:rPr>
                                  <w:b/>
                                  <w:spacing w:val="73"/>
                                  <w:sz w:val="22"/>
                                </w:rPr>
                                <w:t> </w:t>
                              </w:r>
                              <w:r>
                                <w:rPr>
                                  <w:b/>
                                  <w:sz w:val="22"/>
                                </w:rPr>
                                <w:t>postmenopausal </w:t>
                              </w:r>
                              <w:r>
                                <w:rPr>
                                  <w:b/>
                                  <w:spacing w:val="-2"/>
                                  <w:sz w:val="22"/>
                                </w:rPr>
                                <w:t>women.</w:t>
                              </w:r>
                            </w:p>
                          </w:txbxContent>
                        </wps:txbx>
                        <wps:bodyPr wrap="square" lIns="0" tIns="0" rIns="0" bIns="0" rtlCol="0">
                          <a:noAutofit/>
                        </wps:bodyPr>
                      </wps:wsp>
                      <wps:wsp>
                        <wps:cNvPr id="148" name="Textbox 148"/>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7"/>
                                  <w:sz w:val="33"/>
                                </w:rPr>
                                <w:t> </w:t>
                              </w:r>
                              <w:r>
                                <w:rPr>
                                  <w:rFonts w:ascii="Arial"/>
                                  <w:color w:val="FFFFFF"/>
                                  <w:sz w:val="33"/>
                                </w:rPr>
                                <w:t>Points:</w:t>
                              </w:r>
                              <w:r>
                                <w:rPr>
                                  <w:rFonts w:ascii="Arial"/>
                                  <w:color w:val="FFFFFF"/>
                                  <w:spacing w:val="18"/>
                                  <w:sz w:val="33"/>
                                </w:rPr>
                                <w:t> </w:t>
                              </w:r>
                              <w:r>
                                <w:rPr>
                                  <w:rFonts w:ascii="Arial"/>
                                  <w:color w:val="FFFFFF"/>
                                  <w:spacing w:val="-2"/>
                                  <w:sz w:val="33"/>
                                </w:rPr>
                                <w:t>Tibolone</w:t>
                              </w:r>
                            </w:p>
                          </w:txbxContent>
                        </wps:txbx>
                        <wps:bodyPr wrap="square" lIns="0" tIns="0" rIns="0" bIns="0" rtlCol="0">
                          <a:noAutofit/>
                        </wps:bodyPr>
                      </wps:wsp>
                    </wpg:wgp>
                  </a:graphicData>
                </a:graphic>
              </wp:anchor>
            </w:drawing>
          </mc:Choice>
          <mc:Fallback>
            <w:pict>
              <v:group style="position:absolute;margin-left:77.249992pt;margin-top:18.999023pt;width:457.5pt;height:105.05pt;mso-position-horizontal-relative:page;mso-position-vertical-relative:paragraph;z-index:-15683584;mso-wrap-distance-left:0;mso-wrap-distance-right:0" id="docshapegroup122" coordorigin="1545,380" coordsize="9150,2101">
                <v:rect style="position:absolute;left:1545;top:379;width:9150;height:30" id="docshape123" filled="true" fillcolor="#d5e699" stroked="false">
                  <v:fill type="solid"/>
                </v:rect>
                <v:rect style="position:absolute;left:1545;top:1549;width:9150;height:931" id="docshape124" filled="true" fillcolor="#e9f1cd" stroked="false">
                  <v:fill type="solid"/>
                </v:rect>
                <v:rect style="position:absolute;left:1545;top:469;width:9150;height:1080" id="docshape125" filled="true" fillcolor="#2b816f" stroked="false">
                  <v:fill type="solid"/>
                </v:rect>
                <v:shape style="position:absolute;left:1875;top:740;width:585;height:90" id="docshape126" coordorigin="1875,740" coordsize="585,90" path="m1926,830l1914,830,1908,829,1897,824,1892,821,1888,817,1884,812,1881,808,1876,797,1875,791,1875,779,1876,773,1881,762,1884,757,1888,753,1892,749,1897,746,1908,741,1914,740,1926,740,1932,741,1943,746,1948,749,1952,753,1956,757,1959,762,1964,773,1965,779,1965,791,1964,797,1959,808,1956,812,1952,817,1948,821,1943,824,1932,829,1926,830xm2091,830l2079,830,2073,829,2062,824,2057,821,2053,817,2049,812,2046,808,2041,797,2040,791,2040,779,2041,773,2046,762,2049,757,2053,753,2057,749,2062,746,2073,741,2079,740,2091,740,2097,741,2108,746,2112,749,2117,753,2121,757,2124,762,2129,773,2130,779,2130,791,2129,797,2124,808,2121,812,2117,817,2112,821,2108,824,2097,829,2091,830xm2256,830l2244,830,2238,829,2227,824,2222,821,2218,817,2214,812,2210,808,2206,797,2205,791,2205,779,2206,773,2210,762,2214,757,2218,753,2222,749,2227,746,2238,741,2244,740,2256,740,2261,741,2272,746,2277,749,2282,753,2286,757,2289,762,2294,773,2295,779,2295,791,2294,797,2289,808,2286,812,2282,817,2277,821,2272,824,2261,829,2256,830xm2421,830l2409,830,2403,829,2392,824,2387,821,2383,817,2379,812,2375,808,2371,797,2370,791,2370,779,2371,773,2375,762,2379,757,2383,753,2387,749,2392,746,2403,741,2409,740,2421,740,2426,741,2437,746,2442,749,2446,753,2451,757,2454,762,2458,773,2460,779,2460,791,2458,797,2454,808,2451,812,2446,817,2442,821,2437,824,2426,829,2421,830xe" filled="true" fillcolor="#d0e399" stroked="false">
                  <v:path arrowok="t"/>
                  <v:fill type="solid"/>
                </v:shape>
                <v:shape style="position:absolute;left:1755;top:1954;width:75;height:75" id="docshape127" coordorigin="1755,1955" coordsize="75,75" path="m1797,2030l1788,2030,1783,2029,1755,1997,1755,1988,1788,1955,1797,1955,1830,1992,1830,1997,1797,2030xe" filled="true" fillcolor="#2b816f" stroked="false">
                  <v:path arrowok="t"/>
                  <v:fill type="solid"/>
                </v:shape>
                <v:shape style="position:absolute;left:1545;top:1549;width:9150;height:931" type="#_x0000_t202" id="docshape128" filled="false" stroked="false">
                  <v:textbox inset="0,0,0,0">
                    <w:txbxContent>
                      <w:p>
                        <w:pPr>
                          <w:spacing w:line="240" w:lineRule="auto" w:before="51"/>
                          <w:rPr>
                            <w:sz w:val="22"/>
                          </w:rPr>
                        </w:pPr>
                      </w:p>
                      <w:p>
                        <w:pPr>
                          <w:spacing w:line="256" w:lineRule="auto" w:before="0"/>
                          <w:ind w:left="444" w:right="610" w:firstLine="0"/>
                          <w:jc w:val="left"/>
                          <w:rPr>
                            <w:b/>
                            <w:sz w:val="22"/>
                          </w:rPr>
                        </w:pPr>
                        <w:r>
                          <w:rPr>
                            <w:b/>
                            <w:sz w:val="22"/>
                          </w:rPr>
                          <w:t>Tibolone</w:t>
                        </w:r>
                        <w:r>
                          <w:rPr>
                            <w:b/>
                            <w:spacing w:val="73"/>
                            <w:sz w:val="22"/>
                          </w:rPr>
                          <w:t> </w:t>
                        </w:r>
                        <w:r>
                          <w:rPr>
                            <w:b/>
                            <w:sz w:val="22"/>
                          </w:rPr>
                          <w:t>is</w:t>
                        </w:r>
                        <w:r>
                          <w:rPr>
                            <w:b/>
                            <w:spacing w:val="73"/>
                            <w:sz w:val="22"/>
                          </w:rPr>
                          <w:t> </w:t>
                        </w:r>
                        <w:r>
                          <w:rPr>
                            <w:b/>
                            <w:sz w:val="22"/>
                          </w:rPr>
                          <w:t>an</w:t>
                        </w:r>
                        <w:r>
                          <w:rPr>
                            <w:b/>
                            <w:spacing w:val="73"/>
                            <w:sz w:val="22"/>
                          </w:rPr>
                          <w:t> </w:t>
                        </w:r>
                        <w:r>
                          <w:rPr>
                            <w:b/>
                            <w:sz w:val="22"/>
                          </w:rPr>
                          <w:t>appropriate</w:t>
                        </w:r>
                        <w:r>
                          <w:rPr>
                            <w:b/>
                            <w:spacing w:val="73"/>
                            <w:sz w:val="22"/>
                          </w:rPr>
                          <w:t> </w:t>
                        </w:r>
                        <w:r>
                          <w:rPr>
                            <w:b/>
                            <w:sz w:val="22"/>
                          </w:rPr>
                          <w:t>choice</w:t>
                        </w:r>
                        <w:r>
                          <w:rPr>
                            <w:b/>
                            <w:spacing w:val="73"/>
                            <w:sz w:val="22"/>
                          </w:rPr>
                          <w:t> </w:t>
                        </w:r>
                        <w:r>
                          <w:rPr>
                            <w:b/>
                            <w:sz w:val="22"/>
                          </w:rPr>
                          <w:t>for</w:t>
                        </w:r>
                        <w:r>
                          <w:rPr>
                            <w:b/>
                            <w:spacing w:val="73"/>
                            <w:sz w:val="22"/>
                          </w:rPr>
                          <w:t> </w:t>
                        </w:r>
                        <w:r>
                          <w:rPr>
                            <w:b/>
                            <w:sz w:val="22"/>
                          </w:rPr>
                          <w:t>HT,</w:t>
                        </w:r>
                        <w:r>
                          <w:rPr>
                            <w:b/>
                            <w:spacing w:val="73"/>
                            <w:sz w:val="22"/>
                          </w:rPr>
                          <w:t> </w:t>
                        </w:r>
                        <w:r>
                          <w:rPr>
                            <w:b/>
                            <w:sz w:val="22"/>
                          </w:rPr>
                          <w:t>suitable</w:t>
                        </w:r>
                        <w:r>
                          <w:rPr>
                            <w:b/>
                            <w:spacing w:val="73"/>
                            <w:sz w:val="22"/>
                          </w:rPr>
                          <w:t> </w:t>
                        </w:r>
                        <w:r>
                          <w:rPr>
                            <w:b/>
                            <w:sz w:val="22"/>
                          </w:rPr>
                          <w:t>for</w:t>
                        </w:r>
                        <w:r>
                          <w:rPr>
                            <w:b/>
                            <w:spacing w:val="73"/>
                            <w:sz w:val="22"/>
                          </w:rPr>
                          <w:t> </w:t>
                        </w:r>
                        <w:r>
                          <w:rPr>
                            <w:b/>
                            <w:sz w:val="22"/>
                          </w:rPr>
                          <w:t>many</w:t>
                        </w:r>
                        <w:r>
                          <w:rPr>
                            <w:b/>
                            <w:spacing w:val="73"/>
                            <w:sz w:val="22"/>
                          </w:rPr>
                          <w:t> </w:t>
                        </w:r>
                        <w:r>
                          <w:rPr>
                            <w:b/>
                            <w:sz w:val="22"/>
                          </w:rPr>
                          <w:t>postmenopausal </w:t>
                        </w:r>
                        <w:r>
                          <w:rPr>
                            <w:b/>
                            <w:spacing w:val="-2"/>
                            <w:sz w:val="22"/>
                          </w:rPr>
                          <w:t>women.</w:t>
                        </w:r>
                      </w:p>
                    </w:txbxContent>
                  </v:textbox>
                  <w10:wrap type="none"/>
                </v:shape>
                <v:shape style="position:absolute;left:1545;top:469;width:9150;height:1080" type="#_x0000_t202" id="docshape129"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7"/>
                            <w:sz w:val="33"/>
                          </w:rPr>
                          <w:t> </w:t>
                        </w:r>
                        <w:r>
                          <w:rPr>
                            <w:rFonts w:ascii="Arial"/>
                            <w:color w:val="FFFFFF"/>
                            <w:sz w:val="33"/>
                          </w:rPr>
                          <w:t>Points:</w:t>
                        </w:r>
                        <w:r>
                          <w:rPr>
                            <w:rFonts w:ascii="Arial"/>
                            <w:color w:val="FFFFFF"/>
                            <w:spacing w:val="18"/>
                            <w:sz w:val="33"/>
                          </w:rPr>
                          <w:t> </w:t>
                        </w:r>
                        <w:r>
                          <w:rPr>
                            <w:rFonts w:ascii="Arial"/>
                            <w:color w:val="FFFFFF"/>
                            <w:spacing w:val="-2"/>
                            <w:sz w:val="33"/>
                          </w:rPr>
                          <w:t>Tibolone</w:t>
                        </w:r>
                      </w:p>
                    </w:txbxContent>
                  </v:textbox>
                  <w10:wrap type="none"/>
                </v:shape>
                <w10:wrap type="topAndBottom"/>
              </v:group>
            </w:pict>
          </mc:Fallback>
        </mc:AlternateContent>
      </w:r>
    </w:p>
    <w:p>
      <w:pPr>
        <w:pStyle w:val="BodyText"/>
        <w:spacing w:after="0"/>
        <w:jc w:val="left"/>
        <w:rPr>
          <w:sz w:val="20"/>
        </w:rPr>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2095500"/>
                <wp:effectExtent l="0" t="0" r="0" b="0"/>
                <wp:docPr id="149" name="Group 149"/>
                <wp:cNvGraphicFramePr>
                  <a:graphicFrameLocks/>
                </wp:cNvGraphicFramePr>
                <a:graphic>
                  <a:graphicData uri="http://schemas.microsoft.com/office/word/2010/wordprocessingGroup">
                    <wpg:wgp>
                      <wpg:cNvPr id="149" name="Group 149"/>
                      <wpg:cNvGrpSpPr/>
                      <wpg:grpSpPr>
                        <a:xfrm>
                          <a:off x="0" y="0"/>
                          <a:ext cx="5810250" cy="2095500"/>
                          <a:chExt cx="5810250" cy="2095500"/>
                        </a:xfrm>
                      </wpg:grpSpPr>
                      <wps:wsp>
                        <wps:cNvPr id="150" name="Graphic 150"/>
                        <wps:cNvSpPr/>
                        <wps:spPr>
                          <a:xfrm>
                            <a:off x="0" y="0"/>
                            <a:ext cx="5810250" cy="2095500"/>
                          </a:xfrm>
                          <a:custGeom>
                            <a:avLst/>
                            <a:gdLst/>
                            <a:ahLst/>
                            <a:cxnLst/>
                            <a:rect l="l" t="t" r="r" b="b"/>
                            <a:pathLst>
                              <a:path w="5810250" h="2095500">
                                <a:moveTo>
                                  <a:pt x="5810249" y="2095483"/>
                                </a:moveTo>
                                <a:lnTo>
                                  <a:pt x="0" y="2095483"/>
                                </a:lnTo>
                                <a:lnTo>
                                  <a:pt x="0" y="0"/>
                                </a:lnTo>
                                <a:lnTo>
                                  <a:pt x="5810249" y="0"/>
                                </a:lnTo>
                                <a:lnTo>
                                  <a:pt x="5810249" y="2095483"/>
                                </a:lnTo>
                                <a:close/>
                              </a:path>
                            </a:pathLst>
                          </a:custGeom>
                          <a:solidFill>
                            <a:srgbClr val="E9F1CD"/>
                          </a:solidFill>
                        </wps:spPr>
                        <wps:bodyPr wrap="square" lIns="0" tIns="0" rIns="0" bIns="0" rtlCol="0">
                          <a:prstTxWarp prst="textNoShape">
                            <a:avLst/>
                          </a:prstTxWarp>
                          <a:noAutofit/>
                        </wps:bodyPr>
                      </wps:wsp>
                      <wps:wsp>
                        <wps:cNvPr id="151" name="Graphic 151"/>
                        <wps:cNvSpPr/>
                        <wps:spPr>
                          <a:xfrm>
                            <a:off x="133337" y="66665"/>
                            <a:ext cx="47625" cy="1247775"/>
                          </a:xfrm>
                          <a:custGeom>
                            <a:avLst/>
                            <a:gdLst/>
                            <a:ahLst/>
                            <a:cxnLst/>
                            <a:rect l="l" t="t" r="r" b="b"/>
                            <a:pathLst>
                              <a:path w="47625" h="1247775">
                                <a:moveTo>
                                  <a:pt x="47625" y="1220762"/>
                                </a:moveTo>
                                <a:lnTo>
                                  <a:pt x="26974" y="1200150"/>
                                </a:lnTo>
                                <a:lnTo>
                                  <a:pt x="20662" y="1200150"/>
                                </a:lnTo>
                                <a:lnTo>
                                  <a:pt x="0" y="1220762"/>
                                </a:lnTo>
                                <a:lnTo>
                                  <a:pt x="0" y="1227086"/>
                                </a:lnTo>
                                <a:lnTo>
                                  <a:pt x="20662" y="1247736"/>
                                </a:lnTo>
                                <a:lnTo>
                                  <a:pt x="26974" y="1247736"/>
                                </a:lnTo>
                                <a:lnTo>
                                  <a:pt x="47625" y="1227086"/>
                                </a:lnTo>
                                <a:lnTo>
                                  <a:pt x="47625" y="1223962"/>
                                </a:lnTo>
                                <a:lnTo>
                                  <a:pt x="47625" y="1220762"/>
                                </a:lnTo>
                                <a:close/>
                              </a:path>
                              <a:path w="47625" h="1247775">
                                <a:moveTo>
                                  <a:pt x="47625" y="877900"/>
                                </a:moveTo>
                                <a:lnTo>
                                  <a:pt x="26974" y="857250"/>
                                </a:lnTo>
                                <a:lnTo>
                                  <a:pt x="20662" y="857250"/>
                                </a:lnTo>
                                <a:lnTo>
                                  <a:pt x="0" y="877900"/>
                                </a:lnTo>
                                <a:lnTo>
                                  <a:pt x="0" y="884148"/>
                                </a:lnTo>
                                <a:lnTo>
                                  <a:pt x="20662" y="904836"/>
                                </a:lnTo>
                                <a:lnTo>
                                  <a:pt x="26974" y="904836"/>
                                </a:lnTo>
                                <a:lnTo>
                                  <a:pt x="47625" y="884148"/>
                                </a:lnTo>
                                <a:lnTo>
                                  <a:pt x="47625" y="881062"/>
                                </a:lnTo>
                                <a:lnTo>
                                  <a:pt x="47625" y="877900"/>
                                </a:lnTo>
                                <a:close/>
                              </a:path>
                              <a:path w="47625" h="1247775">
                                <a:moveTo>
                                  <a:pt x="47625" y="534962"/>
                                </a:moveTo>
                                <a:lnTo>
                                  <a:pt x="26974" y="514350"/>
                                </a:lnTo>
                                <a:lnTo>
                                  <a:pt x="20662" y="514350"/>
                                </a:lnTo>
                                <a:lnTo>
                                  <a:pt x="0" y="534962"/>
                                </a:lnTo>
                                <a:lnTo>
                                  <a:pt x="0" y="541324"/>
                                </a:lnTo>
                                <a:lnTo>
                                  <a:pt x="20662" y="561936"/>
                                </a:lnTo>
                                <a:lnTo>
                                  <a:pt x="26974" y="561936"/>
                                </a:lnTo>
                                <a:lnTo>
                                  <a:pt x="47625" y="541324"/>
                                </a:lnTo>
                                <a:lnTo>
                                  <a:pt x="47625" y="538162"/>
                                </a:lnTo>
                                <a:lnTo>
                                  <a:pt x="47625" y="534962"/>
                                </a:lnTo>
                                <a:close/>
                              </a:path>
                              <a:path w="47625" h="1247775">
                                <a:moveTo>
                                  <a:pt x="47625" y="20650"/>
                                </a:moveTo>
                                <a:lnTo>
                                  <a:pt x="26974" y="0"/>
                                </a:lnTo>
                                <a:lnTo>
                                  <a:pt x="20662" y="0"/>
                                </a:lnTo>
                                <a:lnTo>
                                  <a:pt x="0" y="20650"/>
                                </a:lnTo>
                                <a:lnTo>
                                  <a:pt x="0" y="26936"/>
                                </a:lnTo>
                                <a:lnTo>
                                  <a:pt x="20662" y="47586"/>
                                </a:lnTo>
                                <a:lnTo>
                                  <a:pt x="26974" y="47586"/>
                                </a:lnTo>
                                <a:lnTo>
                                  <a:pt x="47625" y="26936"/>
                                </a:lnTo>
                                <a:lnTo>
                                  <a:pt x="47625" y="23812"/>
                                </a:lnTo>
                                <a:lnTo>
                                  <a:pt x="47625" y="20650"/>
                                </a:lnTo>
                                <a:close/>
                              </a:path>
                            </a:pathLst>
                          </a:custGeom>
                          <a:solidFill>
                            <a:srgbClr val="2B816F"/>
                          </a:solidFill>
                        </wps:spPr>
                        <wps:bodyPr wrap="square" lIns="0" tIns="0" rIns="0" bIns="0" rtlCol="0">
                          <a:prstTxWarp prst="textNoShape">
                            <a:avLst/>
                          </a:prstTxWarp>
                          <a:noAutofit/>
                        </wps:bodyPr>
                      </wps:wsp>
                      <wps:wsp>
                        <wps:cNvPr id="152" name="Textbox 152"/>
                        <wps:cNvSpPr txBox="1"/>
                        <wps:spPr>
                          <a:xfrm>
                            <a:off x="0" y="0"/>
                            <a:ext cx="5810250" cy="2095500"/>
                          </a:xfrm>
                          <a:prstGeom prst="rect">
                            <a:avLst/>
                          </a:prstGeom>
                        </wps:spPr>
                        <wps:txbx>
                          <w:txbxContent>
                            <w:p>
                              <w:pPr>
                                <w:spacing w:line="256" w:lineRule="auto" w:before="4"/>
                                <w:ind w:left="444" w:right="742" w:firstLine="0"/>
                                <w:jc w:val="both"/>
                                <w:rPr>
                                  <w:b/>
                                  <w:sz w:val="22"/>
                                </w:rPr>
                              </w:pPr>
                              <w:r>
                                <w:rPr>
                                  <w:b/>
                                  <w:sz w:val="22"/>
                                </w:rPr>
                                <w:t>The standard dose of tibolone for many years was 2.5 mg daily, but the </w:t>
                              </w:r>
                              <w:r>
                                <w:rPr>
                                  <w:b/>
                                  <w:sz w:val="22"/>
                                </w:rPr>
                                <w:t>clinical</w:t>
                              </w:r>
                              <w:r>
                                <w:rPr>
                                  <w:b/>
                                  <w:spacing w:val="80"/>
                                  <w:w w:val="150"/>
                                  <w:sz w:val="22"/>
                                </w:rPr>
                                <w:t> </w:t>
                              </w:r>
                              <w:r>
                                <w:rPr>
                                  <w:b/>
                                  <w:sz w:val="22"/>
                                </w:rPr>
                                <w:t>trials</w:t>
                              </w:r>
                              <w:r>
                                <w:rPr>
                                  <w:b/>
                                  <w:spacing w:val="40"/>
                                  <w:sz w:val="22"/>
                                </w:rPr>
                                <w:t> </w:t>
                              </w:r>
                              <w:r>
                                <w:rPr>
                                  <w:b/>
                                  <w:sz w:val="22"/>
                                </w:rPr>
                                <w:t>support</w:t>
                              </w:r>
                              <w:r>
                                <w:rPr>
                                  <w:b/>
                                  <w:spacing w:val="40"/>
                                  <w:sz w:val="22"/>
                                </w:rPr>
                                <w:t> </w:t>
                              </w:r>
                              <w:r>
                                <w:rPr>
                                  <w:b/>
                                  <w:sz w:val="22"/>
                                </w:rPr>
                                <w:t>the</w:t>
                              </w:r>
                              <w:r>
                                <w:rPr>
                                  <w:b/>
                                  <w:spacing w:val="40"/>
                                  <w:sz w:val="22"/>
                                </w:rPr>
                                <w:t> </w:t>
                              </w:r>
                              <w:r>
                                <w:rPr>
                                  <w:b/>
                                  <w:sz w:val="22"/>
                                </w:rPr>
                                <w:t>use</w:t>
                              </w:r>
                              <w:r>
                                <w:rPr>
                                  <w:b/>
                                  <w:spacing w:val="40"/>
                                  <w:sz w:val="22"/>
                                </w:rPr>
                                <w:t> </w:t>
                              </w:r>
                              <w:r>
                                <w:rPr>
                                  <w:b/>
                                  <w:sz w:val="22"/>
                                </w:rPr>
                                <w:t>of</w:t>
                              </w:r>
                              <w:r>
                                <w:rPr>
                                  <w:b/>
                                  <w:spacing w:val="40"/>
                                  <w:sz w:val="22"/>
                                </w:rPr>
                                <w:t> </w:t>
                              </w:r>
                              <w:r>
                                <w:rPr>
                                  <w:b/>
                                  <w:sz w:val="22"/>
                                </w:rPr>
                                <w:t>the</w:t>
                              </w:r>
                              <w:r>
                                <w:rPr>
                                  <w:b/>
                                  <w:spacing w:val="40"/>
                                  <w:sz w:val="22"/>
                                </w:rPr>
                                <w:t> </w:t>
                              </w:r>
                              <w:r>
                                <w:rPr>
                                  <w:b/>
                                  <w:sz w:val="22"/>
                                </w:rPr>
                                <w:t>lower</w:t>
                              </w:r>
                              <w:r>
                                <w:rPr>
                                  <w:b/>
                                  <w:spacing w:val="40"/>
                                  <w:sz w:val="22"/>
                                </w:rPr>
                                <w:t> </w:t>
                              </w:r>
                              <w:r>
                                <w:rPr>
                                  <w:b/>
                                  <w:sz w:val="22"/>
                                </w:rPr>
                                <w:t>dose,</w:t>
                              </w:r>
                              <w:r>
                                <w:rPr>
                                  <w:b/>
                                  <w:spacing w:val="40"/>
                                  <w:sz w:val="22"/>
                                </w:rPr>
                                <w:t> </w:t>
                              </w:r>
                              <w:r>
                                <w:rPr>
                                  <w:b/>
                                  <w:sz w:val="22"/>
                                </w:rPr>
                                <w:t>1.25</w:t>
                              </w:r>
                              <w:r>
                                <w:rPr>
                                  <w:b/>
                                  <w:spacing w:val="40"/>
                                  <w:sz w:val="22"/>
                                </w:rPr>
                                <w:t> </w:t>
                              </w:r>
                              <w:r>
                                <w:rPr>
                                  <w:b/>
                                  <w:sz w:val="22"/>
                                </w:rPr>
                                <w:t>mg</w:t>
                              </w:r>
                              <w:r>
                                <w:rPr>
                                  <w:b/>
                                  <w:spacing w:val="40"/>
                                  <w:sz w:val="22"/>
                                </w:rPr>
                                <w:t> </w:t>
                              </w:r>
                              <w:r>
                                <w:rPr>
                                  <w:b/>
                                  <w:sz w:val="22"/>
                                </w:rPr>
                                <w:t>daily,</w:t>
                              </w:r>
                              <w:r>
                                <w:rPr>
                                  <w:b/>
                                  <w:spacing w:val="40"/>
                                  <w:sz w:val="22"/>
                                </w:rPr>
                                <w:t> </w:t>
                              </w:r>
                              <w:r>
                                <w:rPr>
                                  <w:b/>
                                  <w:sz w:val="22"/>
                                </w:rPr>
                                <w:t>with</w:t>
                              </w:r>
                              <w:r>
                                <w:rPr>
                                  <w:b/>
                                  <w:spacing w:val="40"/>
                                  <w:sz w:val="22"/>
                                </w:rPr>
                                <w:t> </w:t>
                              </w:r>
                              <w:r>
                                <w:rPr>
                                  <w:b/>
                                  <w:sz w:val="22"/>
                                </w:rPr>
                                <w:t>no</w:t>
                              </w:r>
                              <w:r>
                                <w:rPr>
                                  <w:b/>
                                  <w:spacing w:val="40"/>
                                  <w:sz w:val="22"/>
                                </w:rPr>
                                <w:t> </w:t>
                              </w:r>
                              <w:r>
                                <w:rPr>
                                  <w:b/>
                                  <w:sz w:val="22"/>
                                </w:rPr>
                                <w:t>major</w:t>
                              </w:r>
                              <w:r>
                                <w:rPr>
                                  <w:b/>
                                  <w:spacing w:val="40"/>
                                  <w:sz w:val="22"/>
                                </w:rPr>
                                <w:t> </w:t>
                              </w:r>
                              <w:r>
                                <w:rPr>
                                  <w:b/>
                                  <w:sz w:val="22"/>
                                </w:rPr>
                                <w:t>loss</w:t>
                              </w:r>
                              <w:r>
                                <w:rPr>
                                  <w:b/>
                                  <w:spacing w:val="40"/>
                                  <w:sz w:val="22"/>
                                </w:rPr>
                                <w:t> </w:t>
                              </w:r>
                              <w:r>
                                <w:rPr>
                                  <w:b/>
                                  <w:sz w:val="22"/>
                                </w:rPr>
                                <w:t>of </w:t>
                              </w:r>
                              <w:r>
                                <w:rPr>
                                  <w:b/>
                                  <w:spacing w:val="-2"/>
                                  <w:sz w:val="22"/>
                                </w:rPr>
                                <w:t>efficacy.</w:t>
                              </w:r>
                            </w:p>
                            <w:p>
                              <w:pPr>
                                <w:spacing w:line="256" w:lineRule="auto" w:before="0"/>
                                <w:ind w:left="444" w:right="754" w:firstLine="0"/>
                                <w:jc w:val="both"/>
                                <w:rPr>
                                  <w:b/>
                                  <w:sz w:val="22"/>
                                </w:rPr>
                              </w:pPr>
                              <w:r>
                                <w:rPr>
                                  <w:b/>
                                  <w:sz w:val="22"/>
                                </w:rPr>
                                <w:t>Because of its unique and varied metabolism, tibolone has different actions </w:t>
                              </w:r>
                              <w:r>
                                <w:rPr>
                                  <w:b/>
                                  <w:sz w:val="22"/>
                                </w:rPr>
                                <w:t>in different tissues, which provide an overall favorable risk-benefit profile.</w:t>
                              </w:r>
                            </w:p>
                            <w:p>
                              <w:pPr>
                                <w:spacing w:line="256" w:lineRule="auto" w:before="0"/>
                                <w:ind w:left="444" w:right="756" w:firstLine="0"/>
                                <w:jc w:val="both"/>
                                <w:rPr>
                                  <w:b/>
                                  <w:sz w:val="22"/>
                                </w:rPr>
                              </w:pPr>
                              <w:r>
                                <w:rPr>
                                  <w:b/>
                                  <w:sz w:val="22"/>
                                </w:rPr>
                                <w:t>Tibolone treats menopausal symptoms, including hot flushes and vaginal </w:t>
                              </w:r>
                              <w:r>
                                <w:rPr>
                                  <w:b/>
                                  <w:sz w:val="22"/>
                                </w:rPr>
                                <w:t>dryness,</w:t>
                              </w:r>
                              <w:r>
                                <w:rPr>
                                  <w:b/>
                                  <w:spacing w:val="80"/>
                                  <w:w w:val="150"/>
                                  <w:sz w:val="22"/>
                                </w:rPr>
                                <w:t> </w:t>
                              </w:r>
                              <w:r>
                                <w:rPr>
                                  <w:b/>
                                  <w:sz w:val="22"/>
                                </w:rPr>
                                <w:t>as effectively as ET and, most importantly, improves sexual response.</w:t>
                              </w:r>
                            </w:p>
                            <w:p>
                              <w:pPr>
                                <w:spacing w:line="256" w:lineRule="auto" w:before="0"/>
                                <w:ind w:left="444" w:right="743" w:firstLine="0"/>
                                <w:jc w:val="both"/>
                                <w:rPr>
                                  <w:b/>
                                  <w:sz w:val="22"/>
                                </w:rPr>
                              </w:pPr>
                              <w:r>
                                <w:rPr>
                                  <w:b/>
                                  <w:sz w:val="22"/>
                                </w:rPr>
                                <w:t>Endometrial safety and prevention of bone loss </w:t>
                              </w:r>
                              <w:r>
                                <w:rPr>
                                  <w:sz w:val="22"/>
                                </w:rPr>
                                <w:t>(</w:t>
                              </w:r>
                              <w:r>
                                <w:rPr>
                                  <w:b/>
                                  <w:sz w:val="22"/>
                                </w:rPr>
                                <w:t>discussed under the section on osteoporosis</w:t>
                              </w:r>
                              <w:r>
                                <w:rPr>
                                  <w:sz w:val="22"/>
                                </w:rPr>
                                <w:t>)</w:t>
                              </w:r>
                              <w:r>
                                <w:rPr>
                                  <w:spacing w:val="40"/>
                                  <w:sz w:val="22"/>
                                </w:rPr>
                                <w:t> </w:t>
                              </w:r>
                              <w:r>
                                <w:rPr>
                                  <w:b/>
                                  <w:sz w:val="22"/>
                                </w:rPr>
                                <w:t>are</w:t>
                              </w:r>
                              <w:r>
                                <w:rPr>
                                  <w:b/>
                                  <w:spacing w:val="40"/>
                                  <w:sz w:val="22"/>
                                </w:rPr>
                                <w:t> </w:t>
                              </w:r>
                              <w:r>
                                <w:rPr>
                                  <w:b/>
                                  <w:sz w:val="22"/>
                                </w:rPr>
                                <w:t>comparable</w:t>
                              </w:r>
                              <w:r>
                                <w:rPr>
                                  <w:b/>
                                  <w:spacing w:val="40"/>
                                  <w:sz w:val="22"/>
                                </w:rPr>
                                <w:t> </w:t>
                              </w:r>
                              <w:r>
                                <w:rPr>
                                  <w:b/>
                                  <w:sz w:val="22"/>
                                </w:rPr>
                                <w:t>to</w:t>
                              </w:r>
                              <w:r>
                                <w:rPr>
                                  <w:b/>
                                  <w:spacing w:val="40"/>
                                  <w:sz w:val="22"/>
                                </w:rPr>
                                <w:t> </w:t>
                              </w:r>
                              <w:r>
                                <w:rPr>
                                  <w:b/>
                                  <w:sz w:val="22"/>
                                </w:rPr>
                                <w:t>that</w:t>
                              </w:r>
                              <w:r>
                                <w:rPr>
                                  <w:b/>
                                  <w:spacing w:val="40"/>
                                  <w:sz w:val="22"/>
                                </w:rPr>
                                <w:t> </w:t>
                              </w:r>
                              <w:r>
                                <w:rPr>
                                  <w:b/>
                                  <w:sz w:val="22"/>
                                </w:rPr>
                                <w:t>achieved</w:t>
                              </w:r>
                              <w:r>
                                <w:rPr>
                                  <w:b/>
                                  <w:spacing w:val="40"/>
                                  <w:sz w:val="22"/>
                                </w:rPr>
                                <w:t> </w:t>
                              </w:r>
                              <w:r>
                                <w:rPr>
                                  <w:b/>
                                  <w:sz w:val="22"/>
                                </w:rPr>
                                <w:t>with</w:t>
                              </w:r>
                              <w:r>
                                <w:rPr>
                                  <w:b/>
                                  <w:spacing w:val="40"/>
                                  <w:sz w:val="22"/>
                                </w:rPr>
                                <w:t> </w:t>
                              </w:r>
                              <w:r>
                                <w:rPr>
                                  <w:b/>
                                  <w:sz w:val="22"/>
                                </w:rPr>
                                <w:t>continuous,</w:t>
                              </w:r>
                              <w:r>
                                <w:rPr>
                                  <w:b/>
                                  <w:spacing w:val="40"/>
                                  <w:sz w:val="22"/>
                                </w:rPr>
                                <w:t> </w:t>
                              </w:r>
                              <w:r>
                                <w:rPr>
                                  <w:b/>
                                  <w:sz w:val="22"/>
                                </w:rPr>
                                <w:t>combined estrogen-progestin regimens and with a lower rate of breakthrough bleeding.</w:t>
                              </w:r>
                            </w:p>
                          </w:txbxContent>
                        </wps:txbx>
                        <wps:bodyPr wrap="square" lIns="0" tIns="0" rIns="0" bIns="0" rtlCol="0">
                          <a:noAutofit/>
                        </wps:bodyPr>
                      </wps:wsp>
                    </wpg:wgp>
                  </a:graphicData>
                </a:graphic>
              </wp:inline>
            </w:drawing>
          </mc:Choice>
          <mc:Fallback>
            <w:pict>
              <v:group style="width:457.5pt;height:165pt;mso-position-horizontal-relative:char;mso-position-vertical-relative:line" id="docshapegroup130" coordorigin="0,0" coordsize="9150,3300">
                <v:rect style="position:absolute;left:0;top:0;width:9150;height:3300" id="docshape131" filled="true" fillcolor="#e9f1cd" stroked="false">
                  <v:fill type="solid"/>
                </v:rect>
                <v:shape style="position:absolute;left:209;top:104;width:75;height:1965" id="docshape132" coordorigin="210,105" coordsize="75,1965" path="m285,2027l284,2023,280,2013,278,2009,271,2002,266,2000,257,1996,252,1995,243,1995,238,1996,229,2000,224,2002,217,2009,215,2013,211,2023,210,2027,210,2037,211,2042,215,2051,217,2055,224,2062,229,2065,238,2069,243,2070,252,2070,257,2069,266,2065,271,2062,278,2055,280,2051,284,2042,285,2037,285,2032,285,2027xm285,1488l284,1483,280,1474,278,1469,271,1462,266,1460,257,1456,252,1455,243,1455,238,1456,229,1460,224,1462,217,1469,215,1474,211,1483,210,1488,210,1497,211,1502,215,1511,217,1515,224,1522,229,1525,238,1529,243,1530,252,1530,257,1529,266,1525,271,1522,278,1515,280,1511,284,1502,285,1497,285,1492,285,1488xm285,947l284,943,280,933,278,929,271,922,266,920,257,916,252,915,243,915,238,916,229,920,224,922,217,929,215,933,211,943,210,947,210,957,211,962,215,971,217,975,224,982,229,985,238,989,243,990,252,990,257,989,266,985,271,982,278,975,280,971,284,962,285,957,285,952,285,947xm285,138l284,133,280,123,278,119,271,112,266,110,257,106,252,105,243,105,238,106,229,110,224,112,217,119,215,123,211,133,210,138,210,147,211,152,215,161,217,165,224,172,229,175,238,179,243,180,252,180,257,179,266,175,271,172,278,165,280,161,284,152,285,147,285,142,285,138xe" filled="true" fillcolor="#2b816f" stroked="false">
                  <v:path arrowok="t"/>
                  <v:fill type="solid"/>
                </v:shape>
                <v:shape style="position:absolute;left:0;top:0;width:9150;height:3300" type="#_x0000_t202" id="docshape133" filled="false" stroked="false">
                  <v:textbox inset="0,0,0,0">
                    <w:txbxContent>
                      <w:p>
                        <w:pPr>
                          <w:spacing w:line="256" w:lineRule="auto" w:before="4"/>
                          <w:ind w:left="444" w:right="742" w:firstLine="0"/>
                          <w:jc w:val="both"/>
                          <w:rPr>
                            <w:b/>
                            <w:sz w:val="22"/>
                          </w:rPr>
                        </w:pPr>
                        <w:r>
                          <w:rPr>
                            <w:b/>
                            <w:sz w:val="22"/>
                          </w:rPr>
                          <w:t>The standard dose of tibolone for many years was 2.5 mg daily, but the </w:t>
                        </w:r>
                        <w:r>
                          <w:rPr>
                            <w:b/>
                            <w:sz w:val="22"/>
                          </w:rPr>
                          <w:t>clinical</w:t>
                        </w:r>
                        <w:r>
                          <w:rPr>
                            <w:b/>
                            <w:spacing w:val="80"/>
                            <w:w w:val="150"/>
                            <w:sz w:val="22"/>
                          </w:rPr>
                          <w:t> </w:t>
                        </w:r>
                        <w:r>
                          <w:rPr>
                            <w:b/>
                            <w:sz w:val="22"/>
                          </w:rPr>
                          <w:t>trials</w:t>
                        </w:r>
                        <w:r>
                          <w:rPr>
                            <w:b/>
                            <w:spacing w:val="40"/>
                            <w:sz w:val="22"/>
                          </w:rPr>
                          <w:t> </w:t>
                        </w:r>
                        <w:r>
                          <w:rPr>
                            <w:b/>
                            <w:sz w:val="22"/>
                          </w:rPr>
                          <w:t>support</w:t>
                        </w:r>
                        <w:r>
                          <w:rPr>
                            <w:b/>
                            <w:spacing w:val="40"/>
                            <w:sz w:val="22"/>
                          </w:rPr>
                          <w:t> </w:t>
                        </w:r>
                        <w:r>
                          <w:rPr>
                            <w:b/>
                            <w:sz w:val="22"/>
                          </w:rPr>
                          <w:t>the</w:t>
                        </w:r>
                        <w:r>
                          <w:rPr>
                            <w:b/>
                            <w:spacing w:val="40"/>
                            <w:sz w:val="22"/>
                          </w:rPr>
                          <w:t> </w:t>
                        </w:r>
                        <w:r>
                          <w:rPr>
                            <w:b/>
                            <w:sz w:val="22"/>
                          </w:rPr>
                          <w:t>use</w:t>
                        </w:r>
                        <w:r>
                          <w:rPr>
                            <w:b/>
                            <w:spacing w:val="40"/>
                            <w:sz w:val="22"/>
                          </w:rPr>
                          <w:t> </w:t>
                        </w:r>
                        <w:r>
                          <w:rPr>
                            <w:b/>
                            <w:sz w:val="22"/>
                          </w:rPr>
                          <w:t>of</w:t>
                        </w:r>
                        <w:r>
                          <w:rPr>
                            <w:b/>
                            <w:spacing w:val="40"/>
                            <w:sz w:val="22"/>
                          </w:rPr>
                          <w:t> </w:t>
                        </w:r>
                        <w:r>
                          <w:rPr>
                            <w:b/>
                            <w:sz w:val="22"/>
                          </w:rPr>
                          <w:t>the</w:t>
                        </w:r>
                        <w:r>
                          <w:rPr>
                            <w:b/>
                            <w:spacing w:val="40"/>
                            <w:sz w:val="22"/>
                          </w:rPr>
                          <w:t> </w:t>
                        </w:r>
                        <w:r>
                          <w:rPr>
                            <w:b/>
                            <w:sz w:val="22"/>
                          </w:rPr>
                          <w:t>lower</w:t>
                        </w:r>
                        <w:r>
                          <w:rPr>
                            <w:b/>
                            <w:spacing w:val="40"/>
                            <w:sz w:val="22"/>
                          </w:rPr>
                          <w:t> </w:t>
                        </w:r>
                        <w:r>
                          <w:rPr>
                            <w:b/>
                            <w:sz w:val="22"/>
                          </w:rPr>
                          <w:t>dose,</w:t>
                        </w:r>
                        <w:r>
                          <w:rPr>
                            <w:b/>
                            <w:spacing w:val="40"/>
                            <w:sz w:val="22"/>
                          </w:rPr>
                          <w:t> </w:t>
                        </w:r>
                        <w:r>
                          <w:rPr>
                            <w:b/>
                            <w:sz w:val="22"/>
                          </w:rPr>
                          <w:t>1.25</w:t>
                        </w:r>
                        <w:r>
                          <w:rPr>
                            <w:b/>
                            <w:spacing w:val="40"/>
                            <w:sz w:val="22"/>
                          </w:rPr>
                          <w:t> </w:t>
                        </w:r>
                        <w:r>
                          <w:rPr>
                            <w:b/>
                            <w:sz w:val="22"/>
                          </w:rPr>
                          <w:t>mg</w:t>
                        </w:r>
                        <w:r>
                          <w:rPr>
                            <w:b/>
                            <w:spacing w:val="40"/>
                            <w:sz w:val="22"/>
                          </w:rPr>
                          <w:t> </w:t>
                        </w:r>
                        <w:r>
                          <w:rPr>
                            <w:b/>
                            <w:sz w:val="22"/>
                          </w:rPr>
                          <w:t>daily,</w:t>
                        </w:r>
                        <w:r>
                          <w:rPr>
                            <w:b/>
                            <w:spacing w:val="40"/>
                            <w:sz w:val="22"/>
                          </w:rPr>
                          <w:t> </w:t>
                        </w:r>
                        <w:r>
                          <w:rPr>
                            <w:b/>
                            <w:sz w:val="22"/>
                          </w:rPr>
                          <w:t>with</w:t>
                        </w:r>
                        <w:r>
                          <w:rPr>
                            <w:b/>
                            <w:spacing w:val="40"/>
                            <w:sz w:val="22"/>
                          </w:rPr>
                          <w:t> </w:t>
                        </w:r>
                        <w:r>
                          <w:rPr>
                            <w:b/>
                            <w:sz w:val="22"/>
                          </w:rPr>
                          <w:t>no</w:t>
                        </w:r>
                        <w:r>
                          <w:rPr>
                            <w:b/>
                            <w:spacing w:val="40"/>
                            <w:sz w:val="22"/>
                          </w:rPr>
                          <w:t> </w:t>
                        </w:r>
                        <w:r>
                          <w:rPr>
                            <w:b/>
                            <w:sz w:val="22"/>
                          </w:rPr>
                          <w:t>major</w:t>
                        </w:r>
                        <w:r>
                          <w:rPr>
                            <w:b/>
                            <w:spacing w:val="40"/>
                            <w:sz w:val="22"/>
                          </w:rPr>
                          <w:t> </w:t>
                        </w:r>
                        <w:r>
                          <w:rPr>
                            <w:b/>
                            <w:sz w:val="22"/>
                          </w:rPr>
                          <w:t>loss</w:t>
                        </w:r>
                        <w:r>
                          <w:rPr>
                            <w:b/>
                            <w:spacing w:val="40"/>
                            <w:sz w:val="22"/>
                          </w:rPr>
                          <w:t> </w:t>
                        </w:r>
                        <w:r>
                          <w:rPr>
                            <w:b/>
                            <w:sz w:val="22"/>
                          </w:rPr>
                          <w:t>of </w:t>
                        </w:r>
                        <w:r>
                          <w:rPr>
                            <w:b/>
                            <w:spacing w:val="-2"/>
                            <w:sz w:val="22"/>
                          </w:rPr>
                          <w:t>efficacy.</w:t>
                        </w:r>
                      </w:p>
                      <w:p>
                        <w:pPr>
                          <w:spacing w:line="256" w:lineRule="auto" w:before="0"/>
                          <w:ind w:left="444" w:right="754" w:firstLine="0"/>
                          <w:jc w:val="both"/>
                          <w:rPr>
                            <w:b/>
                            <w:sz w:val="22"/>
                          </w:rPr>
                        </w:pPr>
                        <w:r>
                          <w:rPr>
                            <w:b/>
                            <w:sz w:val="22"/>
                          </w:rPr>
                          <w:t>Because of its unique and varied metabolism, tibolone has different actions </w:t>
                        </w:r>
                        <w:r>
                          <w:rPr>
                            <w:b/>
                            <w:sz w:val="22"/>
                          </w:rPr>
                          <w:t>in different tissues, which provide an overall favorable risk-benefit profile.</w:t>
                        </w:r>
                      </w:p>
                      <w:p>
                        <w:pPr>
                          <w:spacing w:line="256" w:lineRule="auto" w:before="0"/>
                          <w:ind w:left="444" w:right="756" w:firstLine="0"/>
                          <w:jc w:val="both"/>
                          <w:rPr>
                            <w:b/>
                            <w:sz w:val="22"/>
                          </w:rPr>
                        </w:pPr>
                        <w:r>
                          <w:rPr>
                            <w:b/>
                            <w:sz w:val="22"/>
                          </w:rPr>
                          <w:t>Tibolone treats menopausal symptoms, including hot flushes and vaginal </w:t>
                        </w:r>
                        <w:r>
                          <w:rPr>
                            <w:b/>
                            <w:sz w:val="22"/>
                          </w:rPr>
                          <w:t>dryness,</w:t>
                        </w:r>
                        <w:r>
                          <w:rPr>
                            <w:b/>
                            <w:spacing w:val="80"/>
                            <w:w w:val="150"/>
                            <w:sz w:val="22"/>
                          </w:rPr>
                          <w:t> </w:t>
                        </w:r>
                        <w:r>
                          <w:rPr>
                            <w:b/>
                            <w:sz w:val="22"/>
                          </w:rPr>
                          <w:t>as effectively as ET and, most importantly, improves sexual response.</w:t>
                        </w:r>
                      </w:p>
                      <w:p>
                        <w:pPr>
                          <w:spacing w:line="256" w:lineRule="auto" w:before="0"/>
                          <w:ind w:left="444" w:right="743" w:firstLine="0"/>
                          <w:jc w:val="both"/>
                          <w:rPr>
                            <w:b/>
                            <w:sz w:val="22"/>
                          </w:rPr>
                        </w:pPr>
                        <w:r>
                          <w:rPr>
                            <w:b/>
                            <w:sz w:val="22"/>
                          </w:rPr>
                          <w:t>Endometrial safety and prevention of bone loss </w:t>
                        </w:r>
                        <w:r>
                          <w:rPr>
                            <w:sz w:val="22"/>
                          </w:rPr>
                          <w:t>(</w:t>
                        </w:r>
                        <w:r>
                          <w:rPr>
                            <w:b/>
                            <w:sz w:val="22"/>
                          </w:rPr>
                          <w:t>discussed under the section on osteoporosis</w:t>
                        </w:r>
                        <w:r>
                          <w:rPr>
                            <w:sz w:val="22"/>
                          </w:rPr>
                          <w:t>)</w:t>
                        </w:r>
                        <w:r>
                          <w:rPr>
                            <w:spacing w:val="40"/>
                            <w:sz w:val="22"/>
                          </w:rPr>
                          <w:t> </w:t>
                        </w:r>
                        <w:r>
                          <w:rPr>
                            <w:b/>
                            <w:sz w:val="22"/>
                          </w:rPr>
                          <w:t>are</w:t>
                        </w:r>
                        <w:r>
                          <w:rPr>
                            <w:b/>
                            <w:spacing w:val="40"/>
                            <w:sz w:val="22"/>
                          </w:rPr>
                          <w:t> </w:t>
                        </w:r>
                        <w:r>
                          <w:rPr>
                            <w:b/>
                            <w:sz w:val="22"/>
                          </w:rPr>
                          <w:t>comparable</w:t>
                        </w:r>
                        <w:r>
                          <w:rPr>
                            <w:b/>
                            <w:spacing w:val="40"/>
                            <w:sz w:val="22"/>
                          </w:rPr>
                          <w:t> </w:t>
                        </w:r>
                        <w:r>
                          <w:rPr>
                            <w:b/>
                            <w:sz w:val="22"/>
                          </w:rPr>
                          <w:t>to</w:t>
                        </w:r>
                        <w:r>
                          <w:rPr>
                            <w:b/>
                            <w:spacing w:val="40"/>
                            <w:sz w:val="22"/>
                          </w:rPr>
                          <w:t> </w:t>
                        </w:r>
                        <w:r>
                          <w:rPr>
                            <w:b/>
                            <w:sz w:val="22"/>
                          </w:rPr>
                          <w:t>that</w:t>
                        </w:r>
                        <w:r>
                          <w:rPr>
                            <w:b/>
                            <w:spacing w:val="40"/>
                            <w:sz w:val="22"/>
                          </w:rPr>
                          <w:t> </w:t>
                        </w:r>
                        <w:r>
                          <w:rPr>
                            <w:b/>
                            <w:sz w:val="22"/>
                          </w:rPr>
                          <w:t>achieved</w:t>
                        </w:r>
                        <w:r>
                          <w:rPr>
                            <w:b/>
                            <w:spacing w:val="40"/>
                            <w:sz w:val="22"/>
                          </w:rPr>
                          <w:t> </w:t>
                        </w:r>
                        <w:r>
                          <w:rPr>
                            <w:b/>
                            <w:sz w:val="22"/>
                          </w:rPr>
                          <w:t>with</w:t>
                        </w:r>
                        <w:r>
                          <w:rPr>
                            <w:b/>
                            <w:spacing w:val="40"/>
                            <w:sz w:val="22"/>
                          </w:rPr>
                          <w:t> </w:t>
                        </w:r>
                        <w:r>
                          <w:rPr>
                            <w:b/>
                            <w:sz w:val="22"/>
                          </w:rPr>
                          <w:t>continuous,</w:t>
                        </w:r>
                        <w:r>
                          <w:rPr>
                            <w:b/>
                            <w:spacing w:val="40"/>
                            <w:sz w:val="22"/>
                          </w:rPr>
                          <w:t> </w:t>
                        </w:r>
                        <w:r>
                          <w:rPr>
                            <w:b/>
                            <w:sz w:val="22"/>
                          </w:rPr>
                          <w:t>combined estrogen-progestin regimens and with a lower rate of breakthrough bleeding.</w:t>
                        </w:r>
                      </w:p>
                    </w:txbxContent>
                  </v:textbox>
                  <w10:wrap type="none"/>
                </v:shape>
              </v:group>
            </w:pict>
          </mc:Fallback>
        </mc:AlternateContent>
      </w:r>
      <w:r>
        <w:rPr>
          <w:sz w:val="20"/>
        </w:rPr>
      </w:r>
    </w:p>
    <w:p>
      <w:pPr>
        <w:pStyle w:val="BodyText"/>
        <w:spacing w:before="0"/>
        <w:ind w:left="0"/>
        <w:jc w:val="left"/>
      </w:pPr>
    </w:p>
    <w:p>
      <w:pPr>
        <w:pStyle w:val="BodyText"/>
        <w:spacing w:before="189"/>
        <w:ind w:left="0"/>
        <w:jc w:val="left"/>
      </w:pPr>
    </w:p>
    <w:p>
      <w:pPr>
        <w:spacing w:line="249" w:lineRule="auto" w:before="1"/>
        <w:ind w:left="99" w:right="98" w:firstLine="450"/>
        <w:jc w:val="both"/>
        <w:rPr>
          <w:b/>
          <w:sz w:val="30"/>
        </w:rPr>
      </w:pPr>
      <w:r>
        <w:rPr>
          <w:b/>
          <w:sz w:val="30"/>
        </w:rPr>
        <w:t>The sum of the various biologic effects of tibolone and </w:t>
      </w:r>
      <w:r>
        <w:rPr>
          <w:b/>
          <w:sz w:val="30"/>
        </w:rPr>
        <w:t>its metabolites on the cardiovascular system should neither increase nor decrease the risk of coronary artery disease. Thus far, there has been no indication for an increased risk of VTE, but this is a potential side effect that requires further epidemiologic studies. Tibolone does not stimulate the proliferation of breast cells and affects enzyme activity in the breast to lower breast tissue concentrations of active estrogen. Tibolone does not increase breast density on mammography and does not</w:t>
      </w:r>
      <w:r>
        <w:rPr>
          <w:b/>
          <w:spacing w:val="-3"/>
          <w:sz w:val="30"/>
        </w:rPr>
        <w:t> </w:t>
      </w:r>
      <w:r>
        <w:rPr>
          <w:b/>
          <w:sz w:val="30"/>
        </w:rPr>
        <w:t>increase</w:t>
      </w:r>
      <w:r>
        <w:rPr>
          <w:b/>
          <w:spacing w:val="-3"/>
          <w:sz w:val="30"/>
        </w:rPr>
        <w:t> </w:t>
      </w:r>
      <w:r>
        <w:rPr>
          <w:b/>
          <w:sz w:val="30"/>
        </w:rPr>
        <w:t>the</w:t>
      </w:r>
      <w:r>
        <w:rPr>
          <w:b/>
          <w:spacing w:val="-3"/>
          <w:sz w:val="30"/>
        </w:rPr>
        <w:t> </w:t>
      </w:r>
      <w:r>
        <w:rPr>
          <w:b/>
          <w:sz w:val="30"/>
        </w:rPr>
        <w:t>frequency</w:t>
      </w:r>
      <w:r>
        <w:rPr>
          <w:b/>
          <w:spacing w:val="-3"/>
          <w:sz w:val="30"/>
        </w:rPr>
        <w:t> </w:t>
      </w:r>
      <w:r>
        <w:rPr>
          <w:b/>
          <w:sz w:val="30"/>
        </w:rPr>
        <w:t>of</w:t>
      </w:r>
      <w:r>
        <w:rPr>
          <w:b/>
          <w:spacing w:val="-3"/>
          <w:sz w:val="30"/>
        </w:rPr>
        <w:t> </w:t>
      </w:r>
      <w:r>
        <w:rPr>
          <w:b/>
          <w:sz w:val="30"/>
        </w:rPr>
        <w:t>mastalgia.</w:t>
      </w:r>
      <w:r>
        <w:rPr>
          <w:b/>
          <w:spacing w:val="-3"/>
          <w:sz w:val="30"/>
        </w:rPr>
        <w:t> </w:t>
      </w:r>
      <w:r>
        <w:rPr>
          <w:b/>
          <w:sz w:val="30"/>
        </w:rPr>
        <w:t>The</w:t>
      </w:r>
      <w:r>
        <w:rPr>
          <w:b/>
          <w:spacing w:val="-5"/>
          <w:sz w:val="30"/>
        </w:rPr>
        <w:t> </w:t>
      </w:r>
      <w:r>
        <w:rPr>
          <w:b/>
          <w:sz w:val="30"/>
        </w:rPr>
        <w:t>reported</w:t>
      </w:r>
      <w:r>
        <w:rPr>
          <w:b/>
          <w:spacing w:val="-5"/>
          <w:sz w:val="30"/>
        </w:rPr>
        <w:t> </w:t>
      </w:r>
      <w:r>
        <w:rPr>
          <w:b/>
          <w:sz w:val="30"/>
        </w:rPr>
        <w:t>increased</w:t>
      </w:r>
      <w:r>
        <w:rPr>
          <w:b/>
          <w:spacing w:val="-5"/>
          <w:sz w:val="30"/>
        </w:rPr>
        <w:t> </w:t>
      </w:r>
      <w:r>
        <w:rPr>
          <w:b/>
          <w:sz w:val="30"/>
        </w:rPr>
        <w:t>risks</w:t>
      </w:r>
      <w:r>
        <w:rPr>
          <w:b/>
          <w:spacing w:val="-5"/>
          <w:sz w:val="30"/>
        </w:rPr>
        <w:t> </w:t>
      </w:r>
      <w:r>
        <w:rPr>
          <w:b/>
          <w:sz w:val="30"/>
        </w:rPr>
        <w:t>of breast cancer and endometrial cancer in observational studies very likely represent “preferential prescribing” of tibolone in Europe.</w:t>
      </w:r>
      <w:r>
        <w:rPr>
          <w:sz w:val="30"/>
          <w:vertAlign w:val="superscript"/>
        </w:rPr>
        <w:t>342,343</w:t>
      </w:r>
      <w:r>
        <w:rPr>
          <w:sz w:val="30"/>
          <w:vertAlign w:val="baseline"/>
        </w:rPr>
        <w:t> </w:t>
      </w:r>
      <w:r>
        <w:rPr>
          <w:b/>
          <w:sz w:val="30"/>
          <w:vertAlign w:val="baseline"/>
        </w:rPr>
        <w:t>Women prescribed tibolone in Europe more often had chronic breast disease, a personal history of breast cancer, previous dysfunctional uterine bleeding, hypertension, and previous uterine operations. Most importantly,</w:t>
      </w:r>
      <w:r>
        <w:rPr>
          <w:b/>
          <w:spacing w:val="-3"/>
          <w:sz w:val="30"/>
          <w:vertAlign w:val="baseline"/>
        </w:rPr>
        <w:t> </w:t>
      </w:r>
      <w:r>
        <w:rPr>
          <w:b/>
          <w:sz w:val="30"/>
          <w:vertAlign w:val="baseline"/>
        </w:rPr>
        <w:t>more</w:t>
      </w:r>
      <w:r>
        <w:rPr>
          <w:b/>
          <w:spacing w:val="-3"/>
          <w:sz w:val="30"/>
          <w:vertAlign w:val="baseline"/>
        </w:rPr>
        <w:t> </w:t>
      </w:r>
      <w:r>
        <w:rPr>
          <w:b/>
          <w:sz w:val="30"/>
          <w:vertAlign w:val="baseline"/>
        </w:rPr>
        <w:t>women</w:t>
      </w:r>
      <w:r>
        <w:rPr>
          <w:b/>
          <w:spacing w:val="-3"/>
          <w:sz w:val="30"/>
          <w:vertAlign w:val="baseline"/>
        </w:rPr>
        <w:t> </w:t>
      </w:r>
      <w:r>
        <w:rPr>
          <w:b/>
          <w:sz w:val="30"/>
          <w:vertAlign w:val="baseline"/>
        </w:rPr>
        <w:t>prescribed</w:t>
      </w:r>
      <w:r>
        <w:rPr>
          <w:b/>
          <w:spacing w:val="-3"/>
          <w:sz w:val="30"/>
          <w:vertAlign w:val="baseline"/>
        </w:rPr>
        <w:t> </w:t>
      </w:r>
      <w:r>
        <w:rPr>
          <w:b/>
          <w:sz w:val="30"/>
          <w:vertAlign w:val="baseline"/>
        </w:rPr>
        <w:t>tibolone</w:t>
      </w:r>
      <w:r>
        <w:rPr>
          <w:b/>
          <w:spacing w:val="-3"/>
          <w:sz w:val="30"/>
          <w:vertAlign w:val="baseline"/>
        </w:rPr>
        <w:t> </w:t>
      </w:r>
      <w:r>
        <w:rPr>
          <w:b/>
          <w:sz w:val="30"/>
          <w:vertAlign w:val="baseline"/>
        </w:rPr>
        <w:t>had</w:t>
      </w:r>
      <w:r>
        <w:rPr>
          <w:b/>
          <w:spacing w:val="-3"/>
          <w:sz w:val="30"/>
          <w:vertAlign w:val="baseline"/>
        </w:rPr>
        <w:t> </w:t>
      </w:r>
      <w:r>
        <w:rPr>
          <w:b/>
          <w:sz w:val="30"/>
          <w:vertAlign w:val="baseline"/>
        </w:rPr>
        <w:t>a</w:t>
      </w:r>
      <w:r>
        <w:rPr>
          <w:b/>
          <w:spacing w:val="-3"/>
          <w:sz w:val="30"/>
          <w:vertAlign w:val="baseline"/>
        </w:rPr>
        <w:t> </w:t>
      </w:r>
      <w:r>
        <w:rPr>
          <w:b/>
          <w:sz w:val="30"/>
          <w:vertAlign w:val="baseline"/>
        </w:rPr>
        <w:t>history</w:t>
      </w:r>
      <w:r>
        <w:rPr>
          <w:b/>
          <w:spacing w:val="-3"/>
          <w:sz w:val="30"/>
          <w:vertAlign w:val="baseline"/>
        </w:rPr>
        <w:t> </w:t>
      </w:r>
      <w:r>
        <w:rPr>
          <w:b/>
          <w:sz w:val="30"/>
          <w:vertAlign w:val="baseline"/>
        </w:rPr>
        <w:t>of</w:t>
      </w:r>
      <w:r>
        <w:rPr>
          <w:b/>
          <w:spacing w:val="-3"/>
          <w:sz w:val="30"/>
          <w:vertAlign w:val="baseline"/>
        </w:rPr>
        <w:t> </w:t>
      </w:r>
      <w:r>
        <w:rPr>
          <w:b/>
          <w:sz w:val="30"/>
          <w:vertAlign w:val="baseline"/>
        </w:rPr>
        <w:t>previous treatment with unopposed estrogen. Thus, clinicians were more likely to prescribe tibolone to women they believed were at higher risks for these two cancers, and this would yield higher rates in treated groups compared with control groups.</w:t>
      </w:r>
    </w:p>
    <w:p>
      <w:pPr>
        <w:pStyle w:val="BodyText"/>
        <w:spacing w:before="0"/>
        <w:ind w:left="0"/>
        <w:jc w:val="left"/>
        <w:rPr>
          <w:b/>
          <w:sz w:val="20"/>
        </w:rPr>
      </w:pPr>
    </w:p>
    <w:p>
      <w:pPr>
        <w:pStyle w:val="BodyText"/>
        <w:spacing w:before="134"/>
        <w:ind w:left="0"/>
        <w:jc w:val="left"/>
        <w:rPr>
          <w:b/>
          <w:sz w:val="20"/>
        </w:rPr>
      </w:pPr>
      <w:r>
        <w:rPr>
          <w:b/>
          <w:sz w:val="20"/>
        </w:rPr>
        <mc:AlternateContent>
          <mc:Choice Requires="wps">
            <w:drawing>
              <wp:anchor distT="0" distB="0" distL="0" distR="0" allowOverlap="1" layoutInCell="1" locked="0" behindDoc="1" simplePos="0" relativeHeight="487633920">
                <wp:simplePos x="0" y="0"/>
                <wp:positionH relativeFrom="page">
                  <wp:posOffset>981075</wp:posOffset>
                </wp:positionH>
                <wp:positionV relativeFrom="paragraph">
                  <wp:posOffset>246670</wp:posOffset>
                </wp:positionV>
                <wp:extent cx="285750" cy="5715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285750" cy="57150"/>
                        </a:xfrm>
                        <a:custGeom>
                          <a:avLst/>
                          <a:gdLst/>
                          <a:ahLst/>
                          <a:cxnLst/>
                          <a:rect l="l" t="t" r="r" b="b"/>
                          <a:pathLst>
                            <a:path w="285750" h="57150">
                              <a:moveTo>
                                <a:pt x="32364" y="57111"/>
                              </a:moveTo>
                              <a:lnTo>
                                <a:pt x="24785" y="57111"/>
                              </a:lnTo>
                              <a:lnTo>
                                <a:pt x="21140" y="56368"/>
                              </a:lnTo>
                              <a:lnTo>
                                <a:pt x="0" y="32337"/>
                              </a:lnTo>
                              <a:lnTo>
                                <a:pt x="0" y="24745"/>
                              </a:lnTo>
                              <a:lnTo>
                                <a:pt x="725" y="21097"/>
                              </a:lnTo>
                              <a:lnTo>
                                <a:pt x="3625" y="14135"/>
                              </a:lnTo>
                              <a:lnTo>
                                <a:pt x="5689" y="11048"/>
                              </a:lnTo>
                              <a:lnTo>
                                <a:pt x="8369" y="8372"/>
                              </a:lnTo>
                              <a:lnTo>
                                <a:pt x="11048" y="5657"/>
                              </a:lnTo>
                              <a:lnTo>
                                <a:pt x="14138" y="3571"/>
                              </a:lnTo>
                              <a:lnTo>
                                <a:pt x="21140" y="704"/>
                              </a:lnTo>
                              <a:lnTo>
                                <a:pt x="24785" y="0"/>
                              </a:lnTo>
                              <a:lnTo>
                                <a:pt x="32364" y="0"/>
                              </a:lnTo>
                              <a:lnTo>
                                <a:pt x="36009" y="704"/>
                              </a:lnTo>
                              <a:lnTo>
                                <a:pt x="43010" y="3571"/>
                              </a:lnTo>
                              <a:lnTo>
                                <a:pt x="46101" y="5657"/>
                              </a:lnTo>
                              <a:lnTo>
                                <a:pt x="48780" y="8372"/>
                              </a:lnTo>
                              <a:lnTo>
                                <a:pt x="51459" y="11048"/>
                              </a:lnTo>
                              <a:lnTo>
                                <a:pt x="53524" y="14135"/>
                              </a:lnTo>
                              <a:lnTo>
                                <a:pt x="56424" y="21097"/>
                              </a:lnTo>
                              <a:lnTo>
                                <a:pt x="57149" y="24745"/>
                              </a:lnTo>
                              <a:lnTo>
                                <a:pt x="57149" y="32337"/>
                              </a:lnTo>
                              <a:lnTo>
                                <a:pt x="36009" y="56368"/>
                              </a:lnTo>
                              <a:lnTo>
                                <a:pt x="32364" y="57111"/>
                              </a:lnTo>
                              <a:close/>
                            </a:path>
                            <a:path w="285750" h="57150">
                              <a:moveTo>
                                <a:pt x="146569" y="57111"/>
                              </a:moveTo>
                              <a:lnTo>
                                <a:pt x="138990" y="57111"/>
                              </a:lnTo>
                              <a:lnTo>
                                <a:pt x="135345" y="56368"/>
                              </a:lnTo>
                              <a:lnTo>
                                <a:pt x="114204" y="32337"/>
                              </a:lnTo>
                              <a:lnTo>
                                <a:pt x="114204" y="24745"/>
                              </a:lnTo>
                              <a:lnTo>
                                <a:pt x="114929" y="21097"/>
                              </a:lnTo>
                              <a:lnTo>
                                <a:pt x="117829" y="14135"/>
                              </a:lnTo>
                              <a:lnTo>
                                <a:pt x="119894" y="11048"/>
                              </a:lnTo>
                              <a:lnTo>
                                <a:pt x="122574" y="8372"/>
                              </a:lnTo>
                              <a:lnTo>
                                <a:pt x="125253" y="5657"/>
                              </a:lnTo>
                              <a:lnTo>
                                <a:pt x="128343" y="3571"/>
                              </a:lnTo>
                              <a:lnTo>
                                <a:pt x="135345" y="704"/>
                              </a:lnTo>
                              <a:lnTo>
                                <a:pt x="138990" y="0"/>
                              </a:lnTo>
                              <a:lnTo>
                                <a:pt x="146569" y="0"/>
                              </a:lnTo>
                              <a:lnTo>
                                <a:pt x="150214" y="704"/>
                              </a:lnTo>
                              <a:lnTo>
                                <a:pt x="157215" y="3571"/>
                              </a:lnTo>
                              <a:lnTo>
                                <a:pt x="160305" y="5657"/>
                              </a:lnTo>
                              <a:lnTo>
                                <a:pt x="162985" y="8372"/>
                              </a:lnTo>
                              <a:lnTo>
                                <a:pt x="165664" y="11048"/>
                              </a:lnTo>
                              <a:lnTo>
                                <a:pt x="167729" y="14135"/>
                              </a:lnTo>
                              <a:lnTo>
                                <a:pt x="170629" y="21097"/>
                              </a:lnTo>
                              <a:lnTo>
                                <a:pt x="171354" y="24745"/>
                              </a:lnTo>
                              <a:lnTo>
                                <a:pt x="171354" y="32337"/>
                              </a:lnTo>
                              <a:lnTo>
                                <a:pt x="150214" y="56368"/>
                              </a:lnTo>
                              <a:lnTo>
                                <a:pt x="146569" y="57111"/>
                              </a:lnTo>
                              <a:close/>
                            </a:path>
                            <a:path w="285750" h="57150">
                              <a:moveTo>
                                <a:pt x="260773" y="57111"/>
                              </a:moveTo>
                              <a:lnTo>
                                <a:pt x="253195" y="57111"/>
                              </a:lnTo>
                              <a:lnTo>
                                <a:pt x="249550" y="56368"/>
                              </a:lnTo>
                              <a:lnTo>
                                <a:pt x="228409" y="32337"/>
                              </a:lnTo>
                              <a:lnTo>
                                <a:pt x="228409" y="24745"/>
                              </a:lnTo>
                              <a:lnTo>
                                <a:pt x="229134" y="21097"/>
                              </a:lnTo>
                              <a:lnTo>
                                <a:pt x="232034" y="14135"/>
                              </a:lnTo>
                              <a:lnTo>
                                <a:pt x="234099" y="11048"/>
                              </a:lnTo>
                              <a:lnTo>
                                <a:pt x="236778" y="8372"/>
                              </a:lnTo>
                              <a:lnTo>
                                <a:pt x="239458" y="5657"/>
                              </a:lnTo>
                              <a:lnTo>
                                <a:pt x="242548" y="3571"/>
                              </a:lnTo>
                              <a:lnTo>
                                <a:pt x="249550" y="704"/>
                              </a:lnTo>
                              <a:lnTo>
                                <a:pt x="253195" y="0"/>
                              </a:lnTo>
                              <a:lnTo>
                                <a:pt x="260773" y="0"/>
                              </a:lnTo>
                              <a:lnTo>
                                <a:pt x="264418" y="704"/>
                              </a:lnTo>
                              <a:lnTo>
                                <a:pt x="271420" y="3571"/>
                              </a:lnTo>
                              <a:lnTo>
                                <a:pt x="274510" y="5657"/>
                              </a:lnTo>
                              <a:lnTo>
                                <a:pt x="277190" y="8372"/>
                              </a:lnTo>
                              <a:lnTo>
                                <a:pt x="279869" y="11048"/>
                              </a:lnTo>
                              <a:lnTo>
                                <a:pt x="281934" y="14135"/>
                              </a:lnTo>
                              <a:lnTo>
                                <a:pt x="284834" y="21097"/>
                              </a:lnTo>
                              <a:lnTo>
                                <a:pt x="285559" y="24745"/>
                              </a:lnTo>
                              <a:lnTo>
                                <a:pt x="285559" y="32337"/>
                              </a:lnTo>
                              <a:lnTo>
                                <a:pt x="264418" y="56368"/>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42289pt;width:22.5pt;height:4.5pt;mso-position-horizontal-relative:page;mso-position-vertical-relative:paragraph;z-index:-15682560;mso-wrap-distance-left:0;mso-wrap-distance-right:0" id="docshape134" coordorigin="1545,388" coordsize="450,90" path="m1596,478l1584,478,1578,477,1567,473,1562,469,1554,461,1551,456,1546,445,1545,439,1545,427,1546,422,1551,411,1554,406,1558,402,1562,397,1567,394,1578,390,1584,388,1596,388,1602,390,1613,394,1618,397,1622,402,1626,406,1629,411,1634,422,1635,427,1635,439,1634,445,1629,456,1626,461,1618,469,1613,473,1602,477,1596,478xm1776,478l1764,478,1758,477,1747,473,1742,469,1734,461,1731,456,1726,445,1725,439,1725,427,1726,422,1731,411,1734,406,1738,402,1742,397,1747,394,1758,390,1764,388,1776,388,1782,390,1793,394,1797,397,1802,402,1806,406,1809,411,1814,422,1815,427,1815,439,1814,445,1809,456,1806,461,1797,469,1793,473,1782,477,1776,478xm1956,478l1944,478,1938,477,1927,473,1922,469,1914,461,1910,456,1906,445,1905,439,1905,427,1906,422,1910,411,1914,406,1918,402,1922,397,1927,394,1938,390,1944,388,1956,388,1961,390,1972,394,1977,397,1982,402,1986,406,1989,411,1994,422,1995,427,1995,439,1994,445,1989,456,1986,461,1977,469,1972,473,1961,477,1956,478xe" filled="true" fillcolor="#bdb4d4" stroked="false">
                <v:path arrowok="t"/>
                <v:fill type="solid"/>
                <w10:wrap type="topAndBottom"/>
              </v:shape>
            </w:pict>
          </mc:Fallback>
        </mc:AlternateContent>
      </w:r>
    </w:p>
    <w:p>
      <w:pPr>
        <w:pStyle w:val="Heading3"/>
        <w:spacing w:line="249" w:lineRule="auto" w:after="59"/>
        <w:ind w:right="255"/>
      </w:pPr>
      <w:r>
        <w:rPr>
          <w:color w:val="534089"/>
        </w:rPr>
        <w:t>NONHORMONAL</w:t>
      </w:r>
      <w:r>
        <w:rPr>
          <w:color w:val="534089"/>
          <w:spacing w:val="-21"/>
        </w:rPr>
        <w:t> </w:t>
      </w:r>
      <w:r>
        <w:rPr>
          <w:color w:val="534089"/>
        </w:rPr>
        <w:t>TREATMENT</w:t>
      </w:r>
      <w:r>
        <w:rPr>
          <w:color w:val="534089"/>
          <w:spacing w:val="-21"/>
        </w:rPr>
        <w:t> </w:t>
      </w:r>
      <w:r>
        <w:rPr>
          <w:color w:val="534089"/>
        </w:rPr>
        <w:t>OPTIONS</w:t>
      </w:r>
      <w:r>
        <w:rPr>
          <w:color w:val="534089"/>
          <w:spacing w:val="-21"/>
        </w:rPr>
        <w:t> </w:t>
      </w:r>
      <w:r>
        <w:rPr>
          <w:color w:val="534089"/>
        </w:rPr>
        <w:t>FOR</w:t>
      </w:r>
      <w:r>
        <w:rPr>
          <w:color w:val="534089"/>
          <w:spacing w:val="-21"/>
        </w:rPr>
        <w:t> </w:t>
      </w:r>
      <w:r>
        <w:rPr>
          <w:color w:val="534089"/>
        </w:rPr>
        <w:t>VASOMOTOR </w:t>
      </w:r>
      <w:r>
        <w:rPr>
          <w:color w:val="534089"/>
          <w:spacing w:val="-2"/>
        </w:rPr>
        <w:t>SYMPTOMS</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5810250" cy="19050"/>
                          <a:chExt cx="5810250" cy="19050"/>
                        </a:xfrm>
                      </wpg:grpSpPr>
                      <wps:wsp>
                        <wps:cNvPr id="155" name="Graphic 15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135" coordorigin="0,0" coordsize="9150,30">
                <v:rect style="position:absolute;left:0;top:0;width:9150;height:30" id="docshape136" filled="true" fillcolor="#534089" stroked="false">
                  <v:fill type="solid"/>
                </v:rect>
              </v:group>
            </w:pict>
          </mc:Fallback>
        </mc:AlternateContent>
      </w:r>
      <w:r>
        <w:rPr>
          <w:rFonts w:ascii="Arial"/>
          <w:position w:val="0"/>
          <w:sz w:val="2"/>
        </w:rPr>
      </w:r>
    </w:p>
    <w:p>
      <w:pPr>
        <w:spacing w:after="0" w:line="30" w:lineRule="exact"/>
        <w:rPr>
          <w:rFonts w:ascii="Arial"/>
          <w:position w:val="0"/>
          <w:sz w:val="2"/>
        </w:rPr>
        <w:sectPr>
          <w:pgSz w:w="12240" w:h="15840"/>
          <w:pgMar w:top="1440" w:bottom="280" w:left="1440" w:right="1440"/>
        </w:sectPr>
      </w:pPr>
    </w:p>
    <w:p>
      <w:pPr>
        <w:pStyle w:val="BodyText"/>
        <w:spacing w:line="249" w:lineRule="auto"/>
        <w:ind w:right="102"/>
      </w:pPr>
      <w:r>
        <w:rPr/>
        <w:t>The first-line approach for the management of VMS (hot flushes and night sweats)</w:t>
      </w:r>
      <w:r>
        <w:rPr>
          <w:spacing w:val="-4"/>
        </w:rPr>
        <w:t> </w:t>
      </w:r>
      <w:r>
        <w:rPr/>
        <w:t>in</w:t>
      </w:r>
      <w:r>
        <w:rPr>
          <w:spacing w:val="-4"/>
        </w:rPr>
        <w:t> </w:t>
      </w:r>
      <w:r>
        <w:rPr/>
        <w:t>otherwise</w:t>
      </w:r>
      <w:r>
        <w:rPr>
          <w:spacing w:val="-4"/>
        </w:rPr>
        <w:t> </w:t>
      </w:r>
      <w:r>
        <w:rPr/>
        <w:t>healthy</w:t>
      </w:r>
      <w:r>
        <w:rPr>
          <w:spacing w:val="-4"/>
        </w:rPr>
        <w:t> </w:t>
      </w:r>
      <w:r>
        <w:rPr/>
        <w:t>but</w:t>
      </w:r>
      <w:r>
        <w:rPr>
          <w:spacing w:val="-4"/>
        </w:rPr>
        <w:t> </w:t>
      </w:r>
      <w:r>
        <w:rPr/>
        <w:t>symptomatic</w:t>
      </w:r>
      <w:r>
        <w:rPr>
          <w:spacing w:val="-4"/>
        </w:rPr>
        <w:t> </w:t>
      </w:r>
      <w:r>
        <w:rPr/>
        <w:t>population</w:t>
      </w:r>
      <w:r>
        <w:rPr>
          <w:spacing w:val="-4"/>
        </w:rPr>
        <w:t> </w:t>
      </w:r>
      <w:r>
        <w:rPr/>
        <w:t>of</w:t>
      </w:r>
      <w:r>
        <w:rPr>
          <w:spacing w:val="-4"/>
        </w:rPr>
        <w:t> </w:t>
      </w:r>
      <w:r>
        <w:rPr/>
        <w:t>perimenopausal and recently menopausal women is HT. However, there exist a substantial number of women who either cannot, should not, or will not accept </w:t>
      </w:r>
      <w:r>
        <w:rPr/>
        <w:t>HT. Pharmacologic</w:t>
      </w:r>
      <w:r>
        <w:rPr>
          <w:spacing w:val="-1"/>
        </w:rPr>
        <w:t> </w:t>
      </w:r>
      <w:r>
        <w:rPr/>
        <w:t>nonhormonal</w:t>
      </w:r>
      <w:r>
        <w:rPr>
          <w:spacing w:val="-1"/>
        </w:rPr>
        <w:t> </w:t>
      </w:r>
      <w:r>
        <w:rPr/>
        <w:t>options</w:t>
      </w:r>
      <w:r>
        <w:rPr>
          <w:spacing w:val="-1"/>
        </w:rPr>
        <w:t> </w:t>
      </w:r>
      <w:r>
        <w:rPr/>
        <w:t>for</w:t>
      </w:r>
      <w:r>
        <w:rPr>
          <w:spacing w:val="-1"/>
        </w:rPr>
        <w:t> </w:t>
      </w:r>
      <w:r>
        <w:rPr/>
        <w:t>managing</w:t>
      </w:r>
      <w:r>
        <w:rPr>
          <w:spacing w:val="-1"/>
        </w:rPr>
        <w:t> </w:t>
      </w:r>
      <w:r>
        <w:rPr/>
        <w:t>VMS</w:t>
      </w:r>
      <w:r>
        <w:rPr>
          <w:spacing w:val="-1"/>
        </w:rPr>
        <w:t> </w:t>
      </w:r>
      <w:r>
        <w:rPr/>
        <w:t>are</w:t>
      </w:r>
      <w:r>
        <w:rPr>
          <w:spacing w:val="-1"/>
        </w:rPr>
        <w:t> </w:t>
      </w:r>
      <w:r>
        <w:rPr/>
        <w:t>listed</w:t>
      </w:r>
      <w:r>
        <w:rPr>
          <w:spacing w:val="-1"/>
        </w:rPr>
        <w:t> </w:t>
      </w:r>
      <w:r>
        <w:rPr/>
        <w:t>in</w:t>
      </w:r>
      <w:r>
        <w:rPr>
          <w:spacing w:val="-1"/>
        </w:rPr>
        <w:t> </w:t>
      </w:r>
      <w:r>
        <w:rPr>
          <w:b/>
          <w:color w:val="256E60"/>
        </w:rPr>
        <w:t>Table </w:t>
      </w:r>
      <w:r>
        <w:rPr>
          <w:b/>
          <w:color w:val="256E60"/>
          <w:spacing w:val="-2"/>
        </w:rPr>
        <w:t>22.4</w:t>
      </w:r>
      <w:r>
        <w:rPr>
          <w:spacing w:val="-2"/>
        </w:rPr>
        <w:t>.</w:t>
      </w:r>
    </w:p>
    <w:p>
      <w:pPr>
        <w:pStyle w:val="BodyText"/>
        <w:spacing w:line="249" w:lineRule="auto" w:before="7"/>
        <w:ind w:right="98" w:firstLine="450"/>
      </w:pPr>
      <w:r>
        <w:rPr/>
        <w:t>There are many different medications and compounds that have been tried for the treatment of hot flushes, yet only a few successfully limit symptoms and the potential for harmful or bothersome side effects. Clonidine, bromocriptine, and naloxone given orally are only partially effective for the relief of hot flushes, yet require high doses with a high rate of side effects, such as drowsiness and dry mouth.</w:t>
      </w:r>
      <w:r>
        <w:rPr>
          <w:vertAlign w:val="superscript"/>
        </w:rPr>
        <w:t>344,345</w:t>
      </w:r>
      <w:r>
        <w:rPr>
          <w:vertAlign w:val="baseline"/>
        </w:rPr>
        <w:t> Bellergal treatment (a combination of belladonna alkaloids, ergotamine tartrate, and phenobarbital) is slightly better than a placebo and a potent sedative in </w:t>
      </w:r>
      <w:r>
        <w:rPr>
          <w:vertAlign w:val="baseline"/>
        </w:rPr>
        <w:t>the short term; however, one study documented a similar response with Bellergal and placebo after 8 weeks.</w:t>
      </w:r>
      <w:r>
        <w:rPr>
          <w:vertAlign w:val="superscript"/>
        </w:rPr>
        <w:t>346,347</w:t>
      </w:r>
      <w:r>
        <w:rPr>
          <w:vertAlign w:val="baseline"/>
        </w:rPr>
        <w:t> Veralipride, a dopamine antagonist that is active in the hypothalamus, is relatively effective in inhibiting flushing at a dose of 100 mg daily but is associated with major side effects, including mastodynia and galactorrhea.</w:t>
      </w:r>
      <w:r>
        <w:rPr>
          <w:vertAlign w:val="superscript"/>
        </w:rPr>
        <w:t>348-350</w:t>
      </w:r>
      <w:r>
        <w:rPr>
          <w:vertAlign w:val="baseline"/>
        </w:rPr>
        <w:t> 800 IU vitamin E, daily is barely more effective than placebo.</w:t>
      </w:r>
      <w:r>
        <w:rPr>
          <w:vertAlign w:val="superscript"/>
        </w:rPr>
        <w:t>351</w:t>
      </w:r>
      <w:r>
        <w:rPr>
          <w:vertAlign w:val="baseline"/>
        </w:rPr>
        <w:t> Dong quai, ginseng, black cohosh, isoflavones (including soy protein), yoga, and acupuncture all have little clinical difference compared with placebo treatment.</w:t>
      </w:r>
      <w:r>
        <w:rPr>
          <w:vertAlign w:val="superscript"/>
        </w:rPr>
        <w:t>352-363</w:t>
      </w:r>
      <w:r>
        <w:rPr>
          <w:vertAlign w:val="baseline"/>
        </w:rPr>
        <w:t> Clonidine (given as a patch or orally at 0.1 mg/d) is only partially effective for the relief of hot flushes and has a high rate of side effects, such as drowsiness and dry mouth.</w:t>
      </w:r>
      <w:r>
        <w:rPr>
          <w:vertAlign w:val="superscript"/>
        </w:rPr>
        <w:t>344,345</w:t>
      </w:r>
      <w:r>
        <w:rPr>
          <w:vertAlign w:val="baseline"/>
        </w:rPr>
        <w:t> MPA (10-20 mg daily) and megestrol acetate (20 mg daily) are also effective (as effective as estrogen), but concerns regarding exogenous steroids, especially in patients who have had breast cancer, would apply to progestins as well.</w:t>
      </w:r>
      <w:r>
        <w:rPr>
          <w:vertAlign w:val="superscript"/>
        </w:rPr>
        <w:t>364-366</w:t>
      </w:r>
    </w:p>
    <w:p>
      <w:pPr>
        <w:pStyle w:val="BodyText"/>
        <w:spacing w:before="0"/>
        <w:ind w:left="0"/>
        <w:jc w:val="left"/>
        <w:rPr>
          <w:sz w:val="20"/>
        </w:rPr>
      </w:pPr>
    </w:p>
    <w:p>
      <w:pPr>
        <w:pStyle w:val="BodyText"/>
        <w:spacing w:before="162"/>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9"/>
        <w:gridCol w:w="2163"/>
        <w:gridCol w:w="3668"/>
      </w:tblGrid>
      <w:tr>
        <w:trPr>
          <w:trHeight w:val="449" w:hRule="atLeast"/>
        </w:trPr>
        <w:tc>
          <w:tcPr>
            <w:tcW w:w="9150" w:type="dxa"/>
            <w:gridSpan w:val="3"/>
            <w:shd w:val="clear" w:color="auto" w:fill="256E60"/>
          </w:tcPr>
          <w:p>
            <w:pPr>
              <w:pStyle w:val="TableParagraph"/>
              <w:tabs>
                <w:tab w:pos="1605" w:val="left" w:leader="none"/>
              </w:tabs>
              <w:spacing w:before="93"/>
              <w:rPr>
                <w:rFonts w:ascii="Arial" w:hAnsi="Arial"/>
                <w:sz w:val="22"/>
              </w:rPr>
            </w:pPr>
            <w:r>
              <w:rPr>
                <w:rFonts w:ascii="Arial" w:hAnsi="Arial"/>
                <w:b/>
                <w:color w:val="FFFFFF"/>
                <w:sz w:val="22"/>
              </w:rPr>
              <w:t>TABLE</w:t>
            </w:r>
            <w:r>
              <w:rPr>
                <w:rFonts w:ascii="Arial" w:hAnsi="Arial"/>
                <w:b/>
                <w:color w:val="FFFFFF"/>
                <w:spacing w:val="-2"/>
                <w:sz w:val="22"/>
              </w:rPr>
              <w:t> </w:t>
            </w:r>
            <w:r>
              <w:rPr>
                <w:rFonts w:ascii="Arial" w:hAnsi="Arial"/>
                <w:b/>
                <w:color w:val="FFFFFF"/>
                <w:spacing w:val="-4"/>
                <w:sz w:val="22"/>
              </w:rPr>
              <w:t>22.4</w:t>
            </w:r>
            <w:r>
              <w:rPr>
                <w:rFonts w:ascii="Arial" w:hAnsi="Arial"/>
                <w:b/>
                <w:color w:val="FFFFFF"/>
                <w:sz w:val="22"/>
              </w:rPr>
              <w:tab/>
            </w:r>
            <w:r>
              <w:rPr>
                <w:rFonts w:ascii="Arial" w:hAnsi="Arial"/>
                <w:color w:val="FFFFFF"/>
                <w:sz w:val="22"/>
              </w:rPr>
              <w:t>Drugs</w:t>
            </w:r>
            <w:r>
              <w:rPr>
                <w:rFonts w:ascii="Arial" w:hAnsi="Arial"/>
                <w:color w:val="FFFFFF"/>
                <w:spacing w:val="14"/>
                <w:sz w:val="22"/>
              </w:rPr>
              <w:t> </w:t>
            </w:r>
            <w:r>
              <w:rPr>
                <w:rFonts w:ascii="Arial" w:hAnsi="Arial"/>
                <w:color w:val="FFFFFF"/>
                <w:sz w:val="22"/>
              </w:rPr>
              <w:t>for</w:t>
            </w:r>
            <w:r>
              <w:rPr>
                <w:rFonts w:ascii="Arial" w:hAnsi="Arial"/>
                <w:color w:val="FFFFFF"/>
                <w:spacing w:val="15"/>
                <w:sz w:val="22"/>
              </w:rPr>
              <w:t> </w:t>
            </w:r>
            <w:r>
              <w:rPr>
                <w:rFonts w:ascii="Arial" w:hAnsi="Arial"/>
                <w:color w:val="FFFFFF"/>
                <w:sz w:val="22"/>
              </w:rPr>
              <w:t>Hot</w:t>
            </w:r>
            <w:r>
              <w:rPr>
                <w:rFonts w:ascii="Arial" w:hAnsi="Arial"/>
                <w:color w:val="FFFFFF"/>
                <w:spacing w:val="15"/>
                <w:sz w:val="22"/>
              </w:rPr>
              <w:t> </w:t>
            </w:r>
            <w:r>
              <w:rPr>
                <w:rFonts w:ascii="Arial" w:hAnsi="Arial"/>
                <w:color w:val="FFFFFF"/>
                <w:sz w:val="22"/>
              </w:rPr>
              <w:t>Flushing—Randomized</w:t>
            </w:r>
            <w:r>
              <w:rPr>
                <w:rFonts w:ascii="Arial" w:hAnsi="Arial"/>
                <w:color w:val="FFFFFF"/>
                <w:spacing w:val="15"/>
                <w:sz w:val="22"/>
              </w:rPr>
              <w:t> </w:t>
            </w:r>
            <w:r>
              <w:rPr>
                <w:rFonts w:ascii="Arial" w:hAnsi="Arial"/>
                <w:color w:val="FFFFFF"/>
                <w:sz w:val="22"/>
              </w:rPr>
              <w:t>Clinical</w:t>
            </w:r>
            <w:r>
              <w:rPr>
                <w:rFonts w:ascii="Arial" w:hAnsi="Arial"/>
                <w:color w:val="FFFFFF"/>
                <w:spacing w:val="15"/>
                <w:sz w:val="22"/>
              </w:rPr>
              <w:t> </w:t>
            </w:r>
            <w:r>
              <w:rPr>
                <w:rFonts w:ascii="Arial" w:hAnsi="Arial"/>
                <w:color w:val="FFFFFF"/>
                <w:sz w:val="22"/>
              </w:rPr>
              <w:t>Trial</w:t>
            </w:r>
            <w:r>
              <w:rPr>
                <w:rFonts w:ascii="Arial" w:hAnsi="Arial"/>
                <w:color w:val="FFFFFF"/>
                <w:spacing w:val="15"/>
                <w:sz w:val="22"/>
              </w:rPr>
              <w:t> </w:t>
            </w:r>
            <w:r>
              <w:rPr>
                <w:rFonts w:ascii="Arial" w:hAnsi="Arial"/>
                <w:color w:val="FFFFFF"/>
                <w:spacing w:val="-2"/>
                <w:sz w:val="22"/>
              </w:rPr>
              <w:t>Results</w:t>
            </w:r>
          </w:p>
        </w:tc>
      </w:tr>
      <w:tr>
        <w:trPr>
          <w:trHeight w:val="539" w:hRule="atLeast"/>
        </w:trPr>
        <w:tc>
          <w:tcPr>
            <w:tcW w:w="3319" w:type="dxa"/>
            <w:tcBorders>
              <w:bottom w:val="single" w:sz="6" w:space="0" w:color="256E60"/>
            </w:tcBorders>
            <w:shd w:val="clear" w:color="auto" w:fill="DDE6E3"/>
          </w:tcPr>
          <w:p>
            <w:pPr>
              <w:pStyle w:val="TableParagraph"/>
              <w:spacing w:before="138"/>
              <w:rPr>
                <w:rFonts w:ascii="Arial"/>
                <w:b/>
                <w:sz w:val="22"/>
              </w:rPr>
            </w:pPr>
            <w:r>
              <w:rPr>
                <w:rFonts w:ascii="Arial"/>
                <w:b/>
                <w:color w:val="1C5349"/>
                <w:spacing w:val="-4"/>
                <w:sz w:val="22"/>
              </w:rPr>
              <w:t>Drug</w:t>
            </w:r>
          </w:p>
        </w:tc>
        <w:tc>
          <w:tcPr>
            <w:tcW w:w="2163" w:type="dxa"/>
            <w:tcBorders>
              <w:bottom w:val="single" w:sz="6" w:space="0" w:color="256E60"/>
            </w:tcBorders>
            <w:shd w:val="clear" w:color="auto" w:fill="DDE6E3"/>
          </w:tcPr>
          <w:p>
            <w:pPr>
              <w:pStyle w:val="TableParagraph"/>
              <w:spacing w:before="138"/>
              <w:ind w:left="635"/>
              <w:rPr>
                <w:rFonts w:ascii="Arial"/>
                <w:b/>
                <w:sz w:val="22"/>
              </w:rPr>
            </w:pPr>
            <w:r>
              <w:rPr>
                <w:rFonts w:ascii="Arial"/>
                <w:b/>
                <w:color w:val="1C5349"/>
                <w:sz w:val="22"/>
              </w:rPr>
              <w:t>Dose</w:t>
            </w:r>
            <w:r>
              <w:rPr>
                <w:rFonts w:ascii="Arial"/>
                <w:b/>
                <w:color w:val="1C5349"/>
                <w:spacing w:val="11"/>
                <w:sz w:val="22"/>
              </w:rPr>
              <w:t> </w:t>
            </w:r>
            <w:r>
              <w:rPr>
                <w:rFonts w:ascii="Arial"/>
                <w:b/>
                <w:color w:val="1C5349"/>
                <w:spacing w:val="-2"/>
                <w:sz w:val="22"/>
              </w:rPr>
              <w:t>(mg/d)</w:t>
            </w:r>
          </w:p>
        </w:tc>
        <w:tc>
          <w:tcPr>
            <w:tcW w:w="3668" w:type="dxa"/>
            <w:tcBorders>
              <w:bottom w:val="single" w:sz="6" w:space="0" w:color="256E60"/>
            </w:tcBorders>
            <w:shd w:val="clear" w:color="auto" w:fill="DDE6E3"/>
          </w:tcPr>
          <w:p>
            <w:pPr>
              <w:pStyle w:val="TableParagraph"/>
              <w:spacing w:before="138"/>
              <w:ind w:left="227"/>
              <w:rPr>
                <w:rFonts w:ascii="Arial"/>
                <w:b/>
                <w:sz w:val="22"/>
              </w:rPr>
            </w:pPr>
            <w:r>
              <w:rPr>
                <w:rFonts w:ascii="Arial"/>
                <w:b/>
                <w:color w:val="1C5349"/>
                <w:sz w:val="22"/>
              </w:rPr>
              <w:t>Reduction</w:t>
            </w:r>
            <w:r>
              <w:rPr>
                <w:rFonts w:ascii="Arial"/>
                <w:b/>
                <w:color w:val="1C5349"/>
                <w:spacing w:val="15"/>
                <w:sz w:val="22"/>
              </w:rPr>
              <w:t> </w:t>
            </w:r>
            <w:r>
              <w:rPr>
                <w:rFonts w:ascii="Arial"/>
                <w:b/>
                <w:color w:val="1C5349"/>
                <w:sz w:val="22"/>
              </w:rPr>
              <w:t>in</w:t>
            </w:r>
            <w:r>
              <w:rPr>
                <w:rFonts w:ascii="Arial"/>
                <w:b/>
                <w:color w:val="1C5349"/>
                <w:spacing w:val="16"/>
                <w:sz w:val="22"/>
              </w:rPr>
              <w:t> </w:t>
            </w:r>
            <w:r>
              <w:rPr>
                <w:rFonts w:ascii="Arial"/>
                <w:b/>
                <w:color w:val="1C5349"/>
                <w:sz w:val="22"/>
              </w:rPr>
              <w:t>Flushing</w:t>
            </w:r>
            <w:r>
              <w:rPr>
                <w:rFonts w:ascii="Arial"/>
                <w:b/>
                <w:color w:val="1C5349"/>
                <w:spacing w:val="15"/>
                <w:sz w:val="22"/>
              </w:rPr>
              <w:t> </w:t>
            </w:r>
            <w:r>
              <w:rPr>
                <w:rFonts w:ascii="Arial"/>
                <w:b/>
                <w:color w:val="1C5349"/>
                <w:spacing w:val="-5"/>
                <w:sz w:val="22"/>
              </w:rPr>
              <w:t>(%)</w:t>
            </w:r>
          </w:p>
        </w:tc>
      </w:tr>
      <w:tr>
        <w:trPr>
          <w:trHeight w:val="554" w:hRule="atLeast"/>
        </w:trPr>
        <w:tc>
          <w:tcPr>
            <w:tcW w:w="3319" w:type="dxa"/>
            <w:tcBorders>
              <w:top w:val="single" w:sz="6" w:space="0" w:color="256E60"/>
              <w:bottom w:val="single" w:sz="6" w:space="0" w:color="1C5349"/>
            </w:tcBorders>
          </w:tcPr>
          <w:p>
            <w:pPr>
              <w:pStyle w:val="TableParagraph"/>
              <w:rPr>
                <w:sz w:val="22"/>
              </w:rPr>
            </w:pPr>
            <w:r>
              <w:rPr>
                <w:sz w:val="22"/>
              </w:rPr>
              <w:t>Citalopram</w:t>
            </w:r>
            <w:r>
              <w:rPr>
                <w:spacing w:val="18"/>
                <w:sz w:val="22"/>
              </w:rPr>
              <w:t> </w:t>
            </w:r>
            <w:r>
              <w:rPr>
                <w:sz w:val="22"/>
              </w:rPr>
              <w:t>(Celexa)</w:t>
            </w:r>
            <w:r>
              <w:rPr>
                <w:spacing w:val="18"/>
                <w:sz w:val="22"/>
              </w:rPr>
              <w:t> </w:t>
            </w:r>
            <w:r>
              <w:rPr>
                <w:spacing w:val="-2"/>
                <w:sz w:val="22"/>
              </w:rPr>
              <w:t>placebo</w:t>
            </w:r>
          </w:p>
        </w:tc>
        <w:tc>
          <w:tcPr>
            <w:tcW w:w="2163" w:type="dxa"/>
            <w:tcBorders>
              <w:top w:val="single" w:sz="6" w:space="0" w:color="256E60"/>
              <w:bottom w:val="single" w:sz="6" w:space="0" w:color="1C5349"/>
            </w:tcBorders>
          </w:tcPr>
          <w:p>
            <w:pPr>
              <w:pStyle w:val="TableParagraph"/>
              <w:ind w:left="635"/>
              <w:rPr>
                <w:sz w:val="22"/>
              </w:rPr>
            </w:pPr>
            <w:r>
              <w:rPr>
                <w:spacing w:val="-5"/>
                <w:sz w:val="22"/>
              </w:rPr>
              <w:t>20</w:t>
            </w:r>
          </w:p>
        </w:tc>
        <w:tc>
          <w:tcPr>
            <w:tcW w:w="3668" w:type="dxa"/>
            <w:tcBorders>
              <w:top w:val="single" w:sz="6" w:space="0" w:color="256E60"/>
              <w:bottom w:val="single" w:sz="6" w:space="0" w:color="1C5349"/>
            </w:tcBorders>
          </w:tcPr>
          <w:p>
            <w:pPr>
              <w:pStyle w:val="TableParagraph"/>
              <w:ind w:left="227"/>
              <w:rPr>
                <w:sz w:val="22"/>
              </w:rPr>
            </w:pPr>
            <w:r>
              <w:rPr>
                <w:sz w:val="22"/>
              </w:rPr>
              <w:t>50,</w:t>
            </w:r>
            <w:r>
              <w:rPr>
                <w:spacing w:val="7"/>
                <w:sz w:val="22"/>
              </w:rPr>
              <w:t> </w:t>
            </w:r>
            <w:r>
              <w:rPr>
                <w:sz w:val="22"/>
              </w:rPr>
              <w:t>same</w:t>
            </w:r>
            <w:r>
              <w:rPr>
                <w:spacing w:val="7"/>
                <w:sz w:val="22"/>
              </w:rPr>
              <w:t> </w:t>
            </w:r>
            <w:r>
              <w:rPr>
                <w:sz w:val="22"/>
              </w:rPr>
              <w:t>as</w:t>
            </w:r>
            <w:r>
              <w:rPr>
                <w:spacing w:val="7"/>
                <w:sz w:val="22"/>
              </w:rPr>
              <w:t> </w:t>
            </w:r>
            <w:r>
              <w:rPr>
                <w:spacing w:val="-2"/>
                <w:sz w:val="22"/>
              </w:rPr>
              <w:t>placebo</w:t>
            </w:r>
          </w:p>
        </w:tc>
      </w:tr>
      <w:tr>
        <w:trPr>
          <w:trHeight w:val="554" w:hRule="atLeast"/>
        </w:trPr>
        <w:tc>
          <w:tcPr>
            <w:tcW w:w="3319" w:type="dxa"/>
            <w:tcBorders>
              <w:top w:val="single" w:sz="6" w:space="0" w:color="1C5349"/>
              <w:bottom w:val="single" w:sz="6" w:space="0" w:color="1C5349"/>
            </w:tcBorders>
          </w:tcPr>
          <w:p>
            <w:pPr>
              <w:pStyle w:val="TableParagraph"/>
              <w:rPr>
                <w:sz w:val="22"/>
              </w:rPr>
            </w:pPr>
            <w:r>
              <w:rPr>
                <w:sz w:val="22"/>
              </w:rPr>
              <w:t>Fluoxetine</w:t>
            </w:r>
            <w:r>
              <w:rPr>
                <w:spacing w:val="19"/>
                <w:sz w:val="22"/>
              </w:rPr>
              <w:t> </w:t>
            </w:r>
            <w:r>
              <w:rPr>
                <w:spacing w:val="-2"/>
                <w:sz w:val="22"/>
              </w:rPr>
              <w:t>(Prozac)</w:t>
            </w:r>
          </w:p>
        </w:tc>
        <w:tc>
          <w:tcPr>
            <w:tcW w:w="2163" w:type="dxa"/>
            <w:tcBorders>
              <w:top w:val="single" w:sz="6" w:space="0" w:color="1C5349"/>
              <w:bottom w:val="single" w:sz="6" w:space="0" w:color="1C5349"/>
            </w:tcBorders>
          </w:tcPr>
          <w:p>
            <w:pPr>
              <w:pStyle w:val="TableParagraph"/>
              <w:ind w:left="635"/>
              <w:rPr>
                <w:sz w:val="22"/>
              </w:rPr>
            </w:pPr>
            <w:r>
              <w:rPr>
                <w:spacing w:val="-5"/>
                <w:sz w:val="22"/>
              </w:rPr>
              <w:t>20</w:t>
            </w:r>
          </w:p>
        </w:tc>
        <w:tc>
          <w:tcPr>
            <w:tcW w:w="3668" w:type="dxa"/>
            <w:tcBorders>
              <w:top w:val="single" w:sz="6" w:space="0" w:color="1C5349"/>
              <w:bottom w:val="single" w:sz="6" w:space="0" w:color="1C5349"/>
            </w:tcBorders>
          </w:tcPr>
          <w:p>
            <w:pPr>
              <w:pStyle w:val="TableParagraph"/>
              <w:ind w:left="227"/>
              <w:rPr>
                <w:sz w:val="22"/>
              </w:rPr>
            </w:pPr>
            <w:r>
              <w:rPr>
                <w:sz w:val="22"/>
              </w:rPr>
              <w:t>50,</w:t>
            </w:r>
            <w:r>
              <w:rPr>
                <w:spacing w:val="7"/>
                <w:sz w:val="22"/>
              </w:rPr>
              <w:t> </w:t>
            </w:r>
            <w:r>
              <w:rPr>
                <w:sz w:val="22"/>
              </w:rPr>
              <w:t>same</w:t>
            </w:r>
            <w:r>
              <w:rPr>
                <w:spacing w:val="7"/>
                <w:sz w:val="22"/>
              </w:rPr>
              <w:t> </w:t>
            </w:r>
            <w:r>
              <w:rPr>
                <w:sz w:val="22"/>
              </w:rPr>
              <w:t>as</w:t>
            </w:r>
            <w:r>
              <w:rPr>
                <w:spacing w:val="7"/>
                <w:sz w:val="22"/>
              </w:rPr>
              <w:t> </w:t>
            </w:r>
            <w:r>
              <w:rPr>
                <w:spacing w:val="-2"/>
                <w:sz w:val="22"/>
              </w:rPr>
              <w:t>placebo</w:t>
            </w:r>
          </w:p>
        </w:tc>
      </w:tr>
    </w:tbl>
    <w:p>
      <w:pPr>
        <w:pStyle w:val="TableParagraph"/>
        <w:spacing w:after="0"/>
        <w:rPr>
          <w:sz w:val="22"/>
        </w:rPr>
        <w:sectPr>
          <w:pgSz w:w="12240" w:h="15840"/>
          <w:pgMar w:top="1380" w:bottom="1310" w:left="1440" w:right="1440"/>
        </w:sect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3"/>
        <w:gridCol w:w="1919"/>
        <w:gridCol w:w="3667"/>
      </w:tblGrid>
      <w:tr>
        <w:trPr>
          <w:trHeight w:val="539" w:hRule="atLeast"/>
        </w:trPr>
        <w:tc>
          <w:tcPr>
            <w:tcW w:w="3563" w:type="dxa"/>
            <w:tcBorders>
              <w:bottom w:val="single" w:sz="6" w:space="0" w:color="256E60"/>
            </w:tcBorders>
            <w:shd w:val="clear" w:color="auto" w:fill="DDE6E3"/>
          </w:tcPr>
          <w:p>
            <w:pPr>
              <w:pStyle w:val="TableParagraph"/>
              <w:spacing w:before="138"/>
              <w:rPr>
                <w:rFonts w:ascii="Arial"/>
                <w:b/>
                <w:sz w:val="22"/>
              </w:rPr>
            </w:pPr>
            <w:r>
              <w:rPr>
                <w:rFonts w:ascii="Arial"/>
                <w:b/>
                <w:color w:val="1C5349"/>
                <w:spacing w:val="-4"/>
                <w:sz w:val="22"/>
              </w:rPr>
              <w:t>Drug</w:t>
            </w:r>
          </w:p>
        </w:tc>
        <w:tc>
          <w:tcPr>
            <w:tcW w:w="1919" w:type="dxa"/>
            <w:tcBorders>
              <w:bottom w:val="single" w:sz="6" w:space="0" w:color="256E60"/>
            </w:tcBorders>
            <w:shd w:val="clear" w:color="auto" w:fill="DDE6E3"/>
          </w:tcPr>
          <w:p>
            <w:pPr>
              <w:pStyle w:val="TableParagraph"/>
              <w:spacing w:before="138"/>
              <w:ind w:left="391"/>
              <w:rPr>
                <w:rFonts w:ascii="Arial"/>
                <w:b/>
                <w:sz w:val="22"/>
              </w:rPr>
            </w:pPr>
            <w:r>
              <w:rPr>
                <w:rFonts w:ascii="Arial"/>
                <w:b/>
                <w:color w:val="1C5349"/>
                <w:sz w:val="22"/>
              </w:rPr>
              <w:t>Dose</w:t>
            </w:r>
            <w:r>
              <w:rPr>
                <w:rFonts w:ascii="Arial"/>
                <w:b/>
                <w:color w:val="1C5349"/>
                <w:spacing w:val="11"/>
                <w:sz w:val="22"/>
              </w:rPr>
              <w:t> </w:t>
            </w:r>
            <w:r>
              <w:rPr>
                <w:rFonts w:ascii="Arial"/>
                <w:b/>
                <w:color w:val="1C5349"/>
                <w:spacing w:val="-2"/>
                <w:sz w:val="22"/>
              </w:rPr>
              <w:t>(mg/d)</w:t>
            </w:r>
          </w:p>
        </w:tc>
        <w:tc>
          <w:tcPr>
            <w:tcW w:w="3667" w:type="dxa"/>
            <w:tcBorders>
              <w:bottom w:val="single" w:sz="6" w:space="0" w:color="256E60"/>
            </w:tcBorders>
            <w:shd w:val="clear" w:color="auto" w:fill="DDE6E3"/>
          </w:tcPr>
          <w:p>
            <w:pPr>
              <w:pStyle w:val="TableParagraph"/>
              <w:spacing w:before="138"/>
              <w:ind w:left="227"/>
              <w:rPr>
                <w:rFonts w:ascii="Arial"/>
                <w:b/>
                <w:sz w:val="22"/>
              </w:rPr>
            </w:pPr>
            <w:r>
              <w:rPr>
                <w:rFonts w:ascii="Arial"/>
                <w:b/>
                <w:color w:val="1C5349"/>
                <w:sz w:val="22"/>
              </w:rPr>
              <w:t>Reduction</w:t>
            </w:r>
            <w:r>
              <w:rPr>
                <w:rFonts w:ascii="Arial"/>
                <w:b/>
                <w:color w:val="1C5349"/>
                <w:spacing w:val="15"/>
                <w:sz w:val="22"/>
              </w:rPr>
              <w:t> </w:t>
            </w:r>
            <w:r>
              <w:rPr>
                <w:rFonts w:ascii="Arial"/>
                <w:b/>
                <w:color w:val="1C5349"/>
                <w:sz w:val="22"/>
              </w:rPr>
              <w:t>in</w:t>
            </w:r>
            <w:r>
              <w:rPr>
                <w:rFonts w:ascii="Arial"/>
                <w:b/>
                <w:color w:val="1C5349"/>
                <w:spacing w:val="16"/>
                <w:sz w:val="22"/>
              </w:rPr>
              <w:t> </w:t>
            </w:r>
            <w:r>
              <w:rPr>
                <w:rFonts w:ascii="Arial"/>
                <w:b/>
                <w:color w:val="1C5349"/>
                <w:sz w:val="22"/>
              </w:rPr>
              <w:t>Flushing</w:t>
            </w:r>
            <w:r>
              <w:rPr>
                <w:rFonts w:ascii="Arial"/>
                <w:b/>
                <w:color w:val="1C5349"/>
                <w:spacing w:val="15"/>
                <w:sz w:val="22"/>
              </w:rPr>
              <w:t> </w:t>
            </w:r>
            <w:r>
              <w:rPr>
                <w:rFonts w:ascii="Arial"/>
                <w:b/>
                <w:color w:val="1C5349"/>
                <w:spacing w:val="-5"/>
                <w:sz w:val="22"/>
              </w:rPr>
              <w:t>(%)</w:t>
            </w:r>
          </w:p>
        </w:tc>
      </w:tr>
      <w:tr>
        <w:trPr>
          <w:trHeight w:val="554" w:hRule="atLeast"/>
        </w:trPr>
        <w:tc>
          <w:tcPr>
            <w:tcW w:w="3563" w:type="dxa"/>
            <w:tcBorders>
              <w:top w:val="single" w:sz="6" w:space="0" w:color="256E60"/>
              <w:bottom w:val="single" w:sz="6" w:space="0" w:color="1C5349"/>
            </w:tcBorders>
          </w:tcPr>
          <w:p>
            <w:pPr>
              <w:pStyle w:val="TableParagraph"/>
              <w:rPr>
                <w:sz w:val="22"/>
              </w:rPr>
            </w:pPr>
            <w:r>
              <w:rPr>
                <w:sz w:val="22"/>
              </w:rPr>
              <w:t>Sertraline</w:t>
            </w:r>
            <w:r>
              <w:rPr>
                <w:spacing w:val="18"/>
                <w:sz w:val="22"/>
              </w:rPr>
              <w:t> </w:t>
            </w:r>
            <w:r>
              <w:rPr>
                <w:spacing w:val="-2"/>
                <w:sz w:val="22"/>
              </w:rPr>
              <w:t>(Zoloft)</w:t>
            </w:r>
          </w:p>
        </w:tc>
        <w:tc>
          <w:tcPr>
            <w:tcW w:w="1919" w:type="dxa"/>
            <w:tcBorders>
              <w:top w:val="single" w:sz="6" w:space="0" w:color="256E60"/>
              <w:bottom w:val="single" w:sz="6" w:space="0" w:color="1C5349"/>
            </w:tcBorders>
          </w:tcPr>
          <w:p>
            <w:pPr>
              <w:pStyle w:val="TableParagraph"/>
              <w:ind w:left="391"/>
              <w:rPr>
                <w:sz w:val="22"/>
              </w:rPr>
            </w:pPr>
            <w:r>
              <w:rPr>
                <w:spacing w:val="-2"/>
                <w:sz w:val="22"/>
              </w:rPr>
              <w:t>50,100</w:t>
            </w:r>
          </w:p>
        </w:tc>
        <w:tc>
          <w:tcPr>
            <w:tcW w:w="3667" w:type="dxa"/>
            <w:tcBorders>
              <w:top w:val="single" w:sz="6" w:space="0" w:color="256E60"/>
              <w:bottom w:val="single" w:sz="6" w:space="0" w:color="1C5349"/>
            </w:tcBorders>
          </w:tcPr>
          <w:p>
            <w:pPr>
              <w:pStyle w:val="TableParagraph"/>
              <w:ind w:left="227"/>
              <w:rPr>
                <w:sz w:val="22"/>
              </w:rPr>
            </w:pPr>
            <w:r>
              <w:rPr>
                <w:sz w:val="22"/>
              </w:rPr>
              <w:t>40,</w:t>
            </w:r>
            <w:r>
              <w:rPr>
                <w:spacing w:val="7"/>
                <w:sz w:val="22"/>
              </w:rPr>
              <w:t> </w:t>
            </w:r>
            <w:r>
              <w:rPr>
                <w:sz w:val="22"/>
              </w:rPr>
              <w:t>same</w:t>
            </w:r>
            <w:r>
              <w:rPr>
                <w:spacing w:val="7"/>
                <w:sz w:val="22"/>
              </w:rPr>
              <w:t> </w:t>
            </w:r>
            <w:r>
              <w:rPr>
                <w:sz w:val="22"/>
              </w:rPr>
              <w:t>as</w:t>
            </w:r>
            <w:r>
              <w:rPr>
                <w:spacing w:val="7"/>
                <w:sz w:val="22"/>
              </w:rPr>
              <w:t> </w:t>
            </w:r>
            <w:r>
              <w:rPr>
                <w:spacing w:val="-2"/>
                <w:sz w:val="22"/>
              </w:rPr>
              <w:t>placebo</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z w:val="22"/>
              </w:rPr>
              <w:t>Paroxetine</w:t>
            </w:r>
            <w:r>
              <w:rPr>
                <w:spacing w:val="19"/>
                <w:sz w:val="22"/>
              </w:rPr>
              <w:t> </w:t>
            </w:r>
            <w:r>
              <w:rPr>
                <w:spacing w:val="-2"/>
                <w:sz w:val="22"/>
              </w:rPr>
              <w:t>(Paxil)</w:t>
            </w:r>
          </w:p>
        </w:tc>
        <w:tc>
          <w:tcPr>
            <w:tcW w:w="1919" w:type="dxa"/>
            <w:tcBorders>
              <w:top w:val="single" w:sz="6" w:space="0" w:color="1C5349"/>
              <w:bottom w:val="single" w:sz="6" w:space="0" w:color="1C5349"/>
            </w:tcBorders>
          </w:tcPr>
          <w:p>
            <w:pPr>
              <w:pStyle w:val="TableParagraph"/>
              <w:ind w:left="391"/>
              <w:rPr>
                <w:sz w:val="22"/>
              </w:rPr>
            </w:pPr>
            <w:r>
              <w:rPr>
                <w:spacing w:val="-4"/>
                <w:sz w:val="22"/>
              </w:rPr>
              <w:t>12.5</w:t>
            </w:r>
          </w:p>
        </w:tc>
        <w:tc>
          <w:tcPr>
            <w:tcW w:w="3667" w:type="dxa"/>
            <w:tcBorders>
              <w:top w:val="single" w:sz="6" w:space="0" w:color="1C5349"/>
              <w:bottom w:val="single" w:sz="6" w:space="0" w:color="1C5349"/>
            </w:tcBorders>
          </w:tcPr>
          <w:p>
            <w:pPr>
              <w:pStyle w:val="TableParagraph"/>
              <w:ind w:left="227"/>
              <w:rPr>
                <w:sz w:val="22"/>
              </w:rPr>
            </w:pPr>
            <w:r>
              <w:rPr>
                <w:spacing w:val="-5"/>
                <w:sz w:val="22"/>
              </w:rPr>
              <w:t>62</w:t>
            </w:r>
          </w:p>
        </w:tc>
      </w:tr>
      <w:tr>
        <w:trPr>
          <w:trHeight w:val="554" w:hRule="atLeast"/>
        </w:trPr>
        <w:tc>
          <w:tcPr>
            <w:tcW w:w="3563" w:type="dxa"/>
            <w:tcBorders>
              <w:top w:val="single" w:sz="6" w:space="0" w:color="1C5349"/>
              <w:bottom w:val="single" w:sz="6" w:space="0" w:color="1C5349"/>
            </w:tcBorders>
          </w:tcPr>
          <w:p>
            <w:pPr>
              <w:pStyle w:val="TableParagraph"/>
              <w:spacing w:before="0"/>
              <w:ind w:left="0"/>
              <w:rPr>
                <w:sz w:val="28"/>
              </w:rPr>
            </w:pPr>
          </w:p>
        </w:tc>
        <w:tc>
          <w:tcPr>
            <w:tcW w:w="1919" w:type="dxa"/>
            <w:tcBorders>
              <w:top w:val="single" w:sz="6" w:space="0" w:color="1C5349"/>
              <w:bottom w:val="single" w:sz="6" w:space="0" w:color="1C5349"/>
            </w:tcBorders>
          </w:tcPr>
          <w:p>
            <w:pPr>
              <w:pStyle w:val="TableParagraph"/>
              <w:ind w:left="391"/>
              <w:rPr>
                <w:sz w:val="22"/>
              </w:rPr>
            </w:pPr>
            <w:r>
              <w:rPr>
                <w:spacing w:val="-5"/>
                <w:sz w:val="22"/>
              </w:rPr>
              <w:t>25</w:t>
            </w:r>
          </w:p>
        </w:tc>
        <w:tc>
          <w:tcPr>
            <w:tcW w:w="3667" w:type="dxa"/>
            <w:tcBorders>
              <w:top w:val="single" w:sz="6" w:space="0" w:color="1C5349"/>
              <w:bottom w:val="single" w:sz="6" w:space="0" w:color="1C5349"/>
            </w:tcBorders>
          </w:tcPr>
          <w:p>
            <w:pPr>
              <w:pStyle w:val="TableParagraph"/>
              <w:ind w:left="227"/>
              <w:rPr>
                <w:sz w:val="22"/>
              </w:rPr>
            </w:pPr>
            <w:r>
              <w:rPr>
                <w:spacing w:val="-5"/>
                <w:sz w:val="22"/>
              </w:rPr>
              <w:t>65</w:t>
            </w:r>
          </w:p>
        </w:tc>
      </w:tr>
      <w:tr>
        <w:trPr>
          <w:trHeight w:val="554" w:hRule="atLeast"/>
        </w:trPr>
        <w:tc>
          <w:tcPr>
            <w:tcW w:w="3563" w:type="dxa"/>
            <w:tcBorders>
              <w:top w:val="single" w:sz="6" w:space="0" w:color="1C5349"/>
              <w:bottom w:val="single" w:sz="6" w:space="0" w:color="1C5349"/>
            </w:tcBorders>
          </w:tcPr>
          <w:p>
            <w:pPr>
              <w:pStyle w:val="TableParagraph"/>
              <w:spacing w:before="0"/>
              <w:ind w:left="0"/>
              <w:rPr>
                <w:sz w:val="28"/>
              </w:rPr>
            </w:pPr>
          </w:p>
        </w:tc>
        <w:tc>
          <w:tcPr>
            <w:tcW w:w="1919" w:type="dxa"/>
            <w:tcBorders>
              <w:top w:val="single" w:sz="6" w:space="0" w:color="1C5349"/>
              <w:bottom w:val="single" w:sz="6" w:space="0" w:color="1C5349"/>
            </w:tcBorders>
          </w:tcPr>
          <w:p>
            <w:pPr>
              <w:pStyle w:val="TableParagraph"/>
              <w:ind w:left="391"/>
              <w:rPr>
                <w:sz w:val="22"/>
              </w:rPr>
            </w:pPr>
            <w:r>
              <w:rPr>
                <w:spacing w:val="-5"/>
                <w:sz w:val="22"/>
              </w:rPr>
              <w:t>7.5</w:t>
            </w:r>
          </w:p>
        </w:tc>
        <w:tc>
          <w:tcPr>
            <w:tcW w:w="3667" w:type="dxa"/>
            <w:tcBorders>
              <w:top w:val="single" w:sz="6" w:space="0" w:color="1C5349"/>
              <w:bottom w:val="single" w:sz="6" w:space="0" w:color="1C5349"/>
            </w:tcBorders>
          </w:tcPr>
          <w:p>
            <w:pPr>
              <w:pStyle w:val="TableParagraph"/>
              <w:ind w:left="227"/>
              <w:rPr>
                <w:sz w:val="22"/>
              </w:rPr>
            </w:pPr>
            <w:r>
              <w:rPr>
                <w:spacing w:val="-5"/>
                <w:sz w:val="22"/>
              </w:rPr>
              <w:t>40</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z w:val="22"/>
              </w:rPr>
              <w:t>Paroxetine</w:t>
            </w:r>
            <w:r>
              <w:rPr>
                <w:spacing w:val="19"/>
                <w:sz w:val="22"/>
              </w:rPr>
              <w:t> </w:t>
            </w:r>
            <w:r>
              <w:rPr>
                <w:spacing w:val="-2"/>
                <w:sz w:val="22"/>
              </w:rPr>
              <w:t>(Brisdelle)</w:t>
            </w:r>
          </w:p>
        </w:tc>
        <w:tc>
          <w:tcPr>
            <w:tcW w:w="1919" w:type="dxa"/>
            <w:tcBorders>
              <w:top w:val="single" w:sz="6" w:space="0" w:color="1C5349"/>
              <w:bottom w:val="single" w:sz="6" w:space="0" w:color="1C5349"/>
            </w:tcBorders>
          </w:tcPr>
          <w:p>
            <w:pPr>
              <w:pStyle w:val="TableParagraph"/>
              <w:ind w:left="391"/>
              <w:rPr>
                <w:sz w:val="22"/>
              </w:rPr>
            </w:pPr>
            <w:r>
              <w:rPr>
                <w:spacing w:val="-5"/>
                <w:sz w:val="22"/>
              </w:rPr>
              <w:t>7.5</w:t>
            </w:r>
          </w:p>
        </w:tc>
        <w:tc>
          <w:tcPr>
            <w:tcW w:w="3667" w:type="dxa"/>
            <w:tcBorders>
              <w:top w:val="single" w:sz="6" w:space="0" w:color="1C5349"/>
              <w:bottom w:val="single" w:sz="6" w:space="0" w:color="1C5349"/>
            </w:tcBorders>
          </w:tcPr>
          <w:p>
            <w:pPr>
              <w:pStyle w:val="TableParagraph"/>
              <w:ind w:left="227"/>
              <w:rPr>
                <w:sz w:val="22"/>
              </w:rPr>
            </w:pPr>
            <w:r>
              <w:rPr>
                <w:spacing w:val="-5"/>
                <w:sz w:val="22"/>
              </w:rPr>
              <w:t>40</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z w:val="22"/>
              </w:rPr>
              <w:t>Venlafaxine</w:t>
            </w:r>
            <w:r>
              <w:rPr>
                <w:spacing w:val="-3"/>
                <w:sz w:val="22"/>
              </w:rPr>
              <w:t> </w:t>
            </w:r>
            <w:r>
              <w:rPr>
                <w:spacing w:val="-2"/>
                <w:sz w:val="22"/>
              </w:rPr>
              <w:t>(Effexor)</w:t>
            </w:r>
          </w:p>
        </w:tc>
        <w:tc>
          <w:tcPr>
            <w:tcW w:w="1919" w:type="dxa"/>
            <w:tcBorders>
              <w:top w:val="single" w:sz="6" w:space="0" w:color="1C5349"/>
              <w:bottom w:val="single" w:sz="6" w:space="0" w:color="1C5349"/>
            </w:tcBorders>
          </w:tcPr>
          <w:p>
            <w:pPr>
              <w:pStyle w:val="TableParagraph"/>
              <w:ind w:left="391"/>
              <w:rPr>
                <w:sz w:val="22"/>
              </w:rPr>
            </w:pPr>
            <w:r>
              <w:rPr>
                <w:spacing w:val="-4"/>
                <w:sz w:val="22"/>
              </w:rPr>
              <w:t>37.5</w:t>
            </w:r>
          </w:p>
        </w:tc>
        <w:tc>
          <w:tcPr>
            <w:tcW w:w="3667" w:type="dxa"/>
            <w:tcBorders>
              <w:top w:val="single" w:sz="6" w:space="0" w:color="1C5349"/>
              <w:bottom w:val="single" w:sz="6" w:space="0" w:color="1C5349"/>
            </w:tcBorders>
          </w:tcPr>
          <w:p>
            <w:pPr>
              <w:pStyle w:val="TableParagraph"/>
              <w:ind w:left="227"/>
              <w:rPr>
                <w:sz w:val="22"/>
              </w:rPr>
            </w:pPr>
            <w:r>
              <w:rPr>
                <w:spacing w:val="-5"/>
                <w:sz w:val="22"/>
              </w:rPr>
              <w:t>37</w:t>
            </w:r>
          </w:p>
        </w:tc>
      </w:tr>
      <w:tr>
        <w:trPr>
          <w:trHeight w:val="554" w:hRule="atLeast"/>
        </w:trPr>
        <w:tc>
          <w:tcPr>
            <w:tcW w:w="3563" w:type="dxa"/>
            <w:tcBorders>
              <w:top w:val="single" w:sz="6" w:space="0" w:color="1C5349"/>
              <w:bottom w:val="single" w:sz="6" w:space="0" w:color="1C5349"/>
            </w:tcBorders>
          </w:tcPr>
          <w:p>
            <w:pPr>
              <w:pStyle w:val="TableParagraph"/>
              <w:spacing w:before="0"/>
              <w:ind w:left="0"/>
              <w:rPr>
                <w:sz w:val="28"/>
              </w:rPr>
            </w:pPr>
          </w:p>
        </w:tc>
        <w:tc>
          <w:tcPr>
            <w:tcW w:w="1919" w:type="dxa"/>
            <w:tcBorders>
              <w:top w:val="single" w:sz="6" w:space="0" w:color="1C5349"/>
              <w:bottom w:val="single" w:sz="6" w:space="0" w:color="1C5349"/>
            </w:tcBorders>
          </w:tcPr>
          <w:p>
            <w:pPr>
              <w:pStyle w:val="TableParagraph"/>
              <w:ind w:left="391"/>
              <w:rPr>
                <w:sz w:val="22"/>
              </w:rPr>
            </w:pPr>
            <w:r>
              <w:rPr>
                <w:spacing w:val="-5"/>
                <w:sz w:val="22"/>
              </w:rPr>
              <w:t>75</w:t>
            </w:r>
          </w:p>
        </w:tc>
        <w:tc>
          <w:tcPr>
            <w:tcW w:w="3667" w:type="dxa"/>
            <w:tcBorders>
              <w:top w:val="single" w:sz="6" w:space="0" w:color="1C5349"/>
              <w:bottom w:val="single" w:sz="6" w:space="0" w:color="1C5349"/>
            </w:tcBorders>
          </w:tcPr>
          <w:p>
            <w:pPr>
              <w:pStyle w:val="TableParagraph"/>
              <w:ind w:left="227"/>
              <w:rPr>
                <w:sz w:val="22"/>
              </w:rPr>
            </w:pPr>
            <w:r>
              <w:rPr>
                <w:spacing w:val="-5"/>
                <w:sz w:val="22"/>
              </w:rPr>
              <w:t>61</w:t>
            </w:r>
          </w:p>
        </w:tc>
      </w:tr>
      <w:tr>
        <w:trPr>
          <w:trHeight w:val="554" w:hRule="atLeast"/>
        </w:trPr>
        <w:tc>
          <w:tcPr>
            <w:tcW w:w="3563" w:type="dxa"/>
            <w:tcBorders>
              <w:top w:val="single" w:sz="6" w:space="0" w:color="1C5349"/>
              <w:bottom w:val="single" w:sz="6" w:space="0" w:color="1C5349"/>
            </w:tcBorders>
          </w:tcPr>
          <w:p>
            <w:pPr>
              <w:pStyle w:val="TableParagraph"/>
              <w:spacing w:before="0"/>
              <w:ind w:left="0"/>
              <w:rPr>
                <w:sz w:val="28"/>
              </w:rPr>
            </w:pPr>
          </w:p>
        </w:tc>
        <w:tc>
          <w:tcPr>
            <w:tcW w:w="1919" w:type="dxa"/>
            <w:tcBorders>
              <w:top w:val="single" w:sz="6" w:space="0" w:color="1C5349"/>
              <w:bottom w:val="single" w:sz="6" w:space="0" w:color="1C5349"/>
            </w:tcBorders>
          </w:tcPr>
          <w:p>
            <w:pPr>
              <w:pStyle w:val="TableParagraph"/>
              <w:ind w:left="391"/>
              <w:rPr>
                <w:sz w:val="22"/>
              </w:rPr>
            </w:pPr>
            <w:r>
              <w:rPr>
                <w:spacing w:val="-5"/>
                <w:sz w:val="22"/>
              </w:rPr>
              <w:t>150</w:t>
            </w:r>
          </w:p>
        </w:tc>
        <w:tc>
          <w:tcPr>
            <w:tcW w:w="3667" w:type="dxa"/>
            <w:tcBorders>
              <w:top w:val="single" w:sz="6" w:space="0" w:color="1C5349"/>
              <w:bottom w:val="single" w:sz="6" w:space="0" w:color="1C5349"/>
            </w:tcBorders>
          </w:tcPr>
          <w:p>
            <w:pPr>
              <w:pStyle w:val="TableParagraph"/>
              <w:ind w:left="227"/>
              <w:rPr>
                <w:sz w:val="22"/>
              </w:rPr>
            </w:pPr>
            <w:r>
              <w:rPr>
                <w:spacing w:val="-5"/>
                <w:sz w:val="22"/>
              </w:rPr>
              <w:t>61</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z w:val="22"/>
              </w:rPr>
              <w:t>Desvenlafaxine</w:t>
            </w:r>
            <w:r>
              <w:rPr>
                <w:spacing w:val="22"/>
                <w:sz w:val="22"/>
              </w:rPr>
              <w:t> </w:t>
            </w:r>
            <w:r>
              <w:rPr>
                <w:sz w:val="22"/>
              </w:rPr>
              <w:t>succinate</w:t>
            </w:r>
            <w:r>
              <w:rPr>
                <w:spacing w:val="23"/>
                <w:sz w:val="22"/>
              </w:rPr>
              <w:t> </w:t>
            </w:r>
            <w:r>
              <w:rPr>
                <w:spacing w:val="-2"/>
                <w:sz w:val="22"/>
              </w:rPr>
              <w:t>(Pristiq)</w:t>
            </w:r>
          </w:p>
        </w:tc>
        <w:tc>
          <w:tcPr>
            <w:tcW w:w="1919" w:type="dxa"/>
            <w:tcBorders>
              <w:top w:val="single" w:sz="6" w:space="0" w:color="1C5349"/>
              <w:bottom w:val="single" w:sz="6" w:space="0" w:color="1C5349"/>
            </w:tcBorders>
          </w:tcPr>
          <w:p>
            <w:pPr>
              <w:pStyle w:val="TableParagraph"/>
              <w:ind w:left="391"/>
              <w:rPr>
                <w:sz w:val="22"/>
              </w:rPr>
            </w:pPr>
            <w:r>
              <w:rPr>
                <w:spacing w:val="-5"/>
                <w:sz w:val="22"/>
              </w:rPr>
              <w:t>100</w:t>
            </w:r>
          </w:p>
        </w:tc>
        <w:tc>
          <w:tcPr>
            <w:tcW w:w="3667" w:type="dxa"/>
            <w:tcBorders>
              <w:top w:val="single" w:sz="6" w:space="0" w:color="1C5349"/>
              <w:bottom w:val="single" w:sz="6" w:space="0" w:color="1C5349"/>
            </w:tcBorders>
          </w:tcPr>
          <w:p>
            <w:pPr>
              <w:pStyle w:val="TableParagraph"/>
              <w:ind w:left="227"/>
              <w:rPr>
                <w:sz w:val="22"/>
              </w:rPr>
            </w:pPr>
            <w:r>
              <w:rPr>
                <w:spacing w:val="-5"/>
                <w:sz w:val="22"/>
              </w:rPr>
              <w:t>64</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z w:val="22"/>
              </w:rPr>
              <w:t>Gabapentin</w:t>
            </w:r>
            <w:r>
              <w:rPr>
                <w:spacing w:val="21"/>
                <w:sz w:val="22"/>
              </w:rPr>
              <w:t> </w:t>
            </w:r>
            <w:r>
              <w:rPr>
                <w:spacing w:val="-2"/>
                <w:sz w:val="22"/>
              </w:rPr>
              <w:t>(Neurontin)</w:t>
            </w:r>
          </w:p>
        </w:tc>
        <w:tc>
          <w:tcPr>
            <w:tcW w:w="1919" w:type="dxa"/>
            <w:tcBorders>
              <w:top w:val="single" w:sz="6" w:space="0" w:color="1C5349"/>
              <w:bottom w:val="single" w:sz="6" w:space="0" w:color="1C5349"/>
            </w:tcBorders>
          </w:tcPr>
          <w:p>
            <w:pPr>
              <w:pStyle w:val="TableParagraph"/>
              <w:ind w:left="391"/>
              <w:rPr>
                <w:sz w:val="22"/>
              </w:rPr>
            </w:pPr>
            <w:r>
              <w:rPr>
                <w:spacing w:val="-5"/>
                <w:sz w:val="22"/>
              </w:rPr>
              <w:t>900</w:t>
            </w:r>
          </w:p>
        </w:tc>
        <w:tc>
          <w:tcPr>
            <w:tcW w:w="3667" w:type="dxa"/>
            <w:tcBorders>
              <w:top w:val="single" w:sz="6" w:space="0" w:color="1C5349"/>
              <w:bottom w:val="single" w:sz="6" w:space="0" w:color="1C5349"/>
            </w:tcBorders>
          </w:tcPr>
          <w:p>
            <w:pPr>
              <w:pStyle w:val="TableParagraph"/>
              <w:ind w:left="227"/>
              <w:rPr>
                <w:sz w:val="22"/>
              </w:rPr>
            </w:pPr>
            <w:r>
              <w:rPr>
                <w:spacing w:val="-5"/>
                <w:sz w:val="22"/>
              </w:rPr>
              <w:t>50</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z w:val="22"/>
              </w:rPr>
              <w:t>Pregabalin</w:t>
            </w:r>
            <w:r>
              <w:rPr>
                <w:spacing w:val="19"/>
                <w:sz w:val="22"/>
              </w:rPr>
              <w:t> </w:t>
            </w:r>
            <w:r>
              <w:rPr>
                <w:spacing w:val="-2"/>
                <w:sz w:val="22"/>
              </w:rPr>
              <w:t>(Lyrica)</w:t>
            </w:r>
          </w:p>
        </w:tc>
        <w:tc>
          <w:tcPr>
            <w:tcW w:w="1919" w:type="dxa"/>
            <w:tcBorders>
              <w:top w:val="single" w:sz="6" w:space="0" w:color="1C5349"/>
              <w:bottom w:val="single" w:sz="6" w:space="0" w:color="1C5349"/>
            </w:tcBorders>
          </w:tcPr>
          <w:p>
            <w:pPr>
              <w:pStyle w:val="TableParagraph"/>
              <w:ind w:left="391"/>
              <w:rPr>
                <w:sz w:val="22"/>
              </w:rPr>
            </w:pPr>
            <w:r>
              <w:rPr>
                <w:spacing w:val="-5"/>
                <w:sz w:val="22"/>
              </w:rPr>
              <w:t>150</w:t>
            </w:r>
          </w:p>
        </w:tc>
        <w:tc>
          <w:tcPr>
            <w:tcW w:w="3667" w:type="dxa"/>
            <w:tcBorders>
              <w:top w:val="single" w:sz="6" w:space="0" w:color="1C5349"/>
              <w:bottom w:val="single" w:sz="6" w:space="0" w:color="1C5349"/>
            </w:tcBorders>
          </w:tcPr>
          <w:p>
            <w:pPr>
              <w:pStyle w:val="TableParagraph"/>
              <w:ind w:left="227"/>
              <w:rPr>
                <w:sz w:val="22"/>
              </w:rPr>
            </w:pPr>
            <w:r>
              <w:rPr>
                <w:spacing w:val="-5"/>
                <w:sz w:val="22"/>
              </w:rPr>
              <w:t>65</w:t>
            </w:r>
          </w:p>
        </w:tc>
      </w:tr>
      <w:tr>
        <w:trPr>
          <w:trHeight w:val="554" w:hRule="atLeast"/>
        </w:trPr>
        <w:tc>
          <w:tcPr>
            <w:tcW w:w="3563" w:type="dxa"/>
            <w:tcBorders>
              <w:top w:val="single" w:sz="6" w:space="0" w:color="1C5349"/>
              <w:bottom w:val="single" w:sz="6" w:space="0" w:color="1C5349"/>
            </w:tcBorders>
          </w:tcPr>
          <w:p>
            <w:pPr>
              <w:pStyle w:val="TableParagraph"/>
              <w:rPr>
                <w:sz w:val="22"/>
              </w:rPr>
            </w:pPr>
            <w:r>
              <w:rPr>
                <w:spacing w:val="-2"/>
                <w:sz w:val="22"/>
              </w:rPr>
              <w:t>Fezolinetant</w:t>
            </w:r>
          </w:p>
        </w:tc>
        <w:tc>
          <w:tcPr>
            <w:tcW w:w="1919" w:type="dxa"/>
            <w:tcBorders>
              <w:top w:val="single" w:sz="6" w:space="0" w:color="1C5349"/>
              <w:bottom w:val="single" w:sz="6" w:space="0" w:color="1C5349"/>
            </w:tcBorders>
          </w:tcPr>
          <w:p>
            <w:pPr>
              <w:pStyle w:val="TableParagraph"/>
              <w:ind w:left="391"/>
              <w:rPr>
                <w:sz w:val="22"/>
              </w:rPr>
            </w:pPr>
            <w:r>
              <w:rPr>
                <w:spacing w:val="-5"/>
                <w:sz w:val="22"/>
              </w:rPr>
              <w:t>45</w:t>
            </w:r>
          </w:p>
        </w:tc>
        <w:tc>
          <w:tcPr>
            <w:tcW w:w="3667" w:type="dxa"/>
            <w:tcBorders>
              <w:top w:val="single" w:sz="6" w:space="0" w:color="1C5349"/>
              <w:bottom w:val="single" w:sz="6" w:space="0" w:color="1C5349"/>
            </w:tcBorders>
          </w:tcPr>
          <w:p>
            <w:pPr>
              <w:pStyle w:val="TableParagraph"/>
              <w:ind w:left="227"/>
              <w:rPr>
                <w:sz w:val="22"/>
              </w:rPr>
            </w:pPr>
            <w:r>
              <w:rPr>
                <w:w w:val="105"/>
                <w:sz w:val="22"/>
              </w:rPr>
              <w:t>51-</w:t>
            </w:r>
            <w:r>
              <w:rPr>
                <w:spacing w:val="-5"/>
                <w:w w:val="110"/>
                <w:sz w:val="22"/>
              </w:rPr>
              <w:t>61</w:t>
            </w:r>
          </w:p>
        </w:tc>
      </w:tr>
    </w:tbl>
    <w:p>
      <w:pPr>
        <w:pStyle w:val="BodyText"/>
        <w:spacing w:before="142"/>
        <w:ind w:left="0"/>
        <w:jc w:val="left"/>
      </w:pPr>
    </w:p>
    <w:p>
      <w:pPr>
        <w:pStyle w:val="BodyText"/>
        <w:spacing w:line="249" w:lineRule="auto" w:before="1"/>
        <w:ind w:right="98" w:firstLine="450"/>
      </w:pPr>
      <w:r>
        <w:rPr/>
        <w:t>In recent decades, selective serotonin reuptake inhibitors (SSRIs) and selective norepinephrine reuptake inhibitors (SNRIs) have gained a reputation for significant efficacy in treating hot flushing. The drugs that have been studied include citalopram (Celexa), fluoxetine </w:t>
      </w:r>
      <w:r>
        <w:rPr/>
        <w:t>(Prozac), sertraline (Zoloft), paroxetine (Paxil, Brisdelle), and SNRIs, venlafaxine (Effexor) and desvenlafaxine succinate (Pristiq). In addition, antiseizure medications, gabapentin (Neurontin) and pregabalin (Lyrica), have been demonstrated to reduce VMS (see </w:t>
      </w:r>
      <w:r>
        <w:rPr>
          <w:b/>
        </w:rPr>
        <w:t>Table 17.10</w:t>
      </w:r>
      <w:r>
        <w:rPr/>
        <w:t>).</w:t>
      </w:r>
    </w:p>
    <w:p>
      <w:pPr>
        <w:pStyle w:val="BodyText"/>
        <w:spacing w:line="249" w:lineRule="auto" w:before="9"/>
        <w:ind w:right="103" w:firstLine="450"/>
      </w:pPr>
      <w:r>
        <w:rPr/>
        <w:t>Low-dose paroxetine is the first of non-HT medication that was FDA-approved for the treatment of hot flushes. In an RCT comparing low-dose paroxetine (7.5 mg daily) to placebo for the treatment of hot flushes, treatment with paroxetine had a statistically significant reduction in VMS compared</w:t>
      </w:r>
      <w:r>
        <w:rPr>
          <w:spacing w:val="26"/>
        </w:rPr>
        <w:t> </w:t>
      </w:r>
      <w:r>
        <w:rPr/>
        <w:t>to</w:t>
      </w:r>
      <w:r>
        <w:rPr>
          <w:spacing w:val="27"/>
        </w:rPr>
        <w:t> </w:t>
      </w:r>
      <w:r>
        <w:rPr/>
        <w:t>placebo.</w:t>
      </w:r>
      <w:r>
        <w:rPr>
          <w:vertAlign w:val="superscript"/>
        </w:rPr>
        <w:t>367</w:t>
      </w:r>
      <w:r>
        <w:rPr>
          <w:spacing w:val="34"/>
          <w:vertAlign w:val="baseline"/>
        </w:rPr>
        <w:t> </w:t>
      </w:r>
      <w:r>
        <w:rPr>
          <w:vertAlign w:val="baseline"/>
        </w:rPr>
        <w:t>However,</w:t>
      </w:r>
      <w:r>
        <w:rPr>
          <w:spacing w:val="35"/>
          <w:vertAlign w:val="baseline"/>
        </w:rPr>
        <w:t> </w:t>
      </w:r>
      <w:r>
        <w:rPr>
          <w:vertAlign w:val="baseline"/>
        </w:rPr>
        <w:t>it</w:t>
      </w:r>
      <w:r>
        <w:rPr>
          <w:spacing w:val="34"/>
          <w:vertAlign w:val="baseline"/>
        </w:rPr>
        <w:t> </w:t>
      </w:r>
      <w:r>
        <w:rPr>
          <w:vertAlign w:val="baseline"/>
        </w:rPr>
        <w:t>is</w:t>
      </w:r>
      <w:r>
        <w:rPr>
          <w:spacing w:val="34"/>
          <w:vertAlign w:val="baseline"/>
        </w:rPr>
        <w:t> </w:t>
      </w:r>
      <w:r>
        <w:rPr>
          <w:vertAlign w:val="baseline"/>
        </w:rPr>
        <w:t>less</w:t>
      </w:r>
      <w:r>
        <w:rPr>
          <w:spacing w:val="35"/>
          <w:vertAlign w:val="baseline"/>
        </w:rPr>
        <w:t> </w:t>
      </w:r>
      <w:r>
        <w:rPr>
          <w:vertAlign w:val="baseline"/>
        </w:rPr>
        <w:t>effective</w:t>
      </w:r>
      <w:r>
        <w:rPr>
          <w:spacing w:val="34"/>
          <w:vertAlign w:val="baseline"/>
        </w:rPr>
        <w:t> </w:t>
      </w:r>
      <w:r>
        <w:rPr>
          <w:vertAlign w:val="baseline"/>
        </w:rPr>
        <w:t>than</w:t>
      </w:r>
      <w:r>
        <w:rPr>
          <w:spacing w:val="35"/>
          <w:vertAlign w:val="baseline"/>
        </w:rPr>
        <w:t> </w:t>
      </w:r>
      <w:r>
        <w:rPr>
          <w:vertAlign w:val="baseline"/>
        </w:rPr>
        <w:t>HT</w:t>
      </w:r>
      <w:r>
        <w:rPr>
          <w:spacing w:val="34"/>
          <w:vertAlign w:val="baseline"/>
        </w:rPr>
        <w:t> </w:t>
      </w:r>
      <w:r>
        <w:rPr>
          <w:vertAlign w:val="baseline"/>
        </w:rPr>
        <w:t>in</w:t>
      </w:r>
      <w:r>
        <w:rPr>
          <w:spacing w:val="34"/>
          <w:vertAlign w:val="baseline"/>
        </w:rPr>
        <w:t> </w:t>
      </w:r>
      <w:r>
        <w:rPr>
          <w:spacing w:val="-2"/>
          <w:vertAlign w:val="baseline"/>
        </w:rPr>
        <w:t>relieving</w:t>
      </w:r>
    </w:p>
    <w:p>
      <w:pPr>
        <w:pStyle w:val="BodyText"/>
        <w:spacing w:after="0" w:line="249" w:lineRule="auto"/>
        <w:sectPr>
          <w:type w:val="continuous"/>
          <w:pgSz w:w="12240" w:h="15840"/>
          <w:pgMar w:top="1420" w:bottom="280" w:left="1440" w:right="1440"/>
        </w:sectPr>
      </w:pPr>
    </w:p>
    <w:p>
      <w:pPr>
        <w:pStyle w:val="BodyText"/>
        <w:spacing w:line="249" w:lineRule="auto"/>
        <w:ind w:right="109"/>
      </w:pPr>
      <w:r>
        <w:rPr/>
        <w:t>VMS and should be reserved for use in those women who have </w:t>
      </w:r>
      <w:r>
        <w:rPr/>
        <w:t>a contraindication to HT.</w:t>
      </w:r>
    </w:p>
    <w:p>
      <w:pPr>
        <w:pStyle w:val="BodyText"/>
        <w:spacing w:line="249" w:lineRule="auto" w:before="2"/>
        <w:ind w:right="98" w:firstLine="450"/>
      </w:pPr>
      <w:r>
        <w:rPr/>
        <w:t>Venlafaxine</w:t>
      </w:r>
      <w:r>
        <w:rPr>
          <w:spacing w:val="-8"/>
        </w:rPr>
        <w:t> </w:t>
      </w:r>
      <w:r>
        <w:rPr/>
        <w:t>was</w:t>
      </w:r>
      <w:r>
        <w:rPr>
          <w:spacing w:val="-8"/>
        </w:rPr>
        <w:t> </w:t>
      </w:r>
      <w:r>
        <w:rPr/>
        <w:t>studied</w:t>
      </w:r>
      <w:r>
        <w:rPr>
          <w:spacing w:val="-8"/>
        </w:rPr>
        <w:t> </w:t>
      </w:r>
      <w:r>
        <w:rPr/>
        <w:t>in</w:t>
      </w:r>
      <w:r>
        <w:rPr>
          <w:spacing w:val="-8"/>
        </w:rPr>
        <w:t> </w:t>
      </w:r>
      <w:r>
        <w:rPr/>
        <w:t>breast</w:t>
      </w:r>
      <w:r>
        <w:rPr>
          <w:spacing w:val="-8"/>
        </w:rPr>
        <w:t> </w:t>
      </w:r>
      <w:r>
        <w:rPr/>
        <w:t>cancer</w:t>
      </w:r>
      <w:r>
        <w:rPr>
          <w:spacing w:val="-8"/>
        </w:rPr>
        <w:t> </w:t>
      </w:r>
      <w:r>
        <w:rPr/>
        <w:t>survivors;</w:t>
      </w:r>
      <w:r>
        <w:rPr>
          <w:spacing w:val="-8"/>
        </w:rPr>
        <w:t> </w:t>
      </w:r>
      <w:r>
        <w:rPr/>
        <w:t>although</w:t>
      </w:r>
      <w:r>
        <w:rPr>
          <w:spacing w:val="-8"/>
        </w:rPr>
        <w:t> </w:t>
      </w:r>
      <w:r>
        <w:rPr/>
        <w:t>the</w:t>
      </w:r>
      <w:r>
        <w:rPr>
          <w:spacing w:val="-8"/>
        </w:rPr>
        <w:t> </w:t>
      </w:r>
      <w:r>
        <w:rPr/>
        <w:t>optimal dose was 75 mg, an appreciable response with 37.5 mg indicated that it would be worthwhile to begin treatment with the lower dose.</w:t>
      </w:r>
      <w:r>
        <w:rPr>
          <w:vertAlign w:val="superscript"/>
        </w:rPr>
        <w:t>368-370</w:t>
      </w:r>
      <w:r>
        <w:rPr>
          <w:vertAlign w:val="baseline"/>
        </w:rPr>
        <w:t> The response was very rapid, within days, and therefore, the dose can be increased in 1 to 2 weeks. The main side effects were mouth dryness, anorexia, nausea, and constipation. The efficacy of venlafaxine was demonstrated to be the same in women taking or not taking tamoxifen. Desvenlafaxine succinate is a metabolite of venlafaxine and equally effective as the parent compound.</w:t>
      </w:r>
      <w:r>
        <w:rPr>
          <w:vertAlign w:val="superscript"/>
        </w:rPr>
        <w:t>371,372</w:t>
      </w:r>
      <w:r>
        <w:rPr>
          <w:vertAlign w:val="baseline"/>
        </w:rPr>
        <w:t> </w:t>
      </w:r>
      <w:r>
        <w:rPr>
          <w:b/>
          <w:vertAlign w:val="baseline"/>
        </w:rPr>
        <w:t>The effects of citalopram, fluoxetine, and sertraline are no more effective than placebo, about a 50% reduction in short-term trials.</w:t>
      </w:r>
      <w:r>
        <w:rPr>
          <w:vertAlign w:val="superscript"/>
        </w:rPr>
        <w:t>373-377</w:t>
      </w:r>
      <w:r>
        <w:rPr>
          <w:vertAlign w:val="baseline"/>
        </w:rPr>
        <w:t> A 2015 systematic review demonstrated that fluoxetine and sertraline are less effective than other SSRI or SNRI, which can reduce hot flushes by approximately 65% within the first week. Due to variable individual response, if symptoms do not improve within the first 2 weeks, switch to an alternative medication is warranted.</w:t>
      </w:r>
      <w:r>
        <w:rPr>
          <w:vertAlign w:val="superscript"/>
        </w:rPr>
        <w:t>378</w:t>
      </w:r>
      <w:r>
        <w:rPr>
          <w:vertAlign w:val="baseline"/>
        </w:rPr>
        <w:t> Similarly, prospective RCT of postmenopausal Mexican women compared only sertraline and citalopram and found that citalopram reduced VMS and urogenital symptoms more than sertraline and also improved mental health factors, such as mood, irritability, and</w:t>
      </w:r>
      <w:r>
        <w:rPr>
          <w:spacing w:val="40"/>
          <w:vertAlign w:val="baseline"/>
        </w:rPr>
        <w:t> </w:t>
      </w:r>
      <w:r>
        <w:rPr>
          <w:spacing w:val="-2"/>
          <w:vertAlign w:val="baseline"/>
        </w:rPr>
        <w:t>exhaustion.</w:t>
      </w:r>
      <w:r>
        <w:rPr>
          <w:spacing w:val="-2"/>
          <w:vertAlign w:val="superscript"/>
        </w:rPr>
        <w:t>379</w:t>
      </w:r>
    </w:p>
    <w:p>
      <w:pPr>
        <w:pStyle w:val="BodyText"/>
        <w:spacing w:line="249" w:lineRule="auto" w:before="25"/>
        <w:ind w:right="100" w:firstLine="450"/>
      </w:pPr>
      <w:r>
        <w:rPr/>
        <w:t>Gabapentin (Neurontin) is a γ-aminobutyric acid analog that has been used for seizures since 1994. It is also effective for migraine </w:t>
      </w:r>
      <w:r>
        <w:rPr/>
        <w:t>headaches, tremors,</w:t>
      </w:r>
      <w:r>
        <w:rPr>
          <w:spacing w:val="-4"/>
        </w:rPr>
        <w:t> </w:t>
      </w:r>
      <w:r>
        <w:rPr/>
        <w:t>and</w:t>
      </w:r>
      <w:r>
        <w:rPr>
          <w:spacing w:val="-4"/>
        </w:rPr>
        <w:t> </w:t>
      </w:r>
      <w:r>
        <w:rPr/>
        <w:t>panic</w:t>
      </w:r>
      <w:r>
        <w:rPr>
          <w:spacing w:val="-4"/>
        </w:rPr>
        <w:t> </w:t>
      </w:r>
      <w:r>
        <w:rPr/>
        <w:t>disorder.</w:t>
      </w:r>
      <w:r>
        <w:rPr>
          <w:spacing w:val="-5"/>
        </w:rPr>
        <w:t> </w:t>
      </w:r>
      <w:r>
        <w:rPr/>
        <w:t>In</w:t>
      </w:r>
      <w:r>
        <w:rPr>
          <w:spacing w:val="-3"/>
        </w:rPr>
        <w:t> </w:t>
      </w:r>
      <w:r>
        <w:rPr/>
        <w:t>a</w:t>
      </w:r>
      <w:r>
        <w:rPr>
          <w:spacing w:val="-3"/>
        </w:rPr>
        <w:t> </w:t>
      </w:r>
      <w:r>
        <w:rPr/>
        <w:t>gabapentin</w:t>
      </w:r>
      <w:r>
        <w:rPr>
          <w:spacing w:val="-3"/>
        </w:rPr>
        <w:t> </w:t>
      </w:r>
      <w:r>
        <w:rPr/>
        <w:t>clinical</w:t>
      </w:r>
      <w:r>
        <w:rPr>
          <w:spacing w:val="-3"/>
        </w:rPr>
        <w:t> </w:t>
      </w:r>
      <w:r>
        <w:rPr/>
        <w:t>trial,</w:t>
      </w:r>
      <w:r>
        <w:rPr>
          <w:spacing w:val="-3"/>
        </w:rPr>
        <w:t> </w:t>
      </w:r>
      <w:r>
        <w:rPr/>
        <w:t>67%</w:t>
      </w:r>
      <w:r>
        <w:rPr>
          <w:spacing w:val="-3"/>
        </w:rPr>
        <w:t> </w:t>
      </w:r>
      <w:r>
        <w:rPr/>
        <w:t>of</w:t>
      </w:r>
      <w:r>
        <w:rPr>
          <w:spacing w:val="-3"/>
        </w:rPr>
        <w:t> </w:t>
      </w:r>
      <w:r>
        <w:rPr/>
        <w:t>the</w:t>
      </w:r>
      <w:r>
        <w:rPr>
          <w:spacing w:val="-3"/>
        </w:rPr>
        <w:t> </w:t>
      </w:r>
      <w:r>
        <w:rPr/>
        <w:t>treated women experienced more than a 50% reduction in flushes at week 12, compared with 38% in the placebo group.</w:t>
      </w:r>
      <w:r>
        <w:rPr>
          <w:vertAlign w:val="superscript"/>
        </w:rPr>
        <w:t>380</w:t>
      </w:r>
      <w:r>
        <w:rPr>
          <w:vertAlign w:val="baseline"/>
        </w:rPr>
        <w:t> The most common side effects were somnolence (20%) and dizziness (13%). Peripheral edema occurs occasionally because of an induced decrease in serum protein. The potency of this agent appears to be more modest than the SSRIs in a dose of 900 mg/d.</w:t>
      </w:r>
      <w:r>
        <w:rPr>
          <w:vertAlign w:val="superscript"/>
        </w:rPr>
        <w:t>381,382</w:t>
      </w:r>
      <w:r>
        <w:rPr>
          <w:vertAlign w:val="baseline"/>
        </w:rPr>
        <w:t> Side effects are common at higher doses, and further studies are needed to compare gabapentin to HT.</w:t>
      </w:r>
      <w:r>
        <w:rPr>
          <w:vertAlign w:val="superscript"/>
        </w:rPr>
        <w:t>383,384</w:t>
      </w:r>
    </w:p>
    <w:p>
      <w:pPr>
        <w:pStyle w:val="BodyText"/>
        <w:spacing w:line="249" w:lineRule="auto" w:before="12"/>
        <w:ind w:right="97" w:firstLine="450"/>
      </w:pPr>
      <w:r>
        <w:rPr/>
        <w:t>Pregabalin (Lyrica), a more potent form of gabapentin, is an anticonvulsant drug that has been used in doses of 150 to 300 mg daily to treat anxiety and neuropathic pain, for example, diabetic neurogenic pain, pain</w:t>
      </w:r>
      <w:r>
        <w:rPr>
          <w:spacing w:val="23"/>
        </w:rPr>
        <w:t>  </w:t>
      </w:r>
      <w:r>
        <w:rPr/>
        <w:t>after</w:t>
      </w:r>
      <w:r>
        <w:rPr>
          <w:spacing w:val="24"/>
        </w:rPr>
        <w:t>  </w:t>
      </w:r>
      <w:r>
        <w:rPr/>
        <w:t>shingles,</w:t>
      </w:r>
      <w:r>
        <w:rPr>
          <w:spacing w:val="23"/>
        </w:rPr>
        <w:t>  </w:t>
      </w:r>
      <w:r>
        <w:rPr/>
        <w:t>and</w:t>
      </w:r>
      <w:r>
        <w:rPr>
          <w:spacing w:val="24"/>
        </w:rPr>
        <w:t>  </w:t>
      </w:r>
      <w:r>
        <w:rPr/>
        <w:t>fibromyalgia.</w:t>
      </w:r>
      <w:r>
        <w:rPr>
          <w:spacing w:val="23"/>
        </w:rPr>
        <w:t>  </w:t>
      </w:r>
      <w:r>
        <w:rPr/>
        <w:t>Side</w:t>
      </w:r>
      <w:r>
        <w:rPr>
          <w:spacing w:val="25"/>
        </w:rPr>
        <w:t>  </w:t>
      </w:r>
      <w:r>
        <w:rPr/>
        <w:t>effects</w:t>
      </w:r>
      <w:r>
        <w:rPr>
          <w:spacing w:val="24"/>
        </w:rPr>
        <w:t>  </w:t>
      </w:r>
      <w:r>
        <w:rPr/>
        <w:t>include</w:t>
      </w:r>
      <w:r>
        <w:rPr>
          <w:spacing w:val="25"/>
        </w:rPr>
        <w:t>  </w:t>
      </w:r>
      <w:r>
        <w:rPr>
          <w:spacing w:val="-2"/>
        </w:rPr>
        <w:t>dizziness,</w:t>
      </w:r>
    </w:p>
    <w:p>
      <w:pPr>
        <w:pStyle w:val="BodyText"/>
        <w:spacing w:after="0" w:line="249" w:lineRule="auto"/>
        <w:sectPr>
          <w:pgSz w:w="12240" w:h="15840"/>
          <w:pgMar w:top="1380" w:bottom="280" w:left="1440" w:right="1440"/>
        </w:sectPr>
      </w:pPr>
    </w:p>
    <w:p>
      <w:pPr>
        <w:pStyle w:val="BodyText"/>
        <w:spacing w:line="249" w:lineRule="auto"/>
        <w:ind w:right="98"/>
      </w:pPr>
      <w:r>
        <w:rPr/>
        <w:t>drowsiness, visual disturbances, tremor, weight gain, and a decrease in libido. In a phase III randomized trial, a dose of 75 mg b.i.d. (the recommended dose because of more side effects with higher doses), </w:t>
      </w:r>
      <w:r>
        <w:rPr/>
        <w:t>hot flushing</w:t>
      </w:r>
      <w:r>
        <w:rPr>
          <w:spacing w:val="-2"/>
        </w:rPr>
        <w:t> </w:t>
      </w:r>
      <w:r>
        <w:rPr/>
        <w:t>was</w:t>
      </w:r>
      <w:r>
        <w:rPr>
          <w:spacing w:val="-2"/>
        </w:rPr>
        <w:t> </w:t>
      </w:r>
      <w:r>
        <w:rPr/>
        <w:t>reduced</w:t>
      </w:r>
      <w:r>
        <w:rPr>
          <w:spacing w:val="-2"/>
        </w:rPr>
        <w:t> </w:t>
      </w:r>
      <w:r>
        <w:rPr/>
        <w:t>by</w:t>
      </w:r>
      <w:r>
        <w:rPr>
          <w:spacing w:val="-2"/>
        </w:rPr>
        <w:t> </w:t>
      </w:r>
      <w:r>
        <w:rPr/>
        <w:t>65%</w:t>
      </w:r>
      <w:r>
        <w:rPr>
          <w:spacing w:val="-2"/>
        </w:rPr>
        <w:t> </w:t>
      </w:r>
      <w:r>
        <w:rPr/>
        <w:t>after</w:t>
      </w:r>
      <w:r>
        <w:rPr>
          <w:spacing w:val="-2"/>
        </w:rPr>
        <w:t> </w:t>
      </w:r>
      <w:r>
        <w:rPr/>
        <w:t>6</w:t>
      </w:r>
      <w:r>
        <w:rPr>
          <w:spacing w:val="-2"/>
        </w:rPr>
        <w:t> </w:t>
      </w:r>
      <w:r>
        <w:rPr/>
        <w:t>weeks</w:t>
      </w:r>
      <w:r>
        <w:rPr>
          <w:spacing w:val="-2"/>
        </w:rPr>
        <w:t> </w:t>
      </w:r>
      <w:r>
        <w:rPr/>
        <w:t>of</w:t>
      </w:r>
      <w:r>
        <w:rPr>
          <w:spacing w:val="-2"/>
        </w:rPr>
        <w:t> </w:t>
      </w:r>
      <w:r>
        <w:rPr/>
        <w:t>treatment,</w:t>
      </w:r>
      <w:r>
        <w:rPr>
          <w:spacing w:val="-2"/>
        </w:rPr>
        <w:t> </w:t>
      </w:r>
      <w:r>
        <w:rPr/>
        <w:t>an</w:t>
      </w:r>
      <w:r>
        <w:rPr>
          <w:spacing w:val="-2"/>
        </w:rPr>
        <w:t> </w:t>
      </w:r>
      <w:r>
        <w:rPr/>
        <w:t>impact</w:t>
      </w:r>
      <w:r>
        <w:rPr>
          <w:spacing w:val="-2"/>
        </w:rPr>
        <w:t> </w:t>
      </w:r>
      <w:r>
        <w:rPr/>
        <w:t>that</w:t>
      </w:r>
      <w:r>
        <w:rPr>
          <w:spacing w:val="-2"/>
        </w:rPr>
        <w:t> </w:t>
      </w:r>
      <w:r>
        <w:rPr/>
        <w:t>was only 15% greater than placebo.</w:t>
      </w:r>
      <w:r>
        <w:rPr>
          <w:vertAlign w:val="superscript"/>
        </w:rPr>
        <w:t>385</w:t>
      </w:r>
      <w:r>
        <w:rPr>
          <w:vertAlign w:val="baseline"/>
        </w:rPr>
        <w:t> Although the data are limited to this short-term, small clinical trial, the effect of pregabalin appears to be comparable to gabapentin.</w:t>
      </w:r>
    </w:p>
    <w:p>
      <w:pPr>
        <w:spacing w:line="249" w:lineRule="auto" w:before="8"/>
        <w:ind w:left="99" w:right="98" w:firstLine="450"/>
        <w:jc w:val="both"/>
        <w:rPr>
          <w:b/>
          <w:sz w:val="30"/>
        </w:rPr>
      </w:pPr>
      <w:r>
        <w:rPr>
          <w:sz w:val="30"/>
        </w:rPr>
        <w:t>It is worth trying to titer the dose down to its lowest effective level because of a bothersome incidence of decreased libido. In addition, clinical experience indicates that it is best to slowly titrate upward to the recommended dose and, likewise, to wean the patient slowly when discontinuing treatment. SSRIs are effective for flushing secondary to </w:t>
      </w:r>
      <w:r>
        <w:rPr>
          <w:sz w:val="30"/>
        </w:rPr>
        <w:t>both tamoxifen and hypoestrogenemia, and the efficacy is similar in women with and</w:t>
      </w:r>
      <w:r>
        <w:rPr>
          <w:spacing w:val="-1"/>
          <w:sz w:val="30"/>
        </w:rPr>
        <w:t> </w:t>
      </w:r>
      <w:r>
        <w:rPr>
          <w:sz w:val="30"/>
        </w:rPr>
        <w:t>without</w:t>
      </w:r>
      <w:r>
        <w:rPr>
          <w:spacing w:val="-1"/>
          <w:sz w:val="30"/>
        </w:rPr>
        <w:t> </w:t>
      </w:r>
      <w:r>
        <w:rPr>
          <w:sz w:val="30"/>
        </w:rPr>
        <w:t>breast</w:t>
      </w:r>
      <w:r>
        <w:rPr>
          <w:spacing w:val="-1"/>
          <w:sz w:val="30"/>
        </w:rPr>
        <w:t> </w:t>
      </w:r>
      <w:r>
        <w:rPr>
          <w:sz w:val="30"/>
        </w:rPr>
        <w:t>cancer.</w:t>
      </w:r>
      <w:r>
        <w:rPr>
          <w:sz w:val="30"/>
          <w:vertAlign w:val="superscript"/>
        </w:rPr>
        <w:t>386</w:t>
      </w:r>
      <w:r>
        <w:rPr>
          <w:spacing w:val="-7"/>
          <w:sz w:val="30"/>
          <w:vertAlign w:val="baseline"/>
        </w:rPr>
        <w:t> </w:t>
      </w:r>
      <w:r>
        <w:rPr>
          <w:b/>
          <w:sz w:val="30"/>
          <w:vertAlign w:val="baseline"/>
        </w:rPr>
        <w:t>An added advantage of the SSRIs is the fact that</w:t>
      </w:r>
      <w:r>
        <w:rPr>
          <w:b/>
          <w:spacing w:val="-2"/>
          <w:sz w:val="30"/>
          <w:vertAlign w:val="baseline"/>
        </w:rPr>
        <w:t> </w:t>
      </w:r>
      <w:r>
        <w:rPr>
          <w:b/>
          <w:sz w:val="30"/>
          <w:vertAlign w:val="baseline"/>
        </w:rPr>
        <w:t>the</w:t>
      </w:r>
      <w:r>
        <w:rPr>
          <w:b/>
          <w:spacing w:val="-2"/>
          <w:sz w:val="30"/>
          <w:vertAlign w:val="baseline"/>
        </w:rPr>
        <w:t> </w:t>
      </w:r>
      <w:r>
        <w:rPr>
          <w:b/>
          <w:sz w:val="30"/>
          <w:vertAlign w:val="baseline"/>
        </w:rPr>
        <w:t>clinical</w:t>
      </w:r>
      <w:r>
        <w:rPr>
          <w:b/>
          <w:spacing w:val="-2"/>
          <w:sz w:val="30"/>
          <w:vertAlign w:val="baseline"/>
        </w:rPr>
        <w:t> </w:t>
      </w:r>
      <w:r>
        <w:rPr>
          <w:b/>
          <w:sz w:val="30"/>
          <w:vertAlign w:val="baseline"/>
        </w:rPr>
        <w:t>studies</w:t>
      </w:r>
      <w:r>
        <w:rPr>
          <w:b/>
          <w:spacing w:val="-2"/>
          <w:sz w:val="30"/>
          <w:vertAlign w:val="baseline"/>
        </w:rPr>
        <w:t> </w:t>
      </w:r>
      <w:r>
        <w:rPr>
          <w:b/>
          <w:sz w:val="30"/>
          <w:vertAlign w:val="baseline"/>
        </w:rPr>
        <w:t>have</w:t>
      </w:r>
      <w:r>
        <w:rPr>
          <w:b/>
          <w:spacing w:val="-2"/>
          <w:sz w:val="30"/>
          <w:vertAlign w:val="baseline"/>
        </w:rPr>
        <w:t> </w:t>
      </w:r>
      <w:r>
        <w:rPr>
          <w:b/>
          <w:sz w:val="30"/>
          <w:vertAlign w:val="baseline"/>
        </w:rPr>
        <w:t>also</w:t>
      </w:r>
      <w:r>
        <w:rPr>
          <w:b/>
          <w:spacing w:val="-2"/>
          <w:sz w:val="30"/>
          <w:vertAlign w:val="baseline"/>
        </w:rPr>
        <w:t> </w:t>
      </w:r>
      <w:r>
        <w:rPr>
          <w:b/>
          <w:sz w:val="30"/>
          <w:vertAlign w:val="baseline"/>
        </w:rPr>
        <w:t>reported</w:t>
      </w:r>
      <w:r>
        <w:rPr>
          <w:b/>
          <w:spacing w:val="-2"/>
          <w:sz w:val="30"/>
          <w:vertAlign w:val="baseline"/>
        </w:rPr>
        <w:t> </w:t>
      </w:r>
      <w:r>
        <w:rPr>
          <w:b/>
          <w:sz w:val="30"/>
          <w:vertAlign w:val="baseline"/>
        </w:rPr>
        <w:t>improvements</w:t>
      </w:r>
      <w:r>
        <w:rPr>
          <w:b/>
          <w:spacing w:val="-2"/>
          <w:sz w:val="30"/>
          <w:vertAlign w:val="baseline"/>
        </w:rPr>
        <w:t> </w:t>
      </w:r>
      <w:r>
        <w:rPr>
          <w:b/>
          <w:sz w:val="30"/>
          <w:vertAlign w:val="baseline"/>
        </w:rPr>
        <w:t>in</w:t>
      </w:r>
      <w:r>
        <w:rPr>
          <w:b/>
          <w:spacing w:val="-2"/>
          <w:sz w:val="30"/>
          <w:vertAlign w:val="baseline"/>
        </w:rPr>
        <w:t> </w:t>
      </w:r>
      <w:r>
        <w:rPr>
          <w:b/>
          <w:sz w:val="30"/>
          <w:vertAlign w:val="baseline"/>
        </w:rPr>
        <w:t>depression, anxiety, and sleep. Gabapentin is useful in those with difficulty</w:t>
      </w:r>
      <w:r>
        <w:rPr>
          <w:b/>
          <w:spacing w:val="40"/>
          <w:sz w:val="30"/>
          <w:vertAlign w:val="baseline"/>
        </w:rPr>
        <w:t> </w:t>
      </w:r>
      <w:r>
        <w:rPr>
          <w:b/>
          <w:sz w:val="30"/>
          <w:vertAlign w:val="baseline"/>
        </w:rPr>
        <w:t>sleeping, while clonidine may be more beneficial in women who also have hypertension.</w:t>
      </w:r>
    </w:p>
    <w:p>
      <w:pPr>
        <w:spacing w:line="249" w:lineRule="auto" w:before="14"/>
        <w:ind w:left="99" w:right="97" w:firstLine="450"/>
        <w:jc w:val="both"/>
        <w:rPr>
          <w:b/>
          <w:sz w:val="30"/>
        </w:rPr>
      </w:pPr>
      <w:r>
        <w:rPr>
          <w:b/>
          <w:sz w:val="30"/>
        </w:rPr>
        <w:t>Caution</w:t>
      </w:r>
      <w:r>
        <w:rPr>
          <w:b/>
          <w:spacing w:val="-2"/>
          <w:sz w:val="30"/>
        </w:rPr>
        <w:t> </w:t>
      </w:r>
      <w:r>
        <w:rPr>
          <w:b/>
          <w:sz w:val="30"/>
        </w:rPr>
        <w:t>is</w:t>
      </w:r>
      <w:r>
        <w:rPr>
          <w:b/>
          <w:spacing w:val="-2"/>
          <w:sz w:val="30"/>
        </w:rPr>
        <w:t> </w:t>
      </w:r>
      <w:r>
        <w:rPr>
          <w:b/>
          <w:sz w:val="30"/>
        </w:rPr>
        <w:t>advised</w:t>
      </w:r>
      <w:r>
        <w:rPr>
          <w:b/>
          <w:spacing w:val="-2"/>
          <w:sz w:val="30"/>
        </w:rPr>
        <w:t> </w:t>
      </w:r>
      <w:r>
        <w:rPr>
          <w:b/>
          <w:sz w:val="30"/>
        </w:rPr>
        <w:t>when</w:t>
      </w:r>
      <w:r>
        <w:rPr>
          <w:b/>
          <w:spacing w:val="-2"/>
          <w:sz w:val="30"/>
        </w:rPr>
        <w:t> </w:t>
      </w:r>
      <w:r>
        <w:rPr>
          <w:b/>
          <w:sz w:val="30"/>
        </w:rPr>
        <w:t>considering</w:t>
      </w:r>
      <w:r>
        <w:rPr>
          <w:b/>
          <w:spacing w:val="-2"/>
          <w:sz w:val="30"/>
        </w:rPr>
        <w:t> </w:t>
      </w:r>
      <w:r>
        <w:rPr>
          <w:b/>
          <w:sz w:val="30"/>
        </w:rPr>
        <w:t>SSRIs</w:t>
      </w:r>
      <w:r>
        <w:rPr>
          <w:b/>
          <w:spacing w:val="-2"/>
          <w:sz w:val="30"/>
        </w:rPr>
        <w:t> </w:t>
      </w:r>
      <w:r>
        <w:rPr>
          <w:b/>
          <w:sz w:val="30"/>
        </w:rPr>
        <w:t>in</w:t>
      </w:r>
      <w:r>
        <w:rPr>
          <w:b/>
          <w:spacing w:val="-2"/>
          <w:sz w:val="30"/>
        </w:rPr>
        <w:t> </w:t>
      </w:r>
      <w:r>
        <w:rPr>
          <w:b/>
          <w:sz w:val="30"/>
        </w:rPr>
        <w:t>women</w:t>
      </w:r>
      <w:r>
        <w:rPr>
          <w:b/>
          <w:spacing w:val="-2"/>
          <w:sz w:val="30"/>
        </w:rPr>
        <w:t> </w:t>
      </w:r>
      <w:r>
        <w:rPr>
          <w:b/>
          <w:sz w:val="30"/>
        </w:rPr>
        <w:t>with</w:t>
      </w:r>
      <w:r>
        <w:rPr>
          <w:b/>
          <w:spacing w:val="-2"/>
          <w:sz w:val="30"/>
        </w:rPr>
        <w:t> </w:t>
      </w:r>
      <w:r>
        <w:rPr>
          <w:b/>
          <w:sz w:val="30"/>
        </w:rPr>
        <w:t>a</w:t>
      </w:r>
      <w:r>
        <w:rPr>
          <w:b/>
          <w:spacing w:val="-2"/>
          <w:sz w:val="30"/>
        </w:rPr>
        <w:t> </w:t>
      </w:r>
      <w:r>
        <w:rPr>
          <w:b/>
          <w:sz w:val="30"/>
        </w:rPr>
        <w:t>history of</w:t>
      </w:r>
      <w:r>
        <w:rPr>
          <w:b/>
          <w:spacing w:val="-1"/>
          <w:sz w:val="30"/>
        </w:rPr>
        <w:t> </w:t>
      </w:r>
      <w:r>
        <w:rPr>
          <w:b/>
          <w:sz w:val="30"/>
        </w:rPr>
        <w:t>breast</w:t>
      </w:r>
      <w:r>
        <w:rPr>
          <w:b/>
          <w:spacing w:val="-1"/>
          <w:sz w:val="30"/>
        </w:rPr>
        <w:t> </w:t>
      </w:r>
      <w:r>
        <w:rPr>
          <w:b/>
          <w:sz w:val="30"/>
        </w:rPr>
        <w:t>cancer</w:t>
      </w:r>
      <w:r>
        <w:rPr>
          <w:b/>
          <w:spacing w:val="-1"/>
          <w:sz w:val="30"/>
        </w:rPr>
        <w:t> </w:t>
      </w:r>
      <w:r>
        <w:rPr>
          <w:b/>
          <w:sz w:val="30"/>
        </w:rPr>
        <w:t>being</w:t>
      </w:r>
      <w:r>
        <w:rPr>
          <w:b/>
          <w:spacing w:val="-1"/>
          <w:sz w:val="30"/>
        </w:rPr>
        <w:t> </w:t>
      </w:r>
      <w:r>
        <w:rPr>
          <w:b/>
          <w:sz w:val="30"/>
        </w:rPr>
        <w:t>treated</w:t>
      </w:r>
      <w:r>
        <w:rPr>
          <w:b/>
          <w:spacing w:val="-1"/>
          <w:sz w:val="30"/>
        </w:rPr>
        <w:t> </w:t>
      </w:r>
      <w:r>
        <w:rPr>
          <w:b/>
          <w:sz w:val="30"/>
        </w:rPr>
        <w:t>with</w:t>
      </w:r>
      <w:r>
        <w:rPr>
          <w:b/>
          <w:spacing w:val="-1"/>
          <w:sz w:val="30"/>
        </w:rPr>
        <w:t> </w:t>
      </w:r>
      <w:r>
        <w:rPr>
          <w:b/>
          <w:sz w:val="30"/>
        </w:rPr>
        <w:t>tamoxifen. </w:t>
      </w:r>
      <w:r>
        <w:rPr>
          <w:sz w:val="30"/>
        </w:rPr>
        <w:t>Tamoxifen is converted to an active metabolite by enzymes that are inhibited by certain SSRIs. Paroxetine coadministration decreases plasma concentrations of the </w:t>
      </w:r>
      <w:r>
        <w:rPr>
          <w:sz w:val="30"/>
        </w:rPr>
        <w:t>active tamoxifen metabolite.</w:t>
      </w:r>
      <w:r>
        <w:rPr>
          <w:sz w:val="30"/>
          <w:vertAlign w:val="superscript"/>
        </w:rPr>
        <w:t>387,388</w:t>
      </w:r>
      <w:r>
        <w:rPr>
          <w:sz w:val="30"/>
          <w:vertAlign w:val="baseline"/>
        </w:rPr>
        <w:t> A lesser effect is associated with fluoxetine and sertraline. In a retrospective cohort study, only paroxetine use during tamoxifen therapy was associated with an increased risk of death due to breast cancer.</w:t>
      </w:r>
      <w:r>
        <w:rPr>
          <w:sz w:val="30"/>
          <w:vertAlign w:val="superscript"/>
        </w:rPr>
        <w:t>389</w:t>
      </w:r>
      <w:r>
        <w:rPr>
          <w:sz w:val="30"/>
          <w:vertAlign w:val="baseline"/>
        </w:rPr>
        <w:t> </w:t>
      </w:r>
      <w:r>
        <w:rPr>
          <w:b/>
          <w:sz w:val="30"/>
          <w:vertAlign w:val="baseline"/>
        </w:rPr>
        <w:t>Paroxetine, fluoxetine, and sertraline are, therefore, best avoided in women with a history of breast cancer who are being treated with tamoxifen.</w:t>
      </w:r>
    </w:p>
    <w:p>
      <w:pPr>
        <w:spacing w:line="249" w:lineRule="auto" w:before="12"/>
        <w:ind w:left="99" w:right="98" w:firstLine="450"/>
        <w:jc w:val="both"/>
        <w:rPr>
          <w:sz w:val="30"/>
        </w:rPr>
      </w:pPr>
      <w:r>
        <w:rPr>
          <w:b/>
          <w:sz w:val="30"/>
        </w:rPr>
        <w:t>Until recently, SSRIs were the logical choice for symptomatic women for whom HT is contraindicated or not accepted by </w:t>
      </w:r>
      <w:r>
        <w:rPr>
          <w:b/>
          <w:sz w:val="30"/>
        </w:rPr>
        <w:t>patients, although the reduction in hot flushing is considerably less than what can be achieved with estrogen treatment. </w:t>
      </w:r>
      <w:r>
        <w:rPr>
          <w:sz w:val="30"/>
        </w:rPr>
        <w:t>The therapeutic landscape in</w:t>
      </w:r>
      <w:r>
        <w:rPr>
          <w:spacing w:val="40"/>
          <w:sz w:val="30"/>
        </w:rPr>
        <w:t> </w:t>
      </w:r>
      <w:r>
        <w:rPr>
          <w:sz w:val="30"/>
        </w:rPr>
        <w:t>the world of menopause was recently transformed with the addition of fezolinetant, a neurokinin 3B receptor antagonist that became the second nonhormonal drug (after Brisdelle) to gain FDA approval (May 12, 2023) for</w:t>
      </w:r>
      <w:r>
        <w:rPr>
          <w:spacing w:val="31"/>
          <w:sz w:val="30"/>
        </w:rPr>
        <w:t> </w:t>
      </w:r>
      <w:r>
        <w:rPr>
          <w:sz w:val="30"/>
        </w:rPr>
        <w:t>the</w:t>
      </w:r>
      <w:r>
        <w:rPr>
          <w:spacing w:val="31"/>
          <w:sz w:val="30"/>
        </w:rPr>
        <w:t> </w:t>
      </w:r>
      <w:r>
        <w:rPr>
          <w:sz w:val="30"/>
        </w:rPr>
        <w:t>management</w:t>
      </w:r>
      <w:r>
        <w:rPr>
          <w:spacing w:val="32"/>
          <w:sz w:val="30"/>
        </w:rPr>
        <w:t> </w:t>
      </w:r>
      <w:r>
        <w:rPr>
          <w:sz w:val="30"/>
        </w:rPr>
        <w:t>of</w:t>
      </w:r>
      <w:r>
        <w:rPr>
          <w:spacing w:val="31"/>
          <w:sz w:val="30"/>
        </w:rPr>
        <w:t> </w:t>
      </w:r>
      <w:r>
        <w:rPr>
          <w:sz w:val="30"/>
        </w:rPr>
        <w:t>moderate-to-severe</w:t>
      </w:r>
      <w:r>
        <w:rPr>
          <w:spacing w:val="32"/>
          <w:sz w:val="30"/>
        </w:rPr>
        <w:t> </w:t>
      </w:r>
      <w:r>
        <w:rPr>
          <w:sz w:val="30"/>
        </w:rPr>
        <w:t>VMS.</w:t>
      </w:r>
      <w:r>
        <w:rPr>
          <w:sz w:val="30"/>
          <w:vertAlign w:val="superscript"/>
        </w:rPr>
        <w:t>390-392</w:t>
      </w:r>
      <w:r>
        <w:rPr>
          <w:spacing w:val="31"/>
          <w:sz w:val="30"/>
          <w:vertAlign w:val="baseline"/>
        </w:rPr>
        <w:t> </w:t>
      </w:r>
      <w:r>
        <w:rPr>
          <w:sz w:val="30"/>
          <w:vertAlign w:val="baseline"/>
        </w:rPr>
        <w:t>This</w:t>
      </w:r>
      <w:r>
        <w:rPr>
          <w:spacing w:val="32"/>
          <w:sz w:val="30"/>
          <w:vertAlign w:val="baseline"/>
        </w:rPr>
        <w:t> </w:t>
      </w:r>
      <w:r>
        <w:rPr>
          <w:sz w:val="30"/>
          <w:vertAlign w:val="baseline"/>
        </w:rPr>
        <w:t>class</w:t>
      </w:r>
      <w:r>
        <w:rPr>
          <w:spacing w:val="31"/>
          <w:sz w:val="30"/>
          <w:vertAlign w:val="baseline"/>
        </w:rPr>
        <w:t> </w:t>
      </w:r>
      <w:r>
        <w:rPr>
          <w:sz w:val="30"/>
          <w:vertAlign w:val="baseline"/>
        </w:rPr>
        <w:t>of</w:t>
      </w:r>
      <w:r>
        <w:rPr>
          <w:spacing w:val="32"/>
          <w:sz w:val="30"/>
          <w:vertAlign w:val="baseline"/>
        </w:rPr>
        <w:t> </w:t>
      </w:r>
      <w:r>
        <w:rPr>
          <w:spacing w:val="-4"/>
          <w:sz w:val="30"/>
          <w:vertAlign w:val="baseline"/>
        </w:rPr>
        <w:t>drugs</w:t>
      </w:r>
    </w:p>
    <w:p>
      <w:pPr>
        <w:spacing w:after="0" w:line="249" w:lineRule="auto"/>
        <w:jc w:val="both"/>
        <w:rPr>
          <w:sz w:val="30"/>
        </w:rPr>
        <w:sectPr>
          <w:pgSz w:w="12240" w:h="15840"/>
          <w:pgMar w:top="1380" w:bottom="280" w:left="1440" w:right="1440"/>
        </w:sectPr>
      </w:pPr>
    </w:p>
    <w:p>
      <w:pPr>
        <w:pStyle w:val="BodyText"/>
        <w:spacing w:line="249" w:lineRule="auto"/>
        <w:ind w:right="98"/>
      </w:pPr>
      <w:r>
        <w:rPr/>
        <w:t>acts by suppressing the pathogenesis of hot flash at its source— that is, at the level of the thermoregulatory center. The KNDy neurons </w:t>
      </w:r>
      <w:r>
        <w:rPr/>
        <w:t>(kisspeptin, neurokinin, and dynorphin) are a unique population of cells that project</w:t>
      </w:r>
      <w:r>
        <w:rPr>
          <w:spacing w:val="40"/>
        </w:rPr>
        <w:t> </w:t>
      </w:r>
      <w:r>
        <w:rPr/>
        <w:t>onto</w:t>
      </w:r>
      <w:r>
        <w:rPr>
          <w:spacing w:val="-5"/>
        </w:rPr>
        <w:t> </w:t>
      </w:r>
      <w:r>
        <w:rPr/>
        <w:t>and</w:t>
      </w:r>
      <w:r>
        <w:rPr>
          <w:spacing w:val="-5"/>
        </w:rPr>
        <w:t> </w:t>
      </w:r>
      <w:r>
        <w:rPr/>
        <w:t>influence</w:t>
      </w:r>
      <w:r>
        <w:rPr>
          <w:spacing w:val="-5"/>
        </w:rPr>
        <w:t> </w:t>
      </w:r>
      <w:r>
        <w:rPr/>
        <w:t>the</w:t>
      </w:r>
      <w:r>
        <w:rPr>
          <w:spacing w:val="-5"/>
        </w:rPr>
        <w:t> </w:t>
      </w:r>
      <w:r>
        <w:rPr/>
        <w:t>activity</w:t>
      </w:r>
      <w:r>
        <w:rPr>
          <w:spacing w:val="-5"/>
        </w:rPr>
        <w:t> </w:t>
      </w:r>
      <w:r>
        <w:rPr/>
        <w:t>of</w:t>
      </w:r>
      <w:r>
        <w:rPr>
          <w:spacing w:val="-5"/>
        </w:rPr>
        <w:t> </w:t>
      </w:r>
      <w:r>
        <w:rPr/>
        <w:t>the</w:t>
      </w:r>
      <w:r>
        <w:rPr>
          <w:spacing w:val="-5"/>
        </w:rPr>
        <w:t> </w:t>
      </w:r>
      <w:r>
        <w:rPr/>
        <w:t>hypothalamic</w:t>
      </w:r>
      <w:r>
        <w:rPr>
          <w:spacing w:val="-5"/>
        </w:rPr>
        <w:t> </w:t>
      </w:r>
      <w:r>
        <w:rPr/>
        <w:t>thermoregulatory</w:t>
      </w:r>
      <w:r>
        <w:rPr>
          <w:spacing w:val="-5"/>
        </w:rPr>
        <w:t> </w:t>
      </w:r>
      <w:r>
        <w:rPr/>
        <w:t>center. Neurokinin, acting via its receptors (3BR and 1BR), is a stimulant for the KNDy neurons, resetting the hypothalamic thermoregulatory center toward heat conservation; the net result of neurokinin signaling is a transient rise in the core body temperature that underlies the vasomotor phenomenon of hot flash (</w:t>
      </w:r>
      <w:r>
        <w:rPr>
          <w:b/>
          <w:color w:val="256E60"/>
        </w:rPr>
        <w:t>Figure 22.4</w:t>
      </w:r>
      <w:r>
        <w:rPr/>
        <w:t>). By blocking hypothalamic neurokinin 3BR’s, fezolinetant modulates and restores the normal sensitivity of the hypothalamic thermoregulatory neurons, thus effectively reducing both the severity and frequency of VMS.</w:t>
      </w:r>
    </w:p>
    <w:p>
      <w:pPr>
        <w:pStyle w:val="BodyText"/>
        <w:spacing w:before="0"/>
        <w:ind w:left="0"/>
        <w:jc w:val="left"/>
        <w:rPr>
          <w:sz w:val="20"/>
        </w:rPr>
      </w:pPr>
    </w:p>
    <w:p>
      <w:pPr>
        <w:pStyle w:val="BodyText"/>
        <w:spacing w:before="125"/>
        <w:ind w:left="0"/>
        <w:jc w:val="left"/>
        <w:rPr>
          <w:sz w:val="20"/>
        </w:rPr>
      </w:pPr>
      <w:r>
        <w:rPr>
          <w:sz w:val="20"/>
        </w:rPr>
        <mc:AlternateContent>
          <mc:Choice Requires="wps">
            <w:drawing>
              <wp:anchor distT="0" distB="0" distL="0" distR="0" allowOverlap="1" layoutInCell="1" locked="0" behindDoc="1" simplePos="0" relativeHeight="487634944">
                <wp:simplePos x="0" y="0"/>
                <wp:positionH relativeFrom="page">
                  <wp:posOffset>981075</wp:posOffset>
                </wp:positionH>
                <wp:positionV relativeFrom="paragraph">
                  <wp:posOffset>241164</wp:posOffset>
                </wp:positionV>
                <wp:extent cx="285750" cy="5715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285750" cy="57150"/>
                        </a:xfrm>
                        <a:custGeom>
                          <a:avLst/>
                          <a:gdLst/>
                          <a:ahLst/>
                          <a:cxnLst/>
                          <a:rect l="l" t="t" r="r" b="b"/>
                          <a:pathLst>
                            <a:path w="285750" h="57150">
                              <a:moveTo>
                                <a:pt x="32364" y="57111"/>
                              </a:moveTo>
                              <a:lnTo>
                                <a:pt x="24785" y="57111"/>
                              </a:lnTo>
                              <a:lnTo>
                                <a:pt x="21140" y="56407"/>
                              </a:lnTo>
                              <a:lnTo>
                                <a:pt x="0" y="32337"/>
                              </a:lnTo>
                              <a:lnTo>
                                <a:pt x="0" y="24745"/>
                              </a:lnTo>
                              <a:lnTo>
                                <a:pt x="725" y="21097"/>
                              </a:lnTo>
                              <a:lnTo>
                                <a:pt x="3625" y="14068"/>
                              </a:lnTo>
                              <a:lnTo>
                                <a:pt x="5689" y="10972"/>
                              </a:lnTo>
                              <a:lnTo>
                                <a:pt x="8369" y="8334"/>
                              </a:lnTo>
                              <a:lnTo>
                                <a:pt x="11048" y="5619"/>
                              </a:lnTo>
                              <a:lnTo>
                                <a:pt x="14138" y="3571"/>
                              </a:lnTo>
                              <a:lnTo>
                                <a:pt x="21140" y="704"/>
                              </a:lnTo>
                              <a:lnTo>
                                <a:pt x="24785" y="0"/>
                              </a:lnTo>
                              <a:lnTo>
                                <a:pt x="32364" y="0"/>
                              </a:lnTo>
                              <a:lnTo>
                                <a:pt x="36009" y="704"/>
                              </a:lnTo>
                              <a:lnTo>
                                <a:pt x="43010" y="3571"/>
                              </a:lnTo>
                              <a:lnTo>
                                <a:pt x="46101" y="5619"/>
                              </a:lnTo>
                              <a:lnTo>
                                <a:pt x="48780" y="8334"/>
                              </a:lnTo>
                              <a:lnTo>
                                <a:pt x="51459" y="10972"/>
                              </a:lnTo>
                              <a:lnTo>
                                <a:pt x="53524" y="14068"/>
                              </a:lnTo>
                              <a:lnTo>
                                <a:pt x="56424" y="21097"/>
                              </a:lnTo>
                              <a:lnTo>
                                <a:pt x="57149" y="24745"/>
                              </a:lnTo>
                              <a:lnTo>
                                <a:pt x="57149" y="32337"/>
                              </a:lnTo>
                              <a:lnTo>
                                <a:pt x="36009" y="56407"/>
                              </a:lnTo>
                              <a:lnTo>
                                <a:pt x="32364" y="57111"/>
                              </a:lnTo>
                              <a:close/>
                            </a:path>
                            <a:path w="285750" h="57150">
                              <a:moveTo>
                                <a:pt x="146569" y="57111"/>
                              </a:moveTo>
                              <a:lnTo>
                                <a:pt x="138990" y="57111"/>
                              </a:lnTo>
                              <a:lnTo>
                                <a:pt x="135345" y="56407"/>
                              </a:lnTo>
                              <a:lnTo>
                                <a:pt x="114204" y="32337"/>
                              </a:lnTo>
                              <a:lnTo>
                                <a:pt x="114204" y="24745"/>
                              </a:lnTo>
                              <a:lnTo>
                                <a:pt x="114929" y="21097"/>
                              </a:lnTo>
                              <a:lnTo>
                                <a:pt x="117829" y="14068"/>
                              </a:lnTo>
                              <a:lnTo>
                                <a:pt x="119894" y="10972"/>
                              </a:lnTo>
                              <a:lnTo>
                                <a:pt x="122574" y="8334"/>
                              </a:lnTo>
                              <a:lnTo>
                                <a:pt x="125253" y="5619"/>
                              </a:lnTo>
                              <a:lnTo>
                                <a:pt x="128343" y="3571"/>
                              </a:lnTo>
                              <a:lnTo>
                                <a:pt x="135345" y="704"/>
                              </a:lnTo>
                              <a:lnTo>
                                <a:pt x="138990" y="0"/>
                              </a:lnTo>
                              <a:lnTo>
                                <a:pt x="146569" y="0"/>
                              </a:lnTo>
                              <a:lnTo>
                                <a:pt x="150214" y="704"/>
                              </a:lnTo>
                              <a:lnTo>
                                <a:pt x="157215" y="3571"/>
                              </a:lnTo>
                              <a:lnTo>
                                <a:pt x="160305" y="5619"/>
                              </a:lnTo>
                              <a:lnTo>
                                <a:pt x="162985" y="8334"/>
                              </a:lnTo>
                              <a:lnTo>
                                <a:pt x="165664" y="10972"/>
                              </a:lnTo>
                              <a:lnTo>
                                <a:pt x="167729" y="14068"/>
                              </a:lnTo>
                              <a:lnTo>
                                <a:pt x="170629" y="21097"/>
                              </a:lnTo>
                              <a:lnTo>
                                <a:pt x="171354" y="24745"/>
                              </a:lnTo>
                              <a:lnTo>
                                <a:pt x="171354" y="32337"/>
                              </a:lnTo>
                              <a:lnTo>
                                <a:pt x="150214" y="56407"/>
                              </a:lnTo>
                              <a:lnTo>
                                <a:pt x="146569" y="57111"/>
                              </a:lnTo>
                              <a:close/>
                            </a:path>
                            <a:path w="285750" h="57150">
                              <a:moveTo>
                                <a:pt x="260773" y="57111"/>
                              </a:moveTo>
                              <a:lnTo>
                                <a:pt x="253195" y="57111"/>
                              </a:lnTo>
                              <a:lnTo>
                                <a:pt x="249550" y="56407"/>
                              </a:lnTo>
                              <a:lnTo>
                                <a:pt x="228409" y="32337"/>
                              </a:lnTo>
                              <a:lnTo>
                                <a:pt x="228409" y="24745"/>
                              </a:lnTo>
                              <a:lnTo>
                                <a:pt x="229134" y="21097"/>
                              </a:lnTo>
                              <a:lnTo>
                                <a:pt x="232034" y="14068"/>
                              </a:lnTo>
                              <a:lnTo>
                                <a:pt x="234099" y="10972"/>
                              </a:lnTo>
                              <a:lnTo>
                                <a:pt x="236778" y="8334"/>
                              </a:lnTo>
                              <a:lnTo>
                                <a:pt x="239458" y="5619"/>
                              </a:lnTo>
                              <a:lnTo>
                                <a:pt x="242548" y="3571"/>
                              </a:lnTo>
                              <a:lnTo>
                                <a:pt x="249550" y="704"/>
                              </a:lnTo>
                              <a:lnTo>
                                <a:pt x="253195" y="0"/>
                              </a:lnTo>
                              <a:lnTo>
                                <a:pt x="260773" y="0"/>
                              </a:lnTo>
                              <a:lnTo>
                                <a:pt x="264418" y="704"/>
                              </a:lnTo>
                              <a:lnTo>
                                <a:pt x="271420" y="3571"/>
                              </a:lnTo>
                              <a:lnTo>
                                <a:pt x="274510" y="5619"/>
                              </a:lnTo>
                              <a:lnTo>
                                <a:pt x="277190" y="8334"/>
                              </a:lnTo>
                              <a:lnTo>
                                <a:pt x="279869" y="10972"/>
                              </a:lnTo>
                              <a:lnTo>
                                <a:pt x="281934" y="14068"/>
                              </a:lnTo>
                              <a:lnTo>
                                <a:pt x="284834" y="21097"/>
                              </a:lnTo>
                              <a:lnTo>
                                <a:pt x="285559" y="24745"/>
                              </a:lnTo>
                              <a:lnTo>
                                <a:pt x="285559" y="32337"/>
                              </a:lnTo>
                              <a:lnTo>
                                <a:pt x="264418" y="56407"/>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89315pt;width:22.5pt;height:4.5pt;mso-position-horizontal-relative:page;mso-position-vertical-relative:paragraph;z-index:-15681536;mso-wrap-distance-left:0;mso-wrap-distance-right:0" id="docshape137" coordorigin="1545,380" coordsize="450,90" path="m1596,470l1584,470,1578,469,1573,466,1567,464,1562,461,1558,457,1554,452,1551,447,1548,442,1546,436,1545,431,1545,419,1546,413,1551,402,1554,397,1558,393,1562,389,1567,385,1578,381,1584,380,1596,380,1602,381,1613,385,1618,389,1622,393,1626,397,1629,402,1634,413,1635,419,1635,431,1634,436,1632,442,1629,447,1626,452,1622,457,1618,461,1613,464,1607,466,1602,469,1596,470xm1776,470l1764,470,1758,469,1753,466,1747,464,1742,461,1738,457,1734,452,1731,447,1728,442,1726,436,1725,431,1725,419,1726,413,1731,402,1734,397,1738,393,1742,389,1747,385,1758,381,1764,380,1776,380,1782,381,1793,385,1797,389,1802,393,1806,397,1809,402,1814,413,1815,419,1815,431,1814,436,1811,442,1809,447,1806,452,1802,457,1797,461,1793,464,1787,466,1782,469,1776,470xm1956,470l1944,470,1938,469,1932,466,1927,464,1922,461,1918,457,1914,452,1910,447,1908,442,1906,436,1905,431,1905,419,1906,413,1910,402,1914,397,1918,393,1922,389,1927,385,1938,381,1944,380,1956,380,1961,381,1972,385,1977,389,1982,393,1986,397,1989,402,1994,413,1995,419,1995,431,1994,436,1991,442,1989,447,1986,452,1982,457,1977,461,1972,464,1967,466,1961,469,1956,470xe" filled="true" fillcolor="#bdb4d4" stroked="false">
                <v:path arrowok="t"/>
                <v:fill type="solid"/>
                <w10:wrap type="topAndBottom"/>
              </v:shape>
            </w:pict>
          </mc:Fallback>
        </mc:AlternateContent>
      </w:r>
    </w:p>
    <w:p>
      <w:pPr>
        <w:pStyle w:val="Heading3"/>
        <w:jc w:val="both"/>
      </w:pPr>
      <w:r>
        <w:rPr>
          <w:color w:val="534089"/>
        </w:rPr>
        <w:t>BIOIDENTICAL </w:t>
      </w:r>
      <w:r>
        <w:rPr>
          <w:color w:val="534089"/>
          <w:spacing w:val="-2"/>
        </w:rPr>
        <w:t>HORMONES</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35456">
                <wp:simplePos x="0" y="0"/>
                <wp:positionH relativeFrom="page">
                  <wp:posOffset>981075</wp:posOffset>
                </wp:positionH>
                <wp:positionV relativeFrom="paragraph">
                  <wp:posOffset>45758</wp:posOffset>
                </wp:positionV>
                <wp:extent cx="5810250" cy="1905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3011pt;width:457.499964pt;height:1.5pt;mso-position-horizontal-relative:page;mso-position-vertical-relative:paragraph;z-index:-15681024;mso-wrap-distance-left:0;mso-wrap-distance-right:0" id="docshape138" filled="true" fillcolor="#534089" stroked="false">
                <v:fill type="solid"/>
                <w10:wrap type="topAndBottom"/>
              </v:rect>
            </w:pict>
          </mc:Fallback>
        </mc:AlternateContent>
      </w:r>
    </w:p>
    <w:p>
      <w:pPr>
        <w:pStyle w:val="BodyText"/>
        <w:spacing w:line="249" w:lineRule="auto" w:before="215"/>
        <w:ind w:right="98"/>
      </w:pPr>
      <w:r>
        <w:rPr/>
        <w:t>Publication of the WHI hormone trials was followed by a period of </w:t>
      </w:r>
      <w:r>
        <w:rPr/>
        <w:t>much confusion and concern regarding safety of prescription HT. In the wake of both prescriber and patient distrust of HT, an upsurge of interest in bioidentical</w:t>
      </w:r>
      <w:r>
        <w:rPr>
          <w:spacing w:val="-5"/>
        </w:rPr>
        <w:t> </w:t>
      </w:r>
      <w:r>
        <w:rPr/>
        <w:t>hormones</w:t>
      </w:r>
      <w:r>
        <w:rPr>
          <w:spacing w:val="-5"/>
        </w:rPr>
        <w:t> </w:t>
      </w:r>
      <w:r>
        <w:rPr/>
        <w:t>occurred.</w:t>
      </w:r>
      <w:r>
        <w:rPr>
          <w:spacing w:val="-6"/>
        </w:rPr>
        <w:t> </w:t>
      </w:r>
      <w:r>
        <w:rPr/>
        <w:t>Bioidentical hormones have since garnered much interest from the lay public, as well as generated much political, financial, and legal conflict. Bruce Patsner, research professor in the Health Law and Policy Institute at the University of Houston Law Center, has written what is, in our view, a masterful analysis of the problem, with suggestions for its resolution.</w:t>
      </w:r>
      <w:r>
        <w:rPr>
          <w:vertAlign w:val="superscript"/>
        </w:rPr>
        <w:t>393</w:t>
      </w:r>
    </w:p>
    <w:p>
      <w:pPr>
        <w:pStyle w:val="BodyText"/>
        <w:spacing w:before="54"/>
        <w:ind w:left="0"/>
        <w:jc w:val="left"/>
      </w:pPr>
    </w:p>
    <w:p>
      <w:pPr>
        <w:spacing w:before="0"/>
        <w:ind w:left="99" w:right="0" w:firstLine="0"/>
        <w:jc w:val="both"/>
        <w:rPr>
          <w:rFonts w:ascii="Arial"/>
          <w:b/>
          <w:sz w:val="30"/>
        </w:rPr>
      </w:pPr>
      <w:r>
        <w:rPr>
          <w:rFonts w:ascii="Arial"/>
          <w:b/>
          <w:color w:val="2674AE"/>
          <w:sz w:val="30"/>
        </w:rPr>
        <w:t>The History of the </w:t>
      </w:r>
      <w:r>
        <w:rPr>
          <w:rFonts w:ascii="Arial"/>
          <w:b/>
          <w:color w:val="2674AE"/>
          <w:spacing w:val="-2"/>
          <w:sz w:val="30"/>
        </w:rPr>
        <w:t>Conflict</w:t>
      </w:r>
    </w:p>
    <w:p>
      <w:pPr>
        <w:pStyle w:val="BodyText"/>
        <w:spacing w:line="249" w:lineRule="auto" w:before="167"/>
        <w:ind w:right="102"/>
      </w:pPr>
      <w:r>
        <w:rPr/>
        <w:t>The operations of a pharmacy are regulated in the individual states by state boards of pharmacy, in a system similar to the regulation of </w:t>
      </w:r>
      <w:r>
        <w:rPr/>
        <w:t>medical practice.</w:t>
      </w:r>
      <w:r>
        <w:rPr>
          <w:spacing w:val="-3"/>
        </w:rPr>
        <w:t> </w:t>
      </w:r>
      <w:r>
        <w:rPr/>
        <w:t>The first federal law regulating drugs, the Federal Food, Drug, and Cosmetic Act, was passed in 1938, at a time when most drugs were compounded according to a doctor’s prescription. The American Pharmacists Association defines pharmacy compounding as the preparation of a prescription drug that is “individualized” to the needs of the patient. This</w:t>
      </w:r>
      <w:r>
        <w:rPr>
          <w:spacing w:val="27"/>
        </w:rPr>
        <w:t> </w:t>
      </w:r>
      <w:r>
        <w:rPr/>
        <w:t>changed</w:t>
      </w:r>
      <w:r>
        <w:rPr>
          <w:spacing w:val="28"/>
        </w:rPr>
        <w:t> </w:t>
      </w:r>
      <w:r>
        <w:rPr/>
        <w:t>after</w:t>
      </w:r>
      <w:r>
        <w:rPr>
          <w:spacing w:val="28"/>
        </w:rPr>
        <w:t> </w:t>
      </w:r>
      <w:r>
        <w:rPr/>
        <w:t>World</w:t>
      </w:r>
      <w:r>
        <w:rPr>
          <w:spacing w:val="28"/>
        </w:rPr>
        <w:t> </w:t>
      </w:r>
      <w:r>
        <w:rPr/>
        <w:t>War</w:t>
      </w:r>
      <w:r>
        <w:rPr>
          <w:spacing w:val="28"/>
        </w:rPr>
        <w:t> </w:t>
      </w:r>
      <w:r>
        <w:rPr/>
        <w:t>II</w:t>
      </w:r>
      <w:r>
        <w:rPr>
          <w:spacing w:val="28"/>
        </w:rPr>
        <w:t> </w:t>
      </w:r>
      <w:r>
        <w:rPr/>
        <w:t>with</w:t>
      </w:r>
      <w:r>
        <w:rPr>
          <w:spacing w:val="27"/>
        </w:rPr>
        <w:t> </w:t>
      </w:r>
      <w:r>
        <w:rPr/>
        <w:t>the</w:t>
      </w:r>
      <w:r>
        <w:rPr>
          <w:spacing w:val="28"/>
        </w:rPr>
        <w:t> </w:t>
      </w:r>
      <w:r>
        <w:rPr/>
        <w:t>development</w:t>
      </w:r>
      <w:r>
        <w:rPr>
          <w:spacing w:val="28"/>
        </w:rPr>
        <w:t> </w:t>
      </w:r>
      <w:r>
        <w:rPr/>
        <w:t>and</w:t>
      </w:r>
      <w:r>
        <w:rPr>
          <w:spacing w:val="28"/>
        </w:rPr>
        <w:t> </w:t>
      </w:r>
      <w:r>
        <w:rPr/>
        <w:t>growth</w:t>
      </w:r>
      <w:r>
        <w:rPr>
          <w:spacing w:val="28"/>
        </w:rPr>
        <w:t> </w:t>
      </w:r>
      <w:r>
        <w:rPr/>
        <w:t>of</w:t>
      </w:r>
      <w:r>
        <w:rPr>
          <w:spacing w:val="28"/>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100"/>
      </w:pPr>
      <w:r>
        <w:rPr/>
        <w:t>pharmaceutical industry. The Kefauver-Harris Amendment in 1964 extended</w:t>
      </w:r>
      <w:r>
        <w:rPr>
          <w:spacing w:val="-4"/>
        </w:rPr>
        <w:t> </w:t>
      </w:r>
      <w:r>
        <w:rPr/>
        <w:t>the</w:t>
      </w:r>
      <w:r>
        <w:rPr>
          <w:spacing w:val="-4"/>
        </w:rPr>
        <w:t> </w:t>
      </w:r>
      <w:r>
        <w:rPr/>
        <w:t>role</w:t>
      </w:r>
      <w:r>
        <w:rPr>
          <w:spacing w:val="-4"/>
        </w:rPr>
        <w:t> </w:t>
      </w:r>
      <w:r>
        <w:rPr/>
        <w:t>of</w:t>
      </w:r>
      <w:r>
        <w:rPr>
          <w:spacing w:val="-4"/>
        </w:rPr>
        <w:t> </w:t>
      </w:r>
      <w:r>
        <w:rPr/>
        <w:t>the</w:t>
      </w:r>
      <w:r>
        <w:rPr>
          <w:spacing w:val="-4"/>
        </w:rPr>
        <w:t> </w:t>
      </w:r>
      <w:r>
        <w:rPr/>
        <w:t>FDA</w:t>
      </w:r>
      <w:r>
        <w:rPr>
          <w:spacing w:val="-4"/>
        </w:rPr>
        <w:t> </w:t>
      </w:r>
      <w:r>
        <w:rPr/>
        <w:t>to</w:t>
      </w:r>
      <w:r>
        <w:rPr>
          <w:spacing w:val="-4"/>
        </w:rPr>
        <w:t> </w:t>
      </w:r>
      <w:r>
        <w:rPr/>
        <w:t>include</w:t>
      </w:r>
      <w:r>
        <w:rPr>
          <w:spacing w:val="-4"/>
        </w:rPr>
        <w:t> </w:t>
      </w:r>
      <w:r>
        <w:rPr/>
        <w:t>safety</w:t>
      </w:r>
      <w:r>
        <w:rPr>
          <w:spacing w:val="-4"/>
        </w:rPr>
        <w:t> </w:t>
      </w:r>
      <w:r>
        <w:rPr/>
        <w:t>and</w:t>
      </w:r>
      <w:r>
        <w:rPr>
          <w:spacing w:val="-4"/>
        </w:rPr>
        <w:t> </w:t>
      </w:r>
      <w:r>
        <w:rPr/>
        <w:t>efficacy</w:t>
      </w:r>
      <w:r>
        <w:rPr>
          <w:spacing w:val="-4"/>
        </w:rPr>
        <w:t> </w:t>
      </w:r>
      <w:r>
        <w:rPr/>
        <w:t>of</w:t>
      </w:r>
      <w:r>
        <w:rPr>
          <w:spacing w:val="-4"/>
        </w:rPr>
        <w:t> </w:t>
      </w:r>
      <w:r>
        <w:rPr/>
        <w:t>manufactured </w:t>
      </w:r>
      <w:r>
        <w:rPr>
          <w:spacing w:val="-2"/>
        </w:rPr>
        <w:t>drugs.</w:t>
      </w:r>
    </w:p>
    <w:p>
      <w:pPr>
        <w:pStyle w:val="BodyText"/>
        <w:spacing w:before="0"/>
        <w:ind w:left="0"/>
        <w:jc w:val="left"/>
        <w:rPr>
          <w:sz w:val="20"/>
        </w:rPr>
      </w:pPr>
    </w:p>
    <w:p>
      <w:pPr>
        <w:pStyle w:val="BodyText"/>
        <w:spacing w:before="114"/>
        <w:ind w:left="0"/>
        <w:jc w:val="left"/>
        <w:rPr>
          <w:sz w:val="20"/>
        </w:rPr>
      </w:pPr>
      <w:r>
        <w:rPr>
          <w:sz w:val="20"/>
        </w:rPr>
        <w:drawing>
          <wp:anchor distT="0" distB="0" distL="0" distR="0" allowOverlap="1" layoutInCell="1" locked="0" behindDoc="1" simplePos="0" relativeHeight="487635968">
            <wp:simplePos x="0" y="0"/>
            <wp:positionH relativeFrom="page">
              <wp:posOffset>981075</wp:posOffset>
            </wp:positionH>
            <wp:positionV relativeFrom="paragraph">
              <wp:posOffset>234130</wp:posOffset>
            </wp:positionV>
            <wp:extent cx="5826389" cy="4470082"/>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32" cstate="print"/>
                    <a:stretch>
                      <a:fillRect/>
                    </a:stretch>
                  </pic:blipFill>
                  <pic:spPr>
                    <a:xfrm>
                      <a:off x="0" y="0"/>
                      <a:ext cx="5826389" cy="447008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6480">
                <wp:simplePos x="0" y="0"/>
                <wp:positionH relativeFrom="page">
                  <wp:posOffset>981075</wp:posOffset>
                </wp:positionH>
                <wp:positionV relativeFrom="paragraph">
                  <wp:posOffset>4882332</wp:posOffset>
                </wp:positionV>
                <wp:extent cx="856615" cy="5715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856615" cy="57150"/>
                        </a:xfrm>
                        <a:custGeom>
                          <a:avLst/>
                          <a:gdLst/>
                          <a:ahLst/>
                          <a:cxnLst/>
                          <a:rect l="l" t="t" r="r" b="b"/>
                          <a:pathLst>
                            <a:path w="856615" h="57150">
                              <a:moveTo>
                                <a:pt x="32364" y="57111"/>
                              </a:moveTo>
                              <a:lnTo>
                                <a:pt x="24785" y="57111"/>
                              </a:lnTo>
                              <a:lnTo>
                                <a:pt x="21048" y="56368"/>
                              </a:lnTo>
                              <a:lnTo>
                                <a:pt x="0" y="32337"/>
                              </a:lnTo>
                              <a:lnTo>
                                <a:pt x="0" y="24745"/>
                              </a:lnTo>
                              <a:lnTo>
                                <a:pt x="725" y="21097"/>
                              </a:lnTo>
                              <a:lnTo>
                                <a:pt x="3625" y="14096"/>
                              </a:lnTo>
                              <a:lnTo>
                                <a:pt x="5689" y="11010"/>
                              </a:lnTo>
                              <a:lnTo>
                                <a:pt x="8369" y="8334"/>
                              </a:lnTo>
                              <a:lnTo>
                                <a:pt x="11048" y="5619"/>
                              </a:lnTo>
                              <a:lnTo>
                                <a:pt x="14138" y="3571"/>
                              </a:lnTo>
                              <a:lnTo>
                                <a:pt x="21140" y="704"/>
                              </a:lnTo>
                              <a:lnTo>
                                <a:pt x="24785" y="0"/>
                              </a:lnTo>
                              <a:lnTo>
                                <a:pt x="32364" y="0"/>
                              </a:lnTo>
                              <a:lnTo>
                                <a:pt x="36009" y="704"/>
                              </a:lnTo>
                              <a:lnTo>
                                <a:pt x="43010" y="3571"/>
                              </a:lnTo>
                              <a:lnTo>
                                <a:pt x="46101" y="5619"/>
                              </a:lnTo>
                              <a:lnTo>
                                <a:pt x="48780" y="8334"/>
                              </a:lnTo>
                              <a:lnTo>
                                <a:pt x="51459" y="11010"/>
                              </a:lnTo>
                              <a:lnTo>
                                <a:pt x="53524" y="14096"/>
                              </a:lnTo>
                              <a:lnTo>
                                <a:pt x="56424" y="21097"/>
                              </a:lnTo>
                              <a:lnTo>
                                <a:pt x="57149" y="24745"/>
                              </a:lnTo>
                              <a:lnTo>
                                <a:pt x="57149" y="32337"/>
                              </a:lnTo>
                              <a:lnTo>
                                <a:pt x="36009" y="56368"/>
                              </a:lnTo>
                              <a:lnTo>
                                <a:pt x="32364" y="57111"/>
                              </a:lnTo>
                              <a:close/>
                            </a:path>
                            <a:path w="856615" h="57150">
                              <a:moveTo>
                                <a:pt x="146569" y="57111"/>
                              </a:moveTo>
                              <a:lnTo>
                                <a:pt x="138990" y="57111"/>
                              </a:lnTo>
                              <a:lnTo>
                                <a:pt x="135253" y="56368"/>
                              </a:lnTo>
                              <a:lnTo>
                                <a:pt x="114204" y="32337"/>
                              </a:lnTo>
                              <a:lnTo>
                                <a:pt x="114204" y="24745"/>
                              </a:lnTo>
                              <a:lnTo>
                                <a:pt x="114929" y="21097"/>
                              </a:lnTo>
                              <a:lnTo>
                                <a:pt x="117829" y="14096"/>
                              </a:lnTo>
                              <a:lnTo>
                                <a:pt x="119894" y="11010"/>
                              </a:lnTo>
                              <a:lnTo>
                                <a:pt x="122574" y="8334"/>
                              </a:lnTo>
                              <a:lnTo>
                                <a:pt x="125253" y="5619"/>
                              </a:lnTo>
                              <a:lnTo>
                                <a:pt x="128343" y="3571"/>
                              </a:lnTo>
                              <a:lnTo>
                                <a:pt x="135345" y="704"/>
                              </a:lnTo>
                              <a:lnTo>
                                <a:pt x="138990" y="0"/>
                              </a:lnTo>
                              <a:lnTo>
                                <a:pt x="146569" y="0"/>
                              </a:lnTo>
                              <a:lnTo>
                                <a:pt x="150214" y="704"/>
                              </a:lnTo>
                              <a:lnTo>
                                <a:pt x="157215" y="3571"/>
                              </a:lnTo>
                              <a:lnTo>
                                <a:pt x="160305" y="5619"/>
                              </a:lnTo>
                              <a:lnTo>
                                <a:pt x="162985" y="8334"/>
                              </a:lnTo>
                              <a:lnTo>
                                <a:pt x="165664" y="11010"/>
                              </a:lnTo>
                              <a:lnTo>
                                <a:pt x="167729" y="14096"/>
                              </a:lnTo>
                              <a:lnTo>
                                <a:pt x="170629" y="21097"/>
                              </a:lnTo>
                              <a:lnTo>
                                <a:pt x="171354" y="24745"/>
                              </a:lnTo>
                              <a:lnTo>
                                <a:pt x="171354" y="32337"/>
                              </a:lnTo>
                              <a:lnTo>
                                <a:pt x="150214" y="56368"/>
                              </a:lnTo>
                              <a:lnTo>
                                <a:pt x="146569" y="57111"/>
                              </a:lnTo>
                              <a:close/>
                            </a:path>
                            <a:path w="856615" h="57150">
                              <a:moveTo>
                                <a:pt x="260773" y="57111"/>
                              </a:moveTo>
                              <a:lnTo>
                                <a:pt x="253195" y="57111"/>
                              </a:lnTo>
                              <a:lnTo>
                                <a:pt x="249458" y="56368"/>
                              </a:lnTo>
                              <a:lnTo>
                                <a:pt x="228409" y="32337"/>
                              </a:lnTo>
                              <a:lnTo>
                                <a:pt x="228409" y="24745"/>
                              </a:lnTo>
                              <a:lnTo>
                                <a:pt x="229134" y="21097"/>
                              </a:lnTo>
                              <a:lnTo>
                                <a:pt x="232034" y="14096"/>
                              </a:lnTo>
                              <a:lnTo>
                                <a:pt x="234099" y="11010"/>
                              </a:lnTo>
                              <a:lnTo>
                                <a:pt x="236778" y="8334"/>
                              </a:lnTo>
                              <a:lnTo>
                                <a:pt x="239458" y="5619"/>
                              </a:lnTo>
                              <a:lnTo>
                                <a:pt x="242548" y="3571"/>
                              </a:lnTo>
                              <a:lnTo>
                                <a:pt x="249550" y="704"/>
                              </a:lnTo>
                              <a:lnTo>
                                <a:pt x="253195" y="0"/>
                              </a:lnTo>
                              <a:lnTo>
                                <a:pt x="260773" y="0"/>
                              </a:lnTo>
                              <a:lnTo>
                                <a:pt x="264418" y="704"/>
                              </a:lnTo>
                              <a:lnTo>
                                <a:pt x="271420" y="3571"/>
                              </a:lnTo>
                              <a:lnTo>
                                <a:pt x="274510" y="5619"/>
                              </a:lnTo>
                              <a:lnTo>
                                <a:pt x="277190" y="8334"/>
                              </a:lnTo>
                              <a:lnTo>
                                <a:pt x="279869" y="11010"/>
                              </a:lnTo>
                              <a:lnTo>
                                <a:pt x="281934" y="14096"/>
                              </a:lnTo>
                              <a:lnTo>
                                <a:pt x="284834" y="21097"/>
                              </a:lnTo>
                              <a:lnTo>
                                <a:pt x="285559" y="24745"/>
                              </a:lnTo>
                              <a:lnTo>
                                <a:pt x="285559" y="32337"/>
                              </a:lnTo>
                              <a:lnTo>
                                <a:pt x="264418" y="56368"/>
                              </a:lnTo>
                              <a:lnTo>
                                <a:pt x="260773" y="57111"/>
                              </a:lnTo>
                              <a:close/>
                            </a:path>
                            <a:path w="856615" h="57150">
                              <a:moveTo>
                                <a:pt x="374978" y="57111"/>
                              </a:moveTo>
                              <a:lnTo>
                                <a:pt x="367399" y="57111"/>
                              </a:lnTo>
                              <a:lnTo>
                                <a:pt x="363662" y="56368"/>
                              </a:lnTo>
                              <a:lnTo>
                                <a:pt x="342614" y="32337"/>
                              </a:lnTo>
                              <a:lnTo>
                                <a:pt x="342614" y="24745"/>
                              </a:lnTo>
                              <a:lnTo>
                                <a:pt x="343339" y="21097"/>
                              </a:lnTo>
                              <a:lnTo>
                                <a:pt x="346239" y="14096"/>
                              </a:lnTo>
                              <a:lnTo>
                                <a:pt x="348304" y="11010"/>
                              </a:lnTo>
                              <a:lnTo>
                                <a:pt x="350983" y="8334"/>
                              </a:lnTo>
                              <a:lnTo>
                                <a:pt x="353663" y="5619"/>
                              </a:lnTo>
                              <a:lnTo>
                                <a:pt x="356753" y="3571"/>
                              </a:lnTo>
                              <a:lnTo>
                                <a:pt x="363754" y="704"/>
                              </a:lnTo>
                              <a:lnTo>
                                <a:pt x="367399" y="0"/>
                              </a:lnTo>
                              <a:lnTo>
                                <a:pt x="374978" y="0"/>
                              </a:lnTo>
                              <a:lnTo>
                                <a:pt x="378623" y="704"/>
                              </a:lnTo>
                              <a:lnTo>
                                <a:pt x="385625" y="3571"/>
                              </a:lnTo>
                              <a:lnTo>
                                <a:pt x="388715" y="5619"/>
                              </a:lnTo>
                              <a:lnTo>
                                <a:pt x="391394" y="8334"/>
                              </a:lnTo>
                              <a:lnTo>
                                <a:pt x="394074" y="11010"/>
                              </a:lnTo>
                              <a:lnTo>
                                <a:pt x="396138" y="14096"/>
                              </a:lnTo>
                              <a:lnTo>
                                <a:pt x="399039" y="21097"/>
                              </a:lnTo>
                              <a:lnTo>
                                <a:pt x="399764" y="24745"/>
                              </a:lnTo>
                              <a:lnTo>
                                <a:pt x="399764" y="32337"/>
                              </a:lnTo>
                              <a:lnTo>
                                <a:pt x="378623" y="56368"/>
                              </a:lnTo>
                              <a:lnTo>
                                <a:pt x="374978" y="57111"/>
                              </a:lnTo>
                              <a:close/>
                            </a:path>
                            <a:path w="856615" h="57150">
                              <a:moveTo>
                                <a:pt x="489183" y="57111"/>
                              </a:moveTo>
                              <a:lnTo>
                                <a:pt x="481604" y="57111"/>
                              </a:lnTo>
                              <a:lnTo>
                                <a:pt x="477867" y="56368"/>
                              </a:lnTo>
                              <a:lnTo>
                                <a:pt x="456818" y="32337"/>
                              </a:lnTo>
                              <a:lnTo>
                                <a:pt x="456818" y="24745"/>
                              </a:lnTo>
                              <a:lnTo>
                                <a:pt x="457543" y="21097"/>
                              </a:lnTo>
                              <a:lnTo>
                                <a:pt x="460444" y="14096"/>
                              </a:lnTo>
                              <a:lnTo>
                                <a:pt x="462508" y="11010"/>
                              </a:lnTo>
                              <a:lnTo>
                                <a:pt x="465188" y="8334"/>
                              </a:lnTo>
                              <a:lnTo>
                                <a:pt x="467867" y="5619"/>
                              </a:lnTo>
                              <a:lnTo>
                                <a:pt x="470957" y="3571"/>
                              </a:lnTo>
                              <a:lnTo>
                                <a:pt x="477959" y="704"/>
                              </a:lnTo>
                              <a:lnTo>
                                <a:pt x="481604" y="0"/>
                              </a:lnTo>
                              <a:lnTo>
                                <a:pt x="489183" y="0"/>
                              </a:lnTo>
                              <a:lnTo>
                                <a:pt x="492828" y="704"/>
                              </a:lnTo>
                              <a:lnTo>
                                <a:pt x="499829" y="3571"/>
                              </a:lnTo>
                              <a:lnTo>
                                <a:pt x="502920" y="5619"/>
                              </a:lnTo>
                              <a:lnTo>
                                <a:pt x="505599" y="8334"/>
                              </a:lnTo>
                              <a:lnTo>
                                <a:pt x="508278" y="11010"/>
                              </a:lnTo>
                              <a:lnTo>
                                <a:pt x="510343" y="14096"/>
                              </a:lnTo>
                              <a:lnTo>
                                <a:pt x="513243" y="21097"/>
                              </a:lnTo>
                              <a:lnTo>
                                <a:pt x="513968" y="24745"/>
                              </a:lnTo>
                              <a:lnTo>
                                <a:pt x="513968" y="32337"/>
                              </a:lnTo>
                              <a:lnTo>
                                <a:pt x="492828" y="56368"/>
                              </a:lnTo>
                              <a:lnTo>
                                <a:pt x="489183" y="57111"/>
                              </a:lnTo>
                              <a:close/>
                            </a:path>
                            <a:path w="856615" h="57150">
                              <a:moveTo>
                                <a:pt x="603387" y="57111"/>
                              </a:moveTo>
                              <a:lnTo>
                                <a:pt x="595809" y="57111"/>
                              </a:lnTo>
                              <a:lnTo>
                                <a:pt x="592072" y="56368"/>
                              </a:lnTo>
                              <a:lnTo>
                                <a:pt x="571023" y="32337"/>
                              </a:lnTo>
                              <a:lnTo>
                                <a:pt x="571023" y="24745"/>
                              </a:lnTo>
                              <a:lnTo>
                                <a:pt x="571748" y="21097"/>
                              </a:lnTo>
                              <a:lnTo>
                                <a:pt x="574648" y="14096"/>
                              </a:lnTo>
                              <a:lnTo>
                                <a:pt x="576713" y="11010"/>
                              </a:lnTo>
                              <a:lnTo>
                                <a:pt x="579393" y="8334"/>
                              </a:lnTo>
                              <a:lnTo>
                                <a:pt x="582072" y="5619"/>
                              </a:lnTo>
                              <a:lnTo>
                                <a:pt x="585162" y="3571"/>
                              </a:lnTo>
                              <a:lnTo>
                                <a:pt x="592164" y="704"/>
                              </a:lnTo>
                              <a:lnTo>
                                <a:pt x="595809" y="0"/>
                              </a:lnTo>
                              <a:lnTo>
                                <a:pt x="603387" y="0"/>
                              </a:lnTo>
                              <a:lnTo>
                                <a:pt x="607032" y="704"/>
                              </a:lnTo>
                              <a:lnTo>
                                <a:pt x="614034" y="3571"/>
                              </a:lnTo>
                              <a:lnTo>
                                <a:pt x="617124" y="5619"/>
                              </a:lnTo>
                              <a:lnTo>
                                <a:pt x="619804" y="8334"/>
                              </a:lnTo>
                              <a:lnTo>
                                <a:pt x="622483" y="11010"/>
                              </a:lnTo>
                              <a:lnTo>
                                <a:pt x="624548" y="14096"/>
                              </a:lnTo>
                              <a:lnTo>
                                <a:pt x="627448" y="21097"/>
                              </a:lnTo>
                              <a:lnTo>
                                <a:pt x="628173" y="24745"/>
                              </a:lnTo>
                              <a:lnTo>
                                <a:pt x="628173" y="32337"/>
                              </a:lnTo>
                              <a:lnTo>
                                <a:pt x="607032" y="56368"/>
                              </a:lnTo>
                              <a:lnTo>
                                <a:pt x="603387" y="57111"/>
                              </a:lnTo>
                              <a:close/>
                            </a:path>
                            <a:path w="856615" h="57150">
                              <a:moveTo>
                                <a:pt x="717592" y="57111"/>
                              </a:moveTo>
                              <a:lnTo>
                                <a:pt x="710014" y="57111"/>
                              </a:lnTo>
                              <a:lnTo>
                                <a:pt x="706277" y="56368"/>
                              </a:lnTo>
                              <a:lnTo>
                                <a:pt x="685228" y="32337"/>
                              </a:lnTo>
                              <a:lnTo>
                                <a:pt x="685228" y="24745"/>
                              </a:lnTo>
                              <a:lnTo>
                                <a:pt x="685953" y="21097"/>
                              </a:lnTo>
                              <a:lnTo>
                                <a:pt x="688853" y="14096"/>
                              </a:lnTo>
                              <a:lnTo>
                                <a:pt x="690918" y="11010"/>
                              </a:lnTo>
                              <a:lnTo>
                                <a:pt x="693597" y="8334"/>
                              </a:lnTo>
                              <a:lnTo>
                                <a:pt x="696277" y="5619"/>
                              </a:lnTo>
                              <a:lnTo>
                                <a:pt x="699367" y="3571"/>
                              </a:lnTo>
                              <a:lnTo>
                                <a:pt x="706369" y="704"/>
                              </a:lnTo>
                              <a:lnTo>
                                <a:pt x="710014" y="0"/>
                              </a:lnTo>
                              <a:lnTo>
                                <a:pt x="717592" y="0"/>
                              </a:lnTo>
                              <a:lnTo>
                                <a:pt x="721237" y="704"/>
                              </a:lnTo>
                              <a:lnTo>
                                <a:pt x="728239" y="3571"/>
                              </a:lnTo>
                              <a:lnTo>
                                <a:pt x="731329" y="5619"/>
                              </a:lnTo>
                              <a:lnTo>
                                <a:pt x="734009" y="8334"/>
                              </a:lnTo>
                              <a:lnTo>
                                <a:pt x="736688" y="11010"/>
                              </a:lnTo>
                              <a:lnTo>
                                <a:pt x="738753" y="14096"/>
                              </a:lnTo>
                              <a:lnTo>
                                <a:pt x="741653" y="21097"/>
                              </a:lnTo>
                              <a:lnTo>
                                <a:pt x="742378" y="24745"/>
                              </a:lnTo>
                              <a:lnTo>
                                <a:pt x="742378" y="32337"/>
                              </a:lnTo>
                              <a:lnTo>
                                <a:pt x="721237" y="56368"/>
                              </a:lnTo>
                              <a:lnTo>
                                <a:pt x="717592" y="57111"/>
                              </a:lnTo>
                              <a:close/>
                            </a:path>
                            <a:path w="856615" h="57150">
                              <a:moveTo>
                                <a:pt x="831797" y="57111"/>
                              </a:moveTo>
                              <a:lnTo>
                                <a:pt x="824218" y="57111"/>
                              </a:lnTo>
                              <a:lnTo>
                                <a:pt x="820481" y="56368"/>
                              </a:lnTo>
                              <a:lnTo>
                                <a:pt x="799433" y="32337"/>
                              </a:lnTo>
                              <a:lnTo>
                                <a:pt x="799433" y="24745"/>
                              </a:lnTo>
                              <a:lnTo>
                                <a:pt x="800158" y="21097"/>
                              </a:lnTo>
                              <a:lnTo>
                                <a:pt x="803058" y="14096"/>
                              </a:lnTo>
                              <a:lnTo>
                                <a:pt x="805123" y="11010"/>
                              </a:lnTo>
                              <a:lnTo>
                                <a:pt x="807802" y="8334"/>
                              </a:lnTo>
                              <a:lnTo>
                                <a:pt x="810481" y="5619"/>
                              </a:lnTo>
                              <a:lnTo>
                                <a:pt x="813572" y="3571"/>
                              </a:lnTo>
                              <a:lnTo>
                                <a:pt x="820573" y="704"/>
                              </a:lnTo>
                              <a:lnTo>
                                <a:pt x="824218" y="0"/>
                              </a:lnTo>
                              <a:lnTo>
                                <a:pt x="831797" y="0"/>
                              </a:lnTo>
                              <a:lnTo>
                                <a:pt x="835442" y="704"/>
                              </a:lnTo>
                              <a:lnTo>
                                <a:pt x="842444" y="3571"/>
                              </a:lnTo>
                              <a:lnTo>
                                <a:pt x="845534" y="5619"/>
                              </a:lnTo>
                              <a:lnTo>
                                <a:pt x="848213" y="8334"/>
                              </a:lnTo>
                              <a:lnTo>
                                <a:pt x="850893" y="11010"/>
                              </a:lnTo>
                              <a:lnTo>
                                <a:pt x="852957" y="14096"/>
                              </a:lnTo>
                              <a:lnTo>
                                <a:pt x="855858" y="21097"/>
                              </a:lnTo>
                              <a:lnTo>
                                <a:pt x="856583" y="24745"/>
                              </a:lnTo>
                              <a:lnTo>
                                <a:pt x="856583" y="32337"/>
                              </a:lnTo>
                              <a:lnTo>
                                <a:pt x="835442" y="56368"/>
                              </a:lnTo>
                              <a:lnTo>
                                <a:pt x="831797" y="57111"/>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384.435608pt;width:67.45pt;height:4.5pt;mso-position-horizontal-relative:page;mso-position-vertical-relative:paragraph;z-index:-15680000;mso-wrap-distance-left:0;mso-wrap-distance-right:0" id="docshape139" coordorigin="1545,7689" coordsize="1349,90" path="m1596,7779l1584,7779,1578,7777,1573,7775,1567,7773,1562,7770,1558,7765,1554,7761,1551,7756,1546,7745,1545,7740,1545,7728,1546,7722,1551,7711,1554,7706,1558,7702,1562,7698,1567,7694,1578,7690,1584,7689,1596,7689,1602,7690,1613,7694,1618,7698,1622,7702,1626,7706,1629,7711,1634,7722,1635,7728,1635,7740,1634,7745,1629,7756,1626,7761,1622,7765,1618,7770,1613,7773,1602,7777,1596,7779xm1776,7779l1764,7779,1758,7777,1753,7775,1747,7773,1742,7770,1738,7765,1734,7761,1731,7756,1726,7745,1725,7740,1725,7728,1726,7722,1731,7711,1734,7706,1738,7702,1742,7698,1747,7694,1758,7690,1764,7689,1776,7689,1782,7690,1793,7694,1797,7698,1802,7702,1806,7706,1809,7711,1814,7722,1815,7728,1815,7740,1814,7745,1809,7756,1806,7761,1802,7765,1797,7770,1793,7773,1782,7777,1776,7779xm1956,7779l1944,7779,1938,7777,1932,7775,1927,7773,1922,7770,1918,7765,1914,7761,1910,7756,1906,7745,1905,7740,1905,7728,1906,7722,1910,7711,1914,7706,1918,7702,1922,7698,1927,7694,1938,7690,1944,7689,1956,7689,1961,7690,1972,7694,1977,7698,1982,7702,1986,7706,1989,7711,1994,7722,1995,7728,1995,7740,1994,7745,1989,7756,1986,7761,1982,7765,1977,7770,1972,7773,1961,7777,1956,7779xm2136,7779l2124,7779,2118,7777,2112,7775,2107,7773,2102,7770,2098,7765,2094,7761,2090,7756,2086,7745,2085,7740,2085,7728,2086,7722,2090,7711,2094,7706,2098,7702,2102,7698,2107,7694,2118,7690,2124,7689,2136,7689,2141,7690,2152,7694,2157,7698,2161,7702,2166,7706,2169,7711,2173,7722,2175,7728,2175,7740,2173,7745,2169,7756,2166,7761,2161,7765,2157,7770,2152,7773,2141,7777,2136,7779xm2315,7779l2303,7779,2298,7777,2292,7775,2287,7773,2282,7770,2278,7765,2273,7761,2270,7756,2266,7745,2264,7740,2264,7728,2266,7722,2270,7711,2273,7706,2278,7702,2282,7698,2287,7694,2298,7690,2303,7689,2315,7689,2321,7690,2332,7694,2337,7698,2341,7702,2345,7706,2349,7711,2353,7722,2354,7728,2354,7740,2353,7745,2349,7756,2345,7761,2341,7765,2337,7770,2332,7773,2321,7777,2315,7779xm2495,7779l2483,7779,2477,7777,2472,7775,2467,7773,2462,7770,2457,7765,2453,7761,2450,7756,2445,7745,2444,7740,2444,7728,2445,7722,2450,7711,2453,7706,2457,7702,2462,7698,2467,7694,2478,7690,2483,7689,2495,7689,2501,7690,2512,7694,2517,7698,2521,7702,2525,7706,2529,7711,2533,7722,2534,7728,2534,7740,2533,7745,2529,7756,2525,7761,2521,7765,2517,7770,2512,7773,2501,7777,2495,7779xm2675,7779l2663,7779,2657,7777,2652,7775,2646,7773,2641,7770,2637,7765,2633,7761,2630,7756,2625,7745,2624,7740,2624,7728,2625,7722,2630,7711,2633,7706,2637,7702,2641,7698,2646,7694,2657,7690,2663,7689,2675,7689,2681,7690,2692,7694,2697,7698,2701,7702,2705,7706,2708,7711,2713,7722,2714,7728,2714,7740,2713,7745,2708,7756,2705,7761,2701,7765,2697,7770,2692,7773,2681,7777,2675,7779xm2855,7779l2843,7779,2837,7777,2832,7775,2826,7773,2821,7770,2817,7765,2813,7761,2810,7756,2805,7745,2804,7740,2804,7728,2805,7722,2810,7711,2813,7706,2817,7702,2821,7698,2826,7694,2837,7690,2843,7689,2855,7689,2861,7690,2872,7694,2877,7698,2881,7702,2885,7706,2888,7711,2893,7722,2894,7728,2894,7740,2893,7745,2888,7756,2885,7761,2881,7765,2877,7770,2872,7773,2861,7777,2855,7779xe" filled="true" fillcolor="#2b816f" stroked="false">
                <v:path arrowok="t"/>
                <v:fill type="solid"/>
                <w10:wrap type="topAndBottom"/>
              </v:shape>
            </w:pict>
          </mc:Fallback>
        </mc:AlternateContent>
      </w:r>
    </w:p>
    <w:p>
      <w:pPr>
        <w:pStyle w:val="BodyText"/>
        <w:spacing w:before="26"/>
        <w:ind w:left="0"/>
        <w:jc w:val="left"/>
        <w:rPr>
          <w:sz w:val="20"/>
        </w:rPr>
      </w:pPr>
    </w:p>
    <w:p>
      <w:pPr>
        <w:spacing w:before="78"/>
        <w:ind w:left="99" w:right="0" w:firstLine="0"/>
        <w:jc w:val="left"/>
        <w:rPr>
          <w:sz w:val="22"/>
        </w:rPr>
      </w:pPr>
      <w:r>
        <w:rPr>
          <w:rFonts w:ascii="Arial"/>
          <w:b/>
          <w:color w:val="2B816F"/>
          <w:sz w:val="22"/>
        </w:rPr>
        <w:t>FIGURE</w:t>
      </w:r>
      <w:r>
        <w:rPr>
          <w:rFonts w:ascii="Arial"/>
          <w:b/>
          <w:color w:val="2B816F"/>
          <w:spacing w:val="15"/>
          <w:sz w:val="22"/>
        </w:rPr>
        <w:t> </w:t>
      </w:r>
      <w:r>
        <w:rPr>
          <w:rFonts w:ascii="Arial"/>
          <w:b/>
          <w:color w:val="2B816F"/>
          <w:sz w:val="22"/>
        </w:rPr>
        <w:t>22.4</w:t>
      </w:r>
      <w:r>
        <w:rPr>
          <w:rFonts w:ascii="Arial"/>
          <w:b/>
          <w:color w:val="2B816F"/>
          <w:spacing w:val="15"/>
          <w:sz w:val="22"/>
        </w:rPr>
        <w:t> </w:t>
      </w:r>
      <w:r>
        <w:rPr>
          <w:sz w:val="22"/>
        </w:rPr>
        <w:t>Hypothalamic</w:t>
      </w:r>
      <w:r>
        <w:rPr>
          <w:spacing w:val="13"/>
          <w:sz w:val="22"/>
        </w:rPr>
        <w:t> </w:t>
      </w:r>
      <w:r>
        <w:rPr>
          <w:sz w:val="22"/>
        </w:rPr>
        <w:t>neurokinin</w:t>
      </w:r>
      <w:r>
        <w:rPr>
          <w:spacing w:val="14"/>
          <w:sz w:val="22"/>
        </w:rPr>
        <w:t> </w:t>
      </w:r>
      <w:r>
        <w:rPr>
          <w:sz w:val="22"/>
        </w:rPr>
        <w:t>signaling</w:t>
      </w:r>
      <w:r>
        <w:rPr>
          <w:spacing w:val="14"/>
          <w:sz w:val="22"/>
        </w:rPr>
        <w:t> </w:t>
      </w:r>
      <w:r>
        <w:rPr>
          <w:sz w:val="22"/>
        </w:rPr>
        <w:t>as</w:t>
      </w:r>
      <w:r>
        <w:rPr>
          <w:spacing w:val="14"/>
          <w:sz w:val="22"/>
        </w:rPr>
        <w:t> </w:t>
      </w:r>
      <w:r>
        <w:rPr>
          <w:sz w:val="22"/>
        </w:rPr>
        <w:t>a</w:t>
      </w:r>
      <w:r>
        <w:rPr>
          <w:spacing w:val="13"/>
          <w:sz w:val="22"/>
        </w:rPr>
        <w:t> </w:t>
      </w:r>
      <w:r>
        <w:rPr>
          <w:sz w:val="22"/>
        </w:rPr>
        <w:t>mechanism</w:t>
      </w:r>
      <w:r>
        <w:rPr>
          <w:spacing w:val="14"/>
          <w:sz w:val="22"/>
        </w:rPr>
        <w:t> </w:t>
      </w:r>
      <w:r>
        <w:rPr>
          <w:sz w:val="22"/>
        </w:rPr>
        <w:t>for</w:t>
      </w:r>
      <w:r>
        <w:rPr>
          <w:spacing w:val="14"/>
          <w:sz w:val="22"/>
        </w:rPr>
        <w:t> </w:t>
      </w:r>
      <w:r>
        <w:rPr>
          <w:sz w:val="22"/>
        </w:rPr>
        <w:t>menopausal</w:t>
      </w:r>
      <w:r>
        <w:rPr>
          <w:spacing w:val="14"/>
          <w:sz w:val="22"/>
        </w:rPr>
        <w:t> </w:t>
      </w:r>
      <w:r>
        <w:rPr>
          <w:sz w:val="22"/>
        </w:rPr>
        <w:t>hot</w:t>
      </w:r>
      <w:r>
        <w:rPr>
          <w:spacing w:val="13"/>
          <w:sz w:val="22"/>
        </w:rPr>
        <w:t> </w:t>
      </w:r>
      <w:r>
        <w:rPr>
          <w:spacing w:val="-2"/>
          <w:sz w:val="22"/>
        </w:rPr>
        <w:t>flush.</w:t>
      </w:r>
    </w:p>
    <w:p>
      <w:pPr>
        <w:pStyle w:val="BodyText"/>
        <w:spacing w:before="215"/>
        <w:ind w:left="0"/>
        <w:jc w:val="left"/>
        <w:rPr>
          <w:sz w:val="22"/>
        </w:rPr>
      </w:pPr>
    </w:p>
    <w:p>
      <w:pPr>
        <w:pStyle w:val="BodyText"/>
        <w:spacing w:line="249" w:lineRule="auto" w:before="0"/>
        <w:ind w:right="99" w:firstLine="450"/>
      </w:pPr>
      <w:r>
        <w:rPr/>
        <w:t>In the 1990s, the FDA began to regard the drugs coming from compounding pharmacies as falling under the “new drug” regulations, </w:t>
      </w:r>
      <w:r>
        <w:rPr/>
        <w:t>and therefore, the FDA had jurisdiction over the marketing and promotion of those drugs. The pharmacy world was immediately challenged; there was</w:t>
      </w:r>
      <w:r>
        <w:rPr>
          <w:spacing w:val="40"/>
        </w:rPr>
        <w:t> </w:t>
      </w:r>
      <w:r>
        <w:rPr/>
        <w:t>no way that an individual pharmacy could carry out the kind of clinical studies required for the approval of new drugs. Thus, the pharmacists immediately realized that all compounded drugs would be illegal. At the same</w:t>
      </w:r>
      <w:r>
        <w:rPr>
          <w:spacing w:val="31"/>
        </w:rPr>
        <w:t> </w:t>
      </w:r>
      <w:r>
        <w:rPr/>
        <w:t>time,</w:t>
      </w:r>
      <w:r>
        <w:rPr>
          <w:spacing w:val="31"/>
        </w:rPr>
        <w:t> </w:t>
      </w:r>
      <w:r>
        <w:rPr/>
        <w:t>the</w:t>
      </w:r>
      <w:r>
        <w:rPr>
          <w:spacing w:val="31"/>
        </w:rPr>
        <w:t> </w:t>
      </w:r>
      <w:r>
        <w:rPr/>
        <w:t>FDA</w:t>
      </w:r>
      <w:r>
        <w:rPr>
          <w:spacing w:val="31"/>
        </w:rPr>
        <w:t> </w:t>
      </w:r>
      <w:r>
        <w:rPr/>
        <w:t>was</w:t>
      </w:r>
      <w:r>
        <w:rPr>
          <w:spacing w:val="31"/>
        </w:rPr>
        <w:t> </w:t>
      </w:r>
      <w:r>
        <w:rPr/>
        <w:t>a</w:t>
      </w:r>
      <w:r>
        <w:rPr>
          <w:spacing w:val="31"/>
        </w:rPr>
        <w:t> </w:t>
      </w:r>
      <w:r>
        <w:rPr/>
        <w:t>bit</w:t>
      </w:r>
      <w:r>
        <w:rPr>
          <w:spacing w:val="31"/>
        </w:rPr>
        <w:t> </w:t>
      </w:r>
      <w:r>
        <w:rPr/>
        <w:t>ambivalent,</w:t>
      </w:r>
      <w:r>
        <w:rPr>
          <w:spacing w:val="31"/>
        </w:rPr>
        <w:t> </w:t>
      </w:r>
      <w:r>
        <w:rPr/>
        <w:t>acknowledging</w:t>
      </w:r>
      <w:r>
        <w:rPr>
          <w:spacing w:val="31"/>
        </w:rPr>
        <w:t> </w:t>
      </w:r>
      <w:r>
        <w:rPr/>
        <w:t>that</w:t>
      </w:r>
      <w:r>
        <w:rPr>
          <w:spacing w:val="31"/>
        </w:rPr>
        <w:t> </w:t>
      </w:r>
      <w:r>
        <w:rPr/>
        <w:t>there</w:t>
      </w:r>
      <w:r>
        <w:rPr>
          <w:spacing w:val="31"/>
        </w:rPr>
        <w:t> </w:t>
      </w:r>
      <w:r>
        <w:rPr>
          <w:spacing w:val="-4"/>
        </w:rPr>
        <w:t>were</w:t>
      </w:r>
    </w:p>
    <w:p>
      <w:pPr>
        <w:pStyle w:val="BodyText"/>
        <w:spacing w:after="0" w:line="249" w:lineRule="auto"/>
        <w:sectPr>
          <w:pgSz w:w="12240" w:h="15840"/>
          <w:pgMar w:top="1380" w:bottom="280" w:left="1440" w:right="1440"/>
        </w:sectPr>
      </w:pPr>
    </w:p>
    <w:p>
      <w:pPr>
        <w:pStyle w:val="BodyText"/>
        <w:spacing w:line="249" w:lineRule="auto"/>
        <w:ind w:right="98"/>
      </w:pPr>
      <w:r>
        <w:rPr/>
        <w:t>examples where the individual needs of a patient required the </w:t>
      </w:r>
      <w:r>
        <w:rPr/>
        <w:t>compounding of a drug, for example, the creation of a liquid preparation when none was available. This was before compounding took to the internet for marketing and promotion.</w:t>
      </w:r>
    </w:p>
    <w:p>
      <w:pPr>
        <w:pStyle w:val="BodyText"/>
        <w:spacing w:line="249" w:lineRule="auto" w:before="5"/>
        <w:ind w:right="98" w:firstLine="450"/>
      </w:pPr>
      <w:r>
        <w:rPr/>
        <w:t>In 1992, the FDA issued its Compliance Policy Guide </w:t>
      </w:r>
      <w:r>
        <w:rPr/>
        <w:t>on</w:t>
      </w:r>
      <w:r>
        <w:rPr>
          <w:spacing w:val="40"/>
        </w:rPr>
        <w:t> </w:t>
      </w:r>
      <w:r>
        <w:rPr/>
        <w:t>Compounding, reserving a right for “selective enforcement,” as a compromise between believing it was correct in assuming that compounded drugs represented new drugs and admitting that some patients required compounding. The pharmacy profession immediately rejected the idea that the FDA had any regulatory jurisdiction over pharmacies. The 1997 Food and Drug Modernization Act attempted to clarify the situation. An amendment was added to the existing laws stating that compounded drugs were not “new drugs,” but at the same time, the 1997 act prohibited the marketing of compounded drugs.</w:t>
      </w:r>
    </w:p>
    <w:p>
      <w:pPr>
        <w:pStyle w:val="BodyText"/>
        <w:spacing w:line="249" w:lineRule="auto" w:before="12"/>
        <w:ind w:right="99" w:firstLine="450"/>
      </w:pPr>
      <w:r>
        <w:rPr/>
        <w:t>The pharmacy profession sued the FDA, arguing that a restriction on advertising and promotion of compounded drugs was unconstitutional, </w:t>
      </w:r>
      <w:r>
        <w:rPr/>
        <w:t>a restriction of free speech. The District Court ruled against the FDA in 1999. The FDA appealed and lost again in the Ninth Circuit Court of Appeals, which further invalidated the entire 1997 act. In 2002 the U.S. Supreme Court upheld the Circuit Court decision.</w:t>
      </w:r>
    </w:p>
    <w:p>
      <w:pPr>
        <w:pStyle w:val="BodyText"/>
        <w:spacing w:line="249" w:lineRule="auto" w:before="7"/>
        <w:ind w:right="98" w:firstLine="450"/>
      </w:pPr>
      <w:r>
        <w:rPr/>
        <w:t>The FDA issued a new Compliance Policy Guide in 2002, stating that selective enforcement would hinge on three major factors: (1) a potential adverse effect of a drug, (2) whether drugs were compounded from </w:t>
      </w:r>
      <w:r>
        <w:rPr/>
        <w:t>non-FDA-approved components, and (3) whether compounded drugs were similar to drugs already removed from the market for safety reasons. At</w:t>
      </w:r>
      <w:r>
        <w:rPr>
          <w:spacing w:val="-2"/>
        </w:rPr>
        <w:t> </w:t>
      </w:r>
      <w:r>
        <w:rPr/>
        <w:t>this point, the FDA affirmed that it did not want to infringe on the traditional practice of compounding, the preparation of a drug according to a doctor’s prescription to fit an individual patient’s requirements.</w:t>
      </w:r>
    </w:p>
    <w:p>
      <w:pPr>
        <w:pStyle w:val="BodyText"/>
        <w:spacing w:line="249" w:lineRule="auto" w:before="10"/>
        <w:ind w:right="98" w:firstLine="450"/>
      </w:pPr>
      <w:r>
        <w:rPr/>
        <w:t>Wyeth</w:t>
      </w:r>
      <w:r>
        <w:rPr>
          <w:spacing w:val="-3"/>
        </w:rPr>
        <w:t> </w:t>
      </w:r>
      <w:r>
        <w:rPr/>
        <w:t>Pharmaceuticals</w:t>
      </w:r>
      <w:r>
        <w:rPr>
          <w:spacing w:val="-3"/>
        </w:rPr>
        <w:t> </w:t>
      </w:r>
      <w:r>
        <w:rPr/>
        <w:t>filed</w:t>
      </w:r>
      <w:r>
        <w:rPr>
          <w:spacing w:val="-3"/>
        </w:rPr>
        <w:t> </w:t>
      </w:r>
      <w:r>
        <w:rPr/>
        <w:t>a</w:t>
      </w:r>
      <w:r>
        <w:rPr>
          <w:spacing w:val="-3"/>
        </w:rPr>
        <w:t> </w:t>
      </w:r>
      <w:r>
        <w:rPr/>
        <w:t>Citizen</w:t>
      </w:r>
      <w:r>
        <w:rPr>
          <w:spacing w:val="-3"/>
        </w:rPr>
        <w:t> </w:t>
      </w:r>
      <w:r>
        <w:rPr/>
        <w:t>Petition</w:t>
      </w:r>
      <w:r>
        <w:rPr>
          <w:spacing w:val="-3"/>
        </w:rPr>
        <w:t> </w:t>
      </w:r>
      <w:r>
        <w:rPr/>
        <w:t>with</w:t>
      </w:r>
      <w:r>
        <w:rPr>
          <w:spacing w:val="-3"/>
        </w:rPr>
        <w:t> </w:t>
      </w:r>
      <w:r>
        <w:rPr/>
        <w:t>the</w:t>
      </w:r>
      <w:r>
        <w:rPr>
          <w:spacing w:val="-3"/>
        </w:rPr>
        <w:t> </w:t>
      </w:r>
      <w:r>
        <w:rPr/>
        <w:t>FDA</w:t>
      </w:r>
      <w:r>
        <w:rPr>
          <w:spacing w:val="-3"/>
        </w:rPr>
        <w:t> </w:t>
      </w:r>
      <w:r>
        <w:rPr/>
        <w:t>in</w:t>
      </w:r>
      <w:r>
        <w:rPr>
          <w:spacing w:val="-3"/>
        </w:rPr>
        <w:t> </w:t>
      </w:r>
      <w:r>
        <w:rPr/>
        <w:t>October 2005 requesting that the FDA take action against several compounding pharmacies that were primarily internet based. The Petition’s major allegation was that these pharmacies were essentially manufacturing new drugs and should be subject to new drug regulations. On January 9, 2008, the FDA announced it would take action against seven pharmacies providing prescription bioidentical hormones and issued warning letters </w:t>
      </w:r>
      <w:r>
        <w:rPr>
          <w:spacing w:val="-4"/>
        </w:rPr>
        <w:t>that</w:t>
      </w:r>
    </w:p>
    <w:p>
      <w:pPr>
        <w:pStyle w:val="BodyText"/>
        <w:spacing w:after="0" w:line="249" w:lineRule="auto"/>
        <w:sectPr>
          <w:pgSz w:w="12240" w:h="15840"/>
          <w:pgMar w:top="1380" w:bottom="280" w:left="1440" w:right="1440"/>
        </w:sectPr>
      </w:pPr>
    </w:p>
    <w:p>
      <w:pPr>
        <w:pStyle w:val="BodyText"/>
        <w:spacing w:line="249" w:lineRule="auto"/>
        <w:ind w:right="110"/>
      </w:pPr>
      <w:r>
        <w:rPr/>
        <w:t>potentially could be followed by seizures of drugs and injunctions </w:t>
      </w:r>
      <w:r>
        <w:rPr/>
        <w:t>against </w:t>
      </w:r>
      <w:r>
        <w:rPr>
          <w:spacing w:val="-2"/>
        </w:rPr>
        <w:t>production.</w:t>
      </w:r>
    </w:p>
    <w:p>
      <w:pPr>
        <w:pStyle w:val="BodyText"/>
        <w:spacing w:line="249" w:lineRule="auto" w:before="2"/>
        <w:ind w:right="99" w:firstLine="450"/>
      </w:pPr>
      <w:r>
        <w:rPr/>
        <w:t>The FDA would like to regard compounded drugs as “new drugs,” but the legal precedent has now been set by the courts: Compounded drugs </w:t>
      </w:r>
      <w:r>
        <w:rPr/>
        <w:t>are not</w:t>
      </w:r>
      <w:r>
        <w:rPr>
          <w:spacing w:val="-3"/>
        </w:rPr>
        <w:t> </w:t>
      </w:r>
      <w:r>
        <w:rPr/>
        <w:t>“new</w:t>
      </w:r>
      <w:r>
        <w:rPr>
          <w:spacing w:val="-3"/>
        </w:rPr>
        <w:t> </w:t>
      </w:r>
      <w:r>
        <w:rPr/>
        <w:t>drugs.”</w:t>
      </w:r>
      <w:r>
        <w:rPr>
          <w:spacing w:val="-4"/>
        </w:rPr>
        <w:t> </w:t>
      </w:r>
      <w:r>
        <w:rPr/>
        <w:t>This was reaffirmed in a 2006 decision in the U.S.</w:t>
      </w:r>
      <w:r>
        <w:rPr>
          <w:spacing w:val="-1"/>
        </w:rPr>
        <w:t> </w:t>
      </w:r>
      <w:r>
        <w:rPr/>
        <w:t>District Court for Texas. The FDA would further like to regard the giant compounding pharmacies, especially those operating over the internet, as manufacturers, like pharmaceutical companies, but again, the court decisions</w:t>
      </w:r>
      <w:r>
        <w:rPr>
          <w:spacing w:val="-2"/>
        </w:rPr>
        <w:t> </w:t>
      </w:r>
      <w:r>
        <w:rPr/>
        <w:t>have</w:t>
      </w:r>
      <w:r>
        <w:rPr>
          <w:spacing w:val="-2"/>
        </w:rPr>
        <w:t> </w:t>
      </w:r>
      <w:r>
        <w:rPr/>
        <w:t>prevented</w:t>
      </w:r>
      <w:r>
        <w:rPr>
          <w:spacing w:val="-2"/>
        </w:rPr>
        <w:t> </w:t>
      </w:r>
      <w:r>
        <w:rPr/>
        <w:t>the</w:t>
      </w:r>
      <w:r>
        <w:rPr>
          <w:spacing w:val="-2"/>
        </w:rPr>
        <w:t> </w:t>
      </w:r>
      <w:r>
        <w:rPr/>
        <w:t>FDA</w:t>
      </w:r>
      <w:r>
        <w:rPr>
          <w:spacing w:val="-2"/>
        </w:rPr>
        <w:t> </w:t>
      </w:r>
      <w:r>
        <w:rPr/>
        <w:t>from</w:t>
      </w:r>
      <w:r>
        <w:rPr>
          <w:spacing w:val="-2"/>
        </w:rPr>
        <w:t> </w:t>
      </w:r>
      <w:r>
        <w:rPr/>
        <w:t>requiring</w:t>
      </w:r>
      <w:r>
        <w:rPr>
          <w:spacing w:val="-2"/>
        </w:rPr>
        <w:t> </w:t>
      </w:r>
      <w:r>
        <w:rPr/>
        <w:t>compounding</w:t>
      </w:r>
      <w:r>
        <w:rPr>
          <w:spacing w:val="-2"/>
        </w:rPr>
        <w:t> </w:t>
      </w:r>
      <w:r>
        <w:rPr/>
        <w:t>pharmacies to meet “new drug” standards. The “new drug” argument does not work.</w:t>
      </w:r>
    </w:p>
    <w:p>
      <w:pPr>
        <w:pStyle w:val="BodyText"/>
        <w:spacing w:line="249" w:lineRule="auto" w:before="10"/>
        <w:ind w:right="97" w:firstLine="450"/>
      </w:pPr>
      <w:r>
        <w:rPr/>
        <w:t>“Bioidentical” and “natural” are often used in concert. Strictly defined, to meet the definition of bioidentical, the hormones must reflect </w:t>
      </w:r>
      <w:r>
        <w:rPr/>
        <w:t>the endogenous milieu (ie, the right balance of estrone, estradiol, and estriol,</w:t>
      </w:r>
      <w:r>
        <w:rPr>
          <w:spacing w:val="40"/>
        </w:rPr>
        <w:t> </w:t>
      </w:r>
      <w:r>
        <w:rPr/>
        <w:t>the three endogenous estrogens) and natural progesterone (the progestational agent synthesized by the ovarian corpus luteum after ovulation) and right levels and ratio of circulating androgens (testosterone, androstenedione, and DHEA). The formulations that are available as bioidentical are created in compounding pharmacies and contain several of the aforementioned hormones, but neither the regimens nor the</w:t>
      </w:r>
      <w:r>
        <w:rPr>
          <w:spacing w:val="80"/>
        </w:rPr>
        <w:t> </w:t>
      </w:r>
      <w:r>
        <w:rPr/>
        <w:t>formulations are standardized. Furthermore, batch-to-batch variability in dosage is inherent.</w:t>
      </w:r>
      <w:r>
        <w:rPr>
          <w:vertAlign w:val="superscript"/>
        </w:rPr>
        <w:t>100</w:t>
      </w:r>
      <w:r>
        <w:rPr>
          <w:vertAlign w:val="baseline"/>
        </w:rPr>
        <w:t> The term </w:t>
      </w:r>
      <w:r>
        <w:rPr>
          <w:i/>
          <w:vertAlign w:val="baseline"/>
        </w:rPr>
        <w:t>bioidentical </w:t>
      </w:r>
      <w:r>
        <w:rPr>
          <w:vertAlign w:val="baseline"/>
        </w:rPr>
        <w:t>holds marketing value, erroneously implying greater safety and better efficacy. The situation is further complicated because consumers assume that the marketed formulation offers better efficacy and safety. This, however, is not the case as these compounded hormones are not subject to the same regulations as approved HT nor are there studies that have demonstrated long-term safety or better efficacy in comparison to the approved “natural” formulations.</w:t>
      </w:r>
      <w:r>
        <w:rPr>
          <w:vertAlign w:val="superscript"/>
        </w:rPr>
        <w:t>394</w:t>
      </w:r>
      <w:r>
        <w:rPr>
          <w:vertAlign w:val="baseline"/>
        </w:rPr>
        <w:t> The problem is that compounding pharmacies are not required to compare the formulation with the performance of an approved product, nor is there any way for a patient to be assured that the dosage is correct (that the drug contains what it is supposed to contain). Thus, there are no RCTs demonstrating safety and efficacy, let alone superiority to the approved </w:t>
      </w:r>
      <w:r>
        <w:rPr>
          <w:spacing w:val="-2"/>
          <w:vertAlign w:val="baseline"/>
        </w:rPr>
        <w:t>formulations.</w:t>
      </w:r>
      <w:r>
        <w:rPr>
          <w:spacing w:val="-2"/>
          <w:vertAlign w:val="superscript"/>
        </w:rPr>
        <w:t>394</w:t>
      </w:r>
    </w:p>
    <w:p>
      <w:pPr>
        <w:pStyle w:val="BodyText"/>
        <w:spacing w:line="249" w:lineRule="auto" w:before="28"/>
        <w:ind w:right="98" w:firstLine="450"/>
      </w:pPr>
      <w:r>
        <w:rPr/>
        <w:t>Lay proponents of bioidentical compounded hormones often </w:t>
      </w:r>
      <w:r>
        <w:rPr/>
        <w:t>propose testing of salivary hormone levels to guide dosing of compounded formulations.</w:t>
      </w:r>
      <w:r>
        <w:rPr>
          <w:spacing w:val="51"/>
          <w:w w:val="150"/>
        </w:rPr>
        <w:t> </w:t>
      </w:r>
      <w:r>
        <w:rPr/>
        <w:t>Assessments</w:t>
      </w:r>
      <w:r>
        <w:rPr>
          <w:spacing w:val="53"/>
          <w:w w:val="150"/>
        </w:rPr>
        <w:t> </w:t>
      </w:r>
      <w:r>
        <w:rPr/>
        <w:t>of</w:t>
      </w:r>
      <w:r>
        <w:rPr>
          <w:spacing w:val="52"/>
          <w:w w:val="150"/>
        </w:rPr>
        <w:t> </w:t>
      </w:r>
      <w:r>
        <w:rPr/>
        <w:t>this</w:t>
      </w:r>
      <w:r>
        <w:rPr>
          <w:spacing w:val="53"/>
          <w:w w:val="150"/>
        </w:rPr>
        <w:t> </w:t>
      </w:r>
      <w:r>
        <w:rPr/>
        <w:t>approach</w:t>
      </w:r>
      <w:r>
        <w:rPr>
          <w:spacing w:val="52"/>
          <w:w w:val="150"/>
        </w:rPr>
        <w:t> </w:t>
      </w:r>
      <w:r>
        <w:rPr/>
        <w:t>by</w:t>
      </w:r>
      <w:r>
        <w:rPr>
          <w:spacing w:val="53"/>
          <w:w w:val="150"/>
        </w:rPr>
        <w:t> </w:t>
      </w:r>
      <w:r>
        <w:rPr/>
        <w:t>researchers,</w:t>
      </w:r>
      <w:r>
        <w:rPr>
          <w:spacing w:val="52"/>
          <w:w w:val="150"/>
        </w:rPr>
        <w:t> </w:t>
      </w:r>
      <w:r>
        <w:rPr/>
        <w:t>as</w:t>
      </w:r>
      <w:r>
        <w:rPr>
          <w:spacing w:val="53"/>
          <w:w w:val="150"/>
        </w:rPr>
        <w:t> </w:t>
      </w:r>
      <w:r>
        <w:rPr/>
        <w:t>well</w:t>
      </w:r>
      <w:r>
        <w:rPr>
          <w:spacing w:val="52"/>
          <w:w w:val="150"/>
        </w:rPr>
        <w:t> </w:t>
      </w:r>
      <w:r>
        <w:rPr>
          <w:spacing w:val="-5"/>
        </w:rPr>
        <w:t>as</w:t>
      </w:r>
    </w:p>
    <w:p>
      <w:pPr>
        <w:pStyle w:val="BodyText"/>
        <w:spacing w:after="0" w:line="249" w:lineRule="auto"/>
        <w:sectPr>
          <w:pgSz w:w="12240" w:h="15840"/>
          <w:pgMar w:top="1380" w:bottom="280" w:left="1440" w:right="1440"/>
        </w:sectPr>
      </w:pPr>
    </w:p>
    <w:p>
      <w:pPr>
        <w:pStyle w:val="BodyText"/>
        <w:spacing w:line="249" w:lineRule="auto"/>
        <w:ind w:right="100"/>
      </w:pPr>
      <w:r>
        <w:rPr/>
        <w:t>organizations such as the American College of Obstetricians and Gynecologists and the Endocrine Society, have concluded that the</w:t>
      </w:r>
      <w:r>
        <w:rPr>
          <w:spacing w:val="40"/>
        </w:rPr>
        <w:t> </w:t>
      </w:r>
      <w:r>
        <w:rPr/>
        <w:t>variations in salivary sex steroid levels from individual to individual and from specimen to specimen preclude clinical interpretation.</w:t>
      </w:r>
      <w:r>
        <w:rPr>
          <w:vertAlign w:val="superscript"/>
        </w:rPr>
        <w:t>100,395-397</w:t>
      </w:r>
      <w:r>
        <w:rPr>
          <w:vertAlign w:val="baseline"/>
        </w:rPr>
        <w:t> For </w:t>
      </w:r>
      <w:r>
        <w:rPr>
          <w:vertAlign w:val="baseline"/>
        </w:rPr>
        <w:t>the majority of patients, laboratory testing is not necessary in hormone decision-making. Furthermore, given the lack of scientific data demonstrating safety, the use of bioidentical hormones over approved HT regimens is not recommended.</w:t>
      </w:r>
      <w:r>
        <w:rPr>
          <w:vertAlign w:val="superscript"/>
        </w:rPr>
        <w:t>398</w:t>
      </w:r>
    </w:p>
    <w:p>
      <w:pPr>
        <w:pStyle w:val="BodyText"/>
        <w:spacing w:before="53"/>
        <w:ind w:left="0"/>
        <w:jc w:val="left"/>
      </w:pPr>
    </w:p>
    <w:p>
      <w:pPr>
        <w:spacing w:before="0"/>
        <w:ind w:left="99" w:right="0" w:firstLine="0"/>
        <w:jc w:val="both"/>
        <w:rPr>
          <w:rFonts w:ascii="Arial"/>
          <w:b/>
          <w:sz w:val="30"/>
        </w:rPr>
      </w:pPr>
      <w:r>
        <w:rPr>
          <w:rFonts w:ascii="Arial"/>
          <w:b/>
          <w:color w:val="2674AE"/>
          <w:sz w:val="30"/>
        </w:rPr>
        <w:t>A Better </w:t>
      </w:r>
      <w:r>
        <w:rPr>
          <w:rFonts w:ascii="Arial"/>
          <w:b/>
          <w:color w:val="2674AE"/>
          <w:spacing w:val="-2"/>
          <w:sz w:val="30"/>
        </w:rPr>
        <w:t>Approach</w:t>
      </w:r>
    </w:p>
    <w:p>
      <w:pPr>
        <w:spacing w:line="249" w:lineRule="auto" w:before="167"/>
        <w:ind w:left="99" w:right="98" w:firstLine="0"/>
        <w:jc w:val="both"/>
        <w:rPr>
          <w:sz w:val="30"/>
        </w:rPr>
      </w:pPr>
      <w:r>
        <w:rPr>
          <w:sz w:val="30"/>
        </w:rPr>
        <w:t>The American Pharmacists Association and the National Association of Boards of Pharmacies define compounding as the steps required in order </w:t>
      </w:r>
      <w:r>
        <w:rPr>
          <w:sz w:val="30"/>
        </w:rPr>
        <w:t>to provide a drug in response to a clinician’s prescription according to an individual patient’s needs and the preparation of drugs in anticipation of a demand. Therefore, there are three people involved: the patient, the clinician, and the pharmacist. This is in contrast to the production of large amounts of a drug for a national market of unknown users. </w:t>
      </w:r>
      <w:r>
        <w:rPr>
          <w:b/>
          <w:sz w:val="30"/>
        </w:rPr>
        <w:t>The American Pharmacists Association says that if an FDA-approved product is commercially available that meets a patient’s needs, it should be the drug provided</w:t>
      </w:r>
      <w:r>
        <w:rPr>
          <w:sz w:val="30"/>
        </w:rPr>
        <w:t>.</w:t>
      </w:r>
    </w:p>
    <w:p>
      <w:pPr>
        <w:pStyle w:val="BodyText"/>
        <w:spacing w:line="249" w:lineRule="auto" w:before="12"/>
        <w:ind w:right="99" w:firstLine="450"/>
      </w:pPr>
      <w:r>
        <w:rPr/>
        <w:t>The key to the position of the pharmacists is the contention that there</w:t>
      </w:r>
      <w:r>
        <w:rPr>
          <w:spacing w:val="40"/>
        </w:rPr>
        <w:t> </w:t>
      </w:r>
      <w:r>
        <w:rPr/>
        <w:t>are circumstances, decided by the patient, that make the use of </w:t>
      </w:r>
      <w:r>
        <w:rPr/>
        <w:t>commercial products not a good choice. This seems reasonable, but it is also reasonable that this decision requires the involvement of the clinician because ultimately a prescription is still required. The traditional view of compounding, therefore, is one of personal relationships with patient, clinician, and pharmacists. This becomes a totally different story when a large internet-based pharmacy responds to thousands of prescriptions with no knowledge of the patients. What happened to the “individualization” aspect</w:t>
      </w:r>
      <w:r>
        <w:rPr>
          <w:spacing w:val="-2"/>
        </w:rPr>
        <w:t> </w:t>
      </w:r>
      <w:r>
        <w:rPr/>
        <w:t>of</w:t>
      </w:r>
      <w:r>
        <w:rPr>
          <w:spacing w:val="-2"/>
        </w:rPr>
        <w:t> </w:t>
      </w:r>
      <w:r>
        <w:rPr/>
        <w:t>compounding?</w:t>
      </w:r>
      <w:r>
        <w:rPr>
          <w:spacing w:val="-3"/>
        </w:rPr>
        <w:t> </w:t>
      </w:r>
      <w:r>
        <w:rPr/>
        <w:t>Is</w:t>
      </w:r>
      <w:r>
        <w:rPr>
          <w:spacing w:val="-2"/>
        </w:rPr>
        <w:t> </w:t>
      </w:r>
      <w:r>
        <w:rPr/>
        <w:t>it</w:t>
      </w:r>
      <w:r>
        <w:rPr>
          <w:spacing w:val="-2"/>
        </w:rPr>
        <w:t> </w:t>
      </w:r>
      <w:r>
        <w:rPr/>
        <w:t>practicing</w:t>
      </w:r>
      <w:r>
        <w:rPr>
          <w:spacing w:val="-2"/>
        </w:rPr>
        <w:t> </w:t>
      </w:r>
      <w:r>
        <w:rPr/>
        <w:t>medicine</w:t>
      </w:r>
      <w:r>
        <w:rPr>
          <w:spacing w:val="-2"/>
        </w:rPr>
        <w:t> </w:t>
      </w:r>
      <w:r>
        <w:rPr/>
        <w:t>by</w:t>
      </w:r>
      <w:r>
        <w:rPr>
          <w:spacing w:val="-2"/>
        </w:rPr>
        <w:t> </w:t>
      </w:r>
      <w:r>
        <w:rPr/>
        <w:t>the</w:t>
      </w:r>
      <w:r>
        <w:rPr>
          <w:spacing w:val="-2"/>
        </w:rPr>
        <w:t> </w:t>
      </w:r>
      <w:r>
        <w:rPr/>
        <w:t>pharmacy</w:t>
      </w:r>
      <w:r>
        <w:rPr>
          <w:spacing w:val="-2"/>
        </w:rPr>
        <w:t> </w:t>
      </w:r>
      <w:r>
        <w:rPr/>
        <w:t>to</w:t>
      </w:r>
      <w:r>
        <w:rPr>
          <w:spacing w:val="-2"/>
        </w:rPr>
        <w:t> </w:t>
      </w:r>
      <w:r>
        <w:rPr/>
        <w:t>have</w:t>
      </w:r>
      <w:r>
        <w:rPr>
          <w:spacing w:val="-2"/>
        </w:rPr>
        <w:t> </w:t>
      </w:r>
      <w:r>
        <w:rPr/>
        <w:t>a registered clinician employed by the pharmacy to interpret hormone levels and adjust doses?</w:t>
      </w:r>
    </w:p>
    <w:p>
      <w:pPr>
        <w:pStyle w:val="BodyText"/>
        <w:spacing w:line="249" w:lineRule="auto" w:before="15"/>
        <w:ind w:right="100" w:firstLine="450"/>
      </w:pPr>
      <w:r>
        <w:rPr/>
        <w:t>Clinicians are appropriately frustrated by the claims made that bioidentical compounded drugs have greater efficacy and safety. </w:t>
      </w:r>
      <w:r>
        <w:rPr/>
        <w:t>Bruce Patsner</w:t>
      </w:r>
      <w:r>
        <w:rPr>
          <w:spacing w:val="38"/>
        </w:rPr>
        <w:t> </w:t>
      </w:r>
      <w:r>
        <w:rPr/>
        <w:t>argues</w:t>
      </w:r>
      <w:r>
        <w:rPr>
          <w:spacing w:val="38"/>
        </w:rPr>
        <w:t> </w:t>
      </w:r>
      <w:r>
        <w:rPr/>
        <w:t>that</w:t>
      </w:r>
      <w:r>
        <w:rPr>
          <w:spacing w:val="39"/>
        </w:rPr>
        <w:t> </w:t>
      </w:r>
      <w:r>
        <w:rPr/>
        <w:t>it</w:t>
      </w:r>
      <w:r>
        <w:rPr>
          <w:spacing w:val="38"/>
        </w:rPr>
        <w:t> </w:t>
      </w:r>
      <w:r>
        <w:rPr/>
        <w:t>should</w:t>
      </w:r>
      <w:r>
        <w:rPr>
          <w:spacing w:val="39"/>
        </w:rPr>
        <w:t> </w:t>
      </w:r>
      <w:r>
        <w:rPr/>
        <w:t>be</w:t>
      </w:r>
      <w:r>
        <w:rPr>
          <w:spacing w:val="38"/>
        </w:rPr>
        <w:t> </w:t>
      </w:r>
      <w:r>
        <w:rPr/>
        <w:t>accepted</w:t>
      </w:r>
      <w:r>
        <w:rPr>
          <w:spacing w:val="39"/>
        </w:rPr>
        <w:t> </w:t>
      </w:r>
      <w:r>
        <w:rPr/>
        <w:t>that</w:t>
      </w:r>
      <w:r>
        <w:rPr>
          <w:spacing w:val="38"/>
        </w:rPr>
        <w:t> </w:t>
      </w:r>
      <w:r>
        <w:rPr/>
        <w:t>bioidentical</w:t>
      </w:r>
      <w:r>
        <w:rPr>
          <w:spacing w:val="39"/>
        </w:rPr>
        <w:t> </w:t>
      </w:r>
      <w:r>
        <w:rPr/>
        <w:t>drugs</w:t>
      </w:r>
      <w:r>
        <w:rPr>
          <w:spacing w:val="38"/>
        </w:rPr>
        <w:t> </w:t>
      </w:r>
      <w:r>
        <w:rPr/>
        <w:t>from</w:t>
      </w:r>
      <w:r>
        <w:rPr>
          <w:spacing w:val="39"/>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99"/>
      </w:pPr>
      <w:r>
        <w:rPr/>
        <w:t>big compounding pharmacies do not meet the definition of compounding supported by the pharmacist’s own organization, the American </w:t>
      </w:r>
      <w:r>
        <w:rPr/>
        <w:t>Pharmacists Association: a personal relationship of patient, clinician, and pharmacist addressing an individual’s needs.</w:t>
      </w:r>
      <w:r>
        <w:rPr>
          <w:vertAlign w:val="superscript"/>
        </w:rPr>
        <w:t>399</w:t>
      </w:r>
      <w:r>
        <w:rPr>
          <w:vertAlign w:val="baseline"/>
        </w:rPr>
        <w:t> The FDA can argue that the big operations are not legitimate compounding, but rather big commercial operations directed to unknown consumers.</w:t>
      </w:r>
    </w:p>
    <w:p>
      <w:pPr>
        <w:pStyle w:val="BodyText"/>
        <w:spacing w:line="249" w:lineRule="auto" w:before="7"/>
        <w:ind w:right="99" w:firstLine="450"/>
      </w:pPr>
      <w:r>
        <w:rPr/>
        <w:t>Patsner also argues that the most vulnerable point is the false safety and efficacy claims. The contention should not be that the safety and efficacy claims are inaccurate, because the pharmacies can always compose </w:t>
      </w:r>
      <w:r>
        <w:rPr/>
        <w:t>their words to avoid legal assaults. The point of emphasis should go back to the pharmacist’s published credo: If a commercial, approved product is available to meet the patient’s needs, a compounded product is not indicated. Replacing a commercial product with a “natural,” untested, unregulated product is not the same thing as prescribing a compounded product when no commercial product will meet the individual’s needs.</w:t>
      </w:r>
    </w:p>
    <w:p>
      <w:pPr>
        <w:pStyle w:val="BodyText"/>
        <w:spacing w:line="249" w:lineRule="auto" w:before="11"/>
        <w:ind w:right="101" w:firstLine="450"/>
      </w:pPr>
      <w:r>
        <w:rPr/>
        <w:t>Pastner summarizes his argument by saying that the large </w:t>
      </w:r>
      <w:r>
        <w:rPr/>
        <w:t>compounding pharmacies are not true compounders because they advertise and promote their products as replacements for commercially available, approved, and tested drugs and that the attempt at “individualization” uses an unsubstantiated method that marginalizes clinicians.</w:t>
      </w:r>
      <w:r>
        <w:rPr>
          <w:vertAlign w:val="superscript"/>
        </w:rPr>
        <w:t>399</w:t>
      </w:r>
    </w:p>
    <w:p>
      <w:pPr>
        <w:pStyle w:val="BodyText"/>
        <w:spacing w:line="249" w:lineRule="auto" w:before="6"/>
        <w:ind w:right="98" w:firstLine="450"/>
      </w:pPr>
      <w:r>
        <w:rPr/>
        <w:t>The bioidentical hormones and the various commercial female hormone products are produced by pharmaceutical companies using similar methods that start from the same raw material, usually soy or yams. Some of the commercial products available consist of estradiol, testosterone, and progesterone, the exact same steroid drugs provided by compounding pharmacies. A major difference between the commercial products and products from compounding pharmacies is the important fact that commercial products are federally regulated and tested for purity </w:t>
      </w:r>
      <w:r>
        <w:rPr/>
        <w:t>and potency; compounding pharmacies have not been regulated in this manner.</w:t>
      </w:r>
    </w:p>
    <w:p>
      <w:pPr>
        <w:pStyle w:val="BodyText"/>
        <w:spacing w:line="249" w:lineRule="auto" w:before="11"/>
        <w:ind w:right="98" w:firstLine="450"/>
      </w:pPr>
      <w:r>
        <w:rPr/>
        <w:t>The compounded estrogen formulations that contain combinations </w:t>
      </w:r>
      <w:r>
        <w:rPr/>
        <w:t>of estrone, estriol, and estradiol contain sufficient estradiol to produce the same biologic effects associated with commercial preparations. There are</w:t>
      </w:r>
      <w:r>
        <w:rPr>
          <w:spacing w:val="40"/>
        </w:rPr>
        <w:t> </w:t>
      </w:r>
      <w:r>
        <w:rPr/>
        <w:t>no clinical studies documenting that these combinations confer better</w:t>
      </w:r>
      <w:r>
        <w:rPr>
          <w:spacing w:val="40"/>
        </w:rPr>
        <w:t> </w:t>
      </w:r>
      <w:r>
        <w:rPr/>
        <w:t>results or safety. Whether the presence of estriol reduces the risk of breast cancer has not been tested in appropriate clinical studies. Case-control data indicate</w:t>
      </w:r>
      <w:r>
        <w:rPr>
          <w:spacing w:val="5"/>
        </w:rPr>
        <w:t> </w:t>
      </w:r>
      <w:r>
        <w:rPr/>
        <w:t>that</w:t>
      </w:r>
      <w:r>
        <w:rPr>
          <w:spacing w:val="5"/>
        </w:rPr>
        <w:t> </w:t>
      </w:r>
      <w:r>
        <w:rPr/>
        <w:t>estriol</w:t>
      </w:r>
      <w:r>
        <w:rPr>
          <w:spacing w:val="5"/>
        </w:rPr>
        <w:t> </w:t>
      </w:r>
      <w:r>
        <w:rPr/>
        <w:t>used</w:t>
      </w:r>
      <w:r>
        <w:rPr>
          <w:spacing w:val="5"/>
        </w:rPr>
        <w:t> </w:t>
      </w:r>
      <w:r>
        <w:rPr/>
        <w:t>without</w:t>
      </w:r>
      <w:r>
        <w:rPr>
          <w:spacing w:val="5"/>
        </w:rPr>
        <w:t> </w:t>
      </w:r>
      <w:r>
        <w:rPr/>
        <w:t>a</w:t>
      </w:r>
      <w:r>
        <w:rPr>
          <w:spacing w:val="5"/>
        </w:rPr>
        <w:t> </w:t>
      </w:r>
      <w:r>
        <w:rPr/>
        <w:t>progestational</w:t>
      </w:r>
      <w:r>
        <w:rPr>
          <w:spacing w:val="5"/>
        </w:rPr>
        <w:t> </w:t>
      </w:r>
      <w:r>
        <w:rPr/>
        <w:t>agent</w:t>
      </w:r>
      <w:r>
        <w:rPr>
          <w:spacing w:val="5"/>
        </w:rPr>
        <w:t> </w:t>
      </w:r>
      <w:r>
        <w:rPr/>
        <w:t>increases</w:t>
      </w:r>
      <w:r>
        <w:rPr>
          <w:spacing w:val="5"/>
        </w:rPr>
        <w:t> </w:t>
      </w:r>
      <w:r>
        <w:rPr/>
        <w:t>the</w:t>
      </w:r>
      <w:r>
        <w:rPr>
          <w:spacing w:val="5"/>
        </w:rPr>
        <w:t> </w:t>
      </w:r>
      <w:r>
        <w:rPr/>
        <w:t>risk</w:t>
      </w:r>
      <w:r>
        <w:rPr>
          <w:spacing w:val="5"/>
        </w:rPr>
        <w:t> </w:t>
      </w:r>
      <w:r>
        <w:rPr>
          <w:spacing w:val="-5"/>
        </w:rPr>
        <w:t>of</w:t>
      </w:r>
    </w:p>
    <w:p>
      <w:pPr>
        <w:pStyle w:val="BodyText"/>
        <w:spacing w:after="0" w:line="249" w:lineRule="auto"/>
        <w:sectPr>
          <w:pgSz w:w="12240" w:h="15840"/>
          <w:pgMar w:top="1380" w:bottom="280" w:left="1440" w:right="1440"/>
        </w:sectPr>
      </w:pPr>
    </w:p>
    <w:p>
      <w:pPr>
        <w:pStyle w:val="BodyText"/>
        <w:spacing w:line="249" w:lineRule="auto"/>
        <w:ind w:right="105"/>
      </w:pPr>
      <w:r>
        <w:rPr/>
        <w:t>endometrial cancer; thus, its biologic behavior is similar to that of </w:t>
      </w:r>
      <w:r>
        <w:rPr/>
        <w:t>other </w:t>
      </w:r>
      <w:r>
        <w:rPr>
          <w:spacing w:val="-2"/>
        </w:rPr>
        <w:t>estrogens.</w:t>
      </w:r>
      <w:r>
        <w:rPr>
          <w:spacing w:val="-2"/>
          <w:vertAlign w:val="superscript"/>
        </w:rPr>
        <w:t>400</w:t>
      </w:r>
    </w:p>
    <w:p>
      <w:pPr>
        <w:spacing w:line="249" w:lineRule="auto" w:before="2"/>
        <w:ind w:left="99" w:right="97" w:firstLine="450"/>
        <w:jc w:val="both"/>
        <w:rPr>
          <w:b/>
          <w:sz w:val="30"/>
        </w:rPr>
      </w:pPr>
      <w:r>
        <w:rPr>
          <w:b/>
          <w:sz w:val="30"/>
        </w:rPr>
        <w:t>Custom-compounded</w:t>
      </w:r>
      <w:r>
        <w:rPr>
          <w:b/>
          <w:spacing w:val="-4"/>
          <w:sz w:val="30"/>
        </w:rPr>
        <w:t> </w:t>
      </w:r>
      <w:r>
        <w:rPr>
          <w:b/>
          <w:sz w:val="30"/>
        </w:rPr>
        <w:t>formulations</w:t>
      </w:r>
      <w:r>
        <w:rPr>
          <w:b/>
          <w:spacing w:val="-4"/>
          <w:sz w:val="30"/>
        </w:rPr>
        <w:t> </w:t>
      </w:r>
      <w:r>
        <w:rPr>
          <w:b/>
          <w:sz w:val="30"/>
        </w:rPr>
        <w:t>have</w:t>
      </w:r>
      <w:r>
        <w:rPr>
          <w:b/>
          <w:spacing w:val="-4"/>
          <w:sz w:val="30"/>
        </w:rPr>
        <w:t> </w:t>
      </w:r>
      <w:r>
        <w:rPr>
          <w:b/>
          <w:sz w:val="30"/>
        </w:rPr>
        <w:t>not</w:t>
      </w:r>
      <w:r>
        <w:rPr>
          <w:b/>
          <w:spacing w:val="-4"/>
          <w:sz w:val="30"/>
        </w:rPr>
        <w:t> </w:t>
      </w:r>
      <w:r>
        <w:rPr>
          <w:b/>
          <w:sz w:val="30"/>
        </w:rPr>
        <w:t>been</w:t>
      </w:r>
      <w:r>
        <w:rPr>
          <w:b/>
          <w:spacing w:val="-4"/>
          <w:sz w:val="30"/>
        </w:rPr>
        <w:t> </w:t>
      </w:r>
      <w:r>
        <w:rPr>
          <w:b/>
          <w:sz w:val="30"/>
        </w:rPr>
        <w:t>proven</w:t>
      </w:r>
      <w:r>
        <w:rPr>
          <w:b/>
          <w:spacing w:val="-4"/>
          <w:sz w:val="30"/>
        </w:rPr>
        <w:t> </w:t>
      </w:r>
      <w:r>
        <w:rPr>
          <w:b/>
          <w:sz w:val="30"/>
        </w:rPr>
        <w:t>to</w:t>
      </w:r>
      <w:r>
        <w:rPr>
          <w:b/>
          <w:spacing w:val="-4"/>
          <w:sz w:val="30"/>
        </w:rPr>
        <w:t> </w:t>
      </w:r>
      <w:r>
        <w:rPr>
          <w:b/>
          <w:sz w:val="30"/>
        </w:rPr>
        <w:t>be</w:t>
      </w:r>
      <w:r>
        <w:rPr>
          <w:b/>
          <w:spacing w:val="-4"/>
          <w:sz w:val="30"/>
        </w:rPr>
        <w:t> </w:t>
      </w:r>
      <w:r>
        <w:rPr>
          <w:b/>
          <w:sz w:val="30"/>
        </w:rPr>
        <w:t>safer or better and, therefore, should not be regarded as having similar risks and benefits as commercial products. Claims for custom-compounded products have not been scientifically tested. Tailor-making an </w:t>
      </w:r>
      <w:r>
        <w:rPr>
          <w:b/>
          <w:sz w:val="30"/>
        </w:rPr>
        <w:t>HT regimen according to salivary testing is an appealing idea that has not been addressed scientifically, and given the variability in salivary hormone levels, it is unlikely that clinical studies would yield useful information. Recommendations promoting customized compounded formulations individualized to salivary sex steroid hormone profiles thus should be viewed with cynicism as the salivary hormone levels vary widely between individuals and from measurement to measurement within the same individual. Books and pharmacies promoting their own products should similarly be viewed with caution. Patients who wish to use products similar to endogenous hormones should be made aware of the content of available commercial formulations and reassured that marketed and approved 17</w:t>
      </w:r>
      <w:r>
        <w:rPr>
          <w:sz w:val="30"/>
        </w:rPr>
        <w:t>β </w:t>
      </w:r>
      <w:r>
        <w:rPr>
          <w:b/>
          <w:sz w:val="30"/>
        </w:rPr>
        <w:t>estradiol and micronized progesterone formulations are indeed reliable bioidentical representatives. Books and pharmacies promoting their own products should be viewed with caution; do not confuse marketing with science.</w:t>
      </w:r>
    </w:p>
    <w:p>
      <w:pPr>
        <w:pStyle w:val="BodyText"/>
        <w:spacing w:before="0"/>
        <w:ind w:left="0"/>
        <w:jc w:val="left"/>
        <w:rPr>
          <w:b/>
          <w:sz w:val="20"/>
        </w:rPr>
      </w:pPr>
    </w:p>
    <w:p>
      <w:pPr>
        <w:pStyle w:val="BodyText"/>
        <w:spacing w:before="136"/>
        <w:ind w:left="0"/>
        <w:jc w:val="left"/>
        <w:rPr>
          <w:b/>
          <w:sz w:val="20"/>
        </w:rPr>
      </w:pPr>
      <w:r>
        <w:rPr>
          <w:b/>
          <w:sz w:val="20"/>
        </w:rPr>
        <mc:AlternateContent>
          <mc:Choice Requires="wps">
            <w:drawing>
              <wp:anchor distT="0" distB="0" distL="0" distR="0" allowOverlap="1" layoutInCell="1" locked="0" behindDoc="1" simplePos="0" relativeHeight="487636992">
                <wp:simplePos x="0" y="0"/>
                <wp:positionH relativeFrom="page">
                  <wp:posOffset>981075</wp:posOffset>
                </wp:positionH>
                <wp:positionV relativeFrom="paragraph">
                  <wp:posOffset>247707</wp:posOffset>
                </wp:positionV>
                <wp:extent cx="285750" cy="5715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285750" cy="57150"/>
                        </a:xfrm>
                        <a:custGeom>
                          <a:avLst/>
                          <a:gdLst/>
                          <a:ahLst/>
                          <a:cxnLst/>
                          <a:rect l="l" t="t" r="r" b="b"/>
                          <a:pathLst>
                            <a:path w="285750" h="57150">
                              <a:moveTo>
                                <a:pt x="32364" y="57111"/>
                              </a:moveTo>
                              <a:lnTo>
                                <a:pt x="24785" y="57111"/>
                              </a:lnTo>
                              <a:lnTo>
                                <a:pt x="21048" y="56368"/>
                              </a:lnTo>
                              <a:lnTo>
                                <a:pt x="0" y="32337"/>
                              </a:lnTo>
                              <a:lnTo>
                                <a:pt x="0" y="24745"/>
                              </a:lnTo>
                              <a:lnTo>
                                <a:pt x="725" y="21097"/>
                              </a:lnTo>
                              <a:lnTo>
                                <a:pt x="3625" y="14096"/>
                              </a:lnTo>
                              <a:lnTo>
                                <a:pt x="5689" y="11010"/>
                              </a:lnTo>
                              <a:lnTo>
                                <a:pt x="8369" y="8372"/>
                              </a:lnTo>
                              <a:lnTo>
                                <a:pt x="11048" y="5657"/>
                              </a:lnTo>
                              <a:lnTo>
                                <a:pt x="14230" y="3571"/>
                              </a:lnTo>
                              <a:lnTo>
                                <a:pt x="21140" y="704"/>
                              </a:lnTo>
                              <a:lnTo>
                                <a:pt x="24785" y="0"/>
                              </a:lnTo>
                              <a:lnTo>
                                <a:pt x="32364" y="0"/>
                              </a:lnTo>
                              <a:lnTo>
                                <a:pt x="36009" y="704"/>
                              </a:lnTo>
                              <a:lnTo>
                                <a:pt x="43010" y="3571"/>
                              </a:lnTo>
                              <a:lnTo>
                                <a:pt x="46101" y="5657"/>
                              </a:lnTo>
                              <a:lnTo>
                                <a:pt x="48780" y="8372"/>
                              </a:lnTo>
                              <a:lnTo>
                                <a:pt x="51459" y="11010"/>
                              </a:lnTo>
                              <a:lnTo>
                                <a:pt x="53524" y="14096"/>
                              </a:lnTo>
                              <a:lnTo>
                                <a:pt x="54974" y="17640"/>
                              </a:lnTo>
                              <a:lnTo>
                                <a:pt x="56424" y="21097"/>
                              </a:lnTo>
                              <a:lnTo>
                                <a:pt x="57149" y="24745"/>
                              </a:lnTo>
                              <a:lnTo>
                                <a:pt x="57149" y="32337"/>
                              </a:lnTo>
                              <a:lnTo>
                                <a:pt x="36009" y="56368"/>
                              </a:lnTo>
                              <a:lnTo>
                                <a:pt x="32364" y="57111"/>
                              </a:lnTo>
                              <a:close/>
                            </a:path>
                            <a:path w="285750" h="57150">
                              <a:moveTo>
                                <a:pt x="146569" y="57111"/>
                              </a:moveTo>
                              <a:lnTo>
                                <a:pt x="138990" y="57111"/>
                              </a:lnTo>
                              <a:lnTo>
                                <a:pt x="135253" y="56368"/>
                              </a:lnTo>
                              <a:lnTo>
                                <a:pt x="114204" y="32337"/>
                              </a:lnTo>
                              <a:lnTo>
                                <a:pt x="114204" y="24745"/>
                              </a:lnTo>
                              <a:lnTo>
                                <a:pt x="114929" y="21097"/>
                              </a:lnTo>
                              <a:lnTo>
                                <a:pt x="117829" y="14096"/>
                              </a:lnTo>
                              <a:lnTo>
                                <a:pt x="119894" y="11010"/>
                              </a:lnTo>
                              <a:lnTo>
                                <a:pt x="122574" y="8372"/>
                              </a:lnTo>
                              <a:lnTo>
                                <a:pt x="125253" y="5657"/>
                              </a:lnTo>
                              <a:lnTo>
                                <a:pt x="128435" y="3571"/>
                              </a:lnTo>
                              <a:lnTo>
                                <a:pt x="135345" y="704"/>
                              </a:lnTo>
                              <a:lnTo>
                                <a:pt x="138990" y="0"/>
                              </a:lnTo>
                              <a:lnTo>
                                <a:pt x="146569" y="0"/>
                              </a:lnTo>
                              <a:lnTo>
                                <a:pt x="150214" y="704"/>
                              </a:lnTo>
                              <a:lnTo>
                                <a:pt x="157215" y="3571"/>
                              </a:lnTo>
                              <a:lnTo>
                                <a:pt x="160305" y="5657"/>
                              </a:lnTo>
                              <a:lnTo>
                                <a:pt x="162985" y="8372"/>
                              </a:lnTo>
                              <a:lnTo>
                                <a:pt x="165664" y="11010"/>
                              </a:lnTo>
                              <a:lnTo>
                                <a:pt x="167729" y="14096"/>
                              </a:lnTo>
                              <a:lnTo>
                                <a:pt x="169179" y="17640"/>
                              </a:lnTo>
                              <a:lnTo>
                                <a:pt x="170629" y="21097"/>
                              </a:lnTo>
                              <a:lnTo>
                                <a:pt x="171354" y="24745"/>
                              </a:lnTo>
                              <a:lnTo>
                                <a:pt x="171354" y="32337"/>
                              </a:lnTo>
                              <a:lnTo>
                                <a:pt x="150214" y="56368"/>
                              </a:lnTo>
                              <a:lnTo>
                                <a:pt x="146569" y="57111"/>
                              </a:lnTo>
                              <a:close/>
                            </a:path>
                            <a:path w="285750" h="57150">
                              <a:moveTo>
                                <a:pt x="260773" y="57111"/>
                              </a:moveTo>
                              <a:lnTo>
                                <a:pt x="253195" y="57111"/>
                              </a:lnTo>
                              <a:lnTo>
                                <a:pt x="249458" y="56368"/>
                              </a:lnTo>
                              <a:lnTo>
                                <a:pt x="228409" y="32337"/>
                              </a:lnTo>
                              <a:lnTo>
                                <a:pt x="228409" y="24745"/>
                              </a:lnTo>
                              <a:lnTo>
                                <a:pt x="229134" y="21097"/>
                              </a:lnTo>
                              <a:lnTo>
                                <a:pt x="232034" y="14096"/>
                              </a:lnTo>
                              <a:lnTo>
                                <a:pt x="234099" y="11010"/>
                              </a:lnTo>
                              <a:lnTo>
                                <a:pt x="236778" y="8372"/>
                              </a:lnTo>
                              <a:lnTo>
                                <a:pt x="239458" y="5657"/>
                              </a:lnTo>
                              <a:lnTo>
                                <a:pt x="242640" y="3571"/>
                              </a:lnTo>
                              <a:lnTo>
                                <a:pt x="249550" y="704"/>
                              </a:lnTo>
                              <a:lnTo>
                                <a:pt x="253195" y="0"/>
                              </a:lnTo>
                              <a:lnTo>
                                <a:pt x="260773" y="0"/>
                              </a:lnTo>
                              <a:lnTo>
                                <a:pt x="264418" y="704"/>
                              </a:lnTo>
                              <a:lnTo>
                                <a:pt x="271420" y="3571"/>
                              </a:lnTo>
                              <a:lnTo>
                                <a:pt x="274510" y="5657"/>
                              </a:lnTo>
                              <a:lnTo>
                                <a:pt x="277190" y="8372"/>
                              </a:lnTo>
                              <a:lnTo>
                                <a:pt x="279869" y="11010"/>
                              </a:lnTo>
                              <a:lnTo>
                                <a:pt x="281934" y="14096"/>
                              </a:lnTo>
                              <a:lnTo>
                                <a:pt x="283384" y="17640"/>
                              </a:lnTo>
                              <a:lnTo>
                                <a:pt x="284834" y="21097"/>
                              </a:lnTo>
                              <a:lnTo>
                                <a:pt x="285559" y="24745"/>
                              </a:lnTo>
                              <a:lnTo>
                                <a:pt x="285559" y="32337"/>
                              </a:lnTo>
                              <a:lnTo>
                                <a:pt x="264418" y="56368"/>
                              </a:lnTo>
                              <a:lnTo>
                                <a:pt x="260773" y="57111"/>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504549pt;width:22.5pt;height:4.5pt;mso-position-horizontal-relative:page;mso-position-vertical-relative:paragraph;z-index:-15679488;mso-wrap-distance-left:0;mso-wrap-distance-right:0" id="docshape140" coordorigin="1545,390" coordsize="450,90" path="m1596,480l1584,480,1578,479,1573,477,1567,474,1562,471,1558,467,1554,463,1551,458,1546,447,1545,441,1545,429,1546,423,1551,412,1554,407,1558,403,1562,399,1567,396,1578,391,1584,390,1596,390,1602,391,1613,396,1618,399,1622,403,1626,407,1629,412,1632,418,1634,423,1635,429,1635,441,1634,447,1629,458,1626,463,1622,467,1618,471,1613,474,1602,479,1596,480xm1776,480l1764,480,1758,479,1753,477,1747,474,1742,471,1738,467,1734,463,1731,458,1726,447,1725,441,1725,429,1726,423,1731,412,1734,407,1738,403,1742,399,1747,396,1758,391,1764,390,1776,390,1782,391,1793,396,1797,399,1802,403,1806,407,1809,412,1811,418,1814,423,1815,429,1815,441,1814,447,1809,458,1806,463,1802,467,1797,471,1793,474,1782,479,1776,480xm1956,480l1944,480,1938,479,1932,477,1927,474,1922,471,1918,467,1914,463,1910,458,1906,447,1905,441,1905,429,1906,423,1910,412,1914,407,1918,403,1922,399,1927,396,1938,391,1944,390,1956,390,1961,391,1972,396,1977,399,1982,403,1986,407,1989,412,1991,418,1994,423,1995,429,1995,441,1994,447,1989,458,1986,463,1982,467,1977,471,1972,474,1961,479,1956,480xe" filled="true" fillcolor="#bdb4d4" stroked="false">
                <v:path arrowok="t"/>
                <v:fill type="solid"/>
                <w10:wrap type="topAndBottom"/>
              </v:shape>
            </w:pict>
          </mc:Fallback>
        </mc:AlternateContent>
      </w:r>
    </w:p>
    <w:p>
      <w:pPr>
        <w:pStyle w:val="Heading3"/>
        <w:jc w:val="both"/>
      </w:pPr>
      <w:r>
        <w:rPr>
          <w:color w:val="534089"/>
          <w:spacing w:val="-4"/>
        </w:rPr>
        <w:t>ALTERNATIVE</w:t>
      </w:r>
      <w:r>
        <w:rPr>
          <w:color w:val="534089"/>
          <w:spacing w:val="-2"/>
        </w:rPr>
        <w:t> THERAPIES</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37504">
                <wp:simplePos x="0" y="0"/>
                <wp:positionH relativeFrom="page">
                  <wp:posOffset>981075</wp:posOffset>
                </wp:positionH>
                <wp:positionV relativeFrom="paragraph">
                  <wp:posOffset>45756</wp:posOffset>
                </wp:positionV>
                <wp:extent cx="5810250" cy="1905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2849pt;width:457.499964pt;height:1.5pt;mso-position-horizontal-relative:page;mso-position-vertical-relative:paragraph;z-index:-15678976;mso-wrap-distance-left:0;mso-wrap-distance-right:0" id="docshape141" filled="true" fillcolor="#534089" stroked="false">
                <v:fill type="solid"/>
                <w10:wrap type="topAndBottom"/>
              </v:rect>
            </w:pict>
          </mc:Fallback>
        </mc:AlternateContent>
      </w:r>
    </w:p>
    <w:p>
      <w:pPr>
        <w:pStyle w:val="BodyText"/>
        <w:spacing w:line="249" w:lineRule="auto" w:before="215"/>
        <w:ind w:right="98"/>
      </w:pPr>
      <w:r>
        <w:rPr/>
        <w:t>The business of selling alternative therapies is now a </w:t>
      </w:r>
      <w:r>
        <w:rPr/>
        <w:t>worldwide phenomenon. The promotion of many of these treatments relies on a network of alternative providers, authors, and compounding pharmacies. Why are herbs and botanicals not regulated? In the United States, the Dietary Supplement Health and Education Act of 1994 deregulated the industry by classifying dietary supplements as neither foods nor drugs. Thus, manufacturers of dietary supplements are not required to demonstrate that they are safe or effective. In addition to a lack of regulation, there are many other problems associated with herbs and botanicals. The products vary</w:t>
      </w:r>
      <w:r>
        <w:rPr>
          <w:spacing w:val="10"/>
        </w:rPr>
        <w:t> </w:t>
      </w:r>
      <w:r>
        <w:rPr/>
        <w:t>in</w:t>
      </w:r>
      <w:r>
        <w:rPr>
          <w:spacing w:val="10"/>
        </w:rPr>
        <w:t> </w:t>
      </w:r>
      <w:r>
        <w:rPr/>
        <w:t>the</w:t>
      </w:r>
      <w:r>
        <w:rPr>
          <w:spacing w:val="10"/>
        </w:rPr>
        <w:t> </w:t>
      </w:r>
      <w:r>
        <w:rPr/>
        <w:t>amount</w:t>
      </w:r>
      <w:r>
        <w:rPr>
          <w:spacing w:val="10"/>
        </w:rPr>
        <w:t> </w:t>
      </w:r>
      <w:r>
        <w:rPr/>
        <w:t>and</w:t>
      </w:r>
      <w:r>
        <w:rPr>
          <w:spacing w:val="10"/>
        </w:rPr>
        <w:t> </w:t>
      </w:r>
      <w:r>
        <w:rPr/>
        <w:t>purity</w:t>
      </w:r>
      <w:r>
        <w:rPr>
          <w:spacing w:val="10"/>
        </w:rPr>
        <w:t> </w:t>
      </w:r>
      <w:r>
        <w:rPr/>
        <w:t>of</w:t>
      </w:r>
      <w:r>
        <w:rPr>
          <w:spacing w:val="10"/>
        </w:rPr>
        <w:t> </w:t>
      </w:r>
      <w:r>
        <w:rPr/>
        <w:t>active</w:t>
      </w:r>
      <w:r>
        <w:rPr>
          <w:spacing w:val="10"/>
        </w:rPr>
        <w:t> </w:t>
      </w:r>
      <w:r>
        <w:rPr/>
        <w:t>ingredients;</w:t>
      </w:r>
      <w:r>
        <w:rPr>
          <w:spacing w:val="10"/>
        </w:rPr>
        <w:t> </w:t>
      </w:r>
      <w:r>
        <w:rPr/>
        <w:t>indeed,</w:t>
      </w:r>
      <w:r>
        <w:rPr>
          <w:spacing w:val="10"/>
        </w:rPr>
        <w:t> </w:t>
      </w:r>
      <w:r>
        <w:rPr/>
        <w:t>products</w:t>
      </w:r>
      <w:r>
        <w:rPr>
          <w:spacing w:val="10"/>
        </w:rPr>
        <w:t> </w:t>
      </w:r>
      <w:r>
        <w:rPr/>
        <w:t>on</w:t>
      </w:r>
      <w:r>
        <w:rPr>
          <w:spacing w:val="10"/>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98"/>
      </w:pPr>
      <w:r>
        <w:rPr/>
        <w:t>shelf are often adulterated and contaminated with drugs or metals.</w:t>
      </w:r>
      <w:r>
        <w:rPr>
          <w:vertAlign w:val="superscript"/>
        </w:rPr>
        <w:t>401</w:t>
      </w:r>
      <w:r>
        <w:rPr>
          <w:vertAlign w:val="baseline"/>
        </w:rPr>
        <w:t> </w:t>
      </w:r>
      <w:r>
        <w:rPr>
          <w:vertAlign w:val="baseline"/>
        </w:rPr>
        <w:t>And very importantly, there is enormous variation in the plants themselves because of genetic, harvest year, and processing differences and in individual metabolism of the products.</w:t>
      </w:r>
    </w:p>
    <w:p>
      <w:pPr>
        <w:pStyle w:val="BodyText"/>
        <w:spacing w:before="48"/>
        <w:ind w:left="0"/>
        <w:jc w:val="left"/>
      </w:pPr>
    </w:p>
    <w:p>
      <w:pPr>
        <w:spacing w:before="0"/>
        <w:ind w:left="99" w:right="0" w:firstLine="0"/>
        <w:jc w:val="left"/>
        <w:rPr>
          <w:rFonts w:ascii="Arial"/>
          <w:b/>
          <w:sz w:val="30"/>
        </w:rPr>
      </w:pPr>
      <w:r>
        <w:rPr>
          <w:rFonts w:ascii="Arial"/>
          <w:b/>
          <w:color w:val="2674AE"/>
          <w:sz w:val="30"/>
        </w:rPr>
        <w:t>Alternative</w:t>
      </w:r>
      <w:r>
        <w:rPr>
          <w:rFonts w:ascii="Arial"/>
          <w:b/>
          <w:color w:val="2674AE"/>
          <w:spacing w:val="-7"/>
          <w:sz w:val="30"/>
        </w:rPr>
        <w:t> </w:t>
      </w:r>
      <w:r>
        <w:rPr>
          <w:rFonts w:ascii="Arial"/>
          <w:b/>
          <w:color w:val="2674AE"/>
          <w:sz w:val="30"/>
        </w:rPr>
        <w:t>Therapies</w:t>
      </w:r>
      <w:r>
        <w:rPr>
          <w:rFonts w:ascii="Arial"/>
          <w:b/>
          <w:color w:val="2674AE"/>
          <w:spacing w:val="-4"/>
          <w:sz w:val="30"/>
        </w:rPr>
        <w:t> </w:t>
      </w:r>
      <w:r>
        <w:rPr>
          <w:rFonts w:ascii="Arial"/>
          <w:b/>
          <w:color w:val="2674AE"/>
          <w:sz w:val="30"/>
        </w:rPr>
        <w:t>for</w:t>
      </w:r>
      <w:r>
        <w:rPr>
          <w:rFonts w:ascii="Arial"/>
          <w:b/>
          <w:color w:val="2674AE"/>
          <w:spacing w:val="-4"/>
          <w:sz w:val="30"/>
        </w:rPr>
        <w:t> </w:t>
      </w:r>
      <w:r>
        <w:rPr>
          <w:rFonts w:ascii="Arial"/>
          <w:b/>
          <w:color w:val="2674AE"/>
          <w:sz w:val="30"/>
        </w:rPr>
        <w:t>Vasomotor</w:t>
      </w:r>
      <w:r>
        <w:rPr>
          <w:rFonts w:ascii="Arial"/>
          <w:b/>
          <w:color w:val="2674AE"/>
          <w:spacing w:val="-4"/>
          <w:sz w:val="30"/>
        </w:rPr>
        <w:t> </w:t>
      </w:r>
      <w:r>
        <w:rPr>
          <w:rFonts w:ascii="Arial"/>
          <w:b/>
          <w:color w:val="2674AE"/>
          <w:spacing w:val="-2"/>
          <w:sz w:val="30"/>
        </w:rPr>
        <w:t>Symptoms:</w:t>
      </w:r>
    </w:p>
    <w:p>
      <w:pPr>
        <w:spacing w:before="15"/>
        <w:ind w:left="99" w:right="0" w:firstLine="0"/>
        <w:jc w:val="left"/>
        <w:rPr>
          <w:rFonts w:ascii="Arial"/>
          <w:b/>
          <w:sz w:val="30"/>
        </w:rPr>
      </w:pPr>
      <w:r>
        <w:rPr>
          <w:rFonts w:ascii="Arial"/>
          <w:b/>
          <w:color w:val="2674AE"/>
          <w:spacing w:val="-2"/>
          <w:sz w:val="30"/>
        </w:rPr>
        <w:t>Phytoestrogens</w:t>
      </w:r>
    </w:p>
    <w:p>
      <w:pPr>
        <w:pStyle w:val="BodyText"/>
        <w:spacing w:line="249" w:lineRule="auto" w:before="167"/>
        <w:ind w:right="98"/>
      </w:pPr>
      <w:r>
        <w:rPr/>
        <w:t>“Phytoestrogens” is a descriptive term applied to nonsteroidal compounds that have estrogenic activity or are metabolized into compounds </w:t>
      </w:r>
      <w:r>
        <w:rPr/>
        <w:t>with estrogen activity. Phytoestrogens are classified into three groups: isoflavones, lignans, and coumestans.</w:t>
      </w:r>
      <w:r>
        <w:rPr>
          <w:vertAlign w:val="superscript"/>
        </w:rPr>
        <w:t>402,403</w:t>
      </w:r>
      <w:r>
        <w:rPr>
          <w:vertAlign w:val="baseline"/>
        </w:rPr>
        <w:t> They are present in about 300 plants, especially legumes, and bind to the ER. Soybeans, a rich source of phytoestrogens, contain isoflavones, the most common form of phytoestrogens. The isoflavones in soybeans are mainly genistein and daidzein, and a little glycitin.</w:t>
      </w:r>
    </w:p>
    <w:p>
      <w:pPr>
        <w:pStyle w:val="BodyText"/>
        <w:spacing w:before="9"/>
        <w:ind w:left="549"/>
      </w:pPr>
      <w:r>
        <w:rPr/>
        <w:t>Examples of phytoestrogens include the </w:t>
      </w:r>
      <w:r>
        <w:rPr>
          <w:spacing w:val="-2"/>
        </w:rPr>
        <w:t>following:</w:t>
      </w:r>
    </w:p>
    <w:p>
      <w:pPr>
        <w:pStyle w:val="ListParagraph"/>
        <w:numPr>
          <w:ilvl w:val="0"/>
          <w:numId w:val="11"/>
        </w:numPr>
        <w:tabs>
          <w:tab w:pos="398" w:val="left" w:leader="none"/>
        </w:tabs>
        <w:spacing w:line="240" w:lineRule="auto" w:before="271" w:after="0"/>
        <w:ind w:left="398" w:right="0" w:hanging="279"/>
        <w:jc w:val="left"/>
        <w:rPr>
          <w:b/>
          <w:sz w:val="30"/>
        </w:rPr>
      </w:pPr>
      <w:r>
        <w:rPr>
          <w:b/>
          <w:sz w:val="30"/>
        </w:rPr>
        <w:t>Isoflavones</w:t>
      </w:r>
      <w:r>
        <w:rPr>
          <w:b/>
          <w:spacing w:val="-2"/>
          <w:sz w:val="30"/>
        </w:rPr>
        <w:t> </w:t>
      </w:r>
      <w:r>
        <w:rPr>
          <w:sz w:val="30"/>
        </w:rPr>
        <w:t>(</w:t>
      </w:r>
      <w:r>
        <w:rPr>
          <w:b/>
          <w:sz w:val="30"/>
        </w:rPr>
        <w:t>genistein,</w:t>
      </w:r>
      <w:r>
        <w:rPr>
          <w:b/>
          <w:spacing w:val="7"/>
          <w:sz w:val="30"/>
        </w:rPr>
        <w:t> </w:t>
      </w:r>
      <w:r>
        <w:rPr>
          <w:b/>
          <w:sz w:val="30"/>
        </w:rPr>
        <w:t>daidzein,</w:t>
      </w:r>
      <w:r>
        <w:rPr>
          <w:b/>
          <w:spacing w:val="6"/>
          <w:sz w:val="30"/>
        </w:rPr>
        <w:t> </w:t>
      </w:r>
      <w:r>
        <w:rPr>
          <w:b/>
          <w:sz w:val="30"/>
        </w:rPr>
        <w:t>glycitin</w:t>
      </w:r>
      <w:r>
        <w:rPr>
          <w:sz w:val="30"/>
        </w:rPr>
        <w:t>)</w:t>
      </w:r>
      <w:r>
        <w:rPr>
          <w:b/>
          <w:sz w:val="30"/>
        </w:rPr>
        <w:t>:</w:t>
      </w:r>
      <w:r>
        <w:rPr>
          <w:b/>
          <w:spacing w:val="5"/>
          <w:sz w:val="30"/>
        </w:rPr>
        <w:t> </w:t>
      </w:r>
      <w:r>
        <w:rPr>
          <w:b/>
          <w:sz w:val="30"/>
        </w:rPr>
        <w:t>soybeans,</w:t>
      </w:r>
      <w:r>
        <w:rPr>
          <w:b/>
          <w:spacing w:val="4"/>
          <w:sz w:val="30"/>
        </w:rPr>
        <w:t> </w:t>
      </w:r>
      <w:r>
        <w:rPr>
          <w:b/>
          <w:sz w:val="30"/>
        </w:rPr>
        <w:t>lentils,</w:t>
      </w:r>
      <w:r>
        <w:rPr>
          <w:b/>
          <w:spacing w:val="5"/>
          <w:sz w:val="30"/>
        </w:rPr>
        <w:t> </w:t>
      </w:r>
      <w:r>
        <w:rPr>
          <w:b/>
          <w:spacing w:val="-2"/>
          <w:sz w:val="30"/>
        </w:rPr>
        <w:t>chickpeas</w:t>
      </w:r>
    </w:p>
    <w:p>
      <w:pPr>
        <w:spacing w:before="60"/>
        <w:ind w:left="399" w:right="0" w:firstLine="0"/>
        <w:jc w:val="left"/>
        <w:rPr>
          <w:b/>
          <w:sz w:val="30"/>
        </w:rPr>
      </w:pPr>
      <w:r>
        <w:rPr>
          <w:sz w:val="30"/>
        </w:rPr>
        <w:t>(</w:t>
      </w:r>
      <w:r>
        <w:rPr>
          <w:b/>
          <w:sz w:val="30"/>
        </w:rPr>
        <w:t>garbanzo</w:t>
      </w:r>
      <w:r>
        <w:rPr>
          <w:b/>
          <w:spacing w:val="-4"/>
          <w:sz w:val="30"/>
        </w:rPr>
        <w:t> </w:t>
      </w:r>
      <w:r>
        <w:rPr>
          <w:b/>
          <w:sz w:val="30"/>
        </w:rPr>
        <w:t>beans</w:t>
      </w:r>
      <w:r>
        <w:rPr>
          <w:sz w:val="30"/>
        </w:rPr>
        <w:t>)</w:t>
      </w:r>
      <w:r>
        <w:rPr>
          <w:b/>
          <w:sz w:val="30"/>
        </w:rPr>
        <w:t>,</w:t>
      </w:r>
      <w:r>
        <w:rPr>
          <w:b/>
          <w:spacing w:val="-2"/>
          <w:sz w:val="30"/>
        </w:rPr>
        <w:t> </w:t>
      </w:r>
      <w:r>
        <w:rPr>
          <w:b/>
          <w:sz w:val="30"/>
        </w:rPr>
        <w:t>and</w:t>
      </w:r>
      <w:r>
        <w:rPr>
          <w:b/>
          <w:spacing w:val="-2"/>
          <w:sz w:val="30"/>
        </w:rPr>
        <w:t> </w:t>
      </w:r>
      <w:r>
        <w:rPr>
          <w:b/>
          <w:sz w:val="30"/>
        </w:rPr>
        <w:t>red</w:t>
      </w:r>
      <w:r>
        <w:rPr>
          <w:b/>
          <w:spacing w:val="-2"/>
          <w:sz w:val="30"/>
        </w:rPr>
        <w:t> clover</w:t>
      </w:r>
    </w:p>
    <w:p>
      <w:pPr>
        <w:pStyle w:val="ListParagraph"/>
        <w:numPr>
          <w:ilvl w:val="0"/>
          <w:numId w:val="11"/>
        </w:numPr>
        <w:tabs>
          <w:tab w:pos="398" w:val="left" w:leader="none"/>
        </w:tabs>
        <w:spacing w:line="240" w:lineRule="auto" w:before="60" w:after="0"/>
        <w:ind w:left="398" w:right="0" w:hanging="279"/>
        <w:jc w:val="left"/>
        <w:rPr>
          <w:b/>
          <w:sz w:val="30"/>
        </w:rPr>
      </w:pPr>
      <w:r>
        <w:rPr>
          <w:b/>
          <w:sz w:val="30"/>
        </w:rPr>
        <w:t>Lignans:</w:t>
      </w:r>
      <w:r>
        <w:rPr>
          <w:b/>
          <w:spacing w:val="-2"/>
          <w:sz w:val="30"/>
        </w:rPr>
        <w:t> </w:t>
      </w:r>
      <w:r>
        <w:rPr>
          <w:b/>
          <w:sz w:val="30"/>
        </w:rPr>
        <w:t>flaxseed,</w:t>
      </w:r>
      <w:r>
        <w:rPr>
          <w:b/>
          <w:spacing w:val="-1"/>
          <w:sz w:val="30"/>
        </w:rPr>
        <w:t> </w:t>
      </w:r>
      <w:r>
        <w:rPr>
          <w:b/>
          <w:sz w:val="30"/>
        </w:rPr>
        <w:t>cereals,</w:t>
      </w:r>
      <w:r>
        <w:rPr>
          <w:b/>
          <w:spacing w:val="-1"/>
          <w:sz w:val="30"/>
        </w:rPr>
        <w:t> </w:t>
      </w:r>
      <w:r>
        <w:rPr>
          <w:b/>
          <w:sz w:val="30"/>
        </w:rPr>
        <w:t>vegetables,</w:t>
      </w:r>
      <w:r>
        <w:rPr>
          <w:b/>
          <w:spacing w:val="-1"/>
          <w:sz w:val="30"/>
        </w:rPr>
        <w:t> </w:t>
      </w:r>
      <w:r>
        <w:rPr>
          <w:b/>
          <w:sz w:val="30"/>
        </w:rPr>
        <w:t>and</w:t>
      </w:r>
      <w:r>
        <w:rPr>
          <w:b/>
          <w:spacing w:val="-1"/>
          <w:sz w:val="30"/>
        </w:rPr>
        <w:t> </w:t>
      </w:r>
      <w:r>
        <w:rPr>
          <w:b/>
          <w:spacing w:val="-2"/>
          <w:sz w:val="30"/>
        </w:rPr>
        <w:t>fruits</w:t>
      </w:r>
    </w:p>
    <w:p>
      <w:pPr>
        <w:pStyle w:val="ListParagraph"/>
        <w:numPr>
          <w:ilvl w:val="0"/>
          <w:numId w:val="11"/>
        </w:numPr>
        <w:tabs>
          <w:tab w:pos="398" w:val="left" w:leader="none"/>
        </w:tabs>
        <w:spacing w:line="240" w:lineRule="auto" w:before="105" w:after="0"/>
        <w:ind w:left="398" w:right="0" w:hanging="279"/>
        <w:jc w:val="left"/>
        <w:rPr>
          <w:b/>
          <w:sz w:val="30"/>
        </w:rPr>
      </w:pPr>
      <w:r>
        <w:rPr>
          <w:b/>
          <w:sz w:val="30"/>
        </w:rPr>
        <w:t>Coumestans: sunflower seeds and bean </w:t>
      </w:r>
      <w:r>
        <w:rPr>
          <w:b/>
          <w:spacing w:val="-2"/>
          <w:sz w:val="30"/>
        </w:rPr>
        <w:t>sprouts</w:t>
      </w:r>
    </w:p>
    <w:p>
      <w:pPr>
        <w:pStyle w:val="BodyText"/>
        <w:spacing w:line="249" w:lineRule="auto" w:before="270"/>
        <w:ind w:right="98" w:firstLine="450"/>
      </w:pPr>
      <w:r>
        <w:rPr/>
        <w:t>Isoflavones exist in plants bound as glycoside conjugates attached at </w:t>
      </w:r>
      <w:r>
        <w:rPr/>
        <w:t>the three position, called </w:t>
      </w:r>
      <w:r>
        <w:rPr>
          <w:i/>
        </w:rPr>
        <w:t>glycones</w:t>
      </w:r>
      <w:r>
        <w:rPr/>
        <w:t>. The carbohydrate component requires gut bacteria to remove the sugar moiety to produce active compounds, the aglycones. Individual variability in gastrointestinal microflora, as well as absorption, influences the bioavailability of isoflavones. Biochanin and formononetin are methylated precursors that are metabolized to genistein and daidzein. Red clover and lentils contain significant amounts of these precursors. The isoflavones are in the active, deconjugated forms in fermented soy foods like miso and tempeh. The concentration of</w:t>
      </w:r>
      <w:r>
        <w:rPr>
          <w:spacing w:val="40"/>
        </w:rPr>
        <w:t> </w:t>
      </w:r>
      <w:r>
        <w:rPr/>
        <w:t>isoflavones in tofu is highly variable.</w:t>
      </w:r>
    </w:p>
    <w:p>
      <w:pPr>
        <w:pStyle w:val="BodyText"/>
        <w:spacing w:line="249" w:lineRule="auto" w:before="12"/>
        <w:ind w:right="104" w:firstLine="450"/>
      </w:pPr>
      <w:r>
        <w:rPr/>
        <w:t>The phytoestrogens are characterized by mixed estrogenic </w:t>
      </w:r>
      <w:r>
        <w:rPr/>
        <w:t>and antiestrogenic actions, depending on the target tissue and local estrogen concentration.</w:t>
      </w:r>
      <w:r>
        <w:rPr>
          <w:spacing w:val="-6"/>
        </w:rPr>
        <w:t> </w:t>
      </w:r>
      <w:r>
        <w:rPr/>
        <w:t>Variations</w:t>
      </w:r>
      <w:r>
        <w:rPr>
          <w:spacing w:val="8"/>
        </w:rPr>
        <w:t> </w:t>
      </w:r>
      <w:r>
        <w:rPr/>
        <w:t>in</w:t>
      </w:r>
      <w:r>
        <w:rPr>
          <w:spacing w:val="7"/>
        </w:rPr>
        <w:t> </w:t>
      </w:r>
      <w:r>
        <w:rPr/>
        <w:t>activity</w:t>
      </w:r>
      <w:r>
        <w:rPr>
          <w:spacing w:val="7"/>
        </w:rPr>
        <w:t> </w:t>
      </w:r>
      <w:r>
        <w:rPr/>
        <w:t>may</w:t>
      </w:r>
      <w:r>
        <w:rPr>
          <w:spacing w:val="8"/>
        </w:rPr>
        <w:t> </w:t>
      </w:r>
      <w:r>
        <w:rPr/>
        <w:t>also</w:t>
      </w:r>
      <w:r>
        <w:rPr>
          <w:spacing w:val="7"/>
        </w:rPr>
        <w:t> </w:t>
      </w:r>
      <w:r>
        <w:rPr/>
        <w:t>be</w:t>
      </w:r>
      <w:r>
        <w:rPr>
          <w:spacing w:val="7"/>
        </w:rPr>
        <w:t> </w:t>
      </w:r>
      <w:r>
        <w:rPr/>
        <w:t>due</w:t>
      </w:r>
      <w:r>
        <w:rPr>
          <w:spacing w:val="8"/>
        </w:rPr>
        <w:t> </w:t>
      </w:r>
      <w:r>
        <w:rPr/>
        <w:t>to</w:t>
      </w:r>
      <w:r>
        <w:rPr>
          <w:spacing w:val="7"/>
        </w:rPr>
        <w:t> </w:t>
      </w:r>
      <w:r>
        <w:rPr/>
        <w:t>the</w:t>
      </w:r>
      <w:r>
        <w:rPr>
          <w:spacing w:val="7"/>
        </w:rPr>
        <w:t> </w:t>
      </w:r>
      <w:r>
        <w:rPr/>
        <w:t>fact</w:t>
      </w:r>
      <w:r>
        <w:rPr>
          <w:spacing w:val="8"/>
        </w:rPr>
        <w:t> </w:t>
      </w:r>
      <w:r>
        <w:rPr/>
        <w:t>that</w:t>
      </w:r>
      <w:r>
        <w:rPr>
          <w:spacing w:val="7"/>
        </w:rPr>
        <w:t> </w:t>
      </w:r>
      <w:r>
        <w:rPr/>
        <w:t>the</w:t>
      </w:r>
      <w:r>
        <w:rPr>
          <w:spacing w:val="8"/>
        </w:rPr>
        <w:t> </w:t>
      </w:r>
      <w:r>
        <w:rPr>
          <w:spacing w:val="-5"/>
        </w:rPr>
        <w:t>soy</w:t>
      </w:r>
    </w:p>
    <w:p>
      <w:pPr>
        <w:pStyle w:val="BodyText"/>
        <w:spacing w:after="0" w:line="249" w:lineRule="auto"/>
        <w:sectPr>
          <w:pgSz w:w="12240" w:h="15840"/>
          <w:pgMar w:top="1380" w:bottom="280" w:left="1440" w:right="1440"/>
        </w:sectPr>
      </w:pPr>
    </w:p>
    <w:p>
      <w:pPr>
        <w:pStyle w:val="BodyText"/>
        <w:spacing w:line="249" w:lineRule="auto"/>
        <w:ind w:right="99"/>
      </w:pPr>
      <w:r>
        <w:rPr/>
        <w:t>phytoestrogens have a greater affinity for the ER-β compared with ER-a, although the affinity for the β-receptor is still only 35% that of </w:t>
      </w:r>
      <w:r>
        <w:rPr/>
        <w:t>estradiol.</w:t>
      </w:r>
      <w:r>
        <w:rPr>
          <w:vertAlign w:val="superscript"/>
        </w:rPr>
        <w:t>404</w:t>
      </w:r>
      <w:r>
        <w:rPr>
          <w:vertAlign w:val="baseline"/>
        </w:rPr>
        <w:t> Despite a low affinity for the a-receptor, circulating levels many times that of steroidal estrogens produce the potential for biologic activity.</w:t>
      </w:r>
    </w:p>
    <w:p>
      <w:pPr>
        <w:pStyle w:val="BodyText"/>
        <w:spacing w:line="249" w:lineRule="auto" w:before="5"/>
        <w:ind w:right="97" w:firstLine="450"/>
      </w:pPr>
      <w:r>
        <w:rPr/>
        <w:t>You can eat soybeans every day and never see a bean. Soybeans are defatted to produce soy flour. Soy flour is then prepared to remove </w:t>
      </w:r>
      <w:r>
        <w:rPr/>
        <w:t>the carbohydrates. Ninety-five percent of soy flour is toasted and used as</w:t>
      </w:r>
      <w:r>
        <w:rPr>
          <w:spacing w:val="40"/>
        </w:rPr>
        <w:t> </w:t>
      </w:r>
      <w:r>
        <w:rPr/>
        <w:t>animal</w:t>
      </w:r>
      <w:r>
        <w:rPr>
          <w:spacing w:val="-3"/>
        </w:rPr>
        <w:t> </w:t>
      </w:r>
      <w:r>
        <w:rPr/>
        <w:t>feed.</w:t>
      </w:r>
      <w:r>
        <w:rPr>
          <w:spacing w:val="-4"/>
        </w:rPr>
        <w:t> </w:t>
      </w:r>
      <w:r>
        <w:rPr/>
        <w:t>Alcohol washing is used to get a taste-free product, but alcohol extraction removes the phytoestrogens.</w:t>
      </w:r>
      <w:r>
        <w:rPr>
          <w:vertAlign w:val="superscript"/>
        </w:rPr>
        <w:t>405</w:t>
      </w:r>
      <w:r>
        <w:rPr>
          <w:vertAlign w:val="baseline"/>
        </w:rPr>
        <w:t> SUPRO, known as “isolated soy protein,” from Protein Technologies International, the major supplier for commercial products and research, is extracted by aqueous washing and retains the isoflavones.</w:t>
      </w:r>
    </w:p>
    <w:p>
      <w:pPr>
        <w:pStyle w:val="BodyText"/>
        <w:spacing w:line="252" w:lineRule="auto" w:before="9"/>
        <w:ind w:right="99" w:firstLine="450"/>
        <w:rPr>
          <w:sz w:val="17"/>
        </w:rPr>
      </w:pPr>
      <w:r>
        <w:rPr/>
        <w:t>The reason why most of the soybean crop is devoted to animal feed is because what is left after removing lipids is totally bland. The solution is to mix soybeans with other foods, for example, beans and </w:t>
      </w:r>
      <w:r>
        <w:rPr/>
        <w:t>soups. Unfortunately, they require standing in water for about 12 hours and simmering for 2 to 3 hours to be cooked. The average Japanese intake of isoflavones is about 50 mg/d.</w:t>
      </w:r>
      <w:r>
        <w:rPr>
          <w:vertAlign w:val="superscript"/>
        </w:rPr>
        <w:t>406</w:t>
      </w:r>
      <w:r>
        <w:rPr>
          <w:vertAlign w:val="baseline"/>
        </w:rPr>
        <w:t> The rest of Asia has an average consumption of about 25 to 45 mg/d, and Western consumption is less than </w:t>
      </w:r>
      <w:r>
        <w:rPr>
          <w:position w:val="-10"/>
          <w:vertAlign w:val="baseline"/>
        </w:rPr>
        <w:t>5 mg/d.</w:t>
      </w:r>
      <w:r>
        <w:rPr>
          <w:sz w:val="17"/>
          <w:vertAlign w:val="baseline"/>
        </w:rPr>
        <w:t>407,408</w:t>
      </w:r>
    </w:p>
    <w:p>
      <w:pPr>
        <w:pStyle w:val="BodyText"/>
        <w:spacing w:line="327" w:lineRule="exact" w:before="0"/>
        <w:ind w:left="549"/>
      </w:pPr>
      <w:r>
        <w:rPr/>
        <w:t>Equol</w:t>
      </w:r>
      <w:r>
        <w:rPr>
          <w:spacing w:val="-4"/>
        </w:rPr>
        <w:t> </w:t>
      </w:r>
      <w:r>
        <w:rPr/>
        <w:t>is</w:t>
      </w:r>
      <w:r>
        <w:rPr>
          <w:spacing w:val="-2"/>
        </w:rPr>
        <w:t> </w:t>
      </w:r>
      <w:r>
        <w:rPr/>
        <w:t>the</w:t>
      </w:r>
      <w:r>
        <w:rPr>
          <w:spacing w:val="-2"/>
        </w:rPr>
        <w:t> </w:t>
      </w:r>
      <w:r>
        <w:rPr/>
        <w:t>active</w:t>
      </w:r>
      <w:r>
        <w:rPr>
          <w:spacing w:val="-2"/>
        </w:rPr>
        <w:t> </w:t>
      </w:r>
      <w:r>
        <w:rPr/>
        <w:t>metabolite</w:t>
      </w:r>
      <w:r>
        <w:rPr>
          <w:spacing w:val="-2"/>
        </w:rPr>
        <w:t> </w:t>
      </w:r>
      <w:r>
        <w:rPr/>
        <w:t>in</w:t>
      </w:r>
      <w:r>
        <w:rPr>
          <w:spacing w:val="-2"/>
        </w:rPr>
        <w:t> </w:t>
      </w:r>
      <w:r>
        <w:rPr/>
        <w:t>all</w:t>
      </w:r>
      <w:r>
        <w:rPr>
          <w:spacing w:val="-2"/>
        </w:rPr>
        <w:t> </w:t>
      </w:r>
      <w:r>
        <w:rPr/>
        <w:t>phytoestrogens.</w:t>
      </w:r>
      <w:r>
        <w:rPr>
          <w:spacing w:val="-3"/>
        </w:rPr>
        <w:t> </w:t>
      </w:r>
      <w:r>
        <w:rPr/>
        <w:t>Interestingly,</w:t>
      </w:r>
      <w:r>
        <w:rPr>
          <w:spacing w:val="5"/>
        </w:rPr>
        <w:t> </w:t>
      </w:r>
      <w:r>
        <w:rPr/>
        <w:t>not</w:t>
      </w:r>
      <w:r>
        <w:rPr>
          <w:spacing w:val="5"/>
        </w:rPr>
        <w:t> </w:t>
      </w:r>
      <w:r>
        <w:rPr>
          <w:spacing w:val="-5"/>
        </w:rPr>
        <w:t>all</w:t>
      </w:r>
    </w:p>
    <w:p>
      <w:pPr>
        <w:pStyle w:val="BodyText"/>
        <w:spacing w:line="249" w:lineRule="auto" w:before="15"/>
        <w:ind w:right="97"/>
      </w:pPr>
      <w:r>
        <w:rPr/>
        <w:t>individuals have the ability to convert phytoestrogens into their </w:t>
      </w:r>
      <w:r>
        <w:rPr/>
        <w:t>active metabolite.</w:t>
      </w:r>
      <w:r>
        <w:rPr>
          <w:vertAlign w:val="superscript"/>
        </w:rPr>
        <w:t>344</w:t>
      </w:r>
      <w:r>
        <w:rPr>
          <w:vertAlign w:val="baseline"/>
        </w:rPr>
        <w:t> Given conflicting results, regarding efficacy, routine use is not recommended, especially with data from a Cochrane review demonstrate no conclusive evidence.</w:t>
      </w:r>
      <w:r>
        <w:rPr>
          <w:vertAlign w:val="superscript"/>
        </w:rPr>
        <w:t>344,409</w:t>
      </w:r>
      <w:r>
        <w:rPr>
          <w:vertAlign w:val="baseline"/>
        </w:rPr>
        <w:t> Furthermore, phytoestrogens are </w:t>
      </w:r>
      <w:r>
        <w:rPr>
          <w:b/>
          <w:vertAlign w:val="baseline"/>
        </w:rPr>
        <w:t>generally </w:t>
      </w:r>
      <w:r>
        <w:rPr>
          <w:vertAlign w:val="baseline"/>
        </w:rPr>
        <w:t>contraindicated in women with hormone-dependent </w:t>
      </w:r>
      <w:r>
        <w:rPr>
          <w:b/>
          <w:vertAlign w:val="baseline"/>
        </w:rPr>
        <w:t>cancers</w:t>
      </w:r>
      <w:r>
        <w:rPr>
          <w:vertAlign w:val="baseline"/>
        </w:rPr>
        <w:t>, thromboembolic disease, or </w:t>
      </w:r>
      <w:r>
        <w:rPr>
          <w:b/>
          <w:vertAlign w:val="baseline"/>
        </w:rPr>
        <w:t>CVD</w:t>
      </w:r>
      <w:r>
        <w:rPr>
          <w:vertAlign w:val="baseline"/>
        </w:rPr>
        <w:t>, as the amount of estrogen from consumption of these products is not known.</w:t>
      </w:r>
      <w:r>
        <w:rPr>
          <w:vertAlign w:val="superscript"/>
        </w:rPr>
        <w:t>344</w:t>
      </w:r>
    </w:p>
    <w:p>
      <w:pPr>
        <w:spacing w:before="308"/>
        <w:ind w:left="99" w:right="0" w:firstLine="0"/>
        <w:jc w:val="both"/>
        <w:rPr>
          <w:rFonts w:ascii="Arial"/>
          <w:b/>
          <w:i/>
          <w:sz w:val="22"/>
        </w:rPr>
      </w:pPr>
      <w:r>
        <w:rPr>
          <w:rFonts w:ascii="Arial"/>
          <w:b/>
          <w:i/>
          <w:color w:val="A0234E"/>
          <w:sz w:val="22"/>
        </w:rPr>
        <w:t>Other</w:t>
      </w:r>
      <w:r>
        <w:rPr>
          <w:rFonts w:ascii="Arial"/>
          <w:b/>
          <w:i/>
          <w:color w:val="A0234E"/>
          <w:spacing w:val="16"/>
          <w:sz w:val="22"/>
        </w:rPr>
        <w:t> </w:t>
      </w:r>
      <w:r>
        <w:rPr>
          <w:rFonts w:ascii="Arial"/>
          <w:b/>
          <w:i/>
          <w:color w:val="A0234E"/>
          <w:sz w:val="22"/>
        </w:rPr>
        <w:t>Alternative</w:t>
      </w:r>
      <w:r>
        <w:rPr>
          <w:rFonts w:ascii="Arial"/>
          <w:b/>
          <w:i/>
          <w:color w:val="A0234E"/>
          <w:spacing w:val="16"/>
          <w:sz w:val="22"/>
        </w:rPr>
        <w:t> </w:t>
      </w:r>
      <w:r>
        <w:rPr>
          <w:rFonts w:ascii="Arial"/>
          <w:b/>
          <w:i/>
          <w:color w:val="A0234E"/>
          <w:sz w:val="22"/>
        </w:rPr>
        <w:t>Therapies</w:t>
      </w:r>
      <w:r>
        <w:rPr>
          <w:rFonts w:ascii="Arial"/>
          <w:b/>
          <w:i/>
          <w:color w:val="A0234E"/>
          <w:spacing w:val="16"/>
          <w:sz w:val="22"/>
        </w:rPr>
        <w:t> </w:t>
      </w:r>
      <w:r>
        <w:rPr>
          <w:rFonts w:ascii="Arial"/>
          <w:b/>
          <w:i/>
          <w:color w:val="A0234E"/>
          <w:sz w:val="22"/>
        </w:rPr>
        <w:t>for</w:t>
      </w:r>
      <w:r>
        <w:rPr>
          <w:rFonts w:ascii="Arial"/>
          <w:b/>
          <w:i/>
          <w:color w:val="A0234E"/>
          <w:spacing w:val="17"/>
          <w:sz w:val="22"/>
        </w:rPr>
        <w:t> </w:t>
      </w:r>
      <w:r>
        <w:rPr>
          <w:rFonts w:ascii="Arial"/>
          <w:b/>
          <w:i/>
          <w:color w:val="A0234E"/>
          <w:spacing w:val="-2"/>
          <w:sz w:val="22"/>
        </w:rPr>
        <w:t>Flushing</w:t>
      </w:r>
    </w:p>
    <w:p>
      <w:pPr>
        <w:spacing w:before="122"/>
        <w:ind w:left="99" w:right="0" w:firstLine="0"/>
        <w:jc w:val="both"/>
        <w:rPr>
          <w:rFonts w:ascii="Arial"/>
          <w:b/>
          <w:sz w:val="22"/>
        </w:rPr>
      </w:pPr>
      <w:r>
        <w:rPr>
          <w:rFonts w:ascii="Arial"/>
          <w:b/>
          <w:sz w:val="22"/>
        </w:rPr>
        <w:t>Red</w:t>
      </w:r>
      <w:r>
        <w:rPr>
          <w:rFonts w:ascii="Arial"/>
          <w:b/>
          <w:spacing w:val="9"/>
          <w:sz w:val="22"/>
        </w:rPr>
        <w:t> </w:t>
      </w:r>
      <w:r>
        <w:rPr>
          <w:rFonts w:ascii="Arial"/>
          <w:b/>
          <w:spacing w:val="-2"/>
          <w:sz w:val="22"/>
        </w:rPr>
        <w:t>Clover</w:t>
      </w:r>
    </w:p>
    <w:p>
      <w:pPr>
        <w:pStyle w:val="BodyText"/>
        <w:spacing w:line="249" w:lineRule="auto" w:before="18"/>
        <w:ind w:right="104"/>
      </w:pPr>
      <w:r>
        <w:rPr/>
        <w:t>Promensil is an extract of red clover (</w:t>
      </w:r>
      <w:r>
        <w:rPr>
          <w:i/>
        </w:rPr>
        <w:t>Trifolium pratense</w:t>
      </w:r>
      <w:r>
        <w:rPr/>
        <w:t>) </w:t>
      </w:r>
      <w:r>
        <w:rPr/>
        <w:t>containing formononetin, biochanin, daidzein, and genistein. Formononetin and biochanin are metabolized to daidzein and genistein, respectively. Red clover is a legume used to enrich nitrogen levels in soils. Promensil is produced</w:t>
      </w:r>
      <w:r>
        <w:rPr>
          <w:spacing w:val="34"/>
        </w:rPr>
        <w:t> </w:t>
      </w:r>
      <w:r>
        <w:rPr/>
        <w:t>by</w:t>
      </w:r>
      <w:r>
        <w:rPr>
          <w:spacing w:val="34"/>
        </w:rPr>
        <w:t> </w:t>
      </w:r>
      <w:r>
        <w:rPr/>
        <w:t>Novogen</w:t>
      </w:r>
      <w:r>
        <w:rPr>
          <w:spacing w:val="34"/>
        </w:rPr>
        <w:t> </w:t>
      </w:r>
      <w:r>
        <w:rPr/>
        <w:t>in</w:t>
      </w:r>
      <w:r>
        <w:rPr>
          <w:spacing w:val="34"/>
        </w:rPr>
        <w:t> </w:t>
      </w:r>
      <w:r>
        <w:rPr/>
        <w:t>Australia</w:t>
      </w:r>
      <w:r>
        <w:rPr>
          <w:spacing w:val="34"/>
        </w:rPr>
        <w:t> </w:t>
      </w:r>
      <w:r>
        <w:rPr/>
        <w:t>and</w:t>
      </w:r>
      <w:r>
        <w:rPr>
          <w:spacing w:val="34"/>
        </w:rPr>
        <w:t> </w:t>
      </w:r>
      <w:r>
        <w:rPr/>
        <w:t>marketed</w:t>
      </w:r>
      <w:r>
        <w:rPr>
          <w:spacing w:val="34"/>
        </w:rPr>
        <w:t> </w:t>
      </w:r>
      <w:r>
        <w:rPr/>
        <w:t>by</w:t>
      </w:r>
      <w:r>
        <w:rPr>
          <w:spacing w:val="34"/>
        </w:rPr>
        <w:t> </w:t>
      </w:r>
      <w:r>
        <w:rPr/>
        <w:t>Solvay</w:t>
      </w:r>
      <w:r>
        <w:rPr>
          <w:spacing w:val="34"/>
        </w:rPr>
        <w:t> </w:t>
      </w:r>
      <w:r>
        <w:rPr/>
        <w:t>in</w:t>
      </w:r>
      <w:r>
        <w:rPr>
          <w:spacing w:val="34"/>
        </w:rPr>
        <w:t> </w:t>
      </w:r>
      <w:r>
        <w:rPr/>
        <w:t>the</w:t>
      </w:r>
      <w:r>
        <w:rPr>
          <w:spacing w:val="34"/>
        </w:rPr>
        <w:t> </w:t>
      </w:r>
      <w:r>
        <w:rPr>
          <w:spacing w:val="-2"/>
        </w:rPr>
        <w:t>United</w:t>
      </w:r>
    </w:p>
    <w:p>
      <w:pPr>
        <w:pStyle w:val="BodyText"/>
        <w:spacing w:after="0" w:line="249" w:lineRule="auto"/>
        <w:sectPr>
          <w:pgSz w:w="12240" w:h="15840"/>
          <w:pgMar w:top="1380" w:bottom="280" w:left="1440" w:right="1440"/>
        </w:sectPr>
      </w:pPr>
    </w:p>
    <w:p>
      <w:pPr>
        <w:pStyle w:val="BodyText"/>
        <w:spacing w:line="249" w:lineRule="auto"/>
        <w:ind w:right="97"/>
      </w:pPr>
      <w:r>
        <w:rPr/>
        <w:t>States. A 500-mg tablet contains 200 to 230 mg of dried extract, which contains 40 mg of isoflavones. Two randomized, placebo-controlled studies of</w:t>
      </w:r>
      <w:r>
        <w:rPr>
          <w:spacing w:val="-8"/>
        </w:rPr>
        <w:t> </w:t>
      </w:r>
      <w:r>
        <w:rPr/>
        <w:t>the</w:t>
      </w:r>
      <w:r>
        <w:rPr>
          <w:spacing w:val="-8"/>
        </w:rPr>
        <w:t> </w:t>
      </w:r>
      <w:r>
        <w:rPr/>
        <w:t>effect</w:t>
      </w:r>
      <w:r>
        <w:rPr>
          <w:spacing w:val="-8"/>
        </w:rPr>
        <w:t> </w:t>
      </w:r>
      <w:r>
        <w:rPr/>
        <w:t>of</w:t>
      </w:r>
      <w:r>
        <w:rPr>
          <w:spacing w:val="-8"/>
        </w:rPr>
        <w:t> </w:t>
      </w:r>
      <w:r>
        <w:rPr/>
        <w:t>Promensil</w:t>
      </w:r>
      <w:r>
        <w:rPr>
          <w:spacing w:val="-8"/>
        </w:rPr>
        <w:t> </w:t>
      </w:r>
      <w:r>
        <w:rPr/>
        <w:t>on</w:t>
      </w:r>
      <w:r>
        <w:rPr>
          <w:spacing w:val="-8"/>
        </w:rPr>
        <w:t> </w:t>
      </w:r>
      <w:r>
        <w:rPr/>
        <w:t>hot</w:t>
      </w:r>
      <w:r>
        <w:rPr>
          <w:spacing w:val="-8"/>
        </w:rPr>
        <w:t> </w:t>
      </w:r>
      <w:r>
        <w:rPr/>
        <w:t>flushes</w:t>
      </w:r>
      <w:r>
        <w:rPr>
          <w:spacing w:val="-8"/>
        </w:rPr>
        <w:t> </w:t>
      </w:r>
      <w:r>
        <w:rPr/>
        <w:t>were</w:t>
      </w:r>
      <w:r>
        <w:rPr>
          <w:spacing w:val="-8"/>
        </w:rPr>
        <w:t> </w:t>
      </w:r>
      <w:r>
        <w:rPr/>
        <w:t>reported</w:t>
      </w:r>
      <w:r>
        <w:rPr>
          <w:spacing w:val="-8"/>
        </w:rPr>
        <w:t> </w:t>
      </w:r>
      <w:r>
        <w:rPr/>
        <w:t>in</w:t>
      </w:r>
      <w:r>
        <w:rPr>
          <w:spacing w:val="-8"/>
        </w:rPr>
        <w:t> </w:t>
      </w:r>
      <w:r>
        <w:rPr/>
        <w:t>1999.</w:t>
      </w:r>
      <w:r>
        <w:rPr>
          <w:vertAlign w:val="superscript"/>
        </w:rPr>
        <w:t>410,411</w:t>
      </w:r>
      <w:r>
        <w:rPr>
          <w:vertAlign w:val="baseline"/>
        </w:rPr>
        <w:t> </w:t>
      </w:r>
      <w:r>
        <w:rPr>
          <w:vertAlign w:val="baseline"/>
        </w:rPr>
        <w:t>Neither demonstrated a significant difference compared with the placebo group. In one of the reports, 4 times the recommended dose (four tablets daily) also had no effect.</w:t>
      </w:r>
      <w:r>
        <w:rPr>
          <w:vertAlign w:val="superscript"/>
        </w:rPr>
        <w:t>411</w:t>
      </w:r>
      <w:r>
        <w:rPr>
          <w:vertAlign w:val="baseline"/>
        </w:rPr>
        <w:t> On the other hand, an appropriately designed Dutch study, two tablets daily, detected a significant reduction of flushing in a 12-week period of time.</w:t>
      </w:r>
      <w:r>
        <w:rPr>
          <w:vertAlign w:val="superscript"/>
        </w:rPr>
        <w:t>412</w:t>
      </w:r>
      <w:r>
        <w:rPr>
          <w:vertAlign w:val="baseline"/>
        </w:rPr>
        <w:t> A large placebo-controlled trial randomized 252 women with severe hot flushing to either Promensil (two tablets daily) or another red clover extract Rimostil (two tablets daily for an intake of 57-mg isoflavones).</w:t>
      </w:r>
      <w:r>
        <w:rPr>
          <w:vertAlign w:val="superscript"/>
        </w:rPr>
        <w:t>413</w:t>
      </w:r>
      <w:r>
        <w:rPr>
          <w:vertAlign w:val="baseline"/>
        </w:rPr>
        <w:t> The quantitative reduction in flushing (about 41% in 12 weeks) was identical in the Promensil, Rimostil, and placebo groups, although Promensil had a very slightly faster response. In another randomized clinical trial, the effect of red clover (a daily intake of 128-mg isoflavones) on VMS was no better than placebo treatment.</w:t>
      </w:r>
      <w:r>
        <w:rPr>
          <w:vertAlign w:val="superscript"/>
        </w:rPr>
        <w:t>414</w:t>
      </w:r>
      <w:r>
        <w:rPr>
          <w:vertAlign w:val="baseline"/>
        </w:rPr>
        <w:t> The best evidence indicates that the impact of red clover on VMS is the same as placebo treatment.</w:t>
      </w:r>
    </w:p>
    <w:p>
      <w:pPr>
        <w:spacing w:line="249" w:lineRule="auto" w:before="21"/>
        <w:ind w:left="99" w:right="97" w:firstLine="450"/>
        <w:jc w:val="both"/>
        <w:rPr>
          <w:b/>
          <w:sz w:val="30"/>
        </w:rPr>
      </w:pPr>
      <w:r>
        <w:rPr>
          <w:b/>
          <w:sz w:val="30"/>
        </w:rPr>
        <w:t>Why do these randomized, blinded, and placebo-controlled </w:t>
      </w:r>
      <w:r>
        <w:rPr>
          <w:b/>
          <w:sz w:val="30"/>
        </w:rPr>
        <w:t>trials lack agreement? One reasonable explanation is that isoflavones have a mild impact on hot flushing, detectable only in women with frequent and severe flushing. A major clinical response should not be expected. Another possibility is the role of equol </w:t>
      </w:r>
      <w:r>
        <w:rPr>
          <w:sz w:val="30"/>
        </w:rPr>
        <w:t>(</w:t>
      </w:r>
      <w:r>
        <w:rPr>
          <w:b/>
          <w:sz w:val="30"/>
        </w:rPr>
        <w:t>see later discussion</w:t>
      </w:r>
      <w:r>
        <w:rPr>
          <w:sz w:val="30"/>
        </w:rPr>
        <w:t>)</w:t>
      </w:r>
      <w:r>
        <w:rPr>
          <w:b/>
          <w:sz w:val="30"/>
        </w:rPr>
        <w:t>.</w:t>
      </w:r>
    </w:p>
    <w:p>
      <w:pPr>
        <w:spacing w:before="304"/>
        <w:ind w:left="99" w:right="0" w:firstLine="0"/>
        <w:jc w:val="both"/>
        <w:rPr>
          <w:rFonts w:ascii="Arial"/>
          <w:b/>
          <w:sz w:val="22"/>
        </w:rPr>
      </w:pPr>
      <w:r>
        <w:rPr>
          <w:rFonts w:ascii="Arial"/>
          <w:b/>
          <w:sz w:val="22"/>
        </w:rPr>
        <w:t>Dong</w:t>
      </w:r>
      <w:r>
        <w:rPr>
          <w:rFonts w:ascii="Arial"/>
          <w:b/>
          <w:spacing w:val="12"/>
          <w:sz w:val="22"/>
        </w:rPr>
        <w:t> </w:t>
      </w:r>
      <w:r>
        <w:rPr>
          <w:rFonts w:ascii="Arial"/>
          <w:b/>
          <w:sz w:val="22"/>
        </w:rPr>
        <w:t>Quai,</w:t>
      </w:r>
      <w:r>
        <w:rPr>
          <w:rFonts w:ascii="Arial"/>
          <w:b/>
          <w:spacing w:val="13"/>
          <w:sz w:val="22"/>
        </w:rPr>
        <w:t> </w:t>
      </w:r>
      <w:r>
        <w:rPr>
          <w:rFonts w:ascii="Arial"/>
          <w:b/>
          <w:sz w:val="22"/>
        </w:rPr>
        <w:t>Ginseng,</w:t>
      </w:r>
      <w:r>
        <w:rPr>
          <w:rFonts w:ascii="Arial"/>
          <w:b/>
          <w:spacing w:val="13"/>
          <w:sz w:val="22"/>
        </w:rPr>
        <w:t> </w:t>
      </w:r>
      <w:r>
        <w:rPr>
          <w:rFonts w:ascii="Arial"/>
          <w:b/>
          <w:sz w:val="22"/>
        </w:rPr>
        <w:t>and</w:t>
      </w:r>
      <w:r>
        <w:rPr>
          <w:rFonts w:ascii="Arial"/>
          <w:b/>
          <w:spacing w:val="13"/>
          <w:sz w:val="22"/>
        </w:rPr>
        <w:t> </w:t>
      </w:r>
      <w:r>
        <w:rPr>
          <w:rFonts w:ascii="Arial"/>
          <w:b/>
          <w:sz w:val="22"/>
        </w:rPr>
        <w:t>Vitamin</w:t>
      </w:r>
      <w:r>
        <w:rPr>
          <w:rFonts w:ascii="Arial"/>
          <w:b/>
          <w:spacing w:val="13"/>
          <w:sz w:val="22"/>
        </w:rPr>
        <w:t> </w:t>
      </w:r>
      <w:r>
        <w:rPr>
          <w:rFonts w:ascii="Arial"/>
          <w:b/>
          <w:spacing w:val="-10"/>
          <w:sz w:val="22"/>
        </w:rPr>
        <w:t>E</w:t>
      </w:r>
    </w:p>
    <w:p>
      <w:pPr>
        <w:pStyle w:val="BodyText"/>
        <w:spacing w:line="249" w:lineRule="auto" w:before="19"/>
        <w:ind w:right="98"/>
      </w:pPr>
      <w:r>
        <w:rPr/>
        <w:t>Dong quai, a Chinese herb, is created from the root of the plant, </w:t>
      </w:r>
      <w:r>
        <w:rPr>
          <w:i/>
        </w:rPr>
        <w:t>Angelica</w:t>
      </w:r>
      <w:r>
        <w:rPr>
          <w:i/>
        </w:rPr>
        <w:t> sinensis.</w:t>
      </w:r>
      <w:r>
        <w:rPr>
          <w:vertAlign w:val="superscript"/>
        </w:rPr>
        <w:t>352</w:t>
      </w:r>
      <w:r>
        <w:rPr>
          <w:vertAlign w:val="baseline"/>
        </w:rPr>
        <w:t> One randomized, placebo-controlled trial examined the effect </w:t>
      </w:r>
      <w:r>
        <w:rPr>
          <w:vertAlign w:val="baseline"/>
        </w:rPr>
        <w:t>of dong quai on hot flushing, where no improvement in VMS or vulvovaginal symptoms was observed.</w:t>
      </w:r>
      <w:r>
        <w:rPr>
          <w:vertAlign w:val="superscript"/>
        </w:rPr>
        <w:t>352</w:t>
      </w:r>
      <w:r>
        <w:rPr>
          <w:vertAlign w:val="baseline"/>
        </w:rPr>
        <w:t> No estrogenic effects could be detected on flushing, endometrium, or vagina; furthermore, it could have potential adverse effects including light sensitivity and increased bleeding risk in those taking warfarin.</w:t>
      </w:r>
      <w:r>
        <w:rPr>
          <w:vertAlign w:val="superscript"/>
        </w:rPr>
        <w:t>352</w:t>
      </w:r>
      <w:r>
        <w:rPr>
          <w:vertAlign w:val="baseline"/>
        </w:rPr>
        <w:t> The effects of ginseng and vitamin E supplementation on VMS have been shown to be comparable to </w:t>
      </w:r>
      <w:r>
        <w:rPr>
          <w:spacing w:val="-2"/>
          <w:vertAlign w:val="baseline"/>
        </w:rPr>
        <w:t>placebo.</w:t>
      </w:r>
      <w:r>
        <w:rPr>
          <w:spacing w:val="-2"/>
          <w:vertAlign w:val="superscript"/>
        </w:rPr>
        <w:t>351,353</w:t>
      </w:r>
    </w:p>
    <w:p>
      <w:pPr>
        <w:spacing w:before="295"/>
        <w:ind w:left="99" w:right="0" w:firstLine="0"/>
        <w:jc w:val="both"/>
        <w:rPr>
          <w:rFonts w:ascii="Arial"/>
          <w:b/>
          <w:sz w:val="22"/>
        </w:rPr>
      </w:pPr>
      <w:r>
        <w:rPr>
          <w:rFonts w:ascii="Arial"/>
          <w:b/>
          <w:sz w:val="22"/>
        </w:rPr>
        <w:t>Evening</w:t>
      </w:r>
      <w:r>
        <w:rPr>
          <w:rFonts w:ascii="Arial"/>
          <w:b/>
          <w:spacing w:val="18"/>
          <w:sz w:val="22"/>
        </w:rPr>
        <w:t> </w:t>
      </w:r>
      <w:r>
        <w:rPr>
          <w:rFonts w:ascii="Arial"/>
          <w:b/>
          <w:spacing w:val="-2"/>
          <w:sz w:val="22"/>
        </w:rPr>
        <w:t>Primrose</w:t>
      </w:r>
    </w:p>
    <w:p>
      <w:pPr>
        <w:spacing w:after="0"/>
        <w:jc w:val="both"/>
        <w:rPr>
          <w:rFonts w:ascii="Arial"/>
          <w:b/>
          <w:sz w:val="22"/>
        </w:rPr>
        <w:sectPr>
          <w:pgSz w:w="12240" w:h="15840"/>
          <w:pgMar w:top="1380" w:bottom="280" w:left="1440" w:right="1440"/>
        </w:sectPr>
      </w:pPr>
    </w:p>
    <w:p>
      <w:pPr>
        <w:pStyle w:val="BodyText"/>
        <w:spacing w:line="249" w:lineRule="auto"/>
        <w:ind w:right="98"/>
      </w:pPr>
      <w:r>
        <w:rPr/>
        <w:t>Evening primrose is often recommended for mastalgia, premenstrual syndrome (PMS), and menopausal symptoms. Evening primrose oil is extracted from the seed of the evening primrose; it provides linoleic and </w:t>
      </w:r>
      <w:r>
        <w:rPr/>
        <w:t>γ-linoleic acids (precursors of prostaglandin E). Appropriately blinded and controlled studies have failed to find any differences comparing primrose</w:t>
      </w:r>
      <w:r>
        <w:rPr>
          <w:spacing w:val="40"/>
        </w:rPr>
        <w:t> </w:t>
      </w:r>
      <w:r>
        <w:rPr/>
        <w:t>oil with placebo.</w:t>
      </w:r>
      <w:r>
        <w:rPr>
          <w:vertAlign w:val="superscript"/>
        </w:rPr>
        <w:t>415-417</w:t>
      </w:r>
    </w:p>
    <w:p>
      <w:pPr>
        <w:spacing w:before="306"/>
        <w:ind w:left="99" w:right="0" w:firstLine="0"/>
        <w:jc w:val="both"/>
        <w:rPr>
          <w:rFonts w:ascii="Arial"/>
          <w:b/>
          <w:sz w:val="22"/>
        </w:rPr>
      </w:pPr>
      <w:r>
        <w:rPr>
          <w:rFonts w:ascii="Arial"/>
          <w:b/>
          <w:sz w:val="22"/>
        </w:rPr>
        <w:t>Black</w:t>
      </w:r>
      <w:r>
        <w:rPr>
          <w:rFonts w:ascii="Arial"/>
          <w:b/>
          <w:spacing w:val="12"/>
          <w:sz w:val="22"/>
        </w:rPr>
        <w:t> </w:t>
      </w:r>
      <w:r>
        <w:rPr>
          <w:rFonts w:ascii="Arial"/>
          <w:b/>
          <w:spacing w:val="-2"/>
          <w:sz w:val="22"/>
        </w:rPr>
        <w:t>Cohosh</w:t>
      </w:r>
    </w:p>
    <w:p>
      <w:pPr>
        <w:pStyle w:val="BodyText"/>
        <w:spacing w:line="249" w:lineRule="auto" w:before="18"/>
        <w:ind w:right="98"/>
      </w:pPr>
      <w:r>
        <w:rPr/>
        <w:t>Black cohosh (</w:t>
      </w:r>
      <w:r>
        <w:rPr>
          <w:i/>
        </w:rPr>
        <w:t>Cimicifuga racemosa</w:t>
      </w:r>
      <w:r>
        <w:rPr/>
        <w:t>), also called </w:t>
      </w:r>
      <w:r>
        <w:rPr>
          <w:i/>
        </w:rPr>
        <w:t>black snakeroot </w:t>
      </w:r>
      <w:r>
        <w:rPr>
          <w:i/>
        </w:rPr>
        <w:t>and</w:t>
      </w:r>
      <w:r>
        <w:rPr>
          <w:i/>
        </w:rPr>
        <w:t> bugbane</w:t>
      </w:r>
      <w:r>
        <w:rPr/>
        <w:t>, has been widely promoted to treat hot flashes. Most of the early reports supporting the efficacy of black cohosh were case series or studies without placebo-controlled groups, or the studies did not directly and quantitatively measure hot flushing. Black cohosh has been suggested to contain formononetin, a methylated precursor that is metabolized to the two primary phytoestrogens, genistein and daidzein. More sophisticated analysis, however, using liquid chromatography methods, has failed to detect the presence of formononetin in various black cohosh preparations, nor in black cohosh roots and rhizomes.</w:t>
      </w:r>
      <w:r>
        <w:rPr>
          <w:vertAlign w:val="superscript"/>
        </w:rPr>
        <w:t>418</w:t>
      </w:r>
    </w:p>
    <w:p>
      <w:pPr>
        <w:pStyle w:val="BodyText"/>
        <w:spacing w:line="249" w:lineRule="auto" w:before="12"/>
        <w:ind w:right="98" w:firstLine="450"/>
      </w:pPr>
      <w:r>
        <w:rPr/>
        <w:t>An older clinical trial was noteworthy and alone in finding a similar impact on hot flushing with black cohosh and placebo treatment.</w:t>
      </w:r>
      <w:r>
        <w:rPr>
          <w:vertAlign w:val="superscript"/>
        </w:rPr>
        <w:t>354</w:t>
      </w:r>
      <w:r>
        <w:rPr>
          <w:vertAlign w:val="baseline"/>
        </w:rPr>
        <w:t> Well-designed trials are confirming that early study is providing us with a uniform story. The Herbal Alternatives for Menopause (HALT) study is centered in Seattle, Washington. This double-blind trial randomized 351 women</w:t>
      </w:r>
      <w:r>
        <w:rPr>
          <w:spacing w:val="-3"/>
          <w:vertAlign w:val="baseline"/>
        </w:rPr>
        <w:t> </w:t>
      </w:r>
      <w:r>
        <w:rPr>
          <w:vertAlign w:val="baseline"/>
        </w:rPr>
        <w:t>to</w:t>
      </w:r>
      <w:r>
        <w:rPr>
          <w:spacing w:val="-3"/>
          <w:vertAlign w:val="baseline"/>
        </w:rPr>
        <w:t> </w:t>
      </w:r>
      <w:r>
        <w:rPr>
          <w:vertAlign w:val="baseline"/>
        </w:rPr>
        <w:t>placebo</w:t>
      </w:r>
      <w:r>
        <w:rPr>
          <w:spacing w:val="-3"/>
          <w:vertAlign w:val="baseline"/>
        </w:rPr>
        <w:t> </w:t>
      </w:r>
      <w:r>
        <w:rPr>
          <w:vertAlign w:val="baseline"/>
        </w:rPr>
        <w:t>or</w:t>
      </w:r>
      <w:r>
        <w:rPr>
          <w:spacing w:val="-3"/>
          <w:vertAlign w:val="baseline"/>
        </w:rPr>
        <w:t> </w:t>
      </w:r>
      <w:r>
        <w:rPr>
          <w:vertAlign w:val="baseline"/>
        </w:rPr>
        <w:t>one</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four</w:t>
      </w:r>
      <w:r>
        <w:rPr>
          <w:spacing w:val="-3"/>
          <w:vertAlign w:val="baseline"/>
        </w:rPr>
        <w:t> </w:t>
      </w:r>
      <w:r>
        <w:rPr>
          <w:vertAlign w:val="baseline"/>
        </w:rPr>
        <w:t>treatment</w:t>
      </w:r>
      <w:r>
        <w:rPr>
          <w:spacing w:val="-3"/>
          <w:vertAlign w:val="baseline"/>
        </w:rPr>
        <w:t> </w:t>
      </w:r>
      <w:r>
        <w:rPr>
          <w:vertAlign w:val="baseline"/>
        </w:rPr>
        <w:t>groups:</w:t>
      </w:r>
      <w:r>
        <w:rPr>
          <w:spacing w:val="-3"/>
          <w:vertAlign w:val="baseline"/>
        </w:rPr>
        <w:t> </w:t>
      </w:r>
      <w:r>
        <w:rPr>
          <w:vertAlign w:val="baseline"/>
        </w:rPr>
        <w:t>(1)</w:t>
      </w:r>
      <w:r>
        <w:rPr>
          <w:spacing w:val="-3"/>
          <w:vertAlign w:val="baseline"/>
        </w:rPr>
        <w:t> </w:t>
      </w:r>
      <w:r>
        <w:rPr>
          <w:vertAlign w:val="baseline"/>
        </w:rPr>
        <w:t>black</w:t>
      </w:r>
      <w:r>
        <w:rPr>
          <w:spacing w:val="-3"/>
          <w:vertAlign w:val="baseline"/>
        </w:rPr>
        <w:t> </w:t>
      </w:r>
      <w:r>
        <w:rPr>
          <w:vertAlign w:val="baseline"/>
        </w:rPr>
        <w:t>cohosh</w:t>
      </w:r>
      <w:r>
        <w:rPr>
          <w:spacing w:val="-3"/>
          <w:vertAlign w:val="baseline"/>
        </w:rPr>
        <w:t> </w:t>
      </w:r>
      <w:r>
        <w:rPr>
          <w:vertAlign w:val="baseline"/>
        </w:rPr>
        <w:t>160 mg daily (note the higher dose); (2) a multibotanical treatment containing 50-mg black cohosh, alfalfa, chaste tree, dong quai, false unicorn, licorice, oats, pomegranate, and Siberian ginseng, four capsules daily; (3) the multibotanical plus counseling to increase dietary soy intake; and (4) conjugated estrogens 0.625 mg with or without 2.5-mg MPA.</w:t>
      </w:r>
      <w:r>
        <w:rPr>
          <w:vertAlign w:val="superscript"/>
        </w:rPr>
        <w:t>419</w:t>
      </w:r>
      <w:r>
        <w:rPr>
          <w:vertAlign w:val="baseline"/>
        </w:rPr>
        <w:t> After 1 year, no differences were observed in hot flushing comparing any of the three</w:t>
      </w:r>
      <w:r>
        <w:rPr>
          <w:spacing w:val="-5"/>
          <w:vertAlign w:val="baseline"/>
        </w:rPr>
        <w:t> </w:t>
      </w:r>
      <w:r>
        <w:rPr>
          <w:vertAlign w:val="baseline"/>
        </w:rPr>
        <w:t>herbal</w:t>
      </w:r>
      <w:r>
        <w:rPr>
          <w:spacing w:val="-5"/>
          <w:vertAlign w:val="baseline"/>
        </w:rPr>
        <w:t> </w:t>
      </w:r>
      <w:r>
        <w:rPr>
          <w:vertAlign w:val="baseline"/>
        </w:rPr>
        <w:t>treatment</w:t>
      </w:r>
      <w:r>
        <w:rPr>
          <w:spacing w:val="-5"/>
          <w:vertAlign w:val="baseline"/>
        </w:rPr>
        <w:t> </w:t>
      </w:r>
      <w:r>
        <w:rPr>
          <w:vertAlign w:val="baseline"/>
        </w:rPr>
        <w:t>groups</w:t>
      </w:r>
      <w:r>
        <w:rPr>
          <w:spacing w:val="-5"/>
          <w:vertAlign w:val="baseline"/>
        </w:rPr>
        <w:t> </w:t>
      </w:r>
      <w:r>
        <w:rPr>
          <w:vertAlign w:val="baseline"/>
        </w:rPr>
        <w:t>to</w:t>
      </w:r>
      <w:r>
        <w:rPr>
          <w:spacing w:val="-5"/>
          <w:vertAlign w:val="baseline"/>
        </w:rPr>
        <w:t> </w:t>
      </w:r>
      <w:r>
        <w:rPr>
          <w:vertAlign w:val="baseline"/>
        </w:rPr>
        <w:t>placebo.</w:t>
      </w:r>
      <w:r>
        <w:rPr>
          <w:vertAlign w:val="superscript"/>
        </w:rPr>
        <w:t>419</w:t>
      </w:r>
      <w:r>
        <w:rPr>
          <w:spacing w:val="-3"/>
          <w:vertAlign w:val="baseline"/>
        </w:rPr>
        <w:t> </w:t>
      </w:r>
      <w:r>
        <w:rPr>
          <w:vertAlign w:val="baseline"/>
        </w:rPr>
        <w:t>The</w:t>
      </w:r>
      <w:r>
        <w:rPr>
          <w:spacing w:val="-3"/>
          <w:vertAlign w:val="baseline"/>
        </w:rPr>
        <w:t> </w:t>
      </w:r>
      <w:r>
        <w:rPr>
          <w:vertAlign w:val="baseline"/>
        </w:rPr>
        <w:t>herbal</w:t>
      </w:r>
      <w:r>
        <w:rPr>
          <w:spacing w:val="-3"/>
          <w:vertAlign w:val="baseline"/>
        </w:rPr>
        <w:t> </w:t>
      </w:r>
      <w:r>
        <w:rPr>
          <w:vertAlign w:val="baseline"/>
        </w:rPr>
        <w:t>remedies</w:t>
      </w:r>
      <w:r>
        <w:rPr>
          <w:spacing w:val="-3"/>
          <w:vertAlign w:val="baseline"/>
        </w:rPr>
        <w:t> </w:t>
      </w:r>
      <w:r>
        <w:rPr>
          <w:vertAlign w:val="baseline"/>
        </w:rPr>
        <w:t>also</w:t>
      </w:r>
      <w:r>
        <w:rPr>
          <w:spacing w:val="-3"/>
          <w:vertAlign w:val="baseline"/>
        </w:rPr>
        <w:t> </w:t>
      </w:r>
      <w:r>
        <w:rPr>
          <w:vertAlign w:val="baseline"/>
        </w:rPr>
        <w:t>had</w:t>
      </w:r>
      <w:r>
        <w:rPr>
          <w:spacing w:val="-3"/>
          <w:vertAlign w:val="baseline"/>
        </w:rPr>
        <w:t> </w:t>
      </w:r>
      <w:r>
        <w:rPr>
          <w:vertAlign w:val="baseline"/>
        </w:rPr>
        <w:t>no effect on sleep quality as reported after 3 months.</w:t>
      </w:r>
      <w:r>
        <w:rPr>
          <w:vertAlign w:val="superscript"/>
        </w:rPr>
        <w:t>420</w:t>
      </w:r>
    </w:p>
    <w:p>
      <w:pPr>
        <w:pStyle w:val="BodyText"/>
        <w:spacing w:line="249" w:lineRule="auto" w:before="18"/>
        <w:ind w:right="102" w:firstLine="450"/>
      </w:pPr>
      <w:r>
        <w:rPr/>
        <w:t>A randomized trial in Chicago compared black cohosh, 128 mg, and </w:t>
      </w:r>
      <w:r>
        <w:rPr/>
        <w:t>red clover,</w:t>
      </w:r>
      <w:r>
        <w:rPr>
          <w:spacing w:val="-1"/>
        </w:rPr>
        <w:t> </w:t>
      </w:r>
      <w:r>
        <w:rPr/>
        <w:t>120</w:t>
      </w:r>
      <w:r>
        <w:rPr>
          <w:spacing w:val="-1"/>
        </w:rPr>
        <w:t> </w:t>
      </w:r>
      <w:r>
        <w:rPr/>
        <w:t>mg,</w:t>
      </w:r>
      <w:r>
        <w:rPr>
          <w:spacing w:val="-1"/>
        </w:rPr>
        <w:t> </w:t>
      </w:r>
      <w:r>
        <w:rPr/>
        <w:t>to</w:t>
      </w:r>
      <w:r>
        <w:rPr>
          <w:spacing w:val="-1"/>
        </w:rPr>
        <w:t> </w:t>
      </w:r>
      <w:r>
        <w:rPr/>
        <w:t>standard</w:t>
      </w:r>
      <w:r>
        <w:rPr>
          <w:spacing w:val="-1"/>
        </w:rPr>
        <w:t> </w:t>
      </w:r>
      <w:r>
        <w:rPr/>
        <w:t>HT</w:t>
      </w:r>
      <w:r>
        <w:rPr>
          <w:spacing w:val="-1"/>
        </w:rPr>
        <w:t> </w:t>
      </w:r>
      <w:r>
        <w:rPr/>
        <w:t>and</w:t>
      </w:r>
      <w:r>
        <w:rPr>
          <w:spacing w:val="-1"/>
        </w:rPr>
        <w:t> </w:t>
      </w:r>
      <w:r>
        <w:rPr/>
        <w:t>placebo</w:t>
      </w:r>
      <w:r>
        <w:rPr>
          <w:spacing w:val="-1"/>
        </w:rPr>
        <w:t> </w:t>
      </w:r>
      <w:r>
        <w:rPr/>
        <w:t>treatment.</w:t>
      </w:r>
      <w:r>
        <w:rPr>
          <w:vertAlign w:val="superscript"/>
        </w:rPr>
        <w:t>414</w:t>
      </w:r>
      <w:r>
        <w:rPr>
          <w:spacing w:val="-1"/>
          <w:vertAlign w:val="baseline"/>
        </w:rPr>
        <w:t> </w:t>
      </w:r>
      <w:r>
        <w:rPr>
          <w:vertAlign w:val="baseline"/>
        </w:rPr>
        <w:t>Over a period of 1 year,</w:t>
      </w:r>
      <w:r>
        <w:rPr>
          <w:spacing w:val="-1"/>
          <w:vertAlign w:val="baseline"/>
        </w:rPr>
        <w:t> </w:t>
      </w:r>
      <w:r>
        <w:rPr>
          <w:vertAlign w:val="baseline"/>
        </w:rPr>
        <w:t>only</w:t>
      </w:r>
      <w:r>
        <w:rPr>
          <w:spacing w:val="-1"/>
          <w:vertAlign w:val="baseline"/>
        </w:rPr>
        <w:t> </w:t>
      </w:r>
      <w:r>
        <w:rPr>
          <w:vertAlign w:val="baseline"/>
        </w:rPr>
        <w:t>HT</w:t>
      </w:r>
      <w:r>
        <w:rPr>
          <w:spacing w:val="-1"/>
          <w:vertAlign w:val="baseline"/>
        </w:rPr>
        <w:t> </w:t>
      </w:r>
      <w:r>
        <w:rPr>
          <w:vertAlign w:val="baseline"/>
        </w:rPr>
        <w:t>reduced</w:t>
      </w:r>
      <w:r>
        <w:rPr>
          <w:spacing w:val="-1"/>
          <w:vertAlign w:val="baseline"/>
        </w:rPr>
        <w:t> </w:t>
      </w:r>
      <w:r>
        <w:rPr>
          <w:vertAlign w:val="baseline"/>
        </w:rPr>
        <w:t>VMS</w:t>
      </w:r>
      <w:r>
        <w:rPr>
          <w:spacing w:val="-1"/>
          <w:vertAlign w:val="baseline"/>
        </w:rPr>
        <w:t> </w:t>
      </w:r>
      <w:r>
        <w:rPr>
          <w:vertAlign w:val="baseline"/>
        </w:rPr>
        <w:t>greater</w:t>
      </w:r>
      <w:r>
        <w:rPr>
          <w:spacing w:val="-1"/>
          <w:vertAlign w:val="baseline"/>
        </w:rPr>
        <w:t> </w:t>
      </w:r>
      <w:r>
        <w:rPr>
          <w:vertAlign w:val="baseline"/>
        </w:rPr>
        <w:t>than</w:t>
      </w:r>
      <w:r>
        <w:rPr>
          <w:spacing w:val="-1"/>
          <w:vertAlign w:val="baseline"/>
        </w:rPr>
        <w:t> </w:t>
      </w:r>
      <w:r>
        <w:rPr>
          <w:vertAlign w:val="baseline"/>
        </w:rPr>
        <w:t>placebo.</w:t>
      </w:r>
      <w:r>
        <w:rPr>
          <w:spacing w:val="-1"/>
          <w:vertAlign w:val="baseline"/>
        </w:rPr>
        <w:t> </w:t>
      </w:r>
      <w:r>
        <w:rPr>
          <w:vertAlign w:val="baseline"/>
        </w:rPr>
        <w:t>In</w:t>
      </w:r>
      <w:r>
        <w:rPr>
          <w:spacing w:val="-1"/>
          <w:vertAlign w:val="baseline"/>
        </w:rPr>
        <w:t> </w:t>
      </w:r>
      <w:r>
        <w:rPr>
          <w:vertAlign w:val="baseline"/>
        </w:rPr>
        <w:t>this</w:t>
      </w:r>
      <w:r>
        <w:rPr>
          <w:spacing w:val="-1"/>
          <w:vertAlign w:val="baseline"/>
        </w:rPr>
        <w:t> </w:t>
      </w:r>
      <w:r>
        <w:rPr>
          <w:vertAlign w:val="baseline"/>
        </w:rPr>
        <w:t>same</w:t>
      </w:r>
      <w:r>
        <w:rPr>
          <w:spacing w:val="-1"/>
          <w:vertAlign w:val="baseline"/>
        </w:rPr>
        <w:t> </w:t>
      </w:r>
      <w:r>
        <w:rPr>
          <w:vertAlign w:val="baseline"/>
        </w:rPr>
        <w:t>clinical</w:t>
      </w:r>
      <w:r>
        <w:rPr>
          <w:spacing w:val="-1"/>
          <w:vertAlign w:val="baseline"/>
        </w:rPr>
        <w:t> </w:t>
      </w:r>
      <w:r>
        <w:rPr>
          <w:vertAlign w:val="baseline"/>
        </w:rPr>
        <w:t>trial, neither</w:t>
      </w:r>
      <w:r>
        <w:rPr>
          <w:spacing w:val="68"/>
          <w:vertAlign w:val="baseline"/>
        </w:rPr>
        <w:t> </w:t>
      </w:r>
      <w:r>
        <w:rPr>
          <w:vertAlign w:val="baseline"/>
        </w:rPr>
        <w:t>black</w:t>
      </w:r>
      <w:r>
        <w:rPr>
          <w:spacing w:val="68"/>
          <w:vertAlign w:val="baseline"/>
        </w:rPr>
        <w:t> </w:t>
      </w:r>
      <w:r>
        <w:rPr>
          <w:vertAlign w:val="baseline"/>
        </w:rPr>
        <w:t>cohosh</w:t>
      </w:r>
      <w:r>
        <w:rPr>
          <w:spacing w:val="68"/>
          <w:vertAlign w:val="baseline"/>
        </w:rPr>
        <w:t> </w:t>
      </w:r>
      <w:r>
        <w:rPr>
          <w:vertAlign w:val="baseline"/>
        </w:rPr>
        <w:t>nor</w:t>
      </w:r>
      <w:r>
        <w:rPr>
          <w:spacing w:val="68"/>
          <w:vertAlign w:val="baseline"/>
        </w:rPr>
        <w:t> </w:t>
      </w:r>
      <w:r>
        <w:rPr>
          <w:vertAlign w:val="baseline"/>
        </w:rPr>
        <w:t>red</w:t>
      </w:r>
      <w:r>
        <w:rPr>
          <w:spacing w:val="68"/>
          <w:vertAlign w:val="baseline"/>
        </w:rPr>
        <w:t> </w:t>
      </w:r>
      <w:r>
        <w:rPr>
          <w:vertAlign w:val="baseline"/>
        </w:rPr>
        <w:t>clover</w:t>
      </w:r>
      <w:r>
        <w:rPr>
          <w:spacing w:val="68"/>
          <w:vertAlign w:val="baseline"/>
        </w:rPr>
        <w:t> </w:t>
      </w:r>
      <w:r>
        <w:rPr>
          <w:vertAlign w:val="baseline"/>
        </w:rPr>
        <w:t>had</w:t>
      </w:r>
      <w:r>
        <w:rPr>
          <w:spacing w:val="68"/>
          <w:vertAlign w:val="baseline"/>
        </w:rPr>
        <w:t> </w:t>
      </w:r>
      <w:r>
        <w:rPr>
          <w:vertAlign w:val="baseline"/>
        </w:rPr>
        <w:t>an</w:t>
      </w:r>
      <w:r>
        <w:rPr>
          <w:spacing w:val="68"/>
          <w:vertAlign w:val="baseline"/>
        </w:rPr>
        <w:t> </w:t>
      </w:r>
      <w:r>
        <w:rPr>
          <w:vertAlign w:val="baseline"/>
        </w:rPr>
        <w:t>impact</w:t>
      </w:r>
      <w:r>
        <w:rPr>
          <w:spacing w:val="68"/>
          <w:vertAlign w:val="baseline"/>
        </w:rPr>
        <w:t> </w:t>
      </w:r>
      <w:r>
        <w:rPr>
          <w:vertAlign w:val="baseline"/>
        </w:rPr>
        <w:t>on</w:t>
      </w:r>
      <w:r>
        <w:rPr>
          <w:spacing w:val="68"/>
          <w:vertAlign w:val="baseline"/>
        </w:rPr>
        <w:t> </w:t>
      </w:r>
      <w:r>
        <w:rPr>
          <w:vertAlign w:val="baseline"/>
        </w:rPr>
        <w:t>the</w:t>
      </w:r>
      <w:r>
        <w:rPr>
          <w:spacing w:val="68"/>
          <w:vertAlign w:val="baseline"/>
        </w:rPr>
        <w:t> </w:t>
      </w:r>
      <w:r>
        <w:rPr>
          <w:vertAlign w:val="baseline"/>
        </w:rPr>
        <w:t>measures</w:t>
      </w:r>
      <w:r>
        <w:rPr>
          <w:spacing w:val="68"/>
          <w:vertAlign w:val="baseline"/>
        </w:rPr>
        <w:t> </w:t>
      </w:r>
      <w:r>
        <w:rPr>
          <w:spacing w:val="-5"/>
          <w:vertAlign w:val="baseline"/>
        </w:rPr>
        <w:t>of</w:t>
      </w:r>
    </w:p>
    <w:p>
      <w:pPr>
        <w:pStyle w:val="BodyText"/>
        <w:spacing w:after="0" w:line="249" w:lineRule="auto"/>
        <w:sectPr>
          <w:pgSz w:w="12240" w:h="15840"/>
          <w:pgMar w:top="1380" w:bottom="280" w:left="1440" w:right="1440"/>
        </w:sectPr>
      </w:pPr>
    </w:p>
    <w:p>
      <w:pPr>
        <w:pStyle w:val="BodyText"/>
        <w:spacing w:line="249" w:lineRule="auto"/>
        <w:ind w:right="98"/>
      </w:pPr>
      <w:r>
        <w:rPr/>
        <w:t>cognition.</w:t>
      </w:r>
      <w:r>
        <w:rPr>
          <w:vertAlign w:val="superscript"/>
        </w:rPr>
        <w:t>421</w:t>
      </w:r>
      <w:r>
        <w:rPr>
          <w:vertAlign w:val="baseline"/>
        </w:rPr>
        <w:t> A Mayo Clinic study reported the results of a double-</w:t>
      </w:r>
      <w:r>
        <w:rPr>
          <w:vertAlign w:val="baseline"/>
        </w:rPr>
        <w:t>blind, randomized, crossover clinical trial to assess the efficacy of black cohosh for the treatment of menopausal hot flushes.</w:t>
      </w:r>
      <w:r>
        <w:rPr>
          <w:vertAlign w:val="superscript"/>
        </w:rPr>
        <w:t>358</w:t>
      </w:r>
      <w:r>
        <w:rPr>
          <w:vertAlign w:val="baseline"/>
        </w:rPr>
        <w:t> The dose was 20 mg b.i.d., the dose of the most commonly marketed black cohosh product in the United States. The similarity of the studied product with Remifemin was confirmed by high-performance liquid chromatography and proton nuclear magnetic resonance analysis. One hundred and thirty-two patients were treated for two 4-week crossover periods. Black cohosh reduced hot flushing scores by 20% in the fourth treatment week compared with 27% in the placebo group, and frequency was reduced 17% on black cohosh and 26% on placebo. A randomized trial in Australia found no difference between placebo and a combination of black cohosh with Chinese herbs.</w:t>
      </w:r>
      <w:r>
        <w:rPr>
          <w:vertAlign w:val="superscript"/>
        </w:rPr>
        <w:t>422</w:t>
      </w:r>
    </w:p>
    <w:p>
      <w:pPr>
        <w:spacing w:line="249" w:lineRule="auto" w:before="14"/>
        <w:ind w:left="99" w:right="111" w:firstLine="450"/>
        <w:jc w:val="both"/>
        <w:rPr>
          <w:b/>
          <w:sz w:val="30"/>
        </w:rPr>
      </w:pPr>
      <w:r>
        <w:rPr>
          <w:b/>
          <w:sz w:val="30"/>
        </w:rPr>
        <w:t>Black cohosh is not estrogenic, and black cohosh has no effect </w:t>
      </w:r>
      <w:r>
        <w:rPr>
          <w:b/>
          <w:sz w:val="30"/>
        </w:rPr>
        <w:t>on menopausal symptoms.</w:t>
      </w:r>
    </w:p>
    <w:p>
      <w:pPr>
        <w:pStyle w:val="BodyText"/>
        <w:spacing w:line="249" w:lineRule="auto" w:before="3"/>
        <w:ind w:right="98" w:firstLine="450"/>
      </w:pPr>
      <w:r>
        <w:rPr/>
        <w:t>An expert committee of the US Pharmacopoeia concluded that black cohosh may be associated with hepatotoxicity; however, a European </w:t>
      </w:r>
      <w:r>
        <w:rPr/>
        <w:t>review of cases with hepatotoxicity emphasized the difficulty in establishing a cause-effect relationship.</w:t>
      </w:r>
      <w:r>
        <w:rPr>
          <w:vertAlign w:val="superscript"/>
        </w:rPr>
        <w:t>423,424</w:t>
      </w:r>
      <w:r>
        <w:rPr>
          <w:vertAlign w:val="baseline"/>
        </w:rPr>
        <w:t> Hepatotoxicity remains a concern, awaiting the accumulation of definitive data.</w:t>
      </w:r>
    </w:p>
    <w:p>
      <w:pPr>
        <w:pStyle w:val="BodyText"/>
        <w:spacing w:before="50"/>
        <w:ind w:left="0"/>
        <w:jc w:val="left"/>
      </w:pPr>
    </w:p>
    <w:p>
      <w:pPr>
        <w:spacing w:before="0"/>
        <w:ind w:left="99" w:right="0" w:firstLine="0"/>
        <w:jc w:val="both"/>
        <w:rPr>
          <w:rFonts w:ascii="Arial"/>
          <w:b/>
          <w:sz w:val="30"/>
        </w:rPr>
      </w:pPr>
      <w:r>
        <w:rPr>
          <w:rFonts w:ascii="Arial"/>
          <w:b/>
          <w:color w:val="2674AE"/>
          <w:sz w:val="30"/>
        </w:rPr>
        <w:t>Ginkgo </w:t>
      </w:r>
      <w:r>
        <w:rPr>
          <w:rFonts w:ascii="Arial"/>
          <w:b/>
          <w:color w:val="2674AE"/>
          <w:spacing w:val="-2"/>
          <w:sz w:val="30"/>
        </w:rPr>
        <w:t>Biloba</w:t>
      </w:r>
    </w:p>
    <w:p>
      <w:pPr>
        <w:pStyle w:val="BodyText"/>
        <w:spacing w:line="249" w:lineRule="auto" w:before="166"/>
        <w:ind w:right="98"/>
      </w:pPr>
      <w:r>
        <w:rPr/>
        <w:t>Ginkgo biloba is an extract prepared from the leaves of the </w:t>
      </w:r>
      <w:r>
        <w:rPr>
          <w:i/>
        </w:rPr>
        <w:t>Ginkgo biloba</w:t>
      </w:r>
      <w:r>
        <w:rPr>
          <w:i/>
        </w:rPr>
        <w:t> </w:t>
      </w:r>
      <w:r>
        <w:rPr/>
        <w:t>tree. It contains flavonoids and unique terpene lactones. </w:t>
      </w:r>
      <w:r>
        <w:rPr>
          <w:i/>
        </w:rPr>
        <w:t>G. biloba </w:t>
      </w:r>
      <w:r>
        <w:rPr/>
        <w:t>is a multimillion-dollar herb sold in the United States for the preservation </w:t>
      </w:r>
      <w:r>
        <w:rPr/>
        <w:t>of memory. In vitro studies suggested that ginkgo had antioxidant (from the flavonoids)</w:t>
      </w:r>
      <w:r>
        <w:rPr>
          <w:spacing w:val="-4"/>
        </w:rPr>
        <w:t> </w:t>
      </w:r>
      <w:r>
        <w:rPr/>
        <w:t>and</w:t>
      </w:r>
      <w:r>
        <w:rPr>
          <w:spacing w:val="-4"/>
        </w:rPr>
        <w:t> </w:t>
      </w:r>
      <w:r>
        <w:rPr/>
        <w:t>antiamyloid</w:t>
      </w:r>
      <w:r>
        <w:rPr>
          <w:spacing w:val="-4"/>
        </w:rPr>
        <w:t> </w:t>
      </w:r>
      <w:r>
        <w:rPr/>
        <w:t>(from</w:t>
      </w:r>
      <w:r>
        <w:rPr>
          <w:spacing w:val="-4"/>
        </w:rPr>
        <w:t> </w:t>
      </w:r>
      <w:r>
        <w:rPr/>
        <w:t>the</w:t>
      </w:r>
      <w:r>
        <w:rPr>
          <w:spacing w:val="-4"/>
        </w:rPr>
        <w:t> </w:t>
      </w:r>
      <w:r>
        <w:rPr/>
        <w:t>lactones)</w:t>
      </w:r>
      <w:r>
        <w:rPr>
          <w:spacing w:val="-4"/>
        </w:rPr>
        <w:t> </w:t>
      </w:r>
      <w:r>
        <w:rPr/>
        <w:t>effects.</w:t>
      </w:r>
      <w:r>
        <w:rPr>
          <w:spacing w:val="-5"/>
        </w:rPr>
        <w:t> </w:t>
      </w:r>
      <w:r>
        <w:rPr/>
        <w:t>Indeed,</w:t>
      </w:r>
      <w:r>
        <w:rPr>
          <w:spacing w:val="-4"/>
        </w:rPr>
        <w:t> </w:t>
      </w:r>
      <w:r>
        <w:rPr/>
        <w:t>the</w:t>
      </w:r>
      <w:r>
        <w:rPr>
          <w:spacing w:val="-4"/>
        </w:rPr>
        <w:t> </w:t>
      </w:r>
      <w:r>
        <w:rPr/>
        <w:t>biologic studies provided a rationale for the use of ginkgo to prevent dementia.</w:t>
      </w:r>
    </w:p>
    <w:p>
      <w:pPr>
        <w:pStyle w:val="BodyText"/>
        <w:spacing w:line="249" w:lineRule="auto" w:before="7"/>
        <w:ind w:right="100" w:firstLine="450"/>
      </w:pPr>
      <w:r>
        <w:rPr/>
        <w:t>A randomized, double-blind, placebo-controlled trial comparing </w:t>
      </w:r>
      <w:r>
        <w:rPr>
          <w:i/>
        </w:rPr>
        <w:t>G.</w:t>
      </w:r>
      <w:r>
        <w:rPr>
          <w:i/>
        </w:rPr>
        <w:t> biloba </w:t>
      </w:r>
      <w:r>
        <w:rPr/>
        <w:t>with placebo for the prevention of dementia enrolled 3,069 older individuals (over age 75) in five academic centers in the United States.</w:t>
      </w:r>
      <w:r>
        <w:rPr>
          <w:vertAlign w:val="superscript"/>
        </w:rPr>
        <w:t>425,426</w:t>
      </w:r>
      <w:r>
        <w:rPr>
          <w:vertAlign w:val="baseline"/>
        </w:rPr>
        <w:t> The participants were randomized to b.i.d. doses of 120-mg ginkgo or placebo (45% female in the ginkgo group and 47% female in the placebo group). The ginkgo formulation and dosage were that used in many of the brands sold in the United States. The dementia rate steadily increased in both</w:t>
      </w:r>
      <w:r>
        <w:rPr>
          <w:spacing w:val="30"/>
          <w:vertAlign w:val="baseline"/>
        </w:rPr>
        <w:t> </w:t>
      </w:r>
      <w:r>
        <w:rPr>
          <w:vertAlign w:val="baseline"/>
        </w:rPr>
        <w:t>groups</w:t>
      </w:r>
      <w:r>
        <w:rPr>
          <w:spacing w:val="30"/>
          <w:vertAlign w:val="baseline"/>
        </w:rPr>
        <w:t> </w:t>
      </w:r>
      <w:r>
        <w:rPr>
          <w:vertAlign w:val="baseline"/>
        </w:rPr>
        <w:t>over</w:t>
      </w:r>
      <w:r>
        <w:rPr>
          <w:spacing w:val="30"/>
          <w:vertAlign w:val="baseline"/>
        </w:rPr>
        <w:t> </w:t>
      </w:r>
      <w:r>
        <w:rPr>
          <w:vertAlign w:val="baseline"/>
        </w:rPr>
        <w:t>a</w:t>
      </w:r>
      <w:r>
        <w:rPr>
          <w:spacing w:val="30"/>
          <w:vertAlign w:val="baseline"/>
        </w:rPr>
        <w:t> </w:t>
      </w:r>
      <w:r>
        <w:rPr>
          <w:vertAlign w:val="baseline"/>
        </w:rPr>
        <w:t>7-year</w:t>
      </w:r>
      <w:r>
        <w:rPr>
          <w:spacing w:val="30"/>
          <w:vertAlign w:val="baseline"/>
        </w:rPr>
        <w:t> </w:t>
      </w:r>
      <w:r>
        <w:rPr>
          <w:vertAlign w:val="baseline"/>
        </w:rPr>
        <w:t>period</w:t>
      </w:r>
      <w:r>
        <w:rPr>
          <w:spacing w:val="30"/>
          <w:vertAlign w:val="baseline"/>
        </w:rPr>
        <w:t> </w:t>
      </w:r>
      <w:r>
        <w:rPr>
          <w:vertAlign w:val="baseline"/>
        </w:rPr>
        <w:t>of</w:t>
      </w:r>
      <w:r>
        <w:rPr>
          <w:spacing w:val="30"/>
          <w:vertAlign w:val="baseline"/>
        </w:rPr>
        <w:t> </w:t>
      </w:r>
      <w:r>
        <w:rPr>
          <w:vertAlign w:val="baseline"/>
        </w:rPr>
        <w:t>follow-up,</w:t>
      </w:r>
      <w:r>
        <w:rPr>
          <w:spacing w:val="30"/>
          <w:vertAlign w:val="baseline"/>
        </w:rPr>
        <w:t> </w:t>
      </w:r>
      <w:r>
        <w:rPr>
          <w:vertAlign w:val="baseline"/>
        </w:rPr>
        <w:t>accumulating</w:t>
      </w:r>
      <w:r>
        <w:rPr>
          <w:spacing w:val="30"/>
          <w:vertAlign w:val="baseline"/>
        </w:rPr>
        <w:t> </w:t>
      </w:r>
      <w:r>
        <w:rPr>
          <w:vertAlign w:val="baseline"/>
        </w:rPr>
        <w:t>277</w:t>
      </w:r>
      <w:r>
        <w:rPr>
          <w:spacing w:val="30"/>
          <w:vertAlign w:val="baseline"/>
        </w:rPr>
        <w:t> </w:t>
      </w:r>
      <w:r>
        <w:rPr>
          <w:spacing w:val="-2"/>
          <w:vertAlign w:val="baseline"/>
        </w:rPr>
        <w:t>(17.9%)</w:t>
      </w:r>
    </w:p>
    <w:p>
      <w:pPr>
        <w:pStyle w:val="BodyText"/>
        <w:spacing w:after="0" w:line="249" w:lineRule="auto"/>
        <w:sectPr>
          <w:pgSz w:w="12240" w:h="15840"/>
          <w:pgMar w:top="1380" w:bottom="280" w:left="1440" w:right="1440"/>
        </w:sectPr>
      </w:pPr>
    </w:p>
    <w:p>
      <w:pPr>
        <w:pStyle w:val="BodyText"/>
        <w:spacing w:line="249" w:lineRule="auto"/>
        <w:ind w:right="101"/>
      </w:pPr>
      <w:r>
        <w:rPr/>
        <w:t>cases in the treatment group and 246 (16.1%) cases in the placebo group. The rate of dementia did not differ between the two groups, nor did the rate of Alzheimer disease. In addition, treatment with</w:t>
      </w:r>
      <w:r>
        <w:rPr>
          <w:spacing w:val="-4"/>
        </w:rPr>
        <w:t> </w:t>
      </w:r>
      <w:r>
        <w:rPr>
          <w:i/>
        </w:rPr>
        <w:t>G.</w:t>
      </w:r>
      <w:r>
        <w:rPr>
          <w:i/>
          <w:spacing w:val="-4"/>
        </w:rPr>
        <w:t> </w:t>
      </w:r>
      <w:r>
        <w:rPr>
          <w:i/>
        </w:rPr>
        <w:t>biloba </w:t>
      </w:r>
      <w:r>
        <w:rPr/>
        <w:t>did not produce less cognitive decline in adults with normal cognition or those with </w:t>
      </w:r>
      <w:r>
        <w:rPr/>
        <w:t>mild cognitive impairment. Other randomized trials have failed to demonstrate any beneficial effects on Alzheimer, learning, memory, attention, verbal fluency, or concentration.</w:t>
      </w:r>
      <w:r>
        <w:rPr>
          <w:vertAlign w:val="superscript"/>
        </w:rPr>
        <w:t>427,428</w:t>
      </w:r>
      <w:r>
        <w:rPr>
          <w:vertAlign w:val="baseline"/>
        </w:rPr>
        <w:t> Caution is warranted, however, when considering treatment in those with CVD, as it may be proarrhythmic; further studies in those with cardiac disease are needed.</w:t>
      </w:r>
      <w:r>
        <w:rPr>
          <w:vertAlign w:val="superscript"/>
        </w:rPr>
        <w:t>429</w:t>
      </w:r>
    </w:p>
    <w:p>
      <w:pPr>
        <w:spacing w:line="249" w:lineRule="auto" w:before="11"/>
        <w:ind w:left="99" w:right="99" w:firstLine="450"/>
        <w:jc w:val="both"/>
        <w:rPr>
          <w:sz w:val="30"/>
        </w:rPr>
      </w:pPr>
      <w:r>
        <w:rPr>
          <w:b/>
          <w:sz w:val="30"/>
        </w:rPr>
        <w:t>The American trial robustly demonstrated that </w:t>
      </w:r>
      <w:r>
        <w:rPr>
          <w:b/>
          <w:i/>
          <w:sz w:val="30"/>
        </w:rPr>
        <w:t>G. biloba </w:t>
      </w:r>
      <w:r>
        <w:rPr>
          <w:b/>
          <w:sz w:val="30"/>
        </w:rPr>
        <w:t>in the tested and commonly used dose did not delay the onset of dementia </w:t>
      </w:r>
      <w:r>
        <w:rPr>
          <w:b/>
          <w:sz w:val="30"/>
        </w:rPr>
        <w:t>or cognitive decline.</w:t>
      </w:r>
      <w:r>
        <w:rPr>
          <w:sz w:val="30"/>
          <w:vertAlign w:val="superscript"/>
        </w:rPr>
        <w:t>425,426</w:t>
      </w:r>
      <w:r>
        <w:rPr>
          <w:sz w:val="30"/>
          <w:vertAlign w:val="baseline"/>
        </w:rPr>
        <w:t> The concept of “delay” is important. A treatment that could delay the onset of dementia by 5 years would reduce the number of dementia cases by 50%. In fact, this clinical trial found a statistically significant increase in the risk for developing dementia with ginkgo treatment in the 25% of participants who had CVD prior to enrollment. However, the authors appropriately urged caution in interpreting this subgroup analysis. </w:t>
      </w:r>
      <w:r>
        <w:rPr>
          <w:b/>
          <w:sz w:val="30"/>
          <w:vertAlign w:val="baseline"/>
        </w:rPr>
        <w:t>A Cochrane review in 2007 of 35 clinical trials with 4,247 participants concluded that there was no convincing evidence</w:t>
      </w:r>
      <w:r>
        <w:rPr>
          <w:b/>
          <w:spacing w:val="40"/>
          <w:sz w:val="30"/>
          <w:vertAlign w:val="baseline"/>
        </w:rPr>
        <w:t> </w:t>
      </w:r>
      <w:r>
        <w:rPr>
          <w:b/>
          <w:sz w:val="30"/>
          <w:vertAlign w:val="baseline"/>
        </w:rPr>
        <w:t>that ginkgo treatment benefited individuals who already had dementia or cognitive impairment.</w:t>
      </w:r>
      <w:r>
        <w:rPr>
          <w:sz w:val="30"/>
          <w:vertAlign w:val="superscript"/>
        </w:rPr>
        <w:t>430</w:t>
      </w:r>
    </w:p>
    <w:p>
      <w:pPr>
        <w:pStyle w:val="BodyText"/>
        <w:spacing w:line="249" w:lineRule="auto" w:before="14"/>
        <w:ind w:right="98" w:firstLine="450"/>
      </w:pPr>
      <w:r>
        <w:rPr/>
        <w:t>More recently, a 2021 Romanian multicenter noninterventional study analyzed </w:t>
      </w:r>
      <w:r>
        <w:rPr>
          <w:i/>
        </w:rPr>
        <w:t>G. biloba </w:t>
      </w:r>
      <w:r>
        <w:rPr/>
        <w:t>from a different angle by recruiting patients with mild cognitive impairment to trial a standardized extract called </w:t>
      </w:r>
      <w:r>
        <w:rPr>
          <w:i/>
        </w:rPr>
        <w:t>EGb761</w:t>
      </w:r>
      <w:r>
        <w:rPr/>
        <w:t>. More than half of their study population were women, and they </w:t>
      </w:r>
      <w:r>
        <w:rPr/>
        <w:t>noted improvement in the Mini-Mental State Examination after 24 months. They noted that in patients with other mental health disorders, there was less of</w:t>
      </w:r>
      <w:r>
        <w:rPr>
          <w:spacing w:val="40"/>
        </w:rPr>
        <w:t> </w:t>
      </w:r>
      <w:r>
        <w:rPr/>
        <w:t>an improvement. Although results are encouraging, important to note that this was not a placebo-controlled study.</w:t>
      </w:r>
      <w:r>
        <w:rPr>
          <w:vertAlign w:val="superscript"/>
        </w:rPr>
        <w:t>431</w:t>
      </w:r>
    </w:p>
    <w:p>
      <w:pPr>
        <w:pStyle w:val="BodyText"/>
        <w:spacing w:before="54"/>
        <w:ind w:left="0"/>
        <w:jc w:val="left"/>
      </w:pPr>
    </w:p>
    <w:p>
      <w:pPr>
        <w:spacing w:before="0"/>
        <w:ind w:left="99" w:right="0" w:firstLine="0"/>
        <w:jc w:val="both"/>
        <w:rPr>
          <w:rFonts w:ascii="Arial"/>
          <w:b/>
          <w:sz w:val="30"/>
        </w:rPr>
      </w:pPr>
      <w:r>
        <w:rPr>
          <w:rFonts w:ascii="Arial"/>
          <w:b/>
          <w:color w:val="2674AE"/>
          <w:sz w:val="30"/>
        </w:rPr>
        <w:t>St.</w:t>
      </w:r>
      <w:r>
        <w:rPr>
          <w:rFonts w:ascii="Arial"/>
          <w:b/>
          <w:color w:val="2674AE"/>
          <w:spacing w:val="-1"/>
          <w:sz w:val="30"/>
        </w:rPr>
        <w:t> </w:t>
      </w:r>
      <w:r>
        <w:rPr>
          <w:rFonts w:ascii="Arial"/>
          <w:b/>
          <w:color w:val="2674AE"/>
          <w:sz w:val="30"/>
        </w:rPr>
        <w:t>John </w:t>
      </w:r>
      <w:r>
        <w:rPr>
          <w:rFonts w:ascii="Arial"/>
          <w:b/>
          <w:color w:val="2674AE"/>
          <w:spacing w:val="-4"/>
          <w:sz w:val="30"/>
        </w:rPr>
        <w:t>Wort</w:t>
      </w:r>
    </w:p>
    <w:p>
      <w:pPr>
        <w:pStyle w:val="BodyText"/>
        <w:spacing w:line="249" w:lineRule="auto" w:before="166"/>
        <w:ind w:right="106"/>
      </w:pPr>
      <w:r>
        <w:rPr/>
        <w:t>St. John wort has been reported to be comparable to tricyclic antidepressants in treating mild-to-moderate depression, based on eight appropriate trials.</w:t>
      </w:r>
      <w:r>
        <w:rPr>
          <w:vertAlign w:val="superscript"/>
        </w:rPr>
        <w:t>432</w:t>
      </w:r>
      <w:r>
        <w:rPr>
          <w:vertAlign w:val="baseline"/>
        </w:rPr>
        <w:t> This is the conclusion of two meta-analyses.</w:t>
      </w:r>
      <w:r>
        <w:rPr>
          <w:vertAlign w:val="superscript"/>
        </w:rPr>
        <w:t>433,434</w:t>
      </w:r>
      <w:r>
        <w:rPr>
          <w:vertAlign w:val="baseline"/>
        </w:rPr>
        <w:t> </w:t>
      </w:r>
      <w:r>
        <w:rPr>
          <w:vertAlign w:val="baseline"/>
        </w:rPr>
        <w:t>All studies</w:t>
      </w:r>
      <w:r>
        <w:rPr>
          <w:spacing w:val="59"/>
          <w:w w:val="150"/>
          <w:vertAlign w:val="baseline"/>
        </w:rPr>
        <w:t> </w:t>
      </w:r>
      <w:r>
        <w:rPr>
          <w:vertAlign w:val="baseline"/>
        </w:rPr>
        <w:t>were</w:t>
      </w:r>
      <w:r>
        <w:rPr>
          <w:spacing w:val="60"/>
          <w:w w:val="150"/>
          <w:vertAlign w:val="baseline"/>
        </w:rPr>
        <w:t> </w:t>
      </w:r>
      <w:r>
        <w:rPr>
          <w:vertAlign w:val="baseline"/>
        </w:rPr>
        <w:t>short</w:t>
      </w:r>
      <w:r>
        <w:rPr>
          <w:spacing w:val="59"/>
          <w:w w:val="150"/>
          <w:vertAlign w:val="baseline"/>
        </w:rPr>
        <w:t> </w:t>
      </w:r>
      <w:r>
        <w:rPr>
          <w:vertAlign w:val="baseline"/>
        </w:rPr>
        <w:t>term,</w:t>
      </w:r>
      <w:r>
        <w:rPr>
          <w:spacing w:val="60"/>
          <w:w w:val="150"/>
          <w:vertAlign w:val="baseline"/>
        </w:rPr>
        <w:t> </w:t>
      </w:r>
      <w:r>
        <w:rPr>
          <w:vertAlign w:val="baseline"/>
        </w:rPr>
        <w:t>lasting</w:t>
      </w:r>
      <w:r>
        <w:rPr>
          <w:spacing w:val="59"/>
          <w:w w:val="150"/>
          <w:vertAlign w:val="baseline"/>
        </w:rPr>
        <w:t> </w:t>
      </w:r>
      <w:r>
        <w:rPr>
          <w:vertAlign w:val="baseline"/>
        </w:rPr>
        <w:t>about</w:t>
      </w:r>
      <w:r>
        <w:rPr>
          <w:spacing w:val="60"/>
          <w:w w:val="150"/>
          <w:vertAlign w:val="baseline"/>
        </w:rPr>
        <w:t> </w:t>
      </w:r>
      <w:r>
        <w:rPr>
          <w:vertAlign w:val="baseline"/>
        </w:rPr>
        <w:t>4</w:t>
      </w:r>
      <w:r>
        <w:rPr>
          <w:spacing w:val="59"/>
          <w:w w:val="150"/>
          <w:vertAlign w:val="baseline"/>
        </w:rPr>
        <w:t> </w:t>
      </w:r>
      <w:r>
        <w:rPr>
          <w:vertAlign w:val="baseline"/>
        </w:rPr>
        <w:t>to</w:t>
      </w:r>
      <w:r>
        <w:rPr>
          <w:spacing w:val="60"/>
          <w:w w:val="150"/>
          <w:vertAlign w:val="baseline"/>
        </w:rPr>
        <w:t> </w:t>
      </w:r>
      <w:r>
        <w:rPr>
          <w:vertAlign w:val="baseline"/>
        </w:rPr>
        <w:t>6</w:t>
      </w:r>
      <w:r>
        <w:rPr>
          <w:spacing w:val="59"/>
          <w:w w:val="150"/>
          <w:vertAlign w:val="baseline"/>
        </w:rPr>
        <w:t> </w:t>
      </w:r>
      <w:r>
        <w:rPr>
          <w:vertAlign w:val="baseline"/>
        </w:rPr>
        <w:t>weeks,</w:t>
      </w:r>
      <w:r>
        <w:rPr>
          <w:spacing w:val="60"/>
          <w:w w:val="150"/>
          <w:vertAlign w:val="baseline"/>
        </w:rPr>
        <w:t> </w:t>
      </w:r>
      <w:r>
        <w:rPr>
          <w:vertAlign w:val="baseline"/>
        </w:rPr>
        <w:t>and</w:t>
      </w:r>
      <w:r>
        <w:rPr>
          <w:spacing w:val="59"/>
          <w:w w:val="150"/>
          <w:vertAlign w:val="baseline"/>
        </w:rPr>
        <w:t> </w:t>
      </w:r>
      <w:r>
        <w:rPr>
          <w:vertAlign w:val="baseline"/>
        </w:rPr>
        <w:t>with</w:t>
      </w:r>
      <w:r>
        <w:rPr>
          <w:spacing w:val="60"/>
          <w:w w:val="150"/>
          <w:vertAlign w:val="baseline"/>
        </w:rPr>
        <w:t> </w:t>
      </w:r>
      <w:r>
        <w:rPr>
          <w:spacing w:val="-2"/>
          <w:vertAlign w:val="baseline"/>
        </w:rPr>
        <w:t>small</w:t>
      </w:r>
    </w:p>
    <w:p>
      <w:pPr>
        <w:pStyle w:val="BodyText"/>
        <w:spacing w:after="0" w:line="249" w:lineRule="auto"/>
        <w:sectPr>
          <w:pgSz w:w="12240" w:h="15840"/>
          <w:pgMar w:top="1380" w:bottom="280" w:left="1440" w:right="1440"/>
        </w:sectPr>
      </w:pPr>
    </w:p>
    <w:p>
      <w:pPr>
        <w:pStyle w:val="BodyText"/>
        <w:spacing w:line="249" w:lineRule="auto"/>
        <w:ind w:right="109"/>
      </w:pPr>
      <w:r>
        <w:rPr/>
        <w:t>numbers. The treatment consisted of a 300-mg plant extract in tablet </w:t>
      </w:r>
      <w:r>
        <w:rPr/>
        <w:t>form, administered t.i.d. However, two large, American 8-week trials found no difference between treatment and placebo.</w:t>
      </w:r>
      <w:r>
        <w:rPr>
          <w:vertAlign w:val="superscript"/>
        </w:rPr>
        <w:t>435,436</w:t>
      </w:r>
    </w:p>
    <w:p>
      <w:pPr>
        <w:pStyle w:val="BodyText"/>
        <w:spacing w:line="249" w:lineRule="auto" w:before="3"/>
        <w:ind w:right="98" w:firstLine="450"/>
      </w:pPr>
      <w:r>
        <w:rPr/>
        <w:t>A small, randomized, placebo-controlled Iranian study published in 2021 observed improvement in VMS and depressive symptoms after 2 months of treatment with </w:t>
      </w:r>
      <w:r>
        <w:rPr>
          <w:i/>
        </w:rPr>
        <w:t>Hypericum</w:t>
      </w:r>
      <w:r>
        <w:rPr>
          <w:i/>
          <w:spacing w:val="-6"/>
        </w:rPr>
        <w:t> </w:t>
      </w:r>
      <w:r>
        <w:rPr>
          <w:i/>
        </w:rPr>
        <w:t>perforatum </w:t>
      </w:r>
      <w:r>
        <w:rPr/>
        <w:t>(St. John wort).</w:t>
      </w:r>
      <w:r>
        <w:rPr>
          <w:vertAlign w:val="superscript"/>
        </w:rPr>
        <w:t>437</w:t>
      </w:r>
      <w:r>
        <w:rPr>
          <w:vertAlign w:val="baseline"/>
        </w:rPr>
        <w:t> </w:t>
      </w:r>
      <w:r>
        <w:rPr>
          <w:vertAlign w:val="baseline"/>
        </w:rPr>
        <w:t>Despite the potential for benefit for some, St. John wort should be treated with an abundance of caution due to a risk for serious adverse effects. The FDA issued an alert in February 2000 that St. John wort may interact with drugs known to be metabolized by the cytochrome P450 pathway: theophylline, digoxin, immune suppressants, and oral contraceptives.</w:t>
      </w:r>
      <w:r>
        <w:rPr>
          <w:vertAlign w:val="superscript"/>
        </w:rPr>
        <w:t>438,439</w:t>
      </w:r>
      <w:r>
        <w:rPr>
          <w:vertAlign w:val="baseline"/>
        </w:rPr>
        <w:t> St. John wort activates an orphan receptor that induces the expression of metabolic enzymes.</w:t>
      </w:r>
      <w:r>
        <w:rPr>
          <w:vertAlign w:val="superscript"/>
        </w:rPr>
        <w:t>440</w:t>
      </w:r>
      <w:r>
        <w:rPr>
          <w:vertAlign w:val="baseline"/>
        </w:rPr>
        <w:t> In clinically depressed individuals being treated with prescription</w:t>
      </w:r>
      <w:r>
        <w:rPr>
          <w:spacing w:val="-6"/>
          <w:vertAlign w:val="baseline"/>
        </w:rPr>
        <w:t> </w:t>
      </w:r>
      <w:r>
        <w:rPr>
          <w:vertAlign w:val="baseline"/>
        </w:rPr>
        <w:t>antidepressants,</w:t>
      </w:r>
      <w:r>
        <w:rPr>
          <w:spacing w:val="-6"/>
          <w:vertAlign w:val="baseline"/>
        </w:rPr>
        <w:t> </w:t>
      </w:r>
      <w:r>
        <w:rPr>
          <w:vertAlign w:val="baseline"/>
        </w:rPr>
        <w:t>manic</w:t>
      </w:r>
      <w:r>
        <w:rPr>
          <w:spacing w:val="-6"/>
          <w:vertAlign w:val="baseline"/>
        </w:rPr>
        <w:t> </w:t>
      </w:r>
      <w:r>
        <w:rPr>
          <w:vertAlign w:val="baseline"/>
        </w:rPr>
        <w:t>reactions</w:t>
      </w:r>
      <w:r>
        <w:rPr>
          <w:spacing w:val="-6"/>
          <w:vertAlign w:val="baseline"/>
        </w:rPr>
        <w:t> </w:t>
      </w:r>
      <w:r>
        <w:rPr>
          <w:vertAlign w:val="baseline"/>
        </w:rPr>
        <w:t>can</w:t>
      </w:r>
      <w:r>
        <w:rPr>
          <w:spacing w:val="-6"/>
          <w:vertAlign w:val="baseline"/>
        </w:rPr>
        <w:t> </w:t>
      </w:r>
      <w:r>
        <w:rPr>
          <w:vertAlign w:val="baseline"/>
        </w:rPr>
        <w:t>result</w:t>
      </w:r>
      <w:r>
        <w:rPr>
          <w:spacing w:val="-6"/>
          <w:vertAlign w:val="baseline"/>
        </w:rPr>
        <w:t> </w:t>
      </w:r>
      <w:r>
        <w:rPr>
          <w:vertAlign w:val="baseline"/>
        </w:rPr>
        <w:t>(central</w:t>
      </w:r>
      <w:r>
        <w:rPr>
          <w:spacing w:val="-6"/>
          <w:vertAlign w:val="baseline"/>
        </w:rPr>
        <w:t> </w:t>
      </w:r>
      <w:r>
        <w:rPr>
          <w:vertAlign w:val="baseline"/>
        </w:rPr>
        <w:t>serotonergic </w:t>
      </w:r>
      <w:r>
        <w:rPr>
          <w:spacing w:val="-2"/>
          <w:vertAlign w:val="baseline"/>
        </w:rPr>
        <w:t>syndrome).</w:t>
      </w:r>
    </w:p>
    <w:p>
      <w:pPr>
        <w:pStyle w:val="BodyText"/>
        <w:spacing w:before="59"/>
        <w:ind w:left="0"/>
        <w:jc w:val="left"/>
      </w:pPr>
    </w:p>
    <w:p>
      <w:pPr>
        <w:spacing w:before="0"/>
        <w:ind w:left="99" w:right="0" w:firstLine="0"/>
        <w:jc w:val="both"/>
        <w:rPr>
          <w:rFonts w:ascii="Arial"/>
          <w:b/>
          <w:sz w:val="30"/>
        </w:rPr>
      </w:pPr>
      <w:r>
        <w:rPr>
          <w:rFonts w:ascii="Arial"/>
          <w:b/>
          <w:color w:val="2674AE"/>
          <w:sz w:val="30"/>
        </w:rPr>
        <w:t>Phytoestrogens and Cardiovascular </w:t>
      </w:r>
      <w:r>
        <w:rPr>
          <w:rFonts w:ascii="Arial"/>
          <w:b/>
          <w:color w:val="2674AE"/>
          <w:spacing w:val="-2"/>
          <w:sz w:val="30"/>
        </w:rPr>
        <w:t>Disease</w:t>
      </w:r>
    </w:p>
    <w:p>
      <w:pPr>
        <w:pStyle w:val="BodyText"/>
        <w:spacing w:line="249" w:lineRule="auto" w:before="166"/>
        <w:ind w:right="101"/>
      </w:pPr>
      <w:r>
        <w:rPr/>
        <w:t>The cardiovascular story with phytoestrogens received a large boost </w:t>
      </w:r>
      <w:r>
        <w:rPr/>
        <w:t>in 1995, when a meta-analysis concluded that an intake of an average of 47-g soy protein per day lowered total cholesterol and LDL cholesterol.</w:t>
      </w:r>
      <w:r>
        <w:rPr>
          <w:vertAlign w:val="superscript"/>
        </w:rPr>
        <w:t>441</w:t>
      </w:r>
      <w:r>
        <w:rPr>
          <w:vertAlign w:val="baseline"/>
        </w:rPr>
        <w:t> This was</w:t>
      </w:r>
      <w:r>
        <w:rPr>
          <w:spacing w:val="-2"/>
          <w:vertAlign w:val="baseline"/>
        </w:rPr>
        <w:t> </w:t>
      </w:r>
      <w:r>
        <w:rPr>
          <w:vertAlign w:val="baseline"/>
        </w:rPr>
        <w:t>supported</w:t>
      </w:r>
      <w:r>
        <w:rPr>
          <w:spacing w:val="-2"/>
          <w:vertAlign w:val="baseline"/>
        </w:rPr>
        <w:t> </w:t>
      </w:r>
      <w:r>
        <w:rPr>
          <w:vertAlign w:val="baseline"/>
        </w:rPr>
        <w:t>by</w:t>
      </w:r>
      <w:r>
        <w:rPr>
          <w:spacing w:val="-2"/>
          <w:vertAlign w:val="baseline"/>
        </w:rPr>
        <w:t> </w:t>
      </w:r>
      <w:r>
        <w:rPr>
          <w:vertAlign w:val="baseline"/>
        </w:rPr>
        <w:t>studies</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monkey</w:t>
      </w:r>
      <w:r>
        <w:rPr>
          <w:spacing w:val="-2"/>
          <w:vertAlign w:val="baseline"/>
        </w:rPr>
        <w:t> </w:t>
      </w:r>
      <w:r>
        <w:rPr>
          <w:vertAlign w:val="baseline"/>
        </w:rPr>
        <w:t>indicating</w:t>
      </w:r>
      <w:r>
        <w:rPr>
          <w:spacing w:val="-2"/>
          <w:vertAlign w:val="baseline"/>
        </w:rPr>
        <w:t> </w:t>
      </w:r>
      <w:r>
        <w:rPr>
          <w:vertAlign w:val="baseline"/>
        </w:rPr>
        <w:t>that</w:t>
      </w:r>
      <w:r>
        <w:rPr>
          <w:spacing w:val="-2"/>
          <w:vertAlign w:val="baseline"/>
        </w:rPr>
        <w:t> </w:t>
      </w:r>
      <w:r>
        <w:rPr>
          <w:vertAlign w:val="baseline"/>
        </w:rPr>
        <w:t>isoflavone</w:t>
      </w:r>
      <w:r>
        <w:rPr>
          <w:spacing w:val="-2"/>
          <w:vertAlign w:val="baseline"/>
        </w:rPr>
        <w:t> </w:t>
      </w:r>
      <w:r>
        <w:rPr>
          <w:vertAlign w:val="baseline"/>
        </w:rPr>
        <w:t>increased HDL cholesterol, enhanced vasodilation, and decreased atherosclerosis.</w:t>
      </w:r>
      <w:r>
        <w:rPr>
          <w:vertAlign w:val="superscript"/>
        </w:rPr>
        <w:t>442</w:t>
      </w:r>
    </w:p>
    <w:p>
      <w:pPr>
        <w:pStyle w:val="BodyText"/>
        <w:spacing w:line="249" w:lineRule="auto" w:before="6"/>
        <w:ind w:right="98" w:firstLine="450"/>
      </w:pPr>
      <w:r>
        <w:rPr/>
        <w:t>Only intact soy protein has a beneficial effect on lipids. Separation of the protein component from dietary soy protein loses the effect, as </w:t>
      </w:r>
      <w:r>
        <w:rPr/>
        <w:t>noted early in the processing of soy. This effect depends on the inhibition of cholesterol absorption by the nonisoflavone protein.</w:t>
      </w:r>
      <w:r>
        <w:rPr>
          <w:vertAlign w:val="superscript"/>
        </w:rPr>
        <w:t>443,444</w:t>
      </w:r>
      <w:r>
        <w:rPr>
          <w:vertAlign w:val="baseline"/>
        </w:rPr>
        <w:t> The mechanism involves upregulation of the LDL cholesterol receptor and catabolism of LDL cholesterol, leading to an increase in bile excretion. The soy peptide binds bile acids and prevents resorption. Alcohol extraction removes the isoflavones from soy protein and causes a loss of the beneficial effect on atherosclerosis in monkeys.</w:t>
      </w:r>
      <w:r>
        <w:rPr>
          <w:vertAlign w:val="superscript"/>
        </w:rPr>
        <w:t>445</w:t>
      </w:r>
      <w:r>
        <w:rPr>
          <w:vertAlign w:val="baseline"/>
        </w:rPr>
        <w:t> Thus, both the isoflavone portion and the protein component are required for a full cardiovascular effect. Non-alcohol-washed soy protein extract has been extensively studied in monkeys. This preparation lowers total cholesterol and LDL cholesterol, raises</w:t>
      </w:r>
      <w:r>
        <w:rPr>
          <w:spacing w:val="22"/>
          <w:vertAlign w:val="baseline"/>
        </w:rPr>
        <w:t>  </w:t>
      </w:r>
      <w:r>
        <w:rPr>
          <w:vertAlign w:val="baseline"/>
        </w:rPr>
        <w:t>HDL</w:t>
      </w:r>
      <w:r>
        <w:rPr>
          <w:spacing w:val="22"/>
          <w:vertAlign w:val="baseline"/>
        </w:rPr>
        <w:t>  </w:t>
      </w:r>
      <w:r>
        <w:rPr>
          <w:vertAlign w:val="baseline"/>
        </w:rPr>
        <w:t>cholesterol,</w:t>
      </w:r>
      <w:r>
        <w:rPr>
          <w:vertAlign w:val="superscript"/>
        </w:rPr>
        <w:t>446,447</w:t>
      </w:r>
      <w:r>
        <w:rPr>
          <w:spacing w:val="26"/>
          <w:vertAlign w:val="baseline"/>
        </w:rPr>
        <w:t>  </w:t>
      </w:r>
      <w:r>
        <w:rPr>
          <w:vertAlign w:val="baseline"/>
        </w:rPr>
        <w:t>produces</w:t>
      </w:r>
      <w:r>
        <w:rPr>
          <w:spacing w:val="26"/>
          <w:vertAlign w:val="baseline"/>
        </w:rPr>
        <w:t>  </w:t>
      </w:r>
      <w:r>
        <w:rPr>
          <w:vertAlign w:val="baseline"/>
        </w:rPr>
        <w:t>coronary</w:t>
      </w:r>
      <w:r>
        <w:rPr>
          <w:spacing w:val="27"/>
          <w:vertAlign w:val="baseline"/>
        </w:rPr>
        <w:t>  </w:t>
      </w:r>
      <w:r>
        <w:rPr>
          <w:vertAlign w:val="baseline"/>
        </w:rPr>
        <w:t>artery</w:t>
      </w:r>
      <w:r>
        <w:rPr>
          <w:spacing w:val="26"/>
          <w:vertAlign w:val="baseline"/>
        </w:rPr>
        <w:t>  </w:t>
      </w:r>
      <w:r>
        <w:rPr>
          <w:spacing w:val="-2"/>
          <w:vertAlign w:val="baseline"/>
        </w:rPr>
        <w:t>vasodilation,</w:t>
      </w:r>
      <w:r>
        <w:rPr>
          <w:spacing w:val="-2"/>
          <w:vertAlign w:val="superscript"/>
        </w:rPr>
        <w:t>448</w:t>
      </w:r>
    </w:p>
    <w:p>
      <w:pPr>
        <w:pStyle w:val="BodyText"/>
        <w:spacing w:after="0" w:line="249" w:lineRule="auto"/>
        <w:sectPr>
          <w:pgSz w:w="12240" w:h="15840"/>
          <w:pgMar w:top="1380" w:bottom="280" w:left="1440" w:right="1440"/>
        </w:sectPr>
      </w:pPr>
    </w:p>
    <w:p>
      <w:pPr>
        <w:pStyle w:val="BodyText"/>
        <w:spacing w:line="249" w:lineRule="auto"/>
        <w:ind w:right="102"/>
      </w:pPr>
      <w:r>
        <w:rPr/>
        <w:t>inhibits reduction in coronary flow after collagen induced </w:t>
      </w:r>
      <w:r>
        <w:rPr/>
        <w:t>platelet aggregation and serotonin release,</w:t>
      </w:r>
      <w:r>
        <w:rPr>
          <w:vertAlign w:val="superscript"/>
        </w:rPr>
        <w:t>449</w:t>
      </w:r>
      <w:r>
        <w:rPr>
          <w:vertAlign w:val="baseline"/>
        </w:rPr>
        <w:t> and inhibits atherosclerosis but not as robustly as estrogen.</w:t>
      </w:r>
      <w:r>
        <w:rPr>
          <w:vertAlign w:val="superscript"/>
        </w:rPr>
        <w:t>442,447</w:t>
      </w:r>
    </w:p>
    <w:p>
      <w:pPr>
        <w:pStyle w:val="BodyText"/>
        <w:spacing w:line="249" w:lineRule="auto" w:before="3"/>
        <w:ind w:right="99" w:firstLine="450"/>
      </w:pPr>
      <w:r>
        <w:rPr/>
        <w:t>In women, soy protein reduces total and LDL cholesterol and does not affect triglycerides or HDL cholesterol. The ethanol-extracted soy protein also</w:t>
      </w:r>
      <w:r>
        <w:rPr>
          <w:spacing w:val="-2"/>
        </w:rPr>
        <w:t> </w:t>
      </w:r>
      <w:r>
        <w:rPr/>
        <w:t>has</w:t>
      </w:r>
      <w:r>
        <w:rPr>
          <w:spacing w:val="-2"/>
        </w:rPr>
        <w:t> </w:t>
      </w:r>
      <w:r>
        <w:rPr/>
        <w:t>no</w:t>
      </w:r>
      <w:r>
        <w:rPr>
          <w:spacing w:val="-2"/>
        </w:rPr>
        <w:t> </w:t>
      </w:r>
      <w:r>
        <w:rPr/>
        <w:t>effect.</w:t>
      </w:r>
      <w:r>
        <w:rPr>
          <w:vertAlign w:val="superscript"/>
        </w:rPr>
        <w:t>450-453</w:t>
      </w:r>
      <w:r>
        <w:rPr>
          <w:vertAlign w:val="baseline"/>
        </w:rPr>
        <w:t> The minimal dose is about 60-mg isoflavones </w:t>
      </w:r>
      <w:r>
        <w:rPr>
          <w:vertAlign w:val="baseline"/>
        </w:rPr>
        <w:t>daily, which is present in 25 g soy protein per day.</w:t>
      </w:r>
      <w:r>
        <w:rPr>
          <w:vertAlign w:val="superscript"/>
        </w:rPr>
        <w:t>454</w:t>
      </w:r>
      <w:r>
        <w:rPr>
          <w:vertAlign w:val="baseline"/>
        </w:rPr>
        <w:t> LDL cholesterol must be above 130 mg/dL to have an effect. Studies of healthy men and women could detect no effect of phytoestrogens (25- to 80-mg isoflavones per day) on lipids or brachial vasodilation.</w:t>
      </w:r>
      <w:r>
        <w:rPr>
          <w:vertAlign w:val="superscript"/>
        </w:rPr>
        <w:t>455-457</w:t>
      </w:r>
      <w:r>
        <w:rPr>
          <w:vertAlign w:val="baseline"/>
        </w:rPr>
        <w:t> In a 12-week study of women with type 2 diabetes mellitus, dietary supplementation of 30-g soy protein (132-mg isoflavones) daily improved insulin resistance and glucose control in addition to lowering total and LDL cholesterol levels.</w:t>
      </w:r>
      <w:r>
        <w:rPr>
          <w:vertAlign w:val="superscript"/>
        </w:rPr>
        <w:t>458</w:t>
      </w:r>
      <w:r>
        <w:rPr>
          <w:vertAlign w:val="baseline"/>
        </w:rPr>
        <w:t> Soy intake also prevents LDL cholesterol oxidation in men and women with hyperlipidemia, even when circulating LDL cholesterol levels are unaffected.</w:t>
      </w:r>
      <w:r>
        <w:rPr>
          <w:vertAlign w:val="superscript"/>
        </w:rPr>
        <w:t>459</w:t>
      </w:r>
      <w:r>
        <w:rPr>
          <w:vertAlign w:val="baseline"/>
        </w:rPr>
        <w:t> Promensil (red clover extract), in a 10-week study, had no effect on lipids (it only contains isoflavones, no protein) but did improve arterial compliance.</w:t>
      </w:r>
      <w:r>
        <w:rPr>
          <w:vertAlign w:val="superscript"/>
        </w:rPr>
        <w:t>460</w:t>
      </w:r>
      <w:r>
        <w:rPr>
          <w:vertAlign w:val="baseline"/>
        </w:rPr>
        <w:t> A randomized, placebo-controlled trial of phytoestrogen examined the effects on progression of cIMT over a 2-year period in healthy early (</w:t>
      </w:r>
      <w:r>
        <w:rPr>
          <w:i/>
          <w:vertAlign w:val="baseline"/>
        </w:rPr>
        <w:t>n </w:t>
      </w:r>
      <w:r>
        <w:rPr>
          <w:vertAlign w:val="baseline"/>
        </w:rPr>
        <w:t>= 315, ages 40-55 years) and late (</w:t>
      </w:r>
      <w:r>
        <w:rPr>
          <w:i/>
          <w:vertAlign w:val="baseline"/>
        </w:rPr>
        <w:t>n </w:t>
      </w:r>
      <w:r>
        <w:rPr>
          <w:vertAlign w:val="baseline"/>
        </w:rPr>
        <w:t>= 231, ages 60-69) Russian postmenopausal women who were without evidence of CVD at baseline. The rate of cIMT progression was significantly lesser in the older postmenopausal population treated with phytoestrogens compared to placebo, suggesting antiatherosclerosis effects of phytoestrogens, finding that stand in contrast to those of ELITE wherein cardiovascular benefit</w:t>
      </w:r>
      <w:r>
        <w:rPr>
          <w:spacing w:val="40"/>
          <w:vertAlign w:val="baseline"/>
        </w:rPr>
        <w:t> </w:t>
      </w:r>
      <w:r>
        <w:rPr>
          <w:vertAlign w:val="baseline"/>
        </w:rPr>
        <w:t>from oral estradiol was observed only in the younger population of early postmenopausal women</w:t>
      </w:r>
      <w:r>
        <w:rPr>
          <w:vertAlign w:val="superscript"/>
        </w:rPr>
        <w:t>461</w:t>
      </w:r>
      <w:r>
        <w:rPr>
          <w:vertAlign w:val="baseline"/>
        </w:rPr>
        <w:t>; ELITE is further discussed later in this chapter. The FDA, in October 1999, authorized the use in food labeling of health claims related to the association between soy protein and reduced risk of CHD, “based on the totality of publicly available scientific evidence, soy protein included in a diet low in saturated fat and cholesterol may reduce</w:t>
      </w:r>
      <w:r>
        <w:rPr>
          <w:spacing w:val="40"/>
          <w:vertAlign w:val="baseline"/>
        </w:rPr>
        <w:t> </w:t>
      </w:r>
      <w:r>
        <w:rPr>
          <w:vertAlign w:val="baseline"/>
        </w:rPr>
        <w:t>the risk of CHD by lowering blood cholesterol levels.”</w:t>
      </w:r>
      <w:r>
        <w:rPr>
          <w:vertAlign w:val="superscript"/>
        </w:rPr>
        <w:t>462</w:t>
      </w:r>
    </w:p>
    <w:p>
      <w:pPr>
        <w:pStyle w:val="BodyText"/>
        <w:spacing w:line="249" w:lineRule="auto" w:before="36"/>
        <w:ind w:right="97" w:firstLine="450"/>
      </w:pPr>
      <w:r>
        <w:rPr/>
        <w:t>Remember that both protein and isoflavones are needed for a cardiovascular effect. Isoflavones by themselves have no effect </w:t>
      </w:r>
      <w:r>
        <w:rPr/>
        <w:t>on lipids.</w:t>
      </w:r>
      <w:r>
        <w:rPr>
          <w:vertAlign w:val="superscript"/>
        </w:rPr>
        <w:t>460,462-464</w:t>
      </w:r>
      <w:r>
        <w:rPr>
          <w:vertAlign w:val="baseline"/>
        </w:rPr>
        <w:t> Proteins without isoflavones have no effect on vasodilation and</w:t>
      </w:r>
      <w:r>
        <w:rPr>
          <w:spacing w:val="-3"/>
          <w:vertAlign w:val="baseline"/>
        </w:rPr>
        <w:t> </w:t>
      </w:r>
      <w:r>
        <w:rPr>
          <w:vertAlign w:val="baseline"/>
        </w:rPr>
        <w:t>atherosclerosis.</w:t>
      </w:r>
      <w:r>
        <w:rPr>
          <w:vertAlign w:val="superscript"/>
        </w:rPr>
        <w:t>445</w:t>
      </w:r>
      <w:r>
        <w:rPr>
          <w:spacing w:val="-4"/>
          <w:vertAlign w:val="baseline"/>
        </w:rPr>
        <w:t> </w:t>
      </w:r>
      <w:r>
        <w:rPr>
          <w:vertAlign w:val="baseline"/>
        </w:rPr>
        <w:t>The</w:t>
      </w:r>
      <w:r>
        <w:rPr>
          <w:spacing w:val="-2"/>
          <w:vertAlign w:val="baseline"/>
        </w:rPr>
        <w:t> </w:t>
      </w:r>
      <w:r>
        <w:rPr>
          <w:vertAlign w:val="baseline"/>
        </w:rPr>
        <w:t>FDA</w:t>
      </w:r>
      <w:r>
        <w:rPr>
          <w:spacing w:val="-3"/>
          <w:vertAlign w:val="baseline"/>
        </w:rPr>
        <w:t> </w:t>
      </w:r>
      <w:r>
        <w:rPr>
          <w:vertAlign w:val="baseline"/>
        </w:rPr>
        <w:t>has</w:t>
      </w:r>
      <w:r>
        <w:rPr>
          <w:spacing w:val="-3"/>
          <w:vertAlign w:val="baseline"/>
        </w:rPr>
        <w:t> </w:t>
      </w:r>
      <w:r>
        <w:rPr>
          <w:vertAlign w:val="baseline"/>
        </w:rPr>
        <w:t>stated</w:t>
      </w:r>
      <w:r>
        <w:rPr>
          <w:spacing w:val="-2"/>
          <w:vertAlign w:val="baseline"/>
        </w:rPr>
        <w:t> </w:t>
      </w:r>
      <w:r>
        <w:rPr>
          <w:vertAlign w:val="baseline"/>
        </w:rPr>
        <w:t>that</w:t>
      </w:r>
      <w:r>
        <w:rPr>
          <w:spacing w:val="-3"/>
          <w:vertAlign w:val="baseline"/>
        </w:rPr>
        <w:t> </w:t>
      </w:r>
      <w:r>
        <w:rPr>
          <w:vertAlign w:val="baseline"/>
        </w:rPr>
        <w:t>there</w:t>
      </w:r>
      <w:r>
        <w:rPr>
          <w:spacing w:val="-2"/>
          <w:vertAlign w:val="baseline"/>
        </w:rPr>
        <w:t> </w:t>
      </w:r>
      <w:r>
        <w:rPr>
          <w:vertAlign w:val="baseline"/>
        </w:rPr>
        <w:t>is</w:t>
      </w:r>
      <w:r>
        <w:rPr>
          <w:spacing w:val="-3"/>
          <w:vertAlign w:val="baseline"/>
        </w:rPr>
        <w:t> </w:t>
      </w:r>
      <w:r>
        <w:rPr>
          <w:vertAlign w:val="baseline"/>
        </w:rPr>
        <w:t>insufficient</w:t>
      </w:r>
      <w:r>
        <w:rPr>
          <w:spacing w:val="-3"/>
          <w:vertAlign w:val="baseline"/>
        </w:rPr>
        <w:t> </w:t>
      </w:r>
      <w:r>
        <w:rPr>
          <w:spacing w:val="-2"/>
          <w:vertAlign w:val="baseline"/>
        </w:rPr>
        <w:t>evidence</w:t>
      </w:r>
    </w:p>
    <w:p>
      <w:pPr>
        <w:pStyle w:val="BodyText"/>
        <w:spacing w:after="0" w:line="249" w:lineRule="auto"/>
        <w:sectPr>
          <w:pgSz w:w="12240" w:h="15840"/>
          <w:pgMar w:top="1380" w:bottom="280" w:left="1440" w:right="1440"/>
        </w:sectPr>
      </w:pPr>
    </w:p>
    <w:p>
      <w:pPr>
        <w:pStyle w:val="BodyText"/>
        <w:spacing w:line="249" w:lineRule="auto"/>
        <w:ind w:right="97"/>
      </w:pPr>
      <w:r>
        <w:rPr/>
        <w:t>to allow them to exclude alcohol-washed products from the health claim, but it makes sense that a combined protein-isoflavone product is best. Even in older women with moderate hypercholesterolemia, a high intake of </w:t>
      </w:r>
      <w:r>
        <w:rPr/>
        <w:t>soy phytoestrogens (purified isoflavones without protein) had no effect on the lipid profile.</w:t>
      </w:r>
      <w:r>
        <w:rPr>
          <w:vertAlign w:val="superscript"/>
        </w:rPr>
        <w:t>465</w:t>
      </w:r>
      <w:r>
        <w:rPr>
          <w:vertAlign w:val="baseline"/>
        </w:rPr>
        <w:t> Also remember that there is no effect on the lipids in individuals who already have a normal profile. Even in individuals with high</w:t>
      </w:r>
      <w:r>
        <w:rPr>
          <w:spacing w:val="-1"/>
          <w:vertAlign w:val="baseline"/>
        </w:rPr>
        <w:t> </w:t>
      </w:r>
      <w:r>
        <w:rPr>
          <w:vertAlign w:val="baseline"/>
        </w:rPr>
        <w:t>cholesterol</w:t>
      </w:r>
      <w:r>
        <w:rPr>
          <w:spacing w:val="-1"/>
          <w:vertAlign w:val="baseline"/>
        </w:rPr>
        <w:t> </w:t>
      </w:r>
      <w:r>
        <w:rPr>
          <w:vertAlign w:val="baseline"/>
        </w:rPr>
        <w:t>levels,</w:t>
      </w:r>
      <w:r>
        <w:rPr>
          <w:spacing w:val="-1"/>
          <w:vertAlign w:val="baseline"/>
        </w:rPr>
        <w:t> </w:t>
      </w:r>
      <w:r>
        <w:rPr>
          <w:vertAlign w:val="baseline"/>
        </w:rPr>
        <w:t>the</w:t>
      </w:r>
      <w:r>
        <w:rPr>
          <w:spacing w:val="-1"/>
          <w:vertAlign w:val="baseline"/>
        </w:rPr>
        <w:t> </w:t>
      </w:r>
      <w:r>
        <w:rPr>
          <w:vertAlign w:val="baseline"/>
        </w:rPr>
        <w:t>beneficial</w:t>
      </w:r>
      <w:r>
        <w:rPr>
          <w:spacing w:val="-1"/>
          <w:vertAlign w:val="baseline"/>
        </w:rPr>
        <w:t> </w:t>
      </w:r>
      <w:r>
        <w:rPr>
          <w:vertAlign w:val="baseline"/>
        </w:rPr>
        <w:t>impact</w:t>
      </w:r>
      <w:r>
        <w:rPr>
          <w:spacing w:val="-1"/>
          <w:vertAlign w:val="baseline"/>
        </w:rPr>
        <w:t> </w:t>
      </w:r>
      <w:r>
        <w:rPr>
          <w:vertAlign w:val="baseline"/>
        </w:rPr>
        <w:t>of</w:t>
      </w:r>
      <w:r>
        <w:rPr>
          <w:spacing w:val="-1"/>
          <w:vertAlign w:val="baseline"/>
        </w:rPr>
        <w:t> </w:t>
      </w:r>
      <w:r>
        <w:rPr>
          <w:vertAlign w:val="baseline"/>
        </w:rPr>
        <w:t>soy</w:t>
      </w:r>
      <w:r>
        <w:rPr>
          <w:spacing w:val="-1"/>
          <w:vertAlign w:val="baseline"/>
        </w:rPr>
        <w:t> </w:t>
      </w:r>
      <w:r>
        <w:rPr>
          <w:vertAlign w:val="baseline"/>
        </w:rPr>
        <w:t>protein</w:t>
      </w:r>
      <w:r>
        <w:rPr>
          <w:spacing w:val="-1"/>
          <w:vertAlign w:val="baseline"/>
        </w:rPr>
        <w:t> </w:t>
      </w:r>
      <w:r>
        <w:rPr>
          <w:vertAlign w:val="baseline"/>
        </w:rPr>
        <w:t>intake</w:t>
      </w:r>
      <w:r>
        <w:rPr>
          <w:spacing w:val="-1"/>
          <w:vertAlign w:val="baseline"/>
        </w:rPr>
        <w:t> </w:t>
      </w:r>
      <w:r>
        <w:rPr>
          <w:vertAlign w:val="baseline"/>
        </w:rPr>
        <w:t>is</w:t>
      </w:r>
      <w:r>
        <w:rPr>
          <w:spacing w:val="-1"/>
          <w:vertAlign w:val="baseline"/>
        </w:rPr>
        <w:t> </w:t>
      </w:r>
      <w:r>
        <w:rPr>
          <w:vertAlign w:val="baseline"/>
        </w:rPr>
        <w:t>modest and likely to have little clinical effect. A 2021 randomized, double-blind, placebo-controlled study analyzed the effect of soy isoflavones </w:t>
      </w:r>
      <w:r>
        <w:rPr>
          <w:b/>
          <w:vertAlign w:val="baseline"/>
        </w:rPr>
        <w:t>daidzein and</w:t>
      </w:r>
      <w:r>
        <w:rPr>
          <w:b/>
          <w:spacing w:val="-4"/>
          <w:vertAlign w:val="baseline"/>
        </w:rPr>
        <w:t> </w:t>
      </w:r>
      <w:r>
        <w:rPr>
          <w:b/>
          <w:vertAlign w:val="baseline"/>
        </w:rPr>
        <w:t>genistein </w:t>
      </w:r>
      <w:r>
        <w:rPr>
          <w:vertAlign w:val="baseline"/>
        </w:rPr>
        <w:t>on lipids, high sensitive CRP, and uric acid levels in a cohort of Chinese women (</w:t>
      </w:r>
      <w:r>
        <w:rPr>
          <w:i/>
          <w:vertAlign w:val="baseline"/>
        </w:rPr>
        <w:t>n </w:t>
      </w:r>
      <w:r>
        <w:rPr>
          <w:vertAlign w:val="baseline"/>
        </w:rPr>
        <w:t>= 165, ages 30-70 years) with abnormal glucose regulation. At 12 and 24 weeks of intervention, no differences were seen between the intervention and placebo groups on any of the markers of </w:t>
      </w:r>
      <w:r>
        <w:rPr>
          <w:spacing w:val="-2"/>
          <w:vertAlign w:val="baseline"/>
        </w:rPr>
        <w:t>interest.</w:t>
      </w:r>
      <w:r>
        <w:rPr>
          <w:spacing w:val="-2"/>
          <w:vertAlign w:val="superscript"/>
        </w:rPr>
        <w:t>466</w:t>
      </w:r>
    </w:p>
    <w:p>
      <w:pPr>
        <w:pStyle w:val="BodyText"/>
        <w:spacing w:line="249" w:lineRule="auto" w:before="17"/>
        <w:ind w:right="98" w:firstLine="450"/>
      </w:pPr>
      <w:r>
        <w:rPr/>
        <w:t>Another randomized crossover trial from the United States examined</w:t>
      </w:r>
      <w:r>
        <w:rPr>
          <w:spacing w:val="40"/>
        </w:rPr>
        <w:t> </w:t>
      </w:r>
      <w:r>
        <w:rPr/>
        <w:t>the effects of 8-week treatment with a specific peptide Lunasin that is present in soybeans, on cardiometabolic risk indices including fasting</w:t>
      </w:r>
      <w:r>
        <w:rPr>
          <w:spacing w:val="40"/>
        </w:rPr>
        <w:t> </w:t>
      </w:r>
      <w:r>
        <w:rPr/>
        <w:t>lipids, glucose, and anthropometric measures (body mass index [BMI] and waist circumference) in a small aging population (19 females and 12 males, mean age 61 ± 9.9 years). Based on the results of in vitro and animal studies, Lunasin is suggested to possess antioxidant, anticarcinogenic, and hypocholesterolemic properties; hence, cardiometabolic benefit </w:t>
      </w:r>
      <w:r>
        <w:rPr/>
        <w:t>was hypothesized from Lunasin intervention. There were nonsignificant reductions in cardiometabolic risk factors after 8 weeks of treatment with the use of Lunasin.</w:t>
      </w:r>
      <w:r>
        <w:rPr>
          <w:vertAlign w:val="superscript"/>
        </w:rPr>
        <w:t>467</w:t>
      </w:r>
    </w:p>
    <w:p>
      <w:pPr>
        <w:pStyle w:val="BodyText"/>
        <w:spacing w:line="249" w:lineRule="auto" w:before="13"/>
        <w:ind w:right="97" w:firstLine="450"/>
      </w:pPr>
      <w:r>
        <w:rPr/>
        <w:t>It will require appropriate clinical trials to determine how phytoestrogens compare in the cardiovascular system with estrogens and </w:t>
      </w:r>
      <w:r>
        <w:rPr/>
        <w:t>to determine the efficacy, safety, and correct dosage. (Studies thus far recommend a daily intake of 60-g soy protein.) In addition, the intake of sufficient soy to produce a clinical response is not easy; intake is handicapped by gastrointestinal symptoms, a major alteration in diet or the use</w:t>
      </w:r>
      <w:r>
        <w:rPr>
          <w:spacing w:val="-1"/>
        </w:rPr>
        <w:t> </w:t>
      </w:r>
      <w:r>
        <w:rPr/>
        <w:t>of</w:t>
      </w:r>
      <w:r>
        <w:rPr>
          <w:spacing w:val="-1"/>
        </w:rPr>
        <w:t> </w:t>
      </w:r>
      <w:r>
        <w:rPr/>
        <w:t>an</w:t>
      </w:r>
      <w:r>
        <w:rPr>
          <w:spacing w:val="-1"/>
        </w:rPr>
        <w:t> </w:t>
      </w:r>
      <w:r>
        <w:rPr/>
        <w:t>unpalatable</w:t>
      </w:r>
      <w:r>
        <w:rPr>
          <w:spacing w:val="-1"/>
        </w:rPr>
        <w:t> </w:t>
      </w:r>
      <w:r>
        <w:rPr/>
        <w:t>supplement,</w:t>
      </w:r>
      <w:r>
        <w:rPr>
          <w:spacing w:val="-1"/>
        </w:rPr>
        <w:t> </w:t>
      </w:r>
      <w:r>
        <w:rPr/>
        <w:t>and</w:t>
      </w:r>
      <w:r>
        <w:rPr>
          <w:spacing w:val="-1"/>
        </w:rPr>
        <w:t> </w:t>
      </w:r>
      <w:r>
        <w:rPr/>
        <w:t>great</w:t>
      </w:r>
      <w:r>
        <w:rPr>
          <w:spacing w:val="-1"/>
        </w:rPr>
        <w:t> </w:t>
      </w:r>
      <w:r>
        <w:rPr/>
        <w:t>variability</w:t>
      </w:r>
      <w:r>
        <w:rPr>
          <w:spacing w:val="-1"/>
        </w:rPr>
        <w:t> </w:t>
      </w:r>
      <w:r>
        <w:rPr/>
        <w:t>in</w:t>
      </w:r>
      <w:r>
        <w:rPr>
          <w:spacing w:val="-1"/>
        </w:rPr>
        <w:t> </w:t>
      </w:r>
      <w:r>
        <w:rPr/>
        <w:t>plant</w:t>
      </w:r>
      <w:r>
        <w:rPr>
          <w:spacing w:val="-1"/>
        </w:rPr>
        <w:t> </w:t>
      </w:r>
      <w:r>
        <w:rPr/>
        <w:t>contents</w:t>
      </w:r>
      <w:r>
        <w:rPr>
          <w:spacing w:val="-1"/>
        </w:rPr>
        <w:t> </w:t>
      </w:r>
      <w:r>
        <w:rPr/>
        <w:t>and products (due to processing). A dietary intake to match the isoflavone dose used in the studies on the lipid profile, for example, would require about 1 lb daily of tofu! In addition, individuals demonstrate great variability in absorption</w:t>
      </w:r>
      <w:r>
        <w:rPr>
          <w:spacing w:val="17"/>
        </w:rPr>
        <w:t> </w:t>
      </w:r>
      <w:r>
        <w:rPr/>
        <w:t>and</w:t>
      </w:r>
      <w:r>
        <w:rPr>
          <w:spacing w:val="19"/>
        </w:rPr>
        <w:t> </w:t>
      </w:r>
      <w:r>
        <w:rPr/>
        <w:t>metabolism.</w:t>
      </w:r>
      <w:r>
        <w:rPr>
          <w:spacing w:val="18"/>
        </w:rPr>
        <w:t> </w:t>
      </w:r>
      <w:r>
        <w:rPr/>
        <w:t>A</w:t>
      </w:r>
      <w:r>
        <w:rPr>
          <w:spacing w:val="17"/>
        </w:rPr>
        <w:t> </w:t>
      </w:r>
      <w:r>
        <w:rPr/>
        <w:t>user-friendly</w:t>
      </w:r>
      <w:r>
        <w:rPr>
          <w:spacing w:val="18"/>
        </w:rPr>
        <w:t> </w:t>
      </w:r>
      <w:r>
        <w:rPr/>
        <w:t>preparation</w:t>
      </w:r>
      <w:r>
        <w:rPr>
          <w:spacing w:val="17"/>
        </w:rPr>
        <w:t> </w:t>
      </w:r>
      <w:r>
        <w:rPr/>
        <w:t>must</w:t>
      </w:r>
      <w:r>
        <w:rPr>
          <w:spacing w:val="17"/>
        </w:rPr>
        <w:t> </w:t>
      </w:r>
      <w:r>
        <w:rPr/>
        <w:t>be</w:t>
      </w:r>
      <w:r>
        <w:rPr>
          <w:spacing w:val="18"/>
        </w:rPr>
        <w:t> </w:t>
      </w:r>
      <w:r>
        <w:rPr>
          <w:spacing w:val="-2"/>
        </w:rPr>
        <w:t>developed</w:t>
      </w:r>
    </w:p>
    <w:p>
      <w:pPr>
        <w:pStyle w:val="BodyText"/>
        <w:spacing w:after="0" w:line="249" w:lineRule="auto"/>
        <w:sectPr>
          <w:pgSz w:w="12240" w:h="15840"/>
          <w:pgMar w:top="1380" w:bottom="280" w:left="1440" w:right="1440"/>
        </w:sectPr>
      </w:pPr>
    </w:p>
    <w:p>
      <w:pPr>
        <w:spacing w:line="249" w:lineRule="auto" w:before="65"/>
        <w:ind w:left="99" w:right="106" w:firstLine="0"/>
        <w:jc w:val="both"/>
        <w:rPr>
          <w:b/>
          <w:sz w:val="30"/>
        </w:rPr>
      </w:pPr>
      <w:r>
        <w:rPr>
          <w:sz w:val="30"/>
        </w:rPr>
        <w:t>that minimizes individual variability in response. </w:t>
      </w:r>
      <w:r>
        <w:rPr>
          <w:b/>
          <w:sz w:val="30"/>
        </w:rPr>
        <w:t>Despite </w:t>
      </w:r>
      <w:r>
        <w:rPr>
          <w:b/>
          <w:sz w:val="30"/>
        </w:rPr>
        <w:t>the abovementioned observations, a preventive role for soy intake against CVD remains to be proven.</w:t>
      </w:r>
    </w:p>
    <w:p>
      <w:pPr>
        <w:pStyle w:val="BodyText"/>
        <w:spacing w:before="47"/>
        <w:ind w:left="0"/>
        <w:jc w:val="left"/>
        <w:rPr>
          <w:b/>
        </w:rPr>
      </w:pPr>
    </w:p>
    <w:p>
      <w:pPr>
        <w:spacing w:before="0"/>
        <w:ind w:left="99" w:right="0" w:firstLine="0"/>
        <w:jc w:val="both"/>
        <w:rPr>
          <w:rFonts w:ascii="Arial"/>
          <w:b/>
          <w:sz w:val="30"/>
        </w:rPr>
      </w:pPr>
      <w:r>
        <w:rPr>
          <w:rFonts w:ascii="Arial"/>
          <w:b/>
          <w:color w:val="2674AE"/>
          <w:sz w:val="30"/>
        </w:rPr>
        <w:t>Phytoestrogens and </w:t>
      </w:r>
      <w:r>
        <w:rPr>
          <w:rFonts w:ascii="Arial"/>
          <w:b/>
          <w:color w:val="2674AE"/>
          <w:spacing w:val="-2"/>
          <w:sz w:val="30"/>
        </w:rPr>
        <w:t>Cognition</w:t>
      </w:r>
    </w:p>
    <w:p>
      <w:pPr>
        <w:pStyle w:val="BodyText"/>
        <w:spacing w:line="249" w:lineRule="auto" w:before="166"/>
        <w:ind w:right="103"/>
        <w:rPr>
          <w:b/>
        </w:rPr>
      </w:pPr>
      <w:r>
        <w:rPr/>
        <w:t>Phytoestrogens upregulate cognition markers and improve memory in rats equally when compared with estrogen.</w:t>
      </w:r>
      <w:r>
        <w:rPr>
          <w:vertAlign w:val="superscript"/>
        </w:rPr>
        <w:t>468,469</w:t>
      </w:r>
      <w:r>
        <w:rPr>
          <w:vertAlign w:val="baseline"/>
        </w:rPr>
        <w:t> Soy supplementation has </w:t>
      </w:r>
      <w:r>
        <w:rPr>
          <w:vertAlign w:val="baseline"/>
        </w:rPr>
        <w:t>been suggested to improve measurements of memory and attention in postmenopausal women.</w:t>
      </w:r>
      <w:r>
        <w:rPr>
          <w:vertAlign w:val="superscript"/>
        </w:rPr>
        <w:t>470,471</w:t>
      </w:r>
      <w:r>
        <w:rPr>
          <w:vertAlign w:val="baseline"/>
        </w:rPr>
        <w:t> On the other hand, the majority of randomized trials detected no effects of soy protein, red clover, or black cohosh</w:t>
      </w:r>
      <w:r>
        <w:rPr>
          <w:spacing w:val="-1"/>
          <w:vertAlign w:val="baseline"/>
        </w:rPr>
        <w:t> </w:t>
      </w:r>
      <w:r>
        <w:rPr>
          <w:vertAlign w:val="baseline"/>
        </w:rPr>
        <w:t>on</w:t>
      </w:r>
      <w:r>
        <w:rPr>
          <w:spacing w:val="-1"/>
          <w:vertAlign w:val="baseline"/>
        </w:rPr>
        <w:t> </w:t>
      </w:r>
      <w:r>
        <w:rPr>
          <w:vertAlign w:val="baseline"/>
        </w:rPr>
        <w:t>tests</w:t>
      </w:r>
      <w:r>
        <w:rPr>
          <w:spacing w:val="-1"/>
          <w:vertAlign w:val="baseline"/>
        </w:rPr>
        <w:t> </w:t>
      </w:r>
      <w:r>
        <w:rPr>
          <w:vertAlign w:val="baseline"/>
        </w:rPr>
        <w:t>of</w:t>
      </w:r>
      <w:r>
        <w:rPr>
          <w:spacing w:val="-1"/>
          <w:vertAlign w:val="baseline"/>
        </w:rPr>
        <w:t> </w:t>
      </w:r>
      <w:r>
        <w:rPr>
          <w:vertAlign w:val="baseline"/>
        </w:rPr>
        <w:t>memory,</w:t>
      </w:r>
      <w:r>
        <w:rPr>
          <w:spacing w:val="-1"/>
          <w:vertAlign w:val="baseline"/>
        </w:rPr>
        <w:t> </w:t>
      </w:r>
      <w:r>
        <w:rPr>
          <w:vertAlign w:val="baseline"/>
        </w:rPr>
        <w:t>executive</w:t>
      </w:r>
      <w:r>
        <w:rPr>
          <w:spacing w:val="-1"/>
          <w:vertAlign w:val="baseline"/>
        </w:rPr>
        <w:t> </w:t>
      </w:r>
      <w:r>
        <w:rPr>
          <w:vertAlign w:val="baseline"/>
        </w:rPr>
        <w:t>function,</w:t>
      </w:r>
      <w:r>
        <w:rPr>
          <w:spacing w:val="-1"/>
          <w:vertAlign w:val="baseline"/>
        </w:rPr>
        <w:t> </w:t>
      </w:r>
      <w:r>
        <w:rPr>
          <w:vertAlign w:val="baseline"/>
        </w:rPr>
        <w:t>language,</w:t>
      </w:r>
      <w:r>
        <w:rPr>
          <w:spacing w:val="-1"/>
          <w:vertAlign w:val="baseline"/>
        </w:rPr>
        <w:t> </w:t>
      </w:r>
      <w:r>
        <w:rPr>
          <w:vertAlign w:val="baseline"/>
        </w:rPr>
        <w:t>visual</w:t>
      </w:r>
      <w:r>
        <w:rPr>
          <w:spacing w:val="-1"/>
          <w:vertAlign w:val="baseline"/>
        </w:rPr>
        <w:t> </w:t>
      </w:r>
      <w:r>
        <w:rPr>
          <w:vertAlign w:val="baseline"/>
        </w:rPr>
        <w:t>perception, cognition, or measures of quality of life.</w:t>
      </w:r>
      <w:r>
        <w:rPr>
          <w:vertAlign w:val="superscript"/>
        </w:rPr>
        <w:t>421,457,472,473</w:t>
      </w:r>
      <w:r>
        <w:rPr>
          <w:vertAlign w:val="baseline"/>
        </w:rPr>
        <w:t> On the contrary, there is one human study involving men that showed the opposite effect. In a U.S. National Institutes of Health (NIH) study that began in 1965, men reported on their tofu consumption.</w:t>
      </w:r>
      <w:r>
        <w:rPr>
          <w:vertAlign w:val="superscript"/>
        </w:rPr>
        <w:t>474</w:t>
      </w:r>
      <w:r>
        <w:rPr>
          <w:vertAlign w:val="baseline"/>
        </w:rPr>
        <w:t> Cognition was tested in 1991 to 1993 between the ages 71 and 93. Higher midlife tofu consumption (two or more servings per week) was associated with poor cognitive test performance,</w:t>
      </w:r>
      <w:r>
        <w:rPr>
          <w:spacing w:val="40"/>
          <w:vertAlign w:val="baseline"/>
        </w:rPr>
        <w:t> </w:t>
      </w:r>
      <w:r>
        <w:rPr>
          <w:vertAlign w:val="baseline"/>
        </w:rPr>
        <w:t>enlargement</w:t>
      </w:r>
      <w:r>
        <w:rPr>
          <w:spacing w:val="-5"/>
          <w:vertAlign w:val="baseline"/>
        </w:rPr>
        <w:t> </w:t>
      </w:r>
      <w:r>
        <w:rPr>
          <w:vertAlign w:val="baseline"/>
        </w:rPr>
        <w:t>of</w:t>
      </w:r>
      <w:r>
        <w:rPr>
          <w:spacing w:val="-5"/>
          <w:vertAlign w:val="baseline"/>
        </w:rPr>
        <w:t> </w:t>
      </w:r>
      <w:r>
        <w:rPr>
          <w:vertAlign w:val="baseline"/>
        </w:rPr>
        <w:t>ventricles,</w:t>
      </w:r>
      <w:r>
        <w:rPr>
          <w:spacing w:val="-5"/>
          <w:vertAlign w:val="baseline"/>
        </w:rPr>
        <w:t> </w:t>
      </w:r>
      <w:r>
        <w:rPr>
          <w:vertAlign w:val="baseline"/>
        </w:rPr>
        <w:t>and</w:t>
      </w:r>
      <w:r>
        <w:rPr>
          <w:spacing w:val="-5"/>
          <w:vertAlign w:val="baseline"/>
        </w:rPr>
        <w:t> </w:t>
      </w:r>
      <w:r>
        <w:rPr>
          <w:vertAlign w:val="baseline"/>
        </w:rPr>
        <w:t>low</w:t>
      </w:r>
      <w:r>
        <w:rPr>
          <w:spacing w:val="-5"/>
          <w:vertAlign w:val="baseline"/>
        </w:rPr>
        <w:t> </w:t>
      </w:r>
      <w:r>
        <w:rPr>
          <w:vertAlign w:val="baseline"/>
        </w:rPr>
        <w:t>brain</w:t>
      </w:r>
      <w:r>
        <w:rPr>
          <w:spacing w:val="-5"/>
          <w:vertAlign w:val="baseline"/>
        </w:rPr>
        <w:t> </w:t>
      </w:r>
      <w:r>
        <w:rPr>
          <w:vertAlign w:val="baseline"/>
        </w:rPr>
        <w:t>weight.</w:t>
      </w:r>
      <w:r>
        <w:rPr>
          <w:spacing w:val="-6"/>
          <w:vertAlign w:val="baseline"/>
        </w:rPr>
        <w:t> </w:t>
      </w:r>
      <w:r>
        <w:rPr>
          <w:b/>
          <w:vertAlign w:val="baseline"/>
        </w:rPr>
        <w:t>At</w:t>
      </w:r>
      <w:r>
        <w:rPr>
          <w:b/>
          <w:spacing w:val="-5"/>
          <w:vertAlign w:val="baseline"/>
        </w:rPr>
        <w:t> </w:t>
      </w:r>
      <w:r>
        <w:rPr>
          <w:b/>
          <w:vertAlign w:val="baseline"/>
        </w:rPr>
        <w:t>the</w:t>
      </w:r>
      <w:r>
        <w:rPr>
          <w:b/>
          <w:spacing w:val="-5"/>
          <w:vertAlign w:val="baseline"/>
        </w:rPr>
        <w:t> </w:t>
      </w:r>
      <w:r>
        <w:rPr>
          <w:b/>
          <w:vertAlign w:val="baseline"/>
        </w:rPr>
        <w:t>present</w:t>
      </w:r>
      <w:r>
        <w:rPr>
          <w:b/>
          <w:spacing w:val="-5"/>
          <w:vertAlign w:val="baseline"/>
        </w:rPr>
        <w:t> </w:t>
      </w:r>
      <w:r>
        <w:rPr>
          <w:b/>
          <w:vertAlign w:val="baseline"/>
        </w:rPr>
        <w:t>time,</w:t>
      </w:r>
      <w:r>
        <w:rPr>
          <w:b/>
          <w:spacing w:val="-5"/>
          <w:vertAlign w:val="baseline"/>
        </w:rPr>
        <w:t> </w:t>
      </w:r>
      <w:r>
        <w:rPr>
          <w:b/>
          <w:vertAlign w:val="baseline"/>
        </w:rPr>
        <w:t>there is no role of soy products for cognitive benefit.</w:t>
      </w:r>
    </w:p>
    <w:p>
      <w:pPr>
        <w:pStyle w:val="BodyText"/>
        <w:spacing w:line="249" w:lineRule="auto" w:before="18"/>
        <w:ind w:right="99" w:firstLine="450"/>
      </w:pPr>
      <w:r>
        <w:rPr/>
        <w:t>An Australian randomized, placebo-controlled, crossover trial undertaken in 125 postmenopausal women (mean age 65 ± 7 years) published in 2021 reported on the effects of resveratrol versus placebo on cognitive</w:t>
      </w:r>
      <w:r>
        <w:rPr>
          <w:spacing w:val="-2"/>
        </w:rPr>
        <w:t> </w:t>
      </w:r>
      <w:r>
        <w:rPr/>
        <w:t>function</w:t>
      </w:r>
      <w:r>
        <w:rPr>
          <w:spacing w:val="-2"/>
        </w:rPr>
        <w:t> </w:t>
      </w:r>
      <w:r>
        <w:rPr/>
        <w:t>(primary</w:t>
      </w:r>
      <w:r>
        <w:rPr>
          <w:spacing w:val="-2"/>
        </w:rPr>
        <w:t> </w:t>
      </w:r>
      <w:r>
        <w:rPr/>
        <w:t>outcome)</w:t>
      </w:r>
      <w:r>
        <w:rPr>
          <w:spacing w:val="-2"/>
        </w:rPr>
        <w:t> </w:t>
      </w:r>
      <w:r>
        <w:rPr/>
        <w:t>and</w:t>
      </w:r>
      <w:r>
        <w:rPr>
          <w:spacing w:val="-2"/>
        </w:rPr>
        <w:t> </w:t>
      </w:r>
      <w:r>
        <w:rPr/>
        <w:t>middle</w:t>
      </w:r>
      <w:r>
        <w:rPr>
          <w:spacing w:val="-2"/>
        </w:rPr>
        <w:t> </w:t>
      </w:r>
      <w:r>
        <w:rPr/>
        <w:t>cerebral</w:t>
      </w:r>
      <w:r>
        <w:rPr>
          <w:spacing w:val="-2"/>
        </w:rPr>
        <w:t> </w:t>
      </w:r>
      <w:r>
        <w:rPr/>
        <w:t>artery</w:t>
      </w:r>
      <w:r>
        <w:rPr>
          <w:spacing w:val="-2"/>
        </w:rPr>
        <w:t> </w:t>
      </w:r>
      <w:r>
        <w:rPr/>
        <w:t>blood</w:t>
      </w:r>
      <w:r>
        <w:rPr>
          <w:spacing w:val="-2"/>
        </w:rPr>
        <w:t> </w:t>
      </w:r>
      <w:r>
        <w:rPr/>
        <w:t>flow and cardiometabolic indices (secondary outcomes).</w:t>
      </w:r>
      <w:r>
        <w:rPr>
          <w:vertAlign w:val="superscript"/>
        </w:rPr>
        <w:t>475</w:t>
      </w:r>
      <w:r>
        <w:rPr>
          <w:vertAlign w:val="baseline"/>
        </w:rPr>
        <w:t> Participants </w:t>
      </w:r>
      <w:r>
        <w:rPr>
          <w:vertAlign w:val="baseline"/>
        </w:rPr>
        <w:t>were randomized to 75 mg </w:t>
      </w:r>
      <w:r>
        <w:rPr>
          <w:i/>
          <w:vertAlign w:val="baseline"/>
        </w:rPr>
        <w:t>trans</w:t>
      </w:r>
      <w:r>
        <w:rPr>
          <w:vertAlign w:val="baseline"/>
        </w:rPr>
        <w:t>-resveratrol, a phytoestrogen, or placebo twice daily for 12 months and then crossover to the alternative treatment for another 12 months. A significant 33% improvement in cognitive performance was noted with resveratrol treatment compared to placebo. Furthermore,</w:t>
      </w:r>
      <w:r>
        <w:rPr>
          <w:spacing w:val="-1"/>
          <w:vertAlign w:val="baseline"/>
        </w:rPr>
        <w:t> </w:t>
      </w:r>
      <w:r>
        <w:rPr>
          <w:vertAlign w:val="baseline"/>
        </w:rPr>
        <w:t>improvement</w:t>
      </w:r>
      <w:r>
        <w:rPr>
          <w:spacing w:val="-1"/>
          <w:vertAlign w:val="baseline"/>
        </w:rPr>
        <w:t> </w:t>
      </w:r>
      <w:r>
        <w:rPr>
          <w:vertAlign w:val="baseline"/>
        </w:rPr>
        <w:t>in</w:t>
      </w:r>
      <w:r>
        <w:rPr>
          <w:spacing w:val="-1"/>
          <w:vertAlign w:val="baseline"/>
        </w:rPr>
        <w:t> </w:t>
      </w:r>
      <w:r>
        <w:rPr>
          <w:vertAlign w:val="baseline"/>
        </w:rPr>
        <w:t>verbal</w:t>
      </w:r>
      <w:r>
        <w:rPr>
          <w:spacing w:val="-1"/>
          <w:vertAlign w:val="baseline"/>
        </w:rPr>
        <w:t> </w:t>
      </w:r>
      <w:r>
        <w:rPr>
          <w:vertAlign w:val="baseline"/>
        </w:rPr>
        <w:t>memory</w:t>
      </w:r>
      <w:r>
        <w:rPr>
          <w:spacing w:val="-1"/>
          <w:vertAlign w:val="baseline"/>
        </w:rPr>
        <w:t> </w:t>
      </w:r>
      <w:r>
        <w:rPr>
          <w:vertAlign w:val="baseline"/>
        </w:rPr>
        <w:t>was</w:t>
      </w:r>
      <w:r>
        <w:rPr>
          <w:spacing w:val="-1"/>
          <w:vertAlign w:val="baseline"/>
        </w:rPr>
        <w:t> </w:t>
      </w:r>
      <w:r>
        <w:rPr>
          <w:vertAlign w:val="baseline"/>
        </w:rPr>
        <w:t>observed</w:t>
      </w:r>
      <w:r>
        <w:rPr>
          <w:spacing w:val="-1"/>
          <w:vertAlign w:val="baseline"/>
        </w:rPr>
        <w:t> </w:t>
      </w:r>
      <w:r>
        <w:rPr>
          <w:vertAlign w:val="baseline"/>
        </w:rPr>
        <w:t>with</w:t>
      </w:r>
      <w:r>
        <w:rPr>
          <w:spacing w:val="-1"/>
          <w:vertAlign w:val="baseline"/>
        </w:rPr>
        <w:t> </w:t>
      </w:r>
      <w:r>
        <w:rPr>
          <w:vertAlign w:val="baseline"/>
        </w:rPr>
        <w:t>resveratrol intervention in women aged 65 years or above compared to those younger than 65 years. In addition, improvements in cerebral blood flow and metabolic indices were also noted following treatment with resveratrol. Overall, the results of this Australian trial suggest that regular supplementation with low-dose resveratrol may offer cognitive and metabolic benefit in postmenopausal women.</w:t>
      </w:r>
    </w:p>
    <w:p>
      <w:pPr>
        <w:pStyle w:val="BodyText"/>
        <w:spacing w:after="0" w:line="249" w:lineRule="auto"/>
        <w:sectPr>
          <w:pgSz w:w="12240" w:h="15840"/>
          <w:pgMar w:top="1380" w:bottom="280" w:left="1440" w:right="1440"/>
        </w:sectPr>
      </w:pPr>
    </w:p>
    <w:p>
      <w:pPr>
        <w:spacing w:before="63"/>
        <w:ind w:left="99" w:right="0" w:firstLine="0"/>
        <w:jc w:val="both"/>
        <w:rPr>
          <w:rFonts w:ascii="Arial"/>
          <w:b/>
          <w:sz w:val="30"/>
        </w:rPr>
      </w:pPr>
      <w:r>
        <w:rPr>
          <w:rFonts w:ascii="Arial"/>
          <w:b/>
          <w:color w:val="2674AE"/>
          <w:sz w:val="30"/>
        </w:rPr>
        <w:t>Phytoestrogens and the </w:t>
      </w:r>
      <w:r>
        <w:rPr>
          <w:rFonts w:ascii="Arial"/>
          <w:b/>
          <w:color w:val="2674AE"/>
          <w:spacing w:val="-2"/>
          <w:sz w:val="30"/>
        </w:rPr>
        <w:t>Breast</w:t>
      </w:r>
    </w:p>
    <w:p>
      <w:pPr>
        <w:pStyle w:val="BodyText"/>
        <w:spacing w:line="249" w:lineRule="auto" w:before="167"/>
        <w:ind w:right="99"/>
        <w:rPr>
          <w:sz w:val="17"/>
        </w:rPr>
      </w:pPr>
      <w:r>
        <w:rPr/>
        <w:t>In the parts of the world where soy intake is high, there is a lower </w:t>
      </w:r>
      <w:r>
        <w:rPr/>
        <w:t>incidence of breast, endometrial, and prostate cancers.</w:t>
      </w:r>
      <w:r>
        <w:rPr>
          <w:vertAlign w:val="superscript"/>
        </w:rPr>
        <w:t>476</w:t>
      </w:r>
      <w:r>
        <w:rPr>
          <w:vertAlign w:val="baseline"/>
        </w:rPr>
        <w:t> For example, a case-control study concluded that there was a 54% reduced risk of endometrial cancer, and another case-control study indicated a reduction in the risk of breast cancer in women with a high consumption of soy and other legumes.</w:t>
      </w:r>
      <w:r>
        <w:rPr>
          <w:vertAlign w:val="superscript"/>
        </w:rPr>
        <w:t>477,478</w:t>
      </w:r>
      <w:r>
        <w:rPr>
          <w:vertAlign w:val="baseline"/>
        </w:rPr>
        <w:t> Daidzein and genistein urinary excretion is lower in Australian women who develop breast cancer.</w:t>
      </w:r>
      <w:r>
        <w:rPr>
          <w:vertAlign w:val="superscript"/>
        </w:rPr>
        <w:t>479</w:t>
      </w:r>
      <w:r>
        <w:rPr>
          <w:vertAlign w:val="baseline"/>
        </w:rPr>
        <w:t> High soy and tofu consumption and high urinary excretion of isoflavones have been reported to be associated with a lower risk of breast cancer in Singapore, China, and Australia. There is even a lowered risk of breast cancer in American women consuming a diet rich in isoflavones.</w:t>
      </w:r>
      <w:r>
        <w:rPr>
          <w:vertAlign w:val="superscript"/>
        </w:rPr>
        <w:t>478,480-484</w:t>
      </w:r>
      <w:r>
        <w:rPr>
          <w:vertAlign w:val="baseline"/>
        </w:rPr>
        <w:t> These studies have supported the belief that high phytoestrogen intake protects against breast cancer. It is by no means certain, however, that there is a direct effect of soy intake.</w:t>
      </w:r>
      <w:r>
        <w:rPr>
          <w:vertAlign w:val="superscript"/>
        </w:rPr>
        <w:t>485</w:t>
      </w:r>
      <w:r>
        <w:rPr>
          <w:vertAlign w:val="baseline"/>
        </w:rPr>
        <w:t> Indeed, a 6-month study of the impact of administered soy protein on breast secretions in premenopausal and postmenopausal women revealed increased breast secretions with the appearance of hyperplastic epithelial cells.</w:t>
      </w:r>
      <w:r>
        <w:rPr>
          <w:vertAlign w:val="superscript"/>
        </w:rPr>
        <w:t>486</w:t>
      </w:r>
      <w:r>
        <w:rPr>
          <w:vertAlign w:val="baseline"/>
        </w:rPr>
        <w:t> Epithelial hyperplasia based on cytology in breast secretions was demonstrated in 7 (29.2%)</w:t>
      </w:r>
      <w:r>
        <w:rPr>
          <w:spacing w:val="-3"/>
          <w:vertAlign w:val="baseline"/>
        </w:rPr>
        <w:t> </w:t>
      </w:r>
      <w:r>
        <w:rPr>
          <w:vertAlign w:val="baseline"/>
        </w:rPr>
        <w:t>of</w:t>
      </w:r>
      <w:r>
        <w:rPr>
          <w:spacing w:val="-3"/>
          <w:vertAlign w:val="baseline"/>
        </w:rPr>
        <w:t> </w:t>
      </w:r>
      <w:r>
        <w:rPr>
          <w:vertAlign w:val="baseline"/>
        </w:rPr>
        <w:t>24</w:t>
      </w:r>
      <w:r>
        <w:rPr>
          <w:spacing w:val="-3"/>
          <w:vertAlign w:val="baseline"/>
        </w:rPr>
        <w:t> </w:t>
      </w:r>
      <w:r>
        <w:rPr>
          <w:vertAlign w:val="baseline"/>
        </w:rPr>
        <w:t>subjects.</w:t>
      </w:r>
      <w:r>
        <w:rPr>
          <w:spacing w:val="-4"/>
          <w:vertAlign w:val="baseline"/>
        </w:rPr>
        <w:t> </w:t>
      </w:r>
      <w:r>
        <w:rPr>
          <w:vertAlign w:val="baseline"/>
        </w:rPr>
        <w:t>Swedish and English cohort studies could not detect a relationship between dietary phytoestrogens and the risk of breast </w:t>
      </w:r>
      <w:r>
        <w:rPr>
          <w:spacing w:val="-2"/>
          <w:position w:val="-10"/>
          <w:vertAlign w:val="baseline"/>
        </w:rPr>
        <w:t>cancer.</w:t>
      </w:r>
      <w:r>
        <w:rPr>
          <w:spacing w:val="-2"/>
          <w:sz w:val="17"/>
          <w:vertAlign w:val="baseline"/>
        </w:rPr>
        <w:t>487,488</w:t>
      </w:r>
    </w:p>
    <w:p>
      <w:pPr>
        <w:pStyle w:val="BodyText"/>
        <w:spacing w:line="249" w:lineRule="auto" w:before="24"/>
        <w:ind w:right="97" w:firstLine="450"/>
      </w:pPr>
      <w:r>
        <w:rPr/>
        <w:t>Genistein increases epidermal growth factor in immature rat </w:t>
      </w:r>
      <w:r>
        <w:rPr/>
        <w:t>mammary tissue, and it has been hypothesized that earlier exposure to genistein promotes early cell differentiation, leading to breast glands that are more resistant to the development of cancer.</w:t>
      </w:r>
      <w:r>
        <w:rPr>
          <w:vertAlign w:val="superscript"/>
        </w:rPr>
        <w:t>489</w:t>
      </w:r>
      <w:r>
        <w:rPr>
          <w:vertAlign w:val="baseline"/>
        </w:rPr>
        <w:t> On the other hand, using the chemically induced rat breast cancer model, no evidence of isoflavone inhibition on tumor development has been detected.</w:t>
      </w:r>
      <w:r>
        <w:rPr>
          <w:vertAlign w:val="superscript"/>
        </w:rPr>
        <w:t>490</w:t>
      </w:r>
      <w:r>
        <w:rPr>
          <w:vertAlign w:val="baseline"/>
        </w:rPr>
        <w:t> In the monkey, treated</w:t>
      </w:r>
      <w:r>
        <w:rPr>
          <w:spacing w:val="-1"/>
          <w:vertAlign w:val="baseline"/>
        </w:rPr>
        <w:t> </w:t>
      </w:r>
      <w:r>
        <w:rPr>
          <w:vertAlign w:val="baseline"/>
        </w:rPr>
        <w:t>for</w:t>
      </w:r>
      <w:r>
        <w:rPr>
          <w:spacing w:val="-1"/>
          <w:vertAlign w:val="baseline"/>
        </w:rPr>
        <w:t> </w:t>
      </w:r>
      <w:r>
        <w:rPr>
          <w:vertAlign w:val="baseline"/>
        </w:rPr>
        <w:t>6</w:t>
      </w:r>
      <w:r>
        <w:rPr>
          <w:spacing w:val="-1"/>
          <w:vertAlign w:val="baseline"/>
        </w:rPr>
        <w:t> </w:t>
      </w:r>
      <w:r>
        <w:rPr>
          <w:vertAlign w:val="baseline"/>
        </w:rPr>
        <w:t>months,</w:t>
      </w:r>
      <w:r>
        <w:rPr>
          <w:spacing w:val="-1"/>
          <w:vertAlign w:val="baseline"/>
        </w:rPr>
        <w:t> </w:t>
      </w:r>
      <w:r>
        <w:rPr>
          <w:vertAlign w:val="baseline"/>
        </w:rPr>
        <w:t>no</w:t>
      </w:r>
      <w:r>
        <w:rPr>
          <w:spacing w:val="-1"/>
          <w:vertAlign w:val="baseline"/>
        </w:rPr>
        <w:t> </w:t>
      </w:r>
      <w:r>
        <w:rPr>
          <w:vertAlign w:val="baseline"/>
        </w:rPr>
        <w:t>proliferation</w:t>
      </w:r>
      <w:r>
        <w:rPr>
          <w:spacing w:val="-1"/>
          <w:vertAlign w:val="baseline"/>
        </w:rPr>
        <w:t> </w:t>
      </w:r>
      <w:r>
        <w:rPr>
          <w:vertAlign w:val="baseline"/>
        </w:rPr>
        <w:t>was</w:t>
      </w:r>
      <w:r>
        <w:rPr>
          <w:spacing w:val="-1"/>
          <w:vertAlign w:val="baseline"/>
        </w:rPr>
        <w:t> </w:t>
      </w:r>
      <w:r>
        <w:rPr>
          <w:vertAlign w:val="baseline"/>
        </w:rPr>
        <w:t>reported</w:t>
      </w:r>
      <w:r>
        <w:rPr>
          <w:spacing w:val="-1"/>
          <w:vertAlign w:val="baseline"/>
        </w:rPr>
        <w:t> </w:t>
      </w:r>
      <w:r>
        <w:rPr>
          <w:vertAlign w:val="baseline"/>
        </w:rPr>
        <w:t>in</w:t>
      </w:r>
      <w:r>
        <w:rPr>
          <w:spacing w:val="-1"/>
          <w:vertAlign w:val="baseline"/>
        </w:rPr>
        <w:t> </w:t>
      </w:r>
      <w:r>
        <w:rPr>
          <w:vertAlign w:val="baseline"/>
        </w:rPr>
        <w:t>either</w:t>
      </w:r>
      <w:r>
        <w:rPr>
          <w:spacing w:val="-1"/>
          <w:vertAlign w:val="baseline"/>
        </w:rPr>
        <w:t> </w:t>
      </w:r>
      <w:r>
        <w:rPr>
          <w:vertAlign w:val="baseline"/>
        </w:rPr>
        <w:t>endometrium</w:t>
      </w:r>
      <w:r>
        <w:rPr>
          <w:spacing w:val="-1"/>
          <w:vertAlign w:val="baseline"/>
        </w:rPr>
        <w:t> </w:t>
      </w:r>
      <w:r>
        <w:rPr>
          <w:vertAlign w:val="baseline"/>
        </w:rPr>
        <w:t>or mammary tissue.</w:t>
      </w:r>
      <w:r>
        <w:rPr>
          <w:vertAlign w:val="superscript"/>
        </w:rPr>
        <w:t>491,492</w:t>
      </w:r>
      <w:r>
        <w:rPr>
          <w:vertAlign w:val="baseline"/>
        </w:rPr>
        <w:t> A recent meta-analysis of the seven cohort and 17 case-control studies examined dose-response relationships between isoflavones</w:t>
      </w:r>
      <w:r>
        <w:rPr>
          <w:spacing w:val="-2"/>
          <w:vertAlign w:val="baseline"/>
        </w:rPr>
        <w:t> </w:t>
      </w:r>
      <w:r>
        <w:rPr>
          <w:vertAlign w:val="baseline"/>
        </w:rPr>
        <w:t>and</w:t>
      </w:r>
      <w:r>
        <w:rPr>
          <w:spacing w:val="-2"/>
          <w:vertAlign w:val="baseline"/>
        </w:rPr>
        <w:t> </w:t>
      </w:r>
      <w:r>
        <w:rPr>
          <w:vertAlign w:val="baseline"/>
        </w:rPr>
        <w:t>breast</w:t>
      </w:r>
      <w:r>
        <w:rPr>
          <w:spacing w:val="-2"/>
          <w:vertAlign w:val="baseline"/>
        </w:rPr>
        <w:t> </w:t>
      </w:r>
      <w:r>
        <w:rPr>
          <w:vertAlign w:val="baseline"/>
        </w:rPr>
        <w:t>cancer</w:t>
      </w:r>
      <w:r>
        <w:rPr>
          <w:spacing w:val="-2"/>
          <w:vertAlign w:val="baseline"/>
        </w:rPr>
        <w:t> </w:t>
      </w:r>
      <w:r>
        <w:rPr>
          <w:vertAlign w:val="baseline"/>
        </w:rPr>
        <w:t>risk</w:t>
      </w:r>
      <w:r>
        <w:rPr>
          <w:spacing w:val="-2"/>
          <w:vertAlign w:val="baseline"/>
        </w:rPr>
        <w:t> </w:t>
      </w:r>
      <w:r>
        <w:rPr>
          <w:vertAlign w:val="baseline"/>
        </w:rPr>
        <w:t>and</w:t>
      </w:r>
      <w:r>
        <w:rPr>
          <w:spacing w:val="-2"/>
          <w:vertAlign w:val="baseline"/>
        </w:rPr>
        <w:t> </w:t>
      </w:r>
      <w:r>
        <w:rPr>
          <w:vertAlign w:val="baseline"/>
        </w:rPr>
        <w:t>demonstrated</w:t>
      </w:r>
      <w:r>
        <w:rPr>
          <w:spacing w:val="-2"/>
          <w:vertAlign w:val="baseline"/>
        </w:rPr>
        <w:t> </w:t>
      </w:r>
      <w:r>
        <w:rPr>
          <w:vertAlign w:val="baseline"/>
        </w:rPr>
        <w:t>a</w:t>
      </w:r>
      <w:r>
        <w:rPr>
          <w:spacing w:val="-2"/>
          <w:vertAlign w:val="baseline"/>
        </w:rPr>
        <w:t> </w:t>
      </w:r>
      <w:r>
        <w:rPr>
          <w:vertAlign w:val="baseline"/>
        </w:rPr>
        <w:t>29%</w:t>
      </w:r>
      <w:r>
        <w:rPr>
          <w:spacing w:val="-2"/>
          <w:vertAlign w:val="baseline"/>
        </w:rPr>
        <w:t> </w:t>
      </w:r>
      <w:r>
        <w:rPr>
          <w:vertAlign w:val="baseline"/>
        </w:rPr>
        <w:t>decrease</w:t>
      </w:r>
      <w:r>
        <w:rPr>
          <w:spacing w:val="-2"/>
          <w:vertAlign w:val="baseline"/>
        </w:rPr>
        <w:t> </w:t>
      </w:r>
      <w:r>
        <w:rPr>
          <w:vertAlign w:val="baseline"/>
        </w:rPr>
        <w:t>in</w:t>
      </w:r>
      <w:r>
        <w:rPr>
          <w:spacing w:val="-2"/>
          <w:vertAlign w:val="baseline"/>
        </w:rPr>
        <w:t> </w:t>
      </w:r>
      <w:r>
        <w:rPr>
          <w:vertAlign w:val="baseline"/>
        </w:rPr>
        <w:t>odds for breast cancer when comparing the highest to the lowest isoflavone intake (summary odds ratio [OR] = 0.71, 95% CI = 0.72-0.81). A dose threshold for isoflavones was noted such that no benefit was evident at isoflavone</w:t>
      </w:r>
      <w:r>
        <w:rPr>
          <w:spacing w:val="26"/>
          <w:vertAlign w:val="baseline"/>
        </w:rPr>
        <w:t> </w:t>
      </w:r>
      <w:r>
        <w:rPr>
          <w:vertAlign w:val="baseline"/>
        </w:rPr>
        <w:t>doses</w:t>
      </w:r>
      <w:r>
        <w:rPr>
          <w:spacing w:val="28"/>
          <w:vertAlign w:val="baseline"/>
        </w:rPr>
        <w:t> </w:t>
      </w:r>
      <w:r>
        <w:rPr>
          <w:vertAlign w:val="baseline"/>
        </w:rPr>
        <w:t>less</w:t>
      </w:r>
      <w:r>
        <w:rPr>
          <w:spacing w:val="29"/>
          <w:vertAlign w:val="baseline"/>
        </w:rPr>
        <w:t> </w:t>
      </w:r>
      <w:r>
        <w:rPr>
          <w:vertAlign w:val="baseline"/>
        </w:rPr>
        <w:t>than</w:t>
      </w:r>
      <w:r>
        <w:rPr>
          <w:spacing w:val="28"/>
          <w:vertAlign w:val="baseline"/>
        </w:rPr>
        <w:t> </w:t>
      </w:r>
      <w:r>
        <w:rPr>
          <w:vertAlign w:val="baseline"/>
        </w:rPr>
        <w:t>10</w:t>
      </w:r>
      <w:r>
        <w:rPr>
          <w:spacing w:val="28"/>
          <w:vertAlign w:val="baseline"/>
        </w:rPr>
        <w:t> </w:t>
      </w:r>
      <w:r>
        <w:rPr>
          <w:vertAlign w:val="baseline"/>
        </w:rPr>
        <w:t>mg/d.</w:t>
      </w:r>
      <w:r>
        <w:rPr>
          <w:spacing w:val="27"/>
          <w:vertAlign w:val="baseline"/>
        </w:rPr>
        <w:t> </w:t>
      </w:r>
      <w:r>
        <w:rPr>
          <w:vertAlign w:val="baseline"/>
        </w:rPr>
        <w:t>In</w:t>
      </w:r>
      <w:r>
        <w:rPr>
          <w:spacing w:val="34"/>
          <w:vertAlign w:val="baseline"/>
        </w:rPr>
        <w:t> </w:t>
      </w:r>
      <w:r>
        <w:rPr>
          <w:vertAlign w:val="baseline"/>
        </w:rPr>
        <w:t>the</w:t>
      </w:r>
      <w:r>
        <w:rPr>
          <w:spacing w:val="33"/>
          <w:vertAlign w:val="baseline"/>
        </w:rPr>
        <w:t> </w:t>
      </w:r>
      <w:r>
        <w:rPr>
          <w:vertAlign w:val="baseline"/>
        </w:rPr>
        <w:t>dose-response</w:t>
      </w:r>
      <w:r>
        <w:rPr>
          <w:spacing w:val="34"/>
          <w:vertAlign w:val="baseline"/>
        </w:rPr>
        <w:t> </w:t>
      </w:r>
      <w:r>
        <w:rPr>
          <w:vertAlign w:val="baseline"/>
        </w:rPr>
        <w:t>meta-analysis</w:t>
      </w:r>
      <w:r>
        <w:rPr>
          <w:spacing w:val="34"/>
          <w:vertAlign w:val="baseline"/>
        </w:rPr>
        <w:t> </w:t>
      </w:r>
      <w:r>
        <w:rPr>
          <w:spacing w:val="-5"/>
          <w:vertAlign w:val="baseline"/>
        </w:rPr>
        <w:t>of</w:t>
      </w:r>
    </w:p>
    <w:p>
      <w:pPr>
        <w:pStyle w:val="BodyText"/>
        <w:spacing w:after="0" w:line="249" w:lineRule="auto"/>
        <w:sectPr>
          <w:pgSz w:w="12240" w:h="15840"/>
          <w:pgMar w:top="1380" w:bottom="280" w:left="1440" w:right="1440"/>
        </w:sectPr>
      </w:pPr>
    </w:p>
    <w:p>
      <w:pPr>
        <w:pStyle w:val="BodyText"/>
        <w:spacing w:line="249" w:lineRule="auto"/>
        <w:ind w:right="97"/>
      </w:pPr>
      <w:r>
        <w:rPr/>
        <w:t>the cohort studies, an inverse association between isoflavone intake </w:t>
      </w:r>
      <w:r>
        <w:rPr/>
        <w:t>and breast cancer was noted such that a 10 mg/d increase in isoflavone intake was related to nearly a 7% reduction in breast cancer risk (OR = 0.93, 95% CI = 0.90-0.96). The authors of this recent meta-analysis concluded that the present evidence demonstrates that dietary isoflavone is helpful in reducing breast cancer risk.</w:t>
      </w:r>
      <w:r>
        <w:rPr>
          <w:vertAlign w:val="superscript"/>
        </w:rPr>
        <w:t>493</w:t>
      </w:r>
    </w:p>
    <w:p>
      <w:pPr>
        <w:pStyle w:val="BodyText"/>
        <w:spacing w:line="249" w:lineRule="auto" w:before="7"/>
        <w:ind w:right="98" w:firstLine="450"/>
      </w:pPr>
      <w:r>
        <w:rPr/>
        <w:t>One hypothesis speculates that phytoestrogens protect the breast by decreasing exposure to the more potent endogenous estrogens. High-dose treatment (100 mg of daidzein plus 100 mg genistein) does lower estradiol and DHEA-S levels in premenopausal women and increases cycle length.</w:t>
      </w:r>
      <w:r>
        <w:rPr>
          <w:vertAlign w:val="superscript"/>
        </w:rPr>
        <w:t>494</w:t>
      </w:r>
      <w:r>
        <w:rPr>
          <w:vertAlign w:val="baseline"/>
        </w:rPr>
        <w:t> However, these are extremely high doses. One</w:t>
      </w:r>
      <w:r>
        <w:rPr>
          <w:spacing w:val="-1"/>
          <w:vertAlign w:val="baseline"/>
        </w:rPr>
        <w:t> </w:t>
      </w:r>
      <w:r>
        <w:rPr>
          <w:vertAlign w:val="baseline"/>
        </w:rPr>
        <w:t>study</w:t>
      </w:r>
      <w:r>
        <w:rPr>
          <w:spacing w:val="-1"/>
          <w:vertAlign w:val="baseline"/>
        </w:rPr>
        <w:t> </w:t>
      </w:r>
      <w:r>
        <w:rPr>
          <w:vertAlign w:val="baseline"/>
        </w:rPr>
        <w:t>reported</w:t>
      </w:r>
      <w:r>
        <w:rPr>
          <w:spacing w:val="-1"/>
          <w:vertAlign w:val="baseline"/>
        </w:rPr>
        <w:t> </w:t>
      </w:r>
      <w:r>
        <w:rPr>
          <w:vertAlign w:val="baseline"/>
        </w:rPr>
        <w:t>that</w:t>
      </w:r>
      <w:r>
        <w:rPr>
          <w:spacing w:val="-1"/>
          <w:vertAlign w:val="baseline"/>
        </w:rPr>
        <w:t> </w:t>
      </w:r>
      <w:r>
        <w:rPr>
          <w:vertAlign w:val="baseline"/>
        </w:rPr>
        <w:t>treatment with Asian soy foods (~32-mg isoflavones per day) was associated with a 9.3% significant decrease in luteal serum estradiol levels, but there were </w:t>
      </w:r>
      <w:r>
        <w:rPr>
          <w:vertAlign w:val="baseline"/>
        </w:rPr>
        <w:t>no other changes, including follicular phase estradiol, progesterone levels, and SHBG levels, or cycle length.</w:t>
      </w:r>
      <w:r>
        <w:rPr>
          <w:vertAlign w:val="superscript"/>
        </w:rPr>
        <w:t>495</w:t>
      </w:r>
      <w:r>
        <w:rPr>
          <w:vertAlign w:val="baseline"/>
        </w:rPr>
        <w:t> Interestingly, the reduction in luteal estradiol was observed only in Asian participants in whom urinary</w:t>
      </w:r>
      <w:r>
        <w:rPr>
          <w:spacing w:val="40"/>
          <w:vertAlign w:val="baseline"/>
        </w:rPr>
        <w:t> </w:t>
      </w:r>
      <w:r>
        <w:rPr>
          <w:vertAlign w:val="baseline"/>
        </w:rPr>
        <w:t>excretion of isoflavones was higher than non-Asians.</w:t>
      </w:r>
      <w:r>
        <w:rPr>
          <w:vertAlign w:val="superscript"/>
        </w:rPr>
        <w:t>495</w:t>
      </w:r>
      <w:r>
        <w:rPr>
          <w:vertAlign w:val="baseline"/>
        </w:rPr>
        <w:t> These same investigators reported that a high intake of the soy protein alone (with the isoflavones removed) reduced estradiol and progesterone levels throughout the cycle.</w:t>
      </w:r>
      <w:r>
        <w:rPr>
          <w:vertAlign w:val="superscript"/>
        </w:rPr>
        <w:t>496</w:t>
      </w:r>
      <w:r>
        <w:rPr>
          <w:vertAlign w:val="baseline"/>
        </w:rPr>
        <w:t> Other studies have found no effects on estradiol, FSH, LH, or SHBG in premenopausal women</w:t>
      </w:r>
      <w:r>
        <w:rPr>
          <w:vertAlign w:val="superscript"/>
        </w:rPr>
        <w:t>497</w:t>
      </w:r>
      <w:r>
        <w:rPr>
          <w:vertAlign w:val="baseline"/>
        </w:rPr>
        <w:t> and, most importantly, no effects on circulating hormones in postmenopausal women.</w:t>
      </w:r>
      <w:r>
        <w:rPr>
          <w:vertAlign w:val="superscript"/>
        </w:rPr>
        <w:t>498,499</w:t>
      </w:r>
      <w:r>
        <w:rPr>
          <w:vertAlign w:val="baseline"/>
        </w:rPr>
        <w:t> The lack of an effect on gonadotropin and steroid levels is important, depriving the clinician of a method to assess dosage.</w:t>
      </w:r>
    </w:p>
    <w:p>
      <w:pPr>
        <w:pStyle w:val="BodyText"/>
        <w:spacing w:line="249" w:lineRule="auto" w:before="22"/>
        <w:ind w:right="97" w:firstLine="450"/>
      </w:pPr>
      <w:r>
        <w:rPr/>
        <w:t>Catechol estrogens (2-hydroxyestrone and 4-hydroxyestrogens) </w:t>
      </w:r>
      <w:r>
        <w:rPr/>
        <w:t>have long been proposed as a metabolite pathway that could be protective or at least antiestrogenic. Hydroxylation in the 2 or 4 position produces inactive metabolites. In one study, eight premenopausal women treated with a soy milk supplement increased their urinary excretion of 2-hydroxyestrone by an average of 47%.</w:t>
      </w:r>
      <w:r>
        <w:rPr>
          <w:vertAlign w:val="superscript"/>
        </w:rPr>
        <w:t>500</w:t>
      </w:r>
      <w:r>
        <w:rPr>
          <w:vertAlign w:val="baseline"/>
        </w:rPr>
        <w:t> Another study could detect no change in 2-hydroxyestrogens.</w:t>
      </w:r>
      <w:r>
        <w:rPr>
          <w:vertAlign w:val="superscript"/>
        </w:rPr>
        <w:t>497</w:t>
      </w:r>
      <w:r>
        <w:rPr>
          <w:vertAlign w:val="baseline"/>
        </w:rPr>
        <w:t> A study limited to Asian American women also was unable to identify an impact of soy intake on overall estrogen metabolite excretion; however, an increase in catechol estrogens was observed with greater soy intake, balanced by a decrease in 16-hydroxylation.</w:t>
      </w:r>
      <w:r>
        <w:rPr>
          <w:vertAlign w:val="superscript"/>
        </w:rPr>
        <w:t>501</w:t>
      </w:r>
    </w:p>
    <w:p>
      <w:pPr>
        <w:pStyle w:val="BodyText"/>
        <w:spacing w:line="249" w:lineRule="auto" w:before="12"/>
        <w:ind w:right="98" w:firstLine="450"/>
      </w:pPr>
      <w:r>
        <w:rPr/>
        <w:t>In response to soy, no significant increase in nipple aspirate levels </w:t>
      </w:r>
      <w:r>
        <w:rPr/>
        <w:t>of genistein</w:t>
      </w:r>
      <w:r>
        <w:rPr>
          <w:spacing w:val="42"/>
          <w:w w:val="150"/>
        </w:rPr>
        <w:t> </w:t>
      </w:r>
      <w:r>
        <w:rPr/>
        <w:t>and</w:t>
      </w:r>
      <w:r>
        <w:rPr>
          <w:spacing w:val="43"/>
          <w:w w:val="150"/>
        </w:rPr>
        <w:t> </w:t>
      </w:r>
      <w:r>
        <w:rPr/>
        <w:t>daidzein</w:t>
      </w:r>
      <w:r>
        <w:rPr>
          <w:spacing w:val="43"/>
          <w:w w:val="150"/>
        </w:rPr>
        <w:t> </w:t>
      </w:r>
      <w:r>
        <w:rPr/>
        <w:t>could</w:t>
      </w:r>
      <w:r>
        <w:rPr>
          <w:spacing w:val="43"/>
          <w:w w:val="150"/>
        </w:rPr>
        <w:t> </w:t>
      </w:r>
      <w:r>
        <w:rPr/>
        <w:t>be</w:t>
      </w:r>
      <w:r>
        <w:rPr>
          <w:spacing w:val="43"/>
          <w:w w:val="150"/>
        </w:rPr>
        <w:t> </w:t>
      </w:r>
      <w:r>
        <w:rPr/>
        <w:t>detected.</w:t>
      </w:r>
      <w:r>
        <w:rPr>
          <w:vertAlign w:val="superscript"/>
        </w:rPr>
        <w:t>502</w:t>
      </w:r>
      <w:r>
        <w:rPr>
          <w:spacing w:val="45"/>
          <w:w w:val="150"/>
          <w:vertAlign w:val="baseline"/>
        </w:rPr>
        <w:t> </w:t>
      </w:r>
      <w:r>
        <w:rPr>
          <w:vertAlign w:val="baseline"/>
        </w:rPr>
        <w:t>However,</w:t>
      </w:r>
      <w:r>
        <w:rPr>
          <w:spacing w:val="44"/>
          <w:w w:val="150"/>
          <w:vertAlign w:val="baseline"/>
        </w:rPr>
        <w:t> </w:t>
      </w:r>
      <w:r>
        <w:rPr>
          <w:vertAlign w:val="baseline"/>
        </w:rPr>
        <w:t>an</w:t>
      </w:r>
      <w:r>
        <w:rPr>
          <w:spacing w:val="45"/>
          <w:w w:val="150"/>
          <w:vertAlign w:val="baseline"/>
        </w:rPr>
        <w:t> </w:t>
      </w:r>
      <w:r>
        <w:rPr>
          <w:vertAlign w:val="baseline"/>
        </w:rPr>
        <w:t>indication</w:t>
      </w:r>
      <w:r>
        <w:rPr>
          <w:spacing w:val="45"/>
          <w:w w:val="150"/>
          <w:vertAlign w:val="baseline"/>
        </w:rPr>
        <w:t> </w:t>
      </w:r>
      <w:r>
        <w:rPr>
          <w:spacing w:val="-5"/>
          <w:vertAlign w:val="baseline"/>
        </w:rPr>
        <w:t>of</w:t>
      </w:r>
    </w:p>
    <w:p>
      <w:pPr>
        <w:pStyle w:val="BodyText"/>
        <w:spacing w:after="0" w:line="249" w:lineRule="auto"/>
        <w:sectPr>
          <w:pgSz w:w="12240" w:h="15840"/>
          <w:pgMar w:top="1380" w:bottom="280" w:left="1440" w:right="1440"/>
        </w:sectPr>
      </w:pPr>
    </w:p>
    <w:p>
      <w:pPr>
        <w:spacing w:line="249" w:lineRule="auto" w:before="65"/>
        <w:ind w:left="99" w:right="97" w:firstLine="0"/>
        <w:jc w:val="both"/>
        <w:rPr>
          <w:b/>
          <w:sz w:val="30"/>
        </w:rPr>
      </w:pPr>
      <w:r>
        <w:rPr>
          <w:sz w:val="30"/>
        </w:rPr>
        <w:t>estrogenic stimulation occurred, as measured by pS2 (a protein upregulated by estrogen) levels, but there was no evidence of an effect on epithelial cell proliferation, ER and PR, apoptosis, or mitosis. Thus, no antiestrogenic effect could be detected, and at best, there was a very weak estrogen effect. In another study, 48 women with normal breasts received a 60-g soy supplement for 14 days, and in these women, lobular epithelial </w:t>
      </w:r>
      <w:r>
        <w:rPr>
          <w:sz w:val="30"/>
        </w:rPr>
        <w:t>proliferation and PR expression increased, an indication of estrogen stimulation.</w:t>
      </w:r>
      <w:r>
        <w:rPr>
          <w:sz w:val="30"/>
          <w:vertAlign w:val="superscript"/>
        </w:rPr>
        <w:t>503</w:t>
      </w:r>
      <w:r>
        <w:rPr>
          <w:sz w:val="30"/>
          <w:vertAlign w:val="baseline"/>
        </w:rPr>
        <w:t> Some argue that the key to a beneficial impact on the breast may be early exposure, and a sudden increase late in life of dietary phytoestrogens may be harmful. On the other hand, a Chinese cohort study of 5,042 breast cancer survivors documented a reduced risk of recurrence and death associated with increasing levels of soy intake, evident among women with either ER-positive or ER-negative disease and among either tamoxifen</w:t>
      </w:r>
      <w:r>
        <w:rPr>
          <w:spacing w:val="40"/>
          <w:sz w:val="30"/>
          <w:vertAlign w:val="baseline"/>
        </w:rPr>
        <w:t> </w:t>
      </w:r>
      <w:r>
        <w:rPr>
          <w:sz w:val="30"/>
          <w:vertAlign w:val="baseline"/>
        </w:rPr>
        <w:t>users or nonusers.</w:t>
      </w:r>
      <w:r>
        <w:rPr>
          <w:sz w:val="30"/>
          <w:vertAlign w:val="superscript"/>
        </w:rPr>
        <w:t>504</w:t>
      </w:r>
      <w:r>
        <w:rPr>
          <w:sz w:val="30"/>
          <w:vertAlign w:val="baseline"/>
        </w:rPr>
        <w:t> In an American cohort of 1,954 breast cancer survivors, a 60% greater decrease in breast cancer recurrence was observed in postmenopausal women using tamoxifen comparing the highest level of soy intake with the lowest.</w:t>
      </w:r>
      <w:r>
        <w:rPr>
          <w:sz w:val="30"/>
          <w:vertAlign w:val="superscript"/>
        </w:rPr>
        <w:t>505</w:t>
      </w:r>
      <w:r>
        <w:rPr>
          <w:sz w:val="30"/>
          <w:vertAlign w:val="baseline"/>
        </w:rPr>
        <w:t> </w:t>
      </w:r>
      <w:r>
        <w:rPr>
          <w:b/>
          <w:sz w:val="30"/>
          <w:vertAlign w:val="baseline"/>
        </w:rPr>
        <w:t>Most of the evidence indicates that a high intake of phytoestrogens is associated with a reduced risk of breast cancer,</w:t>
      </w:r>
      <w:r>
        <w:rPr>
          <w:b/>
          <w:spacing w:val="-3"/>
          <w:sz w:val="30"/>
          <w:vertAlign w:val="baseline"/>
        </w:rPr>
        <w:t> </w:t>
      </w:r>
      <w:r>
        <w:rPr>
          <w:b/>
          <w:sz w:val="30"/>
          <w:vertAlign w:val="baseline"/>
        </w:rPr>
        <w:t>including</w:t>
      </w:r>
      <w:r>
        <w:rPr>
          <w:b/>
          <w:spacing w:val="-3"/>
          <w:sz w:val="30"/>
          <w:vertAlign w:val="baseline"/>
        </w:rPr>
        <w:t> </w:t>
      </w:r>
      <w:r>
        <w:rPr>
          <w:b/>
          <w:sz w:val="30"/>
          <w:vertAlign w:val="baseline"/>
        </w:rPr>
        <w:t>recurrence</w:t>
      </w:r>
      <w:r>
        <w:rPr>
          <w:b/>
          <w:spacing w:val="-3"/>
          <w:sz w:val="30"/>
          <w:vertAlign w:val="baseline"/>
        </w:rPr>
        <w:t> </w:t>
      </w:r>
      <w:r>
        <w:rPr>
          <w:b/>
          <w:sz w:val="30"/>
          <w:vertAlign w:val="baseline"/>
        </w:rPr>
        <w:t>in</w:t>
      </w:r>
      <w:r>
        <w:rPr>
          <w:b/>
          <w:spacing w:val="-3"/>
          <w:sz w:val="30"/>
          <w:vertAlign w:val="baseline"/>
        </w:rPr>
        <w:t> </w:t>
      </w:r>
      <w:r>
        <w:rPr>
          <w:b/>
          <w:sz w:val="30"/>
          <w:vertAlign w:val="baseline"/>
        </w:rPr>
        <w:t>breast</w:t>
      </w:r>
      <w:r>
        <w:rPr>
          <w:b/>
          <w:spacing w:val="-3"/>
          <w:sz w:val="30"/>
          <w:vertAlign w:val="baseline"/>
        </w:rPr>
        <w:t> </w:t>
      </w:r>
      <w:r>
        <w:rPr>
          <w:b/>
          <w:sz w:val="30"/>
          <w:vertAlign w:val="baseline"/>
        </w:rPr>
        <w:t>cancer</w:t>
      </w:r>
      <w:r>
        <w:rPr>
          <w:b/>
          <w:spacing w:val="-3"/>
          <w:sz w:val="30"/>
          <w:vertAlign w:val="baseline"/>
        </w:rPr>
        <w:t> </w:t>
      </w:r>
      <w:r>
        <w:rPr>
          <w:b/>
          <w:sz w:val="30"/>
          <w:vertAlign w:val="baseline"/>
        </w:rPr>
        <w:t>survivors.</w:t>
      </w:r>
      <w:r>
        <w:rPr>
          <w:b/>
          <w:spacing w:val="-3"/>
          <w:sz w:val="30"/>
          <w:vertAlign w:val="baseline"/>
        </w:rPr>
        <w:t> </w:t>
      </w:r>
      <w:r>
        <w:rPr>
          <w:b/>
          <w:sz w:val="30"/>
          <w:vertAlign w:val="baseline"/>
        </w:rPr>
        <w:t>It</w:t>
      </w:r>
      <w:r>
        <w:rPr>
          <w:b/>
          <w:spacing w:val="-2"/>
          <w:sz w:val="30"/>
          <w:vertAlign w:val="baseline"/>
        </w:rPr>
        <w:t> </w:t>
      </w:r>
      <w:r>
        <w:rPr>
          <w:b/>
          <w:sz w:val="30"/>
          <w:vertAlign w:val="baseline"/>
        </w:rPr>
        <w:t>is</w:t>
      </w:r>
      <w:r>
        <w:rPr>
          <w:b/>
          <w:spacing w:val="-2"/>
          <w:sz w:val="30"/>
          <w:vertAlign w:val="baseline"/>
        </w:rPr>
        <w:t> </w:t>
      </w:r>
      <w:r>
        <w:rPr>
          <w:b/>
          <w:sz w:val="30"/>
          <w:vertAlign w:val="baseline"/>
        </w:rPr>
        <w:t>not</w:t>
      </w:r>
      <w:r>
        <w:rPr>
          <w:b/>
          <w:spacing w:val="-2"/>
          <w:sz w:val="30"/>
          <w:vertAlign w:val="baseline"/>
        </w:rPr>
        <w:t> </w:t>
      </w:r>
      <w:r>
        <w:rPr>
          <w:b/>
          <w:sz w:val="30"/>
          <w:vertAlign w:val="baseline"/>
        </w:rPr>
        <w:t>known whether this effect is a marker for beneficial metabolic responses to phytoestrogens</w:t>
      </w:r>
      <w:r>
        <w:rPr>
          <w:b/>
          <w:spacing w:val="-2"/>
          <w:sz w:val="30"/>
          <w:vertAlign w:val="baseline"/>
        </w:rPr>
        <w:t> </w:t>
      </w:r>
      <w:r>
        <w:rPr>
          <w:b/>
          <w:sz w:val="30"/>
          <w:vertAlign w:val="baseline"/>
        </w:rPr>
        <w:t>or</w:t>
      </w:r>
      <w:r>
        <w:rPr>
          <w:b/>
          <w:spacing w:val="-2"/>
          <w:sz w:val="30"/>
          <w:vertAlign w:val="baseline"/>
        </w:rPr>
        <w:t> </w:t>
      </w:r>
      <w:r>
        <w:rPr>
          <w:b/>
          <w:sz w:val="30"/>
          <w:vertAlign w:val="baseline"/>
        </w:rPr>
        <w:t>whether</w:t>
      </w:r>
      <w:r>
        <w:rPr>
          <w:b/>
          <w:spacing w:val="-2"/>
          <w:sz w:val="30"/>
          <w:vertAlign w:val="baseline"/>
        </w:rPr>
        <w:t> </w:t>
      </w:r>
      <w:r>
        <w:rPr>
          <w:b/>
          <w:sz w:val="30"/>
          <w:vertAlign w:val="baseline"/>
        </w:rPr>
        <w:t>there</w:t>
      </w:r>
      <w:r>
        <w:rPr>
          <w:b/>
          <w:spacing w:val="-2"/>
          <w:sz w:val="30"/>
          <w:vertAlign w:val="baseline"/>
        </w:rPr>
        <w:t> </w:t>
      </w:r>
      <w:r>
        <w:rPr>
          <w:b/>
          <w:sz w:val="30"/>
          <w:vertAlign w:val="baseline"/>
        </w:rPr>
        <w:t>is</w:t>
      </w:r>
      <w:r>
        <w:rPr>
          <w:b/>
          <w:spacing w:val="-2"/>
          <w:sz w:val="30"/>
          <w:vertAlign w:val="baseline"/>
        </w:rPr>
        <w:t> </w:t>
      </w:r>
      <w:r>
        <w:rPr>
          <w:b/>
          <w:sz w:val="30"/>
          <w:vertAlign w:val="baseline"/>
        </w:rPr>
        <w:t>a</w:t>
      </w:r>
      <w:r>
        <w:rPr>
          <w:b/>
          <w:spacing w:val="-2"/>
          <w:sz w:val="30"/>
          <w:vertAlign w:val="baseline"/>
        </w:rPr>
        <w:t> </w:t>
      </w:r>
      <w:r>
        <w:rPr>
          <w:b/>
          <w:sz w:val="30"/>
          <w:vertAlign w:val="baseline"/>
        </w:rPr>
        <w:t>direct</w:t>
      </w:r>
      <w:r>
        <w:rPr>
          <w:b/>
          <w:spacing w:val="-2"/>
          <w:sz w:val="30"/>
          <w:vertAlign w:val="baseline"/>
        </w:rPr>
        <w:t> </w:t>
      </w:r>
      <w:r>
        <w:rPr>
          <w:b/>
          <w:sz w:val="30"/>
          <w:vertAlign w:val="baseline"/>
        </w:rPr>
        <w:t>impact</w:t>
      </w:r>
      <w:r>
        <w:rPr>
          <w:b/>
          <w:spacing w:val="-2"/>
          <w:sz w:val="30"/>
          <w:vertAlign w:val="baseline"/>
        </w:rPr>
        <w:t> </w:t>
      </w:r>
      <w:r>
        <w:rPr>
          <w:b/>
          <w:sz w:val="30"/>
          <w:vertAlign w:val="baseline"/>
        </w:rPr>
        <w:t>on</w:t>
      </w:r>
      <w:r>
        <w:rPr>
          <w:b/>
          <w:spacing w:val="-2"/>
          <w:sz w:val="30"/>
          <w:vertAlign w:val="baseline"/>
        </w:rPr>
        <w:t> </w:t>
      </w:r>
      <w:r>
        <w:rPr>
          <w:b/>
          <w:sz w:val="30"/>
          <w:vertAlign w:val="baseline"/>
        </w:rPr>
        <w:t>breast</w:t>
      </w:r>
      <w:r>
        <w:rPr>
          <w:b/>
          <w:spacing w:val="-2"/>
          <w:sz w:val="30"/>
          <w:vertAlign w:val="baseline"/>
        </w:rPr>
        <w:t> </w:t>
      </w:r>
      <w:r>
        <w:rPr>
          <w:b/>
          <w:sz w:val="30"/>
          <w:vertAlign w:val="baseline"/>
        </w:rPr>
        <w:t>tissue.</w:t>
      </w:r>
      <w:r>
        <w:rPr>
          <w:b/>
          <w:spacing w:val="-6"/>
          <w:sz w:val="30"/>
          <w:vertAlign w:val="baseline"/>
        </w:rPr>
        <w:t> </w:t>
      </w:r>
      <w:r>
        <w:rPr>
          <w:b/>
          <w:sz w:val="30"/>
          <w:vertAlign w:val="baseline"/>
        </w:rPr>
        <w:t>The evidence also indicates that phytoestrogen consumption does not adversely interfere with tamoxifen’s mechanism of action.</w:t>
      </w:r>
    </w:p>
    <w:p>
      <w:pPr>
        <w:pStyle w:val="BodyText"/>
        <w:spacing w:before="0"/>
        <w:ind w:left="0"/>
        <w:jc w:val="left"/>
        <w:rPr>
          <w:b/>
          <w:sz w:val="20"/>
        </w:rPr>
      </w:pPr>
    </w:p>
    <w:p>
      <w:pPr>
        <w:pStyle w:val="BodyText"/>
        <w:spacing w:before="139"/>
        <w:ind w:left="0"/>
        <w:jc w:val="left"/>
        <w:rPr>
          <w:b/>
          <w:sz w:val="20"/>
        </w:rPr>
      </w:pPr>
      <w:r>
        <w:rPr>
          <w:b/>
          <w:sz w:val="20"/>
        </w:rPr>
        <mc:AlternateContent>
          <mc:Choice Requires="wps">
            <w:drawing>
              <wp:anchor distT="0" distB="0" distL="0" distR="0" allowOverlap="1" layoutInCell="1" locked="0" behindDoc="1" simplePos="0" relativeHeight="487638016">
                <wp:simplePos x="0" y="0"/>
                <wp:positionH relativeFrom="page">
                  <wp:posOffset>981075</wp:posOffset>
                </wp:positionH>
                <wp:positionV relativeFrom="paragraph">
                  <wp:posOffset>249734</wp:posOffset>
                </wp:positionV>
                <wp:extent cx="5810250" cy="285750"/>
                <wp:effectExtent l="0" t="0" r="0" b="0"/>
                <wp:wrapTopAndBottom/>
                <wp:docPr id="162" name="Textbox 162"/>
                <wp:cNvGraphicFramePr>
                  <a:graphicFrameLocks/>
                </wp:cNvGraphicFramePr>
                <a:graphic>
                  <a:graphicData uri="http://schemas.microsoft.com/office/word/2010/wordprocessingShape">
                    <wps:wsp>
                      <wps:cNvPr id="162" name="Textbox 162"/>
                      <wps:cNvSpPr txBox="1"/>
                      <wps:spPr>
                        <a:xfrm>
                          <a:off x="0" y="0"/>
                          <a:ext cx="5810250" cy="285750"/>
                        </a:xfrm>
                        <a:prstGeom prst="rect">
                          <a:avLst/>
                        </a:prstGeom>
                        <a:solidFill>
                          <a:srgbClr val="256E60"/>
                        </a:solidFill>
                      </wps:spPr>
                      <wps:txbx>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22.5</w:t>
                            </w:r>
                            <w:r>
                              <w:rPr>
                                <w:rFonts w:ascii="Arial"/>
                                <w:b/>
                                <w:color w:val="FFFFFF"/>
                                <w:sz w:val="22"/>
                              </w:rPr>
                              <w:tab/>
                            </w:r>
                            <w:r>
                              <w:rPr>
                                <w:rFonts w:ascii="Arial"/>
                                <w:color w:val="FFFFFF"/>
                                <w:sz w:val="22"/>
                              </w:rPr>
                              <w:t>Summary</w:t>
                            </w:r>
                            <w:r>
                              <w:rPr>
                                <w:rFonts w:ascii="Arial"/>
                                <w:color w:val="FFFFFF"/>
                                <w:spacing w:val="17"/>
                                <w:sz w:val="22"/>
                              </w:rPr>
                              <w:t> </w:t>
                            </w:r>
                            <w:r>
                              <w:rPr>
                                <w:rFonts w:ascii="Arial"/>
                                <w:color w:val="FFFFFF"/>
                                <w:sz w:val="22"/>
                              </w:rPr>
                              <w:t>of</w:t>
                            </w:r>
                            <w:r>
                              <w:rPr>
                                <w:rFonts w:ascii="Arial"/>
                                <w:color w:val="FFFFFF"/>
                                <w:spacing w:val="17"/>
                                <w:sz w:val="22"/>
                              </w:rPr>
                              <w:t> </w:t>
                            </w:r>
                            <w:r>
                              <w:rPr>
                                <w:rFonts w:ascii="Arial"/>
                                <w:color w:val="FFFFFF"/>
                                <w:sz w:val="22"/>
                              </w:rPr>
                              <w:t>Phytoestrogen</w:t>
                            </w:r>
                            <w:r>
                              <w:rPr>
                                <w:rFonts w:ascii="Arial"/>
                                <w:color w:val="FFFFFF"/>
                                <w:spacing w:val="17"/>
                                <w:sz w:val="22"/>
                              </w:rPr>
                              <w:t> </w:t>
                            </w:r>
                            <w:r>
                              <w:rPr>
                                <w:rFonts w:ascii="Arial"/>
                                <w:color w:val="FFFFFF"/>
                                <w:sz w:val="22"/>
                              </w:rPr>
                              <w:t>Clinical</w:t>
                            </w:r>
                            <w:r>
                              <w:rPr>
                                <w:rFonts w:ascii="Arial"/>
                                <w:color w:val="FFFFFF"/>
                                <w:spacing w:val="18"/>
                                <w:sz w:val="22"/>
                              </w:rPr>
                              <w:t> </w:t>
                            </w:r>
                            <w:r>
                              <w:rPr>
                                <w:rFonts w:ascii="Arial"/>
                                <w:color w:val="FFFFFF"/>
                                <w:spacing w:val="-2"/>
                                <w:sz w:val="22"/>
                              </w:rPr>
                              <w:t>Effects</w:t>
                            </w:r>
                          </w:p>
                        </w:txbxContent>
                      </wps:txbx>
                      <wps:bodyPr wrap="square" lIns="0" tIns="0" rIns="0" bIns="0" rtlCol="0">
                        <a:noAutofit/>
                      </wps:bodyPr>
                    </wps:wsp>
                  </a:graphicData>
                </a:graphic>
              </wp:anchor>
            </w:drawing>
          </mc:Choice>
          <mc:Fallback>
            <w:pict>
              <v:shape style="position:absolute;margin-left:77.25pt;margin-top:19.664141pt;width:457.5pt;height:22.5pt;mso-position-horizontal-relative:page;mso-position-vertical-relative:paragraph;z-index:-15678464;mso-wrap-distance-left:0;mso-wrap-distance-right:0" type="#_x0000_t202" id="docshape142" filled="true" fillcolor="#256e60" stroked="false">
                <v:textbox inset="0,0,0,0">
                  <w:txbxContent>
                    <w:p>
                      <w:pPr>
                        <w:tabs>
                          <w:tab w:pos="1605" w:val="left" w:leader="none"/>
                        </w:tabs>
                        <w:spacing w:before="93"/>
                        <w:ind w:left="84" w:right="0" w:firstLine="0"/>
                        <w:jc w:val="left"/>
                        <w:rPr>
                          <w:rFonts w:ascii="Arial"/>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22.5</w:t>
                      </w:r>
                      <w:r>
                        <w:rPr>
                          <w:rFonts w:ascii="Arial"/>
                          <w:b/>
                          <w:color w:val="FFFFFF"/>
                          <w:sz w:val="22"/>
                        </w:rPr>
                        <w:tab/>
                      </w:r>
                      <w:r>
                        <w:rPr>
                          <w:rFonts w:ascii="Arial"/>
                          <w:color w:val="FFFFFF"/>
                          <w:sz w:val="22"/>
                        </w:rPr>
                        <w:t>Summary</w:t>
                      </w:r>
                      <w:r>
                        <w:rPr>
                          <w:rFonts w:ascii="Arial"/>
                          <w:color w:val="FFFFFF"/>
                          <w:spacing w:val="17"/>
                          <w:sz w:val="22"/>
                        </w:rPr>
                        <w:t> </w:t>
                      </w:r>
                      <w:r>
                        <w:rPr>
                          <w:rFonts w:ascii="Arial"/>
                          <w:color w:val="FFFFFF"/>
                          <w:sz w:val="22"/>
                        </w:rPr>
                        <w:t>of</w:t>
                      </w:r>
                      <w:r>
                        <w:rPr>
                          <w:rFonts w:ascii="Arial"/>
                          <w:color w:val="FFFFFF"/>
                          <w:spacing w:val="17"/>
                          <w:sz w:val="22"/>
                        </w:rPr>
                        <w:t> </w:t>
                      </w:r>
                      <w:r>
                        <w:rPr>
                          <w:rFonts w:ascii="Arial"/>
                          <w:color w:val="FFFFFF"/>
                          <w:sz w:val="22"/>
                        </w:rPr>
                        <w:t>Phytoestrogen</w:t>
                      </w:r>
                      <w:r>
                        <w:rPr>
                          <w:rFonts w:ascii="Arial"/>
                          <w:color w:val="FFFFFF"/>
                          <w:spacing w:val="17"/>
                          <w:sz w:val="22"/>
                        </w:rPr>
                        <w:t> </w:t>
                      </w:r>
                      <w:r>
                        <w:rPr>
                          <w:rFonts w:ascii="Arial"/>
                          <w:color w:val="FFFFFF"/>
                          <w:sz w:val="22"/>
                        </w:rPr>
                        <w:t>Clinical</w:t>
                      </w:r>
                      <w:r>
                        <w:rPr>
                          <w:rFonts w:ascii="Arial"/>
                          <w:color w:val="FFFFFF"/>
                          <w:spacing w:val="18"/>
                          <w:sz w:val="22"/>
                        </w:rPr>
                        <w:t> </w:t>
                      </w:r>
                      <w:r>
                        <w:rPr>
                          <w:rFonts w:ascii="Arial"/>
                          <w:color w:val="FFFFFF"/>
                          <w:spacing w:val="-2"/>
                          <w:sz w:val="22"/>
                        </w:rPr>
                        <w:t>Effects</w:t>
                      </w:r>
                    </w:p>
                  </w:txbxContent>
                </v:textbox>
                <v:fill type="solid"/>
                <w10:wrap type="topAndBottom"/>
              </v:shape>
            </w:pict>
          </mc:Fallback>
        </mc:AlternateContent>
      </w:r>
    </w:p>
    <w:p>
      <w:pPr>
        <w:tabs>
          <w:tab w:pos="5724" w:val="left" w:leader="none"/>
        </w:tabs>
        <w:spacing w:before="139"/>
        <w:ind w:left="189" w:right="0" w:firstLine="0"/>
        <w:jc w:val="left"/>
        <w:rPr>
          <w:sz w:val="22"/>
        </w:rPr>
      </w:pPr>
      <w:r>
        <w:rPr>
          <w:spacing w:val="-2"/>
          <w:sz w:val="22"/>
        </w:rPr>
        <w:t>Flushes</w:t>
      </w:r>
      <w:r>
        <w:rPr>
          <w:sz w:val="22"/>
        </w:rPr>
        <w:tab/>
        <w:t>Insignificant</w:t>
      </w:r>
      <w:r>
        <w:rPr>
          <w:spacing w:val="23"/>
          <w:sz w:val="22"/>
        </w:rPr>
        <w:t> </w:t>
      </w:r>
      <w:r>
        <w:rPr>
          <w:spacing w:val="-2"/>
          <w:sz w:val="22"/>
        </w:rPr>
        <w:t>effect</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38528">
                <wp:simplePos x="0" y="0"/>
                <wp:positionH relativeFrom="page">
                  <wp:posOffset>981062</wp:posOffset>
                </wp:positionH>
                <wp:positionV relativeFrom="paragraph">
                  <wp:posOffset>103529</wp:posOffset>
                </wp:positionV>
                <wp:extent cx="5810250" cy="9525"/>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41pt;width:457.5pt;height:.75pt;mso-position-horizontal-relative:page;mso-position-vertical-relative:paragraph;z-index:-15677952;mso-wrap-distance-left:0;mso-wrap-distance-right:0" id="docshape143" coordorigin="1545,163" coordsize="9150,15" path="m10695,163l7080,163,1545,163,1545,178,7080,178,10695,178,10695,163xe" filled="true" fillcolor="#1c5349" stroked="false">
                <v:path arrowok="t"/>
                <v:fill type="solid"/>
                <w10:wrap type="topAndBottom"/>
              </v:shape>
            </w:pict>
          </mc:Fallback>
        </mc:AlternateContent>
      </w:r>
    </w:p>
    <w:p>
      <w:pPr>
        <w:tabs>
          <w:tab w:pos="5724" w:val="left" w:leader="none"/>
        </w:tabs>
        <w:spacing w:before="139"/>
        <w:ind w:left="189" w:right="0" w:firstLine="0"/>
        <w:jc w:val="left"/>
        <w:rPr>
          <w:sz w:val="22"/>
        </w:rPr>
      </w:pPr>
      <w:r>
        <w:rPr>
          <w:sz w:val="22"/>
        </w:rPr>
        <w:t>Coronary</w:t>
      </w:r>
      <w:r>
        <w:rPr>
          <w:spacing w:val="13"/>
          <w:sz w:val="22"/>
        </w:rPr>
        <w:t> </w:t>
      </w:r>
      <w:r>
        <w:rPr>
          <w:sz w:val="22"/>
        </w:rPr>
        <w:t>heart</w:t>
      </w:r>
      <w:r>
        <w:rPr>
          <w:spacing w:val="14"/>
          <w:sz w:val="22"/>
        </w:rPr>
        <w:t> </w:t>
      </w:r>
      <w:r>
        <w:rPr>
          <w:spacing w:val="-2"/>
          <w:sz w:val="22"/>
        </w:rPr>
        <w:t>disease</w:t>
      </w:r>
      <w:r>
        <w:rPr>
          <w:sz w:val="22"/>
        </w:rPr>
        <w:tab/>
        <w:t>Weak</w:t>
      </w:r>
      <w:r>
        <w:rPr>
          <w:spacing w:val="-8"/>
          <w:sz w:val="22"/>
        </w:rPr>
        <w:t> </w:t>
      </w:r>
      <w:r>
        <w:rPr>
          <w:spacing w:val="-2"/>
          <w:sz w:val="22"/>
        </w:rPr>
        <w:t>impact</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39040">
                <wp:simplePos x="0" y="0"/>
                <wp:positionH relativeFrom="page">
                  <wp:posOffset>981062</wp:posOffset>
                </wp:positionH>
                <wp:positionV relativeFrom="paragraph">
                  <wp:posOffset>103529</wp:posOffset>
                </wp:positionV>
                <wp:extent cx="5810250" cy="9525"/>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44pt;width:457.5pt;height:.75pt;mso-position-horizontal-relative:page;mso-position-vertical-relative:paragraph;z-index:-15677440;mso-wrap-distance-left:0;mso-wrap-distance-right:0" id="docshape144" coordorigin="1545,163" coordsize="9150,15" path="m10695,163l7080,163,1545,163,1545,178,7080,178,10695,178,10695,163xe" filled="true" fillcolor="#1c5349" stroked="false">
                <v:path arrowok="t"/>
                <v:fill type="solid"/>
                <w10:wrap type="topAndBottom"/>
              </v:shape>
            </w:pict>
          </mc:Fallback>
        </mc:AlternateContent>
      </w:r>
    </w:p>
    <w:p>
      <w:pPr>
        <w:tabs>
          <w:tab w:pos="5724" w:val="left" w:leader="none"/>
        </w:tabs>
        <w:spacing w:before="139"/>
        <w:ind w:left="189" w:right="0" w:firstLine="0"/>
        <w:jc w:val="left"/>
        <w:rPr>
          <w:sz w:val="22"/>
        </w:rPr>
      </w:pPr>
      <w:r>
        <w:rPr>
          <w:spacing w:val="-4"/>
          <w:sz w:val="22"/>
        </w:rPr>
        <w:t>Bone</w:t>
      </w:r>
      <w:r>
        <w:rPr>
          <w:sz w:val="22"/>
        </w:rPr>
        <w:tab/>
        <w:t>No</w:t>
      </w:r>
      <w:r>
        <w:rPr>
          <w:spacing w:val="6"/>
          <w:sz w:val="22"/>
        </w:rPr>
        <w:t> </w:t>
      </w:r>
      <w:r>
        <w:rPr>
          <w:spacing w:val="-2"/>
          <w:sz w:val="22"/>
        </w:rPr>
        <w:t>effect</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39552">
                <wp:simplePos x="0" y="0"/>
                <wp:positionH relativeFrom="page">
                  <wp:posOffset>981062</wp:posOffset>
                </wp:positionH>
                <wp:positionV relativeFrom="paragraph">
                  <wp:posOffset>103529</wp:posOffset>
                </wp:positionV>
                <wp:extent cx="5810250" cy="9525"/>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48pt;width:457.5pt;height:.75pt;mso-position-horizontal-relative:page;mso-position-vertical-relative:paragraph;z-index:-15676928;mso-wrap-distance-left:0;mso-wrap-distance-right:0" id="docshape145" coordorigin="1545,163" coordsize="9150,15" path="m10695,163l7080,163,1545,163,1545,178,7080,178,10695,178,10695,163xe" filled="true" fillcolor="#1c5349" stroked="false">
                <v:path arrowok="t"/>
                <v:fill type="solid"/>
                <w10:wrap type="topAndBottom"/>
              </v:shape>
            </w:pict>
          </mc:Fallback>
        </mc:AlternateContent>
      </w:r>
    </w:p>
    <w:p>
      <w:pPr>
        <w:tabs>
          <w:tab w:pos="5724" w:val="left" w:leader="none"/>
        </w:tabs>
        <w:spacing w:before="139"/>
        <w:ind w:left="189" w:right="0" w:firstLine="0"/>
        <w:jc w:val="left"/>
        <w:rPr>
          <w:sz w:val="22"/>
        </w:rPr>
      </w:pPr>
      <w:r>
        <w:rPr>
          <w:sz w:val="22"/>
        </w:rPr>
        <w:t>Cognition—Maybe</w:t>
      </w:r>
      <w:r>
        <w:rPr>
          <w:spacing w:val="35"/>
          <w:sz w:val="22"/>
        </w:rPr>
        <w:t> </w:t>
      </w:r>
      <w:r>
        <w:rPr>
          <w:spacing w:val="-2"/>
          <w:sz w:val="22"/>
        </w:rPr>
        <w:t>protective</w:t>
      </w:r>
      <w:r>
        <w:rPr>
          <w:sz w:val="22"/>
        </w:rPr>
        <w:tab/>
      </w:r>
      <w:r>
        <w:rPr>
          <w:spacing w:val="-2"/>
          <w:sz w:val="22"/>
        </w:rPr>
        <w:t>Unknown</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40064">
                <wp:simplePos x="0" y="0"/>
                <wp:positionH relativeFrom="page">
                  <wp:posOffset>981062</wp:posOffset>
                </wp:positionH>
                <wp:positionV relativeFrom="paragraph">
                  <wp:posOffset>103529</wp:posOffset>
                </wp:positionV>
                <wp:extent cx="5810250" cy="9525"/>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52pt;width:457.5pt;height:.75pt;mso-position-horizontal-relative:page;mso-position-vertical-relative:paragraph;z-index:-15676416;mso-wrap-distance-left:0;mso-wrap-distance-right:0" id="docshape146" coordorigin="1545,163" coordsize="9150,15" path="m10695,163l7080,163,1545,163,1545,178,7080,178,10695,178,10695,163xe" filled="true" fillcolor="#1c5349" stroked="false">
                <v:path arrowok="t"/>
                <v:fill type="solid"/>
                <w10:wrap type="topAndBottom"/>
              </v:shape>
            </w:pict>
          </mc:Fallback>
        </mc:AlternateContent>
      </w:r>
    </w:p>
    <w:p>
      <w:pPr>
        <w:tabs>
          <w:tab w:pos="5724" w:val="left" w:leader="none"/>
        </w:tabs>
        <w:spacing w:before="139"/>
        <w:ind w:left="189" w:right="0" w:firstLine="0"/>
        <w:jc w:val="left"/>
        <w:rPr>
          <w:sz w:val="22"/>
        </w:rPr>
      </w:pPr>
      <w:r>
        <w:rPr>
          <w:spacing w:val="-2"/>
          <w:sz w:val="22"/>
        </w:rPr>
        <w:t>Breast</w:t>
      </w:r>
      <w:r>
        <w:rPr>
          <w:sz w:val="22"/>
        </w:rPr>
        <w:tab/>
        <w:t>May</w:t>
      </w:r>
      <w:r>
        <w:rPr>
          <w:spacing w:val="7"/>
          <w:sz w:val="22"/>
        </w:rPr>
        <w:t> </w:t>
      </w:r>
      <w:r>
        <w:rPr>
          <w:sz w:val="22"/>
        </w:rPr>
        <w:t>be</w:t>
      </w:r>
      <w:r>
        <w:rPr>
          <w:spacing w:val="7"/>
          <w:sz w:val="22"/>
        </w:rPr>
        <w:t> </w:t>
      </w:r>
      <w:r>
        <w:rPr>
          <w:spacing w:val="-2"/>
          <w:sz w:val="22"/>
        </w:rPr>
        <w:t>protective</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40576">
                <wp:simplePos x="0" y="0"/>
                <wp:positionH relativeFrom="page">
                  <wp:posOffset>981062</wp:posOffset>
                </wp:positionH>
                <wp:positionV relativeFrom="paragraph">
                  <wp:posOffset>103529</wp:posOffset>
                </wp:positionV>
                <wp:extent cx="5810250" cy="9525"/>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56pt;width:457.5pt;height:.75pt;mso-position-horizontal-relative:page;mso-position-vertical-relative:paragraph;z-index:-15675904;mso-wrap-distance-left:0;mso-wrap-distance-right:0" id="docshape147" coordorigin="1545,163" coordsize="9150,15" path="m10695,163l7080,163,1545,163,1545,178,7080,178,10695,178,10695,163xe" filled="true" fillcolor="#1c5349" stroked="false">
                <v:path arrowok="t"/>
                <v:fill type="solid"/>
                <w10:wrap type="topAndBottom"/>
              </v:shape>
            </w:pict>
          </mc:Fallback>
        </mc:AlternateContent>
      </w:r>
    </w:p>
    <w:p>
      <w:pPr>
        <w:tabs>
          <w:tab w:pos="5724" w:val="left" w:leader="none"/>
        </w:tabs>
        <w:spacing w:before="139"/>
        <w:ind w:left="189" w:right="0" w:firstLine="0"/>
        <w:jc w:val="left"/>
        <w:rPr>
          <w:sz w:val="22"/>
        </w:rPr>
      </w:pPr>
      <w:r>
        <w:rPr>
          <w:spacing w:val="-2"/>
          <w:sz w:val="22"/>
        </w:rPr>
        <w:t>Endometrium</w:t>
      </w:r>
      <w:r>
        <w:rPr>
          <w:sz w:val="22"/>
        </w:rPr>
        <w:tab/>
        <w:t>No</w:t>
      </w:r>
      <w:r>
        <w:rPr>
          <w:spacing w:val="6"/>
          <w:sz w:val="22"/>
        </w:rPr>
        <w:t> </w:t>
      </w:r>
      <w:r>
        <w:rPr>
          <w:spacing w:val="-2"/>
          <w:sz w:val="22"/>
        </w:rPr>
        <w:t>effect</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41088">
                <wp:simplePos x="0" y="0"/>
                <wp:positionH relativeFrom="page">
                  <wp:posOffset>981062</wp:posOffset>
                </wp:positionH>
                <wp:positionV relativeFrom="paragraph">
                  <wp:posOffset>103529</wp:posOffset>
                </wp:positionV>
                <wp:extent cx="5810250" cy="9525"/>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959pt;width:457.5pt;height:.75pt;mso-position-horizontal-relative:page;mso-position-vertical-relative:paragraph;z-index:-15675392;mso-wrap-distance-left:0;mso-wrap-distance-right:0" id="docshape148" coordorigin="1545,163" coordsize="9150,15" path="m10695,163l7080,163,1545,163,1545,178,7080,178,10695,178,10695,163xe" filled="true" fillcolor="#1c5349" stroked="false">
                <v:path arrowok="t"/>
                <v:fill type="solid"/>
                <w10:wrap type="topAndBottom"/>
              </v:shape>
            </w:pict>
          </mc:Fallback>
        </mc:AlternateContent>
      </w:r>
    </w:p>
    <w:p>
      <w:pPr>
        <w:pStyle w:val="BodyText"/>
        <w:spacing w:after="0"/>
        <w:jc w:val="left"/>
        <w:rPr>
          <w:sz w:val="12"/>
        </w:rPr>
        <w:sectPr>
          <w:pgSz w:w="12240" w:h="15840"/>
          <w:pgMar w:top="1380" w:bottom="280" w:left="1440" w:right="1440"/>
        </w:sectPr>
      </w:pPr>
    </w:p>
    <w:p>
      <w:pPr>
        <w:tabs>
          <w:tab w:pos="5724" w:val="left" w:leader="none"/>
        </w:tabs>
        <w:spacing w:before="84"/>
        <w:ind w:left="189" w:right="0" w:firstLine="0"/>
        <w:jc w:val="left"/>
        <w:rPr>
          <w:sz w:val="22"/>
        </w:rPr>
      </w:pPr>
      <w:r>
        <w:rPr>
          <w:spacing w:val="-2"/>
          <w:sz w:val="22"/>
        </w:rPr>
        <w:t>Vagina</w:t>
      </w:r>
      <w:r>
        <w:rPr>
          <w:sz w:val="22"/>
        </w:rPr>
        <w:tab/>
        <w:t>No</w:t>
      </w:r>
      <w:r>
        <w:rPr>
          <w:spacing w:val="6"/>
          <w:sz w:val="22"/>
        </w:rPr>
        <w:t> </w:t>
      </w:r>
      <w:r>
        <w:rPr>
          <w:spacing w:val="-2"/>
          <w:sz w:val="22"/>
        </w:rPr>
        <w:t>effect</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41600">
                <wp:simplePos x="0" y="0"/>
                <wp:positionH relativeFrom="page">
                  <wp:posOffset>981062</wp:posOffset>
                </wp:positionH>
                <wp:positionV relativeFrom="paragraph">
                  <wp:posOffset>103556</wp:posOffset>
                </wp:positionV>
                <wp:extent cx="5810250" cy="9525"/>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810250" cy="9525"/>
                        </a:xfrm>
                        <a:custGeom>
                          <a:avLst/>
                          <a:gdLst/>
                          <a:ahLst/>
                          <a:cxnLst/>
                          <a:rect l="l" t="t" r="r" b="b"/>
                          <a:pathLst>
                            <a:path w="5810250" h="9525">
                              <a:moveTo>
                                <a:pt x="5810250" y="0"/>
                              </a:moveTo>
                              <a:lnTo>
                                <a:pt x="3514725" y="0"/>
                              </a:lnTo>
                              <a:lnTo>
                                <a:pt x="0" y="0"/>
                              </a:lnTo>
                              <a:lnTo>
                                <a:pt x="0" y="9525"/>
                              </a:lnTo>
                              <a:lnTo>
                                <a:pt x="351472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4041pt;width:457.5pt;height:.75pt;mso-position-horizontal-relative:page;mso-position-vertical-relative:paragraph;z-index:-15674880;mso-wrap-distance-left:0;mso-wrap-distance-right:0" id="docshape149" coordorigin="1545,163" coordsize="9150,15" path="m10695,163l7080,163,1545,163,1545,178,7080,178,10695,178,10695,163xe" filled="true" fillcolor="#1c5349" stroked="false">
                <v:path arrowok="t"/>
                <v:fill type="solid"/>
                <w10:wrap type="topAndBottom"/>
              </v:shape>
            </w:pict>
          </mc:Fallback>
        </mc:AlternateContent>
      </w:r>
    </w:p>
    <w:p>
      <w:pPr>
        <w:pStyle w:val="BodyText"/>
        <w:spacing w:before="201"/>
        <w:ind w:left="0"/>
        <w:jc w:val="left"/>
        <w:rPr>
          <w:sz w:val="22"/>
        </w:rPr>
      </w:pPr>
    </w:p>
    <w:p>
      <w:pPr>
        <w:spacing w:line="249" w:lineRule="auto" w:before="1"/>
        <w:ind w:left="99" w:right="103" w:firstLine="450"/>
        <w:jc w:val="both"/>
        <w:rPr>
          <w:sz w:val="30"/>
        </w:rPr>
      </w:pPr>
      <w:r>
        <w:rPr>
          <w:b/>
          <w:sz w:val="30"/>
        </w:rPr>
        <w:t>There is agreement that phytoestrogens have no effects on the uterus or vagina.</w:t>
      </w:r>
      <w:r>
        <w:rPr>
          <w:sz w:val="30"/>
          <w:vertAlign w:val="superscript"/>
        </w:rPr>
        <w:t>352,410,411,463,498,499,506-510</w:t>
      </w:r>
      <w:r>
        <w:rPr>
          <w:sz w:val="30"/>
          <w:vertAlign w:val="baseline"/>
        </w:rPr>
        <w:t> </w:t>
      </w:r>
      <w:r>
        <w:rPr>
          <w:b/>
          <w:sz w:val="30"/>
          <w:vertAlign w:val="baseline"/>
        </w:rPr>
        <w:t>A beneficial effect on </w:t>
      </w:r>
      <w:r>
        <w:rPr>
          <w:b/>
          <w:sz w:val="30"/>
          <w:vertAlign w:val="baseline"/>
        </w:rPr>
        <w:t>vaginal dryness and dyspareunia cannot be expected; however, the lack of a proliferative stimulus on the endometrium is a wanted consequence of phytoestrogen supplementation </w:t>
      </w:r>
      <w:r>
        <w:rPr>
          <w:sz w:val="30"/>
          <w:vertAlign w:val="baseline"/>
        </w:rPr>
        <w:t>(</w:t>
      </w:r>
      <w:r>
        <w:rPr>
          <w:b/>
          <w:color w:val="256E60"/>
          <w:sz w:val="30"/>
          <w:vertAlign w:val="baseline"/>
        </w:rPr>
        <w:t>Table 22.5</w:t>
      </w:r>
      <w:r>
        <w:rPr>
          <w:sz w:val="30"/>
          <w:vertAlign w:val="baseline"/>
        </w:rPr>
        <w:t>).</w:t>
      </w:r>
    </w:p>
    <w:p>
      <w:pPr>
        <w:spacing w:line="249" w:lineRule="auto" w:before="6"/>
        <w:ind w:left="99" w:right="98" w:firstLine="450"/>
        <w:jc w:val="both"/>
        <w:rPr>
          <w:b/>
          <w:sz w:val="30"/>
        </w:rPr>
      </w:pPr>
      <w:r>
        <w:rPr>
          <w:b/>
          <w:sz w:val="30"/>
        </w:rPr>
        <w:t>Currently,</w:t>
      </w:r>
      <w:r>
        <w:rPr>
          <w:b/>
          <w:spacing w:val="-1"/>
          <w:sz w:val="30"/>
        </w:rPr>
        <w:t> </w:t>
      </w:r>
      <w:r>
        <w:rPr>
          <w:b/>
          <w:sz w:val="30"/>
        </w:rPr>
        <w:t>the</w:t>
      </w:r>
      <w:r>
        <w:rPr>
          <w:b/>
          <w:spacing w:val="-1"/>
          <w:sz w:val="30"/>
        </w:rPr>
        <w:t> </w:t>
      </w:r>
      <w:r>
        <w:rPr>
          <w:b/>
          <w:sz w:val="30"/>
        </w:rPr>
        <w:t>recommended</w:t>
      </w:r>
      <w:r>
        <w:rPr>
          <w:b/>
          <w:spacing w:val="-1"/>
          <w:sz w:val="30"/>
        </w:rPr>
        <w:t> </w:t>
      </w:r>
      <w:r>
        <w:rPr>
          <w:b/>
          <w:sz w:val="30"/>
        </w:rPr>
        <w:t>intake</w:t>
      </w:r>
      <w:r>
        <w:rPr>
          <w:b/>
          <w:spacing w:val="-1"/>
          <w:sz w:val="30"/>
        </w:rPr>
        <w:t> </w:t>
      </w:r>
      <w:r>
        <w:rPr>
          <w:b/>
          <w:sz w:val="30"/>
        </w:rPr>
        <w:t>expected</w:t>
      </w:r>
      <w:r>
        <w:rPr>
          <w:b/>
          <w:spacing w:val="-1"/>
          <w:sz w:val="30"/>
        </w:rPr>
        <w:t> </w:t>
      </w:r>
      <w:r>
        <w:rPr>
          <w:b/>
          <w:sz w:val="30"/>
        </w:rPr>
        <w:t>to</w:t>
      </w:r>
      <w:r>
        <w:rPr>
          <w:b/>
          <w:spacing w:val="-1"/>
          <w:sz w:val="30"/>
        </w:rPr>
        <w:t> </w:t>
      </w:r>
      <w:r>
        <w:rPr>
          <w:b/>
          <w:sz w:val="30"/>
        </w:rPr>
        <w:t>have</w:t>
      </w:r>
      <w:r>
        <w:rPr>
          <w:b/>
          <w:spacing w:val="-1"/>
          <w:sz w:val="30"/>
        </w:rPr>
        <w:t> </w:t>
      </w:r>
      <w:r>
        <w:rPr>
          <w:b/>
          <w:sz w:val="30"/>
        </w:rPr>
        <w:t>some</w:t>
      </w:r>
      <w:r>
        <w:rPr>
          <w:b/>
          <w:spacing w:val="-1"/>
          <w:sz w:val="30"/>
        </w:rPr>
        <w:t> </w:t>
      </w:r>
      <w:r>
        <w:rPr>
          <w:b/>
          <w:sz w:val="30"/>
        </w:rPr>
        <w:t>effect</w:t>
      </w:r>
      <w:r>
        <w:rPr>
          <w:b/>
          <w:spacing w:val="-1"/>
          <w:sz w:val="30"/>
        </w:rPr>
        <w:t> </w:t>
      </w:r>
      <w:r>
        <w:rPr>
          <w:b/>
          <w:sz w:val="30"/>
        </w:rPr>
        <w:t>on CHD</w:t>
      </w:r>
      <w:r>
        <w:rPr>
          <w:b/>
          <w:spacing w:val="-2"/>
          <w:sz w:val="30"/>
        </w:rPr>
        <w:t> </w:t>
      </w:r>
      <w:r>
        <w:rPr>
          <w:b/>
          <w:sz w:val="30"/>
        </w:rPr>
        <w:t>is</w:t>
      </w:r>
      <w:r>
        <w:rPr>
          <w:b/>
          <w:spacing w:val="-2"/>
          <w:sz w:val="30"/>
        </w:rPr>
        <w:t> </w:t>
      </w:r>
      <w:r>
        <w:rPr>
          <w:b/>
          <w:sz w:val="30"/>
        </w:rPr>
        <w:t>50</w:t>
      </w:r>
      <w:r>
        <w:rPr>
          <w:b/>
          <w:spacing w:val="-2"/>
          <w:sz w:val="30"/>
        </w:rPr>
        <w:t> </w:t>
      </w:r>
      <w:r>
        <w:rPr>
          <w:b/>
          <w:sz w:val="30"/>
        </w:rPr>
        <w:t>to</w:t>
      </w:r>
      <w:r>
        <w:rPr>
          <w:b/>
          <w:spacing w:val="-2"/>
          <w:sz w:val="30"/>
        </w:rPr>
        <w:t> </w:t>
      </w:r>
      <w:r>
        <w:rPr>
          <w:b/>
          <w:sz w:val="30"/>
        </w:rPr>
        <w:t>60</w:t>
      </w:r>
      <w:r>
        <w:rPr>
          <w:b/>
          <w:spacing w:val="-2"/>
          <w:sz w:val="30"/>
        </w:rPr>
        <w:t> </w:t>
      </w:r>
      <w:r>
        <w:rPr>
          <w:b/>
          <w:sz w:val="30"/>
        </w:rPr>
        <w:t>mg</w:t>
      </w:r>
      <w:r>
        <w:rPr>
          <w:b/>
          <w:spacing w:val="-2"/>
          <w:sz w:val="30"/>
        </w:rPr>
        <w:t> </w:t>
      </w:r>
      <w:r>
        <w:rPr>
          <w:b/>
          <w:sz w:val="30"/>
        </w:rPr>
        <w:t>isoflavones</w:t>
      </w:r>
      <w:r>
        <w:rPr>
          <w:b/>
          <w:spacing w:val="-2"/>
          <w:sz w:val="30"/>
        </w:rPr>
        <w:t> </w:t>
      </w:r>
      <w:r>
        <w:rPr>
          <w:b/>
          <w:sz w:val="30"/>
        </w:rPr>
        <w:t>per</w:t>
      </w:r>
      <w:r>
        <w:rPr>
          <w:b/>
          <w:spacing w:val="-2"/>
          <w:sz w:val="30"/>
        </w:rPr>
        <w:t> </w:t>
      </w:r>
      <w:r>
        <w:rPr>
          <w:b/>
          <w:sz w:val="30"/>
        </w:rPr>
        <w:t>day,</w:t>
      </w:r>
      <w:r>
        <w:rPr>
          <w:b/>
          <w:spacing w:val="-2"/>
          <w:sz w:val="30"/>
        </w:rPr>
        <w:t> </w:t>
      </w:r>
      <w:r>
        <w:rPr>
          <w:b/>
          <w:sz w:val="30"/>
        </w:rPr>
        <w:t>an</w:t>
      </w:r>
      <w:r>
        <w:rPr>
          <w:b/>
          <w:spacing w:val="-2"/>
          <w:sz w:val="30"/>
        </w:rPr>
        <w:t> </w:t>
      </w:r>
      <w:r>
        <w:rPr>
          <w:b/>
          <w:sz w:val="30"/>
        </w:rPr>
        <w:t>amount</w:t>
      </w:r>
      <w:r>
        <w:rPr>
          <w:b/>
          <w:spacing w:val="-2"/>
          <w:sz w:val="30"/>
        </w:rPr>
        <w:t> </w:t>
      </w:r>
      <w:r>
        <w:rPr>
          <w:b/>
          <w:sz w:val="30"/>
        </w:rPr>
        <w:t>that</w:t>
      </w:r>
      <w:r>
        <w:rPr>
          <w:b/>
          <w:spacing w:val="-2"/>
          <w:sz w:val="30"/>
        </w:rPr>
        <w:t> </w:t>
      </w:r>
      <w:r>
        <w:rPr>
          <w:b/>
          <w:sz w:val="30"/>
        </w:rPr>
        <w:t>is</w:t>
      </w:r>
      <w:r>
        <w:rPr>
          <w:b/>
          <w:spacing w:val="-2"/>
          <w:sz w:val="30"/>
        </w:rPr>
        <w:t> </w:t>
      </w:r>
      <w:r>
        <w:rPr>
          <w:b/>
          <w:sz w:val="30"/>
        </w:rPr>
        <w:t>in</w:t>
      </w:r>
      <w:r>
        <w:rPr>
          <w:b/>
          <w:spacing w:val="-2"/>
          <w:sz w:val="30"/>
        </w:rPr>
        <w:t> </w:t>
      </w:r>
      <w:r>
        <w:rPr>
          <w:b/>
          <w:sz w:val="30"/>
        </w:rPr>
        <w:t>25</w:t>
      </w:r>
      <w:r>
        <w:rPr>
          <w:b/>
          <w:spacing w:val="-2"/>
          <w:sz w:val="30"/>
        </w:rPr>
        <w:t> </w:t>
      </w:r>
      <w:r>
        <w:rPr>
          <w:b/>
          <w:sz w:val="30"/>
        </w:rPr>
        <w:t>g</w:t>
      </w:r>
      <w:r>
        <w:rPr>
          <w:b/>
          <w:spacing w:val="-2"/>
          <w:sz w:val="30"/>
        </w:rPr>
        <w:t> </w:t>
      </w:r>
      <w:r>
        <w:rPr>
          <w:b/>
          <w:sz w:val="30"/>
        </w:rPr>
        <w:t>of</w:t>
      </w:r>
      <w:r>
        <w:rPr>
          <w:b/>
          <w:spacing w:val="-2"/>
          <w:sz w:val="30"/>
        </w:rPr>
        <w:t> </w:t>
      </w:r>
      <w:r>
        <w:rPr>
          <w:b/>
          <w:sz w:val="30"/>
        </w:rPr>
        <w:t>soy protein aqueous extract. A beneficial impact on CHD in women with abnormal</w:t>
      </w:r>
      <w:r>
        <w:rPr>
          <w:b/>
          <w:spacing w:val="-2"/>
          <w:sz w:val="30"/>
        </w:rPr>
        <w:t> </w:t>
      </w:r>
      <w:r>
        <w:rPr>
          <w:b/>
          <w:sz w:val="30"/>
        </w:rPr>
        <w:t>lipid</w:t>
      </w:r>
      <w:r>
        <w:rPr>
          <w:b/>
          <w:spacing w:val="-2"/>
          <w:sz w:val="30"/>
        </w:rPr>
        <w:t> </w:t>
      </w:r>
      <w:r>
        <w:rPr>
          <w:b/>
          <w:sz w:val="30"/>
        </w:rPr>
        <w:t>profiles</w:t>
      </w:r>
      <w:r>
        <w:rPr>
          <w:b/>
          <w:spacing w:val="-2"/>
          <w:sz w:val="30"/>
        </w:rPr>
        <w:t> </w:t>
      </w:r>
      <w:r>
        <w:rPr>
          <w:b/>
          <w:sz w:val="30"/>
        </w:rPr>
        <w:t>is</w:t>
      </w:r>
      <w:r>
        <w:rPr>
          <w:b/>
          <w:spacing w:val="-2"/>
          <w:sz w:val="30"/>
        </w:rPr>
        <w:t> </w:t>
      </w:r>
      <w:r>
        <w:rPr>
          <w:b/>
          <w:sz w:val="30"/>
        </w:rPr>
        <w:t>to</w:t>
      </w:r>
      <w:r>
        <w:rPr>
          <w:b/>
          <w:spacing w:val="-2"/>
          <w:sz w:val="30"/>
        </w:rPr>
        <w:t> </w:t>
      </w:r>
      <w:r>
        <w:rPr>
          <w:b/>
          <w:sz w:val="30"/>
        </w:rPr>
        <w:t>be</w:t>
      </w:r>
      <w:r>
        <w:rPr>
          <w:b/>
          <w:spacing w:val="-2"/>
          <w:sz w:val="30"/>
        </w:rPr>
        <w:t> </w:t>
      </w:r>
      <w:r>
        <w:rPr>
          <w:b/>
          <w:sz w:val="30"/>
        </w:rPr>
        <w:t>expected,</w:t>
      </w:r>
      <w:r>
        <w:rPr>
          <w:b/>
          <w:spacing w:val="-2"/>
          <w:sz w:val="30"/>
        </w:rPr>
        <w:t> </w:t>
      </w:r>
      <w:r>
        <w:rPr>
          <w:b/>
          <w:sz w:val="30"/>
        </w:rPr>
        <w:t>a</w:t>
      </w:r>
      <w:r>
        <w:rPr>
          <w:b/>
          <w:spacing w:val="-2"/>
          <w:sz w:val="30"/>
        </w:rPr>
        <w:t> </w:t>
      </w:r>
      <w:r>
        <w:rPr>
          <w:b/>
          <w:sz w:val="30"/>
        </w:rPr>
        <w:t>consequence</w:t>
      </w:r>
      <w:r>
        <w:rPr>
          <w:b/>
          <w:spacing w:val="-2"/>
          <w:sz w:val="30"/>
        </w:rPr>
        <w:t> </w:t>
      </w:r>
      <w:r>
        <w:rPr>
          <w:b/>
          <w:sz w:val="30"/>
        </w:rPr>
        <w:t>of</w:t>
      </w:r>
      <w:r>
        <w:rPr>
          <w:b/>
          <w:spacing w:val="-2"/>
          <w:sz w:val="30"/>
        </w:rPr>
        <w:t> </w:t>
      </w:r>
      <w:r>
        <w:rPr>
          <w:b/>
          <w:sz w:val="30"/>
        </w:rPr>
        <w:t>a</w:t>
      </w:r>
      <w:r>
        <w:rPr>
          <w:b/>
          <w:spacing w:val="-2"/>
          <w:sz w:val="30"/>
        </w:rPr>
        <w:t> </w:t>
      </w:r>
      <w:r>
        <w:rPr>
          <w:b/>
          <w:sz w:val="30"/>
        </w:rPr>
        <w:t>decrease</w:t>
      </w:r>
      <w:r>
        <w:rPr>
          <w:b/>
          <w:spacing w:val="-2"/>
          <w:sz w:val="30"/>
        </w:rPr>
        <w:t> </w:t>
      </w:r>
      <w:r>
        <w:rPr>
          <w:b/>
          <w:sz w:val="30"/>
        </w:rPr>
        <w:t>in total and LDL cholesterol and an increase in vascular reaction, but the actual clinical effect is unknown. Excess intake can cause gastrointestinal upset and flatulence, inhibition of enzymes </w:t>
      </w:r>
      <w:r>
        <w:rPr>
          <w:b/>
          <w:sz w:val="30"/>
        </w:rPr>
        <w:t>necessary for the digestion of proteins, possibly obstruction of mineral uptake, and weight gain.</w:t>
      </w:r>
    </w:p>
    <w:p>
      <w:pPr>
        <w:pStyle w:val="BodyText"/>
        <w:spacing w:before="54"/>
        <w:ind w:left="0"/>
        <w:jc w:val="left"/>
        <w:rPr>
          <w:b/>
        </w:rPr>
      </w:pPr>
    </w:p>
    <w:p>
      <w:pPr>
        <w:spacing w:before="1"/>
        <w:ind w:left="99" w:right="0" w:firstLine="0"/>
        <w:jc w:val="left"/>
        <w:rPr>
          <w:rFonts w:ascii="Arial"/>
          <w:b/>
          <w:sz w:val="30"/>
        </w:rPr>
      </w:pPr>
      <w:r>
        <w:rPr>
          <w:rFonts w:ascii="Arial"/>
          <w:b/>
          <w:color w:val="2674AE"/>
          <w:sz w:val="30"/>
        </w:rPr>
        <w:t>The Role of </w:t>
      </w:r>
      <w:r>
        <w:rPr>
          <w:rFonts w:ascii="Arial"/>
          <w:b/>
          <w:color w:val="2674AE"/>
          <w:spacing w:val="-2"/>
          <w:sz w:val="30"/>
        </w:rPr>
        <w:t>Equol</w:t>
      </w:r>
    </w:p>
    <w:p>
      <w:pPr>
        <w:pStyle w:val="BodyText"/>
        <w:spacing w:line="249" w:lineRule="auto" w:before="166"/>
        <w:ind w:right="101"/>
      </w:pPr>
      <w:r>
        <w:rPr/>
        <w:t>Equol</w:t>
      </w:r>
      <w:r>
        <w:rPr>
          <w:spacing w:val="-1"/>
        </w:rPr>
        <w:t> </w:t>
      </w:r>
      <w:r>
        <w:rPr/>
        <w:t>is</w:t>
      </w:r>
      <w:r>
        <w:rPr>
          <w:spacing w:val="-1"/>
        </w:rPr>
        <w:t> </w:t>
      </w:r>
      <w:r>
        <w:rPr/>
        <w:t>a</w:t>
      </w:r>
      <w:r>
        <w:rPr>
          <w:spacing w:val="-1"/>
        </w:rPr>
        <w:t> </w:t>
      </w:r>
      <w:r>
        <w:rPr/>
        <w:t>bacterial</w:t>
      </w:r>
      <w:r>
        <w:rPr>
          <w:spacing w:val="-1"/>
        </w:rPr>
        <w:t> </w:t>
      </w:r>
      <w:r>
        <w:rPr/>
        <w:t>metabolite</w:t>
      </w:r>
      <w:r>
        <w:rPr>
          <w:spacing w:val="-1"/>
        </w:rPr>
        <w:t> </w:t>
      </w:r>
      <w:r>
        <w:rPr/>
        <w:t>and</w:t>
      </w:r>
      <w:r>
        <w:rPr>
          <w:spacing w:val="-1"/>
        </w:rPr>
        <w:t> </w:t>
      </w:r>
      <w:r>
        <w:rPr/>
        <w:t>the</w:t>
      </w:r>
      <w:r>
        <w:rPr>
          <w:spacing w:val="-1"/>
        </w:rPr>
        <w:t> </w:t>
      </w:r>
      <w:r>
        <w:rPr/>
        <w:t>only</w:t>
      </w:r>
      <w:r>
        <w:rPr>
          <w:spacing w:val="-1"/>
        </w:rPr>
        <w:t> </w:t>
      </w:r>
      <w:r>
        <w:rPr/>
        <w:t>hormonally</w:t>
      </w:r>
      <w:r>
        <w:rPr>
          <w:spacing w:val="-1"/>
        </w:rPr>
        <w:t> </w:t>
      </w:r>
      <w:r>
        <w:rPr/>
        <w:t>active</w:t>
      </w:r>
      <w:r>
        <w:rPr>
          <w:spacing w:val="-1"/>
        </w:rPr>
        <w:t> </w:t>
      </w:r>
      <w:r>
        <w:rPr/>
        <w:t>metabolite</w:t>
      </w:r>
      <w:r>
        <w:rPr>
          <w:spacing w:val="-1"/>
        </w:rPr>
        <w:t> </w:t>
      </w:r>
      <w:r>
        <w:rPr/>
        <w:t>of the soy phytoestrogen, daidzein. It is one of the estrogenic compounds in pregnant mare’s urine, hence its name. At least in vitro, equol stimulates gene transcription with both ERs and with a greater potency than any other isoflavone.</w:t>
      </w:r>
      <w:r>
        <w:rPr>
          <w:vertAlign w:val="superscript"/>
        </w:rPr>
        <w:t>511</w:t>
      </w:r>
      <w:r>
        <w:rPr>
          <w:vertAlign w:val="baseline"/>
        </w:rPr>
        <w:t> Equol formation is totally dependent on intestinal </w:t>
      </w:r>
      <w:r>
        <w:rPr>
          <w:vertAlign w:val="baseline"/>
        </w:rPr>
        <w:t>microflora; therefore, strictly speaking, it is not a phytoestrogen. To be accurate, equol is a nonsteroidal estrogen, a member of the isoflavone family, and exclusively a metabolic product of intestinal bacteria.</w:t>
      </w:r>
    </w:p>
    <w:p>
      <w:pPr>
        <w:pStyle w:val="BodyText"/>
        <w:spacing w:line="249" w:lineRule="auto" w:before="10"/>
        <w:ind w:right="99" w:firstLine="450"/>
      </w:pPr>
      <w:r>
        <w:rPr/>
        <w:t>The most important observation regarding equol is that 30% to 50% of adults do not produce equol, even when challenged with high doses of soy.</w:t>
      </w:r>
      <w:r>
        <w:rPr>
          <w:vertAlign w:val="superscript"/>
        </w:rPr>
        <w:t>512</w:t>
      </w:r>
      <w:r>
        <w:rPr>
          <w:vertAlign w:val="baseline"/>
        </w:rPr>
        <w:t> This is in contrast to nonhuman primates and other animals; all </w:t>
      </w:r>
      <w:r>
        <w:rPr>
          <w:vertAlign w:val="baseline"/>
        </w:rPr>
        <w:t>that have been studied produce high levels of equol. Thus, there are two human populations: equol producers and equol nonproducers. The key question is whether equol producers receive greater clinical effects from</w:t>
      </w:r>
      <w:r>
        <w:rPr>
          <w:spacing w:val="40"/>
          <w:vertAlign w:val="baseline"/>
        </w:rPr>
        <w:t> </w:t>
      </w:r>
      <w:r>
        <w:rPr>
          <w:vertAlign w:val="baseline"/>
        </w:rPr>
        <w:t>phytoestrogens than nonequol producers. As noted, thus far, the clinical effects of isoflavones on the bone have not been impressive. In a 2-year randomized</w:t>
      </w:r>
      <w:r>
        <w:rPr>
          <w:spacing w:val="77"/>
          <w:w w:val="150"/>
          <w:vertAlign w:val="baseline"/>
        </w:rPr>
        <w:t> </w:t>
      </w:r>
      <w:r>
        <w:rPr>
          <w:vertAlign w:val="baseline"/>
        </w:rPr>
        <w:t>trial</w:t>
      </w:r>
      <w:r>
        <w:rPr>
          <w:spacing w:val="78"/>
          <w:w w:val="150"/>
          <w:vertAlign w:val="baseline"/>
        </w:rPr>
        <w:t> </w:t>
      </w:r>
      <w:r>
        <w:rPr>
          <w:vertAlign w:val="baseline"/>
        </w:rPr>
        <w:t>of</w:t>
      </w:r>
      <w:r>
        <w:rPr>
          <w:spacing w:val="77"/>
          <w:w w:val="150"/>
          <w:vertAlign w:val="baseline"/>
        </w:rPr>
        <w:t> </w:t>
      </w:r>
      <w:r>
        <w:rPr>
          <w:vertAlign w:val="baseline"/>
        </w:rPr>
        <w:t>postmenopausal</w:t>
      </w:r>
      <w:r>
        <w:rPr>
          <w:spacing w:val="78"/>
          <w:w w:val="150"/>
          <w:vertAlign w:val="baseline"/>
        </w:rPr>
        <w:t> </w:t>
      </w:r>
      <w:r>
        <w:rPr>
          <w:vertAlign w:val="baseline"/>
        </w:rPr>
        <w:t>women,</w:t>
      </w:r>
      <w:r>
        <w:rPr>
          <w:spacing w:val="77"/>
          <w:w w:val="150"/>
          <w:vertAlign w:val="baseline"/>
        </w:rPr>
        <w:t> </w:t>
      </w:r>
      <w:r>
        <w:rPr>
          <w:vertAlign w:val="baseline"/>
        </w:rPr>
        <w:t>isoflavone-rich</w:t>
      </w:r>
      <w:r>
        <w:rPr>
          <w:spacing w:val="78"/>
          <w:w w:val="150"/>
          <w:vertAlign w:val="baseline"/>
        </w:rPr>
        <w:t> </w:t>
      </w:r>
      <w:r>
        <w:rPr>
          <w:vertAlign w:val="baseline"/>
        </w:rPr>
        <w:t>soy</w:t>
      </w:r>
      <w:r>
        <w:rPr>
          <w:spacing w:val="77"/>
          <w:w w:val="150"/>
          <w:vertAlign w:val="baseline"/>
        </w:rPr>
        <w:t> </w:t>
      </w:r>
      <w:r>
        <w:rPr>
          <w:spacing w:val="-4"/>
          <w:vertAlign w:val="baseline"/>
        </w:rPr>
        <w:t>milk</w:t>
      </w:r>
    </w:p>
    <w:p>
      <w:pPr>
        <w:pStyle w:val="BodyText"/>
        <w:spacing w:after="0" w:line="249" w:lineRule="auto"/>
        <w:sectPr>
          <w:pgSz w:w="12240" w:h="15840"/>
          <w:pgMar w:top="1360" w:bottom="280" w:left="1440" w:right="1440"/>
        </w:sectPr>
      </w:pPr>
    </w:p>
    <w:p>
      <w:pPr>
        <w:pStyle w:val="BodyText"/>
        <w:spacing w:line="249" w:lineRule="auto"/>
        <w:ind w:right="97"/>
      </w:pPr>
      <w:r>
        <w:rPr/>
        <w:t>increased spinal bone mass in the 45% of the subjects who were equol producers, with essentially no effect in equol nonproducers.</w:t>
      </w:r>
      <w:r>
        <w:rPr>
          <w:vertAlign w:val="superscript"/>
        </w:rPr>
        <w:t>513</w:t>
      </w:r>
      <w:r>
        <w:rPr>
          <w:vertAlign w:val="baseline"/>
        </w:rPr>
        <w:t> </w:t>
      </w:r>
      <w:r>
        <w:rPr>
          <w:vertAlign w:val="baseline"/>
        </w:rPr>
        <w:t>More profound beneficial effects on the lipid profile have been reported in equol-producing</w:t>
      </w:r>
      <w:r>
        <w:rPr>
          <w:spacing w:val="-6"/>
          <w:vertAlign w:val="baseline"/>
        </w:rPr>
        <w:t> </w:t>
      </w:r>
      <w:r>
        <w:rPr>
          <w:vertAlign w:val="baseline"/>
        </w:rPr>
        <w:t>women.</w:t>
      </w:r>
      <w:r>
        <w:rPr>
          <w:vertAlign w:val="superscript"/>
        </w:rPr>
        <w:t>512</w:t>
      </w:r>
      <w:r>
        <w:rPr>
          <w:vertAlign w:val="baseline"/>
        </w:rPr>
        <w:t> Therefore, the population destined to receive a benefit from soy intake may be limited to equol producers. Studies need to be repeated,</w:t>
      </w:r>
      <w:r>
        <w:rPr>
          <w:spacing w:val="-2"/>
          <w:vertAlign w:val="baseline"/>
        </w:rPr>
        <w:t> </w:t>
      </w:r>
      <w:r>
        <w:rPr>
          <w:vertAlign w:val="baseline"/>
        </w:rPr>
        <w:t>measuring</w:t>
      </w:r>
      <w:r>
        <w:rPr>
          <w:spacing w:val="-2"/>
          <w:vertAlign w:val="baseline"/>
        </w:rPr>
        <w:t> </w:t>
      </w:r>
      <w:r>
        <w:rPr>
          <w:vertAlign w:val="baseline"/>
        </w:rPr>
        <w:t>the</w:t>
      </w:r>
      <w:r>
        <w:rPr>
          <w:spacing w:val="-2"/>
          <w:vertAlign w:val="baseline"/>
        </w:rPr>
        <w:t> </w:t>
      </w:r>
      <w:r>
        <w:rPr>
          <w:vertAlign w:val="baseline"/>
        </w:rPr>
        <w:t>responses</w:t>
      </w:r>
      <w:r>
        <w:rPr>
          <w:spacing w:val="-2"/>
          <w:vertAlign w:val="baseline"/>
        </w:rPr>
        <w:t> </w:t>
      </w:r>
      <w:r>
        <w:rPr>
          <w:vertAlign w:val="baseline"/>
        </w:rPr>
        <w:t>in</w:t>
      </w:r>
      <w:r>
        <w:rPr>
          <w:spacing w:val="-2"/>
          <w:vertAlign w:val="baseline"/>
        </w:rPr>
        <w:t> </w:t>
      </w:r>
      <w:r>
        <w:rPr>
          <w:vertAlign w:val="baseline"/>
        </w:rPr>
        <w:t>individuals</w:t>
      </w:r>
      <w:r>
        <w:rPr>
          <w:spacing w:val="-2"/>
          <w:vertAlign w:val="baseline"/>
        </w:rPr>
        <w:t> </w:t>
      </w:r>
      <w:r>
        <w:rPr>
          <w:vertAlign w:val="baseline"/>
        </w:rPr>
        <w:t>who</w:t>
      </w:r>
      <w:r>
        <w:rPr>
          <w:spacing w:val="-2"/>
          <w:vertAlign w:val="baseline"/>
        </w:rPr>
        <w:t> </w:t>
      </w:r>
      <w:r>
        <w:rPr>
          <w:vertAlign w:val="baseline"/>
        </w:rPr>
        <w:t>are</w:t>
      </w:r>
      <w:r>
        <w:rPr>
          <w:spacing w:val="-2"/>
          <w:vertAlign w:val="baseline"/>
        </w:rPr>
        <w:t> </w:t>
      </w:r>
      <w:r>
        <w:rPr>
          <w:vertAlign w:val="baseline"/>
        </w:rPr>
        <w:t>identified</w:t>
      </w:r>
      <w:r>
        <w:rPr>
          <w:spacing w:val="-2"/>
          <w:vertAlign w:val="baseline"/>
        </w:rPr>
        <w:t> </w:t>
      </w:r>
      <w:r>
        <w:rPr>
          <w:vertAlign w:val="baseline"/>
        </w:rPr>
        <w:t>as</w:t>
      </w:r>
      <w:r>
        <w:rPr>
          <w:spacing w:val="-2"/>
          <w:vertAlign w:val="baseline"/>
        </w:rPr>
        <w:t> </w:t>
      </w:r>
      <w:r>
        <w:rPr>
          <w:vertAlign w:val="baseline"/>
        </w:rPr>
        <w:t>equol producers or equol nonproducers. If the population destined to receive a benefit from soy intake is limited to equol producers, a convenient, inexpensive method must be developed to identify equol production. In addition, it may be possible to convert nonproducers to producers.</w:t>
      </w:r>
      <w:r>
        <w:rPr>
          <w:spacing w:val="40"/>
          <w:vertAlign w:val="baseline"/>
        </w:rPr>
        <w:t> </w:t>
      </w:r>
      <w:r>
        <w:rPr>
          <w:vertAlign w:val="baseline"/>
        </w:rPr>
        <w:t>However, at least one study did not show a difference in cognitive performance between equol producers versus nonproducer, but this same study did show a greater improvement in VMS with equol producers.</w:t>
      </w:r>
      <w:r>
        <w:rPr>
          <w:vertAlign w:val="superscript"/>
        </w:rPr>
        <w:t>514</w:t>
      </w:r>
    </w:p>
    <w:p>
      <w:pPr>
        <w:pStyle w:val="BodyText"/>
        <w:spacing w:line="249" w:lineRule="auto" w:before="16"/>
        <w:ind w:right="97" w:firstLine="450"/>
      </w:pPr>
      <w:r>
        <w:rPr/>
        <w:t>An emerging approach is to administer equol itself. Daidzein yields two forms of equol, the </w:t>
      </w:r>
      <w:r>
        <w:rPr>
          <w:i/>
        </w:rPr>
        <w:t>R</w:t>
      </w:r>
      <w:r>
        <w:rPr/>
        <w:t>-equol inactive isomer and </w:t>
      </w:r>
      <w:r>
        <w:rPr>
          <w:i/>
        </w:rPr>
        <w:t>S</w:t>
      </w:r>
      <w:r>
        <w:rPr/>
        <w:t>-equol, the active isomer that binds to ER-β. </w:t>
      </w:r>
      <w:r>
        <w:rPr>
          <w:i/>
        </w:rPr>
        <w:t>S</w:t>
      </w:r>
      <w:r>
        <w:rPr/>
        <w:t>-Equol has been synthesized, and its administration is effective for the treatment of menopausal symptoms.</w:t>
      </w:r>
      <w:r>
        <w:rPr>
          <w:vertAlign w:val="superscript"/>
        </w:rPr>
        <w:t>515</w:t>
      </w:r>
      <w:r>
        <w:rPr>
          <w:vertAlign w:val="baseline"/>
        </w:rPr>
        <w:t> Another </w:t>
      </w:r>
      <w:r>
        <w:rPr>
          <w:vertAlign w:val="baseline"/>
        </w:rPr>
        <w:t>alternative is the </w:t>
      </w:r>
      <w:r>
        <w:rPr>
          <w:i/>
          <w:vertAlign w:val="baseline"/>
        </w:rPr>
        <w:t>S</w:t>
      </w:r>
      <w:r>
        <w:rPr>
          <w:vertAlign w:val="baseline"/>
        </w:rPr>
        <w:t>-equol supplement made by incubating equol-producing bacteria with soy isoflavones.</w:t>
      </w:r>
      <w:r>
        <w:rPr>
          <w:vertAlign w:val="superscript"/>
        </w:rPr>
        <w:t>516,517</w:t>
      </w:r>
      <w:r>
        <w:rPr>
          <w:vertAlign w:val="baseline"/>
        </w:rPr>
        <w:t> </w:t>
      </w:r>
      <w:r>
        <w:rPr>
          <w:i/>
          <w:vertAlign w:val="baseline"/>
        </w:rPr>
        <w:t>S</w:t>
      </w:r>
      <w:r>
        <w:rPr>
          <w:vertAlign w:val="baseline"/>
        </w:rPr>
        <w:t>-equol also blocks the activity of dihydrotestosterone, and thus, it has potential to treat androgenic effects, such as acne, hirsutism, male pattern baldness, and prostate cancer.</w:t>
      </w:r>
      <w:r>
        <w:rPr>
          <w:vertAlign w:val="superscript"/>
        </w:rPr>
        <w:t>518</w:t>
      </w:r>
      <w:r>
        <w:rPr>
          <w:vertAlign w:val="baseline"/>
        </w:rPr>
        <w:t> At this time, due to the absence of high-quality evidence, testing to differentiate between equal producers versus nonproducers cannot be </w:t>
      </w:r>
      <w:r>
        <w:rPr>
          <w:spacing w:val="-2"/>
          <w:vertAlign w:val="baseline"/>
        </w:rPr>
        <w:t>recommended.</w:t>
      </w:r>
    </w:p>
    <w:p>
      <w:pPr>
        <w:pStyle w:val="BodyText"/>
        <w:spacing w:before="57"/>
        <w:ind w:left="0"/>
        <w:jc w:val="left"/>
      </w:pPr>
    </w:p>
    <w:p>
      <w:pPr>
        <w:spacing w:before="0"/>
        <w:ind w:left="99" w:right="0" w:firstLine="0"/>
        <w:jc w:val="left"/>
        <w:rPr>
          <w:rFonts w:ascii="Arial"/>
          <w:b/>
          <w:sz w:val="30"/>
        </w:rPr>
      </w:pPr>
      <w:r>
        <w:rPr>
          <w:rFonts w:ascii="Arial"/>
          <w:b/>
          <w:color w:val="2674AE"/>
          <w:spacing w:val="-2"/>
          <w:sz w:val="30"/>
        </w:rPr>
        <w:t>Estriol</w:t>
      </w:r>
    </w:p>
    <w:p>
      <w:pPr>
        <w:pStyle w:val="BodyText"/>
        <w:spacing w:line="249" w:lineRule="auto" w:before="166"/>
        <w:ind w:right="100"/>
      </w:pPr>
      <w:r>
        <w:rPr/>
        <w:t>Interest in estriol can be traced to Lemon’s report in 1975 that estriol</w:t>
      </w:r>
      <w:r>
        <w:rPr>
          <w:spacing w:val="40"/>
        </w:rPr>
        <w:t> </w:t>
      </w:r>
      <w:r>
        <w:rPr/>
        <w:t>limited the growth of breast tumors in the chemical-induced rat tumor model.</w:t>
      </w:r>
      <w:r>
        <w:rPr>
          <w:spacing w:val="-5"/>
        </w:rPr>
        <w:t> </w:t>
      </w:r>
      <w:r>
        <w:rPr/>
        <w:t>However, it is usually overlooked that estradiol worked equally well in that model. Estriol treatment of postmenopausal women has no overall effect on lipids and no effect in the prevention of myocardial infarction.</w:t>
      </w:r>
      <w:r>
        <w:rPr>
          <w:vertAlign w:val="superscript"/>
        </w:rPr>
        <w:t>519,520</w:t>
      </w:r>
      <w:r>
        <w:rPr>
          <w:vertAlign w:val="baseline"/>
        </w:rPr>
        <w:t> Estriol, without concomitant progestin treatment, </w:t>
      </w:r>
      <w:r>
        <w:rPr>
          <w:vertAlign w:val="baseline"/>
        </w:rPr>
        <w:t>does increase the risk of endometrial cancer with the long-term oral use of 1 to 2 mg/d.</w:t>
      </w:r>
      <w:r>
        <w:rPr>
          <w:vertAlign w:val="superscript"/>
        </w:rPr>
        <w:t>400</w:t>
      </w:r>
      <w:r>
        <w:rPr>
          <w:vertAlign w:val="baseline"/>
        </w:rPr>
        <w:t> At least two studies have been unable to demonstrate prevention of bone</w:t>
      </w:r>
      <w:r>
        <w:rPr>
          <w:spacing w:val="28"/>
          <w:vertAlign w:val="baseline"/>
        </w:rPr>
        <w:t> </w:t>
      </w:r>
      <w:r>
        <w:rPr>
          <w:vertAlign w:val="baseline"/>
        </w:rPr>
        <w:t>loss</w:t>
      </w:r>
      <w:r>
        <w:rPr>
          <w:spacing w:val="29"/>
          <w:vertAlign w:val="baseline"/>
        </w:rPr>
        <w:t> </w:t>
      </w:r>
      <w:r>
        <w:rPr>
          <w:vertAlign w:val="baseline"/>
        </w:rPr>
        <w:t>with</w:t>
      </w:r>
      <w:r>
        <w:rPr>
          <w:spacing w:val="28"/>
          <w:vertAlign w:val="baseline"/>
        </w:rPr>
        <w:t> </w:t>
      </w:r>
      <w:r>
        <w:rPr>
          <w:vertAlign w:val="baseline"/>
        </w:rPr>
        <w:t>the</w:t>
      </w:r>
      <w:r>
        <w:rPr>
          <w:spacing w:val="29"/>
          <w:vertAlign w:val="baseline"/>
        </w:rPr>
        <w:t> </w:t>
      </w:r>
      <w:r>
        <w:rPr>
          <w:vertAlign w:val="baseline"/>
        </w:rPr>
        <w:t>administration</w:t>
      </w:r>
      <w:r>
        <w:rPr>
          <w:spacing w:val="29"/>
          <w:vertAlign w:val="baseline"/>
        </w:rPr>
        <w:t> </w:t>
      </w:r>
      <w:r>
        <w:rPr>
          <w:vertAlign w:val="baseline"/>
        </w:rPr>
        <w:t>of</w:t>
      </w:r>
      <w:r>
        <w:rPr>
          <w:spacing w:val="28"/>
          <w:vertAlign w:val="baseline"/>
        </w:rPr>
        <w:t> </w:t>
      </w:r>
      <w:r>
        <w:rPr>
          <w:vertAlign w:val="baseline"/>
        </w:rPr>
        <w:t>2-mg</w:t>
      </w:r>
      <w:r>
        <w:rPr>
          <w:spacing w:val="29"/>
          <w:vertAlign w:val="baseline"/>
        </w:rPr>
        <w:t> </w:t>
      </w:r>
      <w:r>
        <w:rPr>
          <w:vertAlign w:val="baseline"/>
        </w:rPr>
        <w:t>estriol</w:t>
      </w:r>
      <w:r>
        <w:rPr>
          <w:spacing w:val="29"/>
          <w:vertAlign w:val="baseline"/>
        </w:rPr>
        <w:t> </w:t>
      </w:r>
      <w:r>
        <w:rPr>
          <w:vertAlign w:val="baseline"/>
        </w:rPr>
        <w:t>daily.</w:t>
      </w:r>
      <w:r>
        <w:rPr>
          <w:vertAlign w:val="superscript"/>
        </w:rPr>
        <w:t>12,13</w:t>
      </w:r>
      <w:r>
        <w:rPr>
          <w:spacing w:val="30"/>
          <w:vertAlign w:val="baseline"/>
        </w:rPr>
        <w:t> </w:t>
      </w:r>
      <w:r>
        <w:rPr>
          <w:vertAlign w:val="baseline"/>
        </w:rPr>
        <w:t>Moreover,</w:t>
      </w:r>
      <w:r>
        <w:rPr>
          <w:spacing w:val="31"/>
          <w:vertAlign w:val="baseline"/>
        </w:rPr>
        <w:t> </w:t>
      </w:r>
      <w:r>
        <w:rPr>
          <w:spacing w:val="-5"/>
          <w:vertAlign w:val="baseline"/>
        </w:rPr>
        <w:t>one</w:t>
      </w:r>
    </w:p>
    <w:p>
      <w:pPr>
        <w:pStyle w:val="BodyText"/>
        <w:spacing w:after="0" w:line="249" w:lineRule="auto"/>
        <w:sectPr>
          <w:pgSz w:w="12240" w:h="15840"/>
          <w:pgMar w:top="1380" w:bottom="280" w:left="1440" w:right="1440"/>
        </w:sectPr>
      </w:pPr>
    </w:p>
    <w:p>
      <w:pPr>
        <w:spacing w:line="249" w:lineRule="auto" w:before="65"/>
        <w:ind w:left="99" w:right="105" w:firstLine="0"/>
        <w:jc w:val="both"/>
        <w:rPr>
          <w:i/>
          <w:sz w:val="30"/>
        </w:rPr>
      </w:pPr>
      <w:r>
        <w:rPr>
          <w:sz w:val="30"/>
        </w:rPr>
        <w:t>case-control study found no reduction in hip fractures with </w:t>
      </w:r>
      <w:r>
        <w:rPr>
          <w:sz w:val="30"/>
        </w:rPr>
        <w:t>estriol</w:t>
      </w:r>
      <w:r>
        <w:rPr>
          <w:spacing w:val="80"/>
          <w:sz w:val="30"/>
        </w:rPr>
        <w:t> </w:t>
      </w:r>
      <w:r>
        <w:rPr>
          <w:sz w:val="30"/>
        </w:rPr>
        <w:t>compared with a lower risk with estradiol.</w:t>
      </w:r>
      <w:r>
        <w:rPr>
          <w:sz w:val="30"/>
          <w:vertAlign w:val="superscript"/>
        </w:rPr>
        <w:t>520</w:t>
      </w:r>
      <w:r>
        <w:rPr>
          <w:sz w:val="30"/>
          <w:vertAlign w:val="baseline"/>
        </w:rPr>
        <w:t> </w:t>
      </w:r>
      <w:r>
        <w:rPr>
          <w:i/>
          <w:sz w:val="30"/>
          <w:vertAlign w:val="baseline"/>
        </w:rPr>
        <w:t>There is no evidence</w:t>
      </w:r>
      <w:r>
        <w:rPr>
          <w:i/>
          <w:sz w:val="30"/>
          <w:vertAlign w:val="baseline"/>
        </w:rPr>
        <w:t> indicating any beneficial effects unique to estriol.</w:t>
      </w:r>
    </w:p>
    <w:p>
      <w:pPr>
        <w:pStyle w:val="BodyText"/>
        <w:spacing w:before="47"/>
        <w:ind w:left="0"/>
        <w:jc w:val="left"/>
        <w:rPr>
          <w:i/>
        </w:rPr>
      </w:pPr>
    </w:p>
    <w:p>
      <w:pPr>
        <w:spacing w:before="0"/>
        <w:ind w:left="99" w:right="0" w:firstLine="0"/>
        <w:jc w:val="both"/>
        <w:rPr>
          <w:rFonts w:ascii="Arial"/>
          <w:b/>
          <w:sz w:val="30"/>
        </w:rPr>
      </w:pPr>
      <w:r>
        <w:rPr>
          <w:rFonts w:ascii="Arial"/>
          <w:b/>
          <w:color w:val="2674AE"/>
          <w:sz w:val="30"/>
        </w:rPr>
        <w:t>Transdermal</w:t>
      </w:r>
      <w:r>
        <w:rPr>
          <w:rFonts w:ascii="Arial"/>
          <w:b/>
          <w:color w:val="2674AE"/>
          <w:spacing w:val="-17"/>
          <w:sz w:val="30"/>
        </w:rPr>
        <w:t> </w:t>
      </w:r>
      <w:r>
        <w:rPr>
          <w:rFonts w:ascii="Arial"/>
          <w:b/>
          <w:color w:val="2674AE"/>
          <w:spacing w:val="-2"/>
          <w:sz w:val="30"/>
        </w:rPr>
        <w:t>Progesterone</w:t>
      </w:r>
    </w:p>
    <w:p>
      <w:pPr>
        <w:pStyle w:val="BodyText"/>
        <w:spacing w:line="249" w:lineRule="auto" w:before="166"/>
        <w:ind w:right="110"/>
      </w:pPr>
      <w:r>
        <w:rPr/>
        <w:t>Transdermal (or percutaneous) compounded progesterone cream has been erroneously promoted to have multiple benefits. In order to </w:t>
      </w:r>
      <w:r>
        <w:rPr/>
        <w:t>achieve widespread effects, absorption must yield adequate blood levels. Two English randomized, blinded, placebo-controlled studies used b.i.d. to 4 times the recommended dose and reported blood levels of about 1 ng/mL, supported</w:t>
      </w:r>
      <w:r>
        <w:rPr>
          <w:spacing w:val="-7"/>
        </w:rPr>
        <w:t> </w:t>
      </w:r>
      <w:r>
        <w:rPr/>
        <w:t>by</w:t>
      </w:r>
      <w:r>
        <w:rPr>
          <w:spacing w:val="-7"/>
        </w:rPr>
        <w:t> </w:t>
      </w:r>
      <w:r>
        <w:rPr/>
        <w:t>very</w:t>
      </w:r>
      <w:r>
        <w:rPr>
          <w:spacing w:val="-7"/>
        </w:rPr>
        <w:t> </w:t>
      </w:r>
      <w:r>
        <w:rPr/>
        <w:t>low</w:t>
      </w:r>
      <w:r>
        <w:rPr>
          <w:spacing w:val="-7"/>
        </w:rPr>
        <w:t> </w:t>
      </w:r>
      <w:r>
        <w:rPr/>
        <w:t>urinary</w:t>
      </w:r>
      <w:r>
        <w:rPr>
          <w:spacing w:val="-7"/>
        </w:rPr>
        <w:t> </w:t>
      </w:r>
      <w:r>
        <w:rPr/>
        <w:t>pregnanediol</w:t>
      </w:r>
      <w:r>
        <w:rPr>
          <w:spacing w:val="-7"/>
        </w:rPr>
        <w:t> </w:t>
      </w:r>
      <w:r>
        <w:rPr/>
        <w:t>levels.</w:t>
      </w:r>
      <w:r>
        <w:rPr>
          <w:vertAlign w:val="superscript"/>
        </w:rPr>
        <w:t>521,522</w:t>
      </w:r>
      <w:r>
        <w:rPr>
          <w:spacing w:val="-6"/>
          <w:vertAlign w:val="baseline"/>
        </w:rPr>
        <w:t> </w:t>
      </w:r>
      <w:r>
        <w:rPr>
          <w:vertAlign w:val="baseline"/>
        </w:rPr>
        <w:t>An</w:t>
      </w:r>
      <w:r>
        <w:rPr>
          <w:spacing w:val="-5"/>
          <w:vertAlign w:val="baseline"/>
        </w:rPr>
        <w:t> </w:t>
      </w:r>
      <w:r>
        <w:rPr>
          <w:vertAlign w:val="baseline"/>
        </w:rPr>
        <w:t>American</w:t>
      </w:r>
      <w:r>
        <w:rPr>
          <w:spacing w:val="-5"/>
          <w:vertAlign w:val="baseline"/>
        </w:rPr>
        <w:t> </w:t>
      </w:r>
      <w:r>
        <w:rPr>
          <w:vertAlign w:val="baseline"/>
        </w:rPr>
        <w:t>study achieved progesterone blood levels of 2 to 3 ng/mL with application twice daily.</w:t>
      </w:r>
      <w:r>
        <w:rPr>
          <w:vertAlign w:val="superscript"/>
        </w:rPr>
        <w:t>523</w:t>
      </w:r>
      <w:r>
        <w:rPr>
          <w:spacing w:val="-6"/>
          <w:vertAlign w:val="baseline"/>
        </w:rPr>
        <w:t> </w:t>
      </w:r>
      <w:r>
        <w:rPr>
          <w:vertAlign w:val="baseline"/>
        </w:rPr>
        <w:t>A</w:t>
      </w:r>
      <w:r>
        <w:rPr>
          <w:spacing w:val="-6"/>
          <w:vertAlign w:val="baseline"/>
        </w:rPr>
        <w:t> </w:t>
      </w:r>
      <w:r>
        <w:rPr>
          <w:vertAlign w:val="baseline"/>
        </w:rPr>
        <w:t>1-year</w:t>
      </w:r>
      <w:r>
        <w:rPr>
          <w:spacing w:val="-6"/>
          <w:vertAlign w:val="baseline"/>
        </w:rPr>
        <w:t> </w:t>
      </w:r>
      <w:r>
        <w:rPr>
          <w:vertAlign w:val="baseline"/>
        </w:rPr>
        <w:t>Italian</w:t>
      </w:r>
      <w:r>
        <w:rPr>
          <w:spacing w:val="-6"/>
          <w:vertAlign w:val="baseline"/>
        </w:rPr>
        <w:t> </w:t>
      </w:r>
      <w:r>
        <w:rPr>
          <w:vertAlign w:val="baseline"/>
        </w:rPr>
        <w:t>study</w:t>
      </w:r>
      <w:r>
        <w:rPr>
          <w:spacing w:val="-6"/>
          <w:vertAlign w:val="baseline"/>
        </w:rPr>
        <w:t> </w:t>
      </w:r>
      <w:r>
        <w:rPr>
          <w:vertAlign w:val="baseline"/>
        </w:rPr>
        <w:t>did</w:t>
      </w:r>
      <w:r>
        <w:rPr>
          <w:spacing w:val="-6"/>
          <w:vertAlign w:val="baseline"/>
        </w:rPr>
        <w:t> </w:t>
      </w:r>
      <w:r>
        <w:rPr>
          <w:vertAlign w:val="baseline"/>
        </w:rPr>
        <w:t>not</w:t>
      </w:r>
      <w:r>
        <w:rPr>
          <w:spacing w:val="-6"/>
          <w:vertAlign w:val="baseline"/>
        </w:rPr>
        <w:t> </w:t>
      </w:r>
      <w:r>
        <w:rPr>
          <w:vertAlign w:val="baseline"/>
        </w:rPr>
        <w:t>measure</w:t>
      </w:r>
      <w:r>
        <w:rPr>
          <w:spacing w:val="-6"/>
          <w:vertAlign w:val="baseline"/>
        </w:rPr>
        <w:t> </w:t>
      </w:r>
      <w:r>
        <w:rPr>
          <w:vertAlign w:val="baseline"/>
        </w:rPr>
        <w:t>blood</w:t>
      </w:r>
      <w:r>
        <w:rPr>
          <w:spacing w:val="-6"/>
          <w:vertAlign w:val="baseline"/>
        </w:rPr>
        <w:t> </w:t>
      </w:r>
      <w:r>
        <w:rPr>
          <w:vertAlign w:val="baseline"/>
        </w:rPr>
        <w:t>levels</w:t>
      </w:r>
      <w:r>
        <w:rPr>
          <w:spacing w:val="-6"/>
          <w:vertAlign w:val="baseline"/>
        </w:rPr>
        <w:t> </w:t>
      </w:r>
      <w:r>
        <w:rPr>
          <w:vertAlign w:val="baseline"/>
        </w:rPr>
        <w:t>but</w:t>
      </w:r>
      <w:r>
        <w:rPr>
          <w:spacing w:val="-6"/>
          <w:vertAlign w:val="baseline"/>
        </w:rPr>
        <w:t> </w:t>
      </w:r>
      <w:r>
        <w:rPr>
          <w:vertAlign w:val="baseline"/>
        </w:rPr>
        <w:t>could</w:t>
      </w:r>
      <w:r>
        <w:rPr>
          <w:spacing w:val="-6"/>
          <w:vertAlign w:val="baseline"/>
        </w:rPr>
        <w:t> </w:t>
      </w:r>
      <w:r>
        <w:rPr>
          <w:vertAlign w:val="baseline"/>
        </w:rPr>
        <w:t>detect no effects on bone density, lipid profiles, or depression scores.</w:t>
      </w:r>
      <w:r>
        <w:rPr>
          <w:vertAlign w:val="superscript"/>
        </w:rPr>
        <w:t>524</w:t>
      </w:r>
    </w:p>
    <w:p>
      <w:pPr>
        <w:pStyle w:val="BodyText"/>
        <w:spacing w:line="249" w:lineRule="auto" w:before="12"/>
        <w:ind w:right="101" w:firstLine="450"/>
      </w:pPr>
      <w:r>
        <w:rPr/>
        <w:t>These studies indicate very little systemic absorption of progesterone from the cream product (the levels do not reach normal luteal </w:t>
      </w:r>
      <w:r>
        <w:rPr/>
        <w:t>phase concentrations), and there is great variability.</w:t>
      </w:r>
    </w:p>
    <w:p>
      <w:pPr>
        <w:pStyle w:val="BodyText"/>
        <w:spacing w:line="249" w:lineRule="auto" w:before="3"/>
        <w:ind w:right="99" w:firstLine="450"/>
      </w:pPr>
      <w:r>
        <w:rPr/>
        <w:t>An English randomized clinical trial using transdermal doses of 5, 20, 40, and 60-mg progesterone cream could detect no differences in measures of psychological symptoms, somatic symptoms, and VMS compared with placebo.</w:t>
      </w:r>
      <w:r>
        <w:rPr>
          <w:vertAlign w:val="superscript"/>
        </w:rPr>
        <w:t>525</w:t>
      </w:r>
      <w:r>
        <w:rPr>
          <w:vertAlign w:val="baseline"/>
        </w:rPr>
        <w:t> An Australian study of 16, 32, or 64-mg transdermal progesterone cream administered daily could detect no significant absorption and, most importantly, no endometrial response and no effect on flushes,</w:t>
      </w:r>
      <w:r>
        <w:rPr>
          <w:spacing w:val="-7"/>
          <w:vertAlign w:val="baseline"/>
        </w:rPr>
        <w:t> </w:t>
      </w:r>
      <w:r>
        <w:rPr>
          <w:vertAlign w:val="baseline"/>
        </w:rPr>
        <w:t>lipids,</w:t>
      </w:r>
      <w:r>
        <w:rPr>
          <w:spacing w:val="-7"/>
          <w:vertAlign w:val="baseline"/>
        </w:rPr>
        <w:t> </w:t>
      </w:r>
      <w:r>
        <w:rPr>
          <w:vertAlign w:val="baseline"/>
        </w:rPr>
        <w:t>bone,</w:t>
      </w:r>
      <w:r>
        <w:rPr>
          <w:spacing w:val="-7"/>
          <w:vertAlign w:val="baseline"/>
        </w:rPr>
        <w:t> </w:t>
      </w:r>
      <w:r>
        <w:rPr>
          <w:vertAlign w:val="baseline"/>
        </w:rPr>
        <w:t>moods,</w:t>
      </w:r>
      <w:r>
        <w:rPr>
          <w:spacing w:val="-7"/>
          <w:vertAlign w:val="baseline"/>
        </w:rPr>
        <w:t> </w:t>
      </w:r>
      <w:r>
        <w:rPr>
          <w:vertAlign w:val="baseline"/>
        </w:rPr>
        <w:t>or</w:t>
      </w:r>
      <w:r>
        <w:rPr>
          <w:spacing w:val="-7"/>
          <w:vertAlign w:val="baseline"/>
        </w:rPr>
        <w:t> </w:t>
      </w:r>
      <w:r>
        <w:rPr>
          <w:vertAlign w:val="baseline"/>
        </w:rPr>
        <w:t>sexuality.</w:t>
      </w:r>
      <w:r>
        <w:rPr>
          <w:vertAlign w:val="superscript"/>
        </w:rPr>
        <w:t>526,527</w:t>
      </w:r>
      <w:r>
        <w:rPr>
          <w:spacing w:val="-10"/>
          <w:vertAlign w:val="baseline"/>
        </w:rPr>
        <w:t> </w:t>
      </w:r>
      <w:r>
        <w:rPr>
          <w:vertAlign w:val="baseline"/>
        </w:rPr>
        <w:t>Incidentally,</w:t>
      </w:r>
      <w:r>
        <w:rPr>
          <w:spacing w:val="-10"/>
          <w:vertAlign w:val="baseline"/>
        </w:rPr>
        <w:t> </w:t>
      </w:r>
      <w:r>
        <w:rPr>
          <w:vertAlign w:val="baseline"/>
        </w:rPr>
        <w:t>this</w:t>
      </w:r>
      <w:r>
        <w:rPr>
          <w:spacing w:val="-10"/>
          <w:vertAlign w:val="baseline"/>
        </w:rPr>
        <w:t> </w:t>
      </w:r>
      <w:r>
        <w:rPr>
          <w:vertAlign w:val="baseline"/>
        </w:rPr>
        <w:t>study</w:t>
      </w:r>
      <w:r>
        <w:rPr>
          <w:spacing w:val="-10"/>
          <w:vertAlign w:val="baseline"/>
        </w:rPr>
        <w:t> </w:t>
      </w:r>
      <w:r>
        <w:rPr>
          <w:vertAlign w:val="baseline"/>
        </w:rPr>
        <w:t>found salivary progesterone levels to be so variable that they had no meaning. Progesterone cream can produce high salivary levels, without a significant change in serum or urinary levels (the mechanism is unknown).</w:t>
      </w:r>
      <w:r>
        <w:rPr>
          <w:vertAlign w:val="superscript"/>
        </w:rPr>
        <w:t>528,529</w:t>
      </w:r>
      <w:r>
        <w:rPr>
          <w:vertAlign w:val="baseline"/>
        </w:rPr>
        <w:t> Red cell levels reflect serum levels and do not indicate preferential transport or sequestration.</w:t>
      </w:r>
      <w:r>
        <w:rPr>
          <w:vertAlign w:val="superscript"/>
        </w:rPr>
        <w:t>529</w:t>
      </w:r>
      <w:r>
        <w:rPr>
          <w:vertAlign w:val="baseline"/>
        </w:rPr>
        <w:t> Wild yam creams are marketed as progesterone precursors or</w:t>
      </w:r>
      <w:r>
        <w:rPr>
          <w:spacing w:val="-6"/>
          <w:vertAlign w:val="baseline"/>
        </w:rPr>
        <w:t> </w:t>
      </w:r>
      <w:r>
        <w:rPr>
          <w:vertAlign w:val="baseline"/>
        </w:rPr>
        <w:t>“balancing”</w:t>
      </w:r>
      <w:r>
        <w:rPr>
          <w:spacing w:val="-6"/>
          <w:vertAlign w:val="baseline"/>
        </w:rPr>
        <w:t> </w:t>
      </w:r>
      <w:r>
        <w:rPr>
          <w:vertAlign w:val="baseline"/>
        </w:rPr>
        <w:t>formulas.</w:t>
      </w:r>
      <w:r>
        <w:rPr>
          <w:spacing w:val="-7"/>
          <w:vertAlign w:val="baseline"/>
        </w:rPr>
        <w:t> </w:t>
      </w:r>
      <w:r>
        <w:rPr>
          <w:vertAlign w:val="baseline"/>
        </w:rPr>
        <w:t>Yam</w:t>
      </w:r>
      <w:r>
        <w:rPr>
          <w:spacing w:val="-5"/>
          <w:vertAlign w:val="baseline"/>
        </w:rPr>
        <w:t> </w:t>
      </w:r>
      <w:r>
        <w:rPr>
          <w:vertAlign w:val="baseline"/>
        </w:rPr>
        <w:t>contains</w:t>
      </w:r>
      <w:r>
        <w:rPr>
          <w:spacing w:val="-5"/>
          <w:vertAlign w:val="baseline"/>
        </w:rPr>
        <w:t> </w:t>
      </w:r>
      <w:r>
        <w:rPr>
          <w:vertAlign w:val="baseline"/>
        </w:rPr>
        <w:t>diosgenin,</w:t>
      </w:r>
      <w:r>
        <w:rPr>
          <w:spacing w:val="-5"/>
          <w:vertAlign w:val="baseline"/>
        </w:rPr>
        <w:t> </w:t>
      </w:r>
      <w:r>
        <w:rPr>
          <w:vertAlign w:val="baseline"/>
        </w:rPr>
        <w:t>a</w:t>
      </w:r>
      <w:r>
        <w:rPr>
          <w:spacing w:val="-5"/>
          <w:vertAlign w:val="baseline"/>
        </w:rPr>
        <w:t> </w:t>
      </w:r>
      <w:r>
        <w:rPr>
          <w:vertAlign w:val="baseline"/>
        </w:rPr>
        <w:t>plant</w:t>
      </w:r>
      <w:r>
        <w:rPr>
          <w:spacing w:val="-5"/>
          <w:vertAlign w:val="baseline"/>
        </w:rPr>
        <w:t> </w:t>
      </w:r>
      <w:r>
        <w:rPr>
          <w:vertAlign w:val="baseline"/>
        </w:rPr>
        <w:t>steroid</w:t>
      </w:r>
      <w:r>
        <w:rPr>
          <w:spacing w:val="-5"/>
          <w:vertAlign w:val="baseline"/>
        </w:rPr>
        <w:t> </w:t>
      </w:r>
      <w:r>
        <w:rPr>
          <w:vertAlign w:val="baseline"/>
        </w:rPr>
        <w:t>that</w:t>
      </w:r>
      <w:r>
        <w:rPr>
          <w:spacing w:val="-5"/>
          <w:vertAlign w:val="baseline"/>
        </w:rPr>
        <w:t> </w:t>
      </w:r>
      <w:r>
        <w:rPr>
          <w:vertAlign w:val="baseline"/>
        </w:rPr>
        <w:t>can</w:t>
      </w:r>
      <w:r>
        <w:rPr>
          <w:spacing w:val="-5"/>
          <w:vertAlign w:val="baseline"/>
        </w:rPr>
        <w:t> </w:t>
      </w:r>
      <w:r>
        <w:rPr>
          <w:vertAlign w:val="baseline"/>
        </w:rPr>
        <w:t>be converted to progesterone in a chemical laboratory but not in the human body. Predictably, a wild yam cream has no effects on a wide range of measurements</w:t>
      </w:r>
      <w:r>
        <w:rPr>
          <w:spacing w:val="-2"/>
          <w:vertAlign w:val="baseline"/>
        </w:rPr>
        <w:t> </w:t>
      </w:r>
      <w:r>
        <w:rPr>
          <w:vertAlign w:val="baseline"/>
        </w:rPr>
        <w:t>in</w:t>
      </w:r>
      <w:r>
        <w:rPr>
          <w:spacing w:val="-2"/>
          <w:vertAlign w:val="baseline"/>
        </w:rPr>
        <w:t> </w:t>
      </w:r>
      <w:r>
        <w:rPr>
          <w:vertAlign w:val="baseline"/>
        </w:rPr>
        <w:t>postmenopausal</w:t>
      </w:r>
      <w:r>
        <w:rPr>
          <w:spacing w:val="-2"/>
          <w:vertAlign w:val="baseline"/>
        </w:rPr>
        <w:t> </w:t>
      </w:r>
      <w:r>
        <w:rPr>
          <w:vertAlign w:val="baseline"/>
        </w:rPr>
        <w:t>women.</w:t>
      </w:r>
      <w:r>
        <w:rPr>
          <w:vertAlign w:val="superscript"/>
        </w:rPr>
        <w:t>508</w:t>
      </w:r>
      <w:r>
        <w:rPr>
          <w:spacing w:val="-4"/>
          <w:vertAlign w:val="baseline"/>
        </w:rPr>
        <w:t> </w:t>
      </w:r>
      <w:r>
        <w:rPr>
          <w:vertAlign w:val="baseline"/>
        </w:rPr>
        <w:t>Some</w:t>
      </w:r>
      <w:r>
        <w:rPr>
          <w:spacing w:val="-4"/>
          <w:vertAlign w:val="baseline"/>
        </w:rPr>
        <w:t> </w:t>
      </w:r>
      <w:r>
        <w:rPr>
          <w:vertAlign w:val="baseline"/>
        </w:rPr>
        <w:t>do</w:t>
      </w:r>
      <w:r>
        <w:rPr>
          <w:spacing w:val="-4"/>
          <w:vertAlign w:val="baseline"/>
        </w:rPr>
        <w:t> </w:t>
      </w:r>
      <w:r>
        <w:rPr>
          <w:vertAlign w:val="baseline"/>
        </w:rPr>
        <w:t>contain</w:t>
      </w:r>
      <w:r>
        <w:rPr>
          <w:spacing w:val="-4"/>
          <w:vertAlign w:val="baseline"/>
        </w:rPr>
        <w:t> </w:t>
      </w:r>
      <w:r>
        <w:rPr>
          <w:vertAlign w:val="baseline"/>
        </w:rPr>
        <w:t>progesterone, added</w:t>
      </w:r>
      <w:r>
        <w:rPr>
          <w:spacing w:val="1"/>
          <w:vertAlign w:val="baseline"/>
        </w:rPr>
        <w:t> </w:t>
      </w:r>
      <w:r>
        <w:rPr>
          <w:vertAlign w:val="baseline"/>
        </w:rPr>
        <w:t>by</w:t>
      </w:r>
      <w:r>
        <w:rPr>
          <w:spacing w:val="1"/>
          <w:vertAlign w:val="baseline"/>
        </w:rPr>
        <w:t> </w:t>
      </w:r>
      <w:r>
        <w:rPr>
          <w:vertAlign w:val="baseline"/>
        </w:rPr>
        <w:t>the</w:t>
      </w:r>
      <w:r>
        <w:rPr>
          <w:spacing w:val="2"/>
          <w:vertAlign w:val="baseline"/>
        </w:rPr>
        <w:t> </w:t>
      </w:r>
      <w:r>
        <w:rPr>
          <w:vertAlign w:val="baseline"/>
        </w:rPr>
        <w:t>manufacturer.</w:t>
      </w:r>
      <w:r>
        <w:rPr>
          <w:spacing w:val="1"/>
          <w:vertAlign w:val="baseline"/>
        </w:rPr>
        <w:t> </w:t>
      </w:r>
      <w:r>
        <w:rPr>
          <w:vertAlign w:val="baseline"/>
        </w:rPr>
        <w:t>Creams</w:t>
      </w:r>
      <w:r>
        <w:rPr>
          <w:spacing w:val="5"/>
          <w:vertAlign w:val="baseline"/>
        </w:rPr>
        <w:t> </w:t>
      </w:r>
      <w:r>
        <w:rPr>
          <w:vertAlign w:val="baseline"/>
        </w:rPr>
        <w:t>with</w:t>
      </w:r>
      <w:r>
        <w:rPr>
          <w:spacing w:val="5"/>
          <w:vertAlign w:val="baseline"/>
        </w:rPr>
        <w:t> </w:t>
      </w:r>
      <w:r>
        <w:rPr>
          <w:vertAlign w:val="baseline"/>
        </w:rPr>
        <w:t>less</w:t>
      </w:r>
      <w:r>
        <w:rPr>
          <w:spacing w:val="6"/>
          <w:vertAlign w:val="baseline"/>
        </w:rPr>
        <w:t> </w:t>
      </w:r>
      <w:r>
        <w:rPr>
          <w:vertAlign w:val="baseline"/>
        </w:rPr>
        <w:t>than</w:t>
      </w:r>
      <w:r>
        <w:rPr>
          <w:spacing w:val="5"/>
          <w:vertAlign w:val="baseline"/>
        </w:rPr>
        <w:t> </w:t>
      </w:r>
      <w:r>
        <w:rPr>
          <w:vertAlign w:val="baseline"/>
        </w:rPr>
        <w:t>0.016%</w:t>
      </w:r>
      <w:r>
        <w:rPr>
          <w:spacing w:val="5"/>
          <w:vertAlign w:val="baseline"/>
        </w:rPr>
        <w:t> </w:t>
      </w:r>
      <w:r>
        <w:rPr>
          <w:vertAlign w:val="baseline"/>
        </w:rPr>
        <w:t>progesterone</w:t>
      </w:r>
      <w:r>
        <w:rPr>
          <w:spacing w:val="6"/>
          <w:vertAlign w:val="baseline"/>
        </w:rPr>
        <w:t> </w:t>
      </w:r>
      <w:r>
        <w:rPr>
          <w:spacing w:val="-5"/>
          <w:vertAlign w:val="baseline"/>
        </w:rPr>
        <w:t>can</w:t>
      </w:r>
    </w:p>
    <w:p>
      <w:pPr>
        <w:pStyle w:val="BodyText"/>
        <w:spacing w:after="0" w:line="249" w:lineRule="auto"/>
        <w:sectPr>
          <w:pgSz w:w="12240" w:h="15840"/>
          <w:pgMar w:top="1380" w:bottom="280" w:left="1440" w:right="1440"/>
        </w:sectPr>
      </w:pPr>
    </w:p>
    <w:p>
      <w:pPr>
        <w:pStyle w:val="BodyText"/>
        <w:spacing w:line="249" w:lineRule="auto"/>
        <w:ind w:right="107"/>
      </w:pPr>
      <w:r>
        <w:rPr/>
        <w:t>be sold over the counter. There is no evidence to indicate that </w:t>
      </w:r>
      <w:r>
        <w:rPr/>
        <w:t>these preparations produce systemic effects.</w:t>
      </w:r>
    </w:p>
    <w:p>
      <w:pPr>
        <w:pStyle w:val="BodyText"/>
        <w:spacing w:line="249" w:lineRule="auto" w:before="2"/>
        <w:ind w:right="104" w:firstLine="450"/>
      </w:pPr>
      <w:r>
        <w:rPr/>
        <w:t>Better</w:t>
      </w:r>
      <w:r>
        <w:rPr>
          <w:spacing w:val="-4"/>
        </w:rPr>
        <w:t> </w:t>
      </w:r>
      <w:r>
        <w:rPr/>
        <w:t>absorption</w:t>
      </w:r>
      <w:r>
        <w:rPr>
          <w:spacing w:val="-4"/>
        </w:rPr>
        <w:t> </w:t>
      </w:r>
      <w:r>
        <w:rPr/>
        <w:t>is</w:t>
      </w:r>
      <w:r>
        <w:rPr>
          <w:spacing w:val="-4"/>
        </w:rPr>
        <w:t> </w:t>
      </w:r>
      <w:r>
        <w:rPr/>
        <w:t>provided</w:t>
      </w:r>
      <w:r>
        <w:rPr>
          <w:spacing w:val="-4"/>
        </w:rPr>
        <w:t> </w:t>
      </w:r>
      <w:r>
        <w:rPr/>
        <w:t>by</w:t>
      </w:r>
      <w:r>
        <w:rPr>
          <w:spacing w:val="-4"/>
        </w:rPr>
        <w:t> </w:t>
      </w:r>
      <w:r>
        <w:rPr/>
        <w:t>progesterone</w:t>
      </w:r>
      <w:r>
        <w:rPr>
          <w:spacing w:val="-4"/>
        </w:rPr>
        <w:t> </w:t>
      </w:r>
      <w:r>
        <w:rPr/>
        <w:t>gels,</w:t>
      </w:r>
      <w:r>
        <w:rPr>
          <w:spacing w:val="-4"/>
        </w:rPr>
        <w:t> </w:t>
      </w:r>
      <w:r>
        <w:rPr/>
        <w:t>an</w:t>
      </w:r>
      <w:r>
        <w:rPr>
          <w:spacing w:val="-4"/>
        </w:rPr>
        <w:t> </w:t>
      </w:r>
      <w:r>
        <w:rPr/>
        <w:t>alcoholic</w:t>
      </w:r>
      <w:r>
        <w:rPr>
          <w:spacing w:val="-4"/>
        </w:rPr>
        <w:t> </w:t>
      </w:r>
      <w:r>
        <w:rPr/>
        <w:t>solution with hydroxypropyl methylcellulose and water.</w:t>
      </w:r>
      <w:r>
        <w:rPr>
          <w:vertAlign w:val="superscript"/>
        </w:rPr>
        <w:t>509</w:t>
      </w:r>
      <w:r>
        <w:rPr>
          <w:vertAlign w:val="baseline"/>
        </w:rPr>
        <w:t> With a 100-mg dose of a progesterone gel, serum progesterone levels are well into the luteal phase range, but clinical use awaits studies documenting the impact on the </w:t>
      </w:r>
      <w:r>
        <w:rPr>
          <w:spacing w:val="-2"/>
          <w:vertAlign w:val="baseline"/>
        </w:rPr>
        <w:t>endometrium.</w:t>
      </w:r>
      <w:r>
        <w:rPr>
          <w:spacing w:val="-2"/>
          <w:vertAlign w:val="superscript"/>
        </w:rPr>
        <w:t>530</w:t>
      </w:r>
    </w:p>
    <w:p>
      <w:pPr>
        <w:spacing w:line="249" w:lineRule="auto" w:before="6"/>
        <w:ind w:left="99" w:right="98" w:firstLine="450"/>
        <w:jc w:val="both"/>
        <w:rPr>
          <w:b/>
          <w:sz w:val="30"/>
        </w:rPr>
      </w:pPr>
      <w:r>
        <w:rPr>
          <w:b/>
          <w:sz w:val="30"/>
        </w:rPr>
        <w:t>Clinicians and patients should be aware that transdermal progesterone cream will not reduce hot flashes more than a placebo response, but most importantly, this treatment will not protect the endometrium against the risk of endometrial cancer associated with </w:t>
      </w:r>
      <w:r>
        <w:rPr>
          <w:b/>
          <w:spacing w:val="-4"/>
          <w:sz w:val="30"/>
        </w:rPr>
        <w:t>ET.</w:t>
      </w:r>
    </w:p>
    <w:p>
      <w:pPr>
        <w:pStyle w:val="BodyText"/>
        <w:spacing w:line="249" w:lineRule="auto" w:before="6"/>
        <w:ind w:right="98" w:firstLine="450"/>
      </w:pPr>
      <w:r>
        <w:rPr/>
        <w:t>Lastly, for women with VMS, additional nonpharmacologic </w:t>
      </w:r>
      <w:r>
        <w:rPr/>
        <w:t>options include environmental and lifestyle changes. Remaining in a cool environment and weight loss have been shown to decrease the number of hot flushes. Complementary and alternative medicine can also be</w:t>
      </w:r>
      <w:r>
        <w:rPr>
          <w:spacing w:val="40"/>
        </w:rPr>
        <w:t> </w:t>
      </w:r>
      <w:r>
        <w:rPr/>
        <w:t>attempted; however, treatments with dong quai, ginseng, black cohosh, isoflavones (including soy protein), yoga, and acupuncture with placebo </w:t>
      </w:r>
      <w:r>
        <w:rPr>
          <w:spacing w:val="-2"/>
        </w:rPr>
        <w:t>treatment.</w:t>
      </w:r>
      <w:r>
        <w:rPr>
          <w:spacing w:val="-2"/>
          <w:vertAlign w:val="superscript"/>
        </w:rPr>
        <w:t>352-362</w:t>
      </w:r>
    </w:p>
    <w:p>
      <w:pPr>
        <w:pStyle w:val="BodyText"/>
        <w:spacing w:before="0"/>
        <w:ind w:left="0"/>
        <w:jc w:val="left"/>
        <w:rPr>
          <w:sz w:val="20"/>
        </w:rPr>
      </w:pPr>
    </w:p>
    <w:p>
      <w:pPr>
        <w:pStyle w:val="BodyText"/>
        <w:spacing w:before="120"/>
        <w:ind w:left="0"/>
        <w:jc w:val="left"/>
        <w:rPr>
          <w:sz w:val="20"/>
        </w:rPr>
      </w:pPr>
      <w:r>
        <w:rPr>
          <w:sz w:val="20"/>
        </w:rPr>
        <mc:AlternateContent>
          <mc:Choice Requires="wps">
            <w:drawing>
              <wp:anchor distT="0" distB="0" distL="0" distR="0" allowOverlap="1" layoutInCell="1" locked="0" behindDoc="1" simplePos="0" relativeHeight="487642112">
                <wp:simplePos x="0" y="0"/>
                <wp:positionH relativeFrom="page">
                  <wp:posOffset>981075</wp:posOffset>
                </wp:positionH>
                <wp:positionV relativeFrom="paragraph">
                  <wp:posOffset>237778</wp:posOffset>
                </wp:positionV>
                <wp:extent cx="5810250" cy="285750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810250" cy="2857500"/>
                          <a:chExt cx="5810250" cy="2857500"/>
                        </a:xfrm>
                      </wpg:grpSpPr>
                      <wps:wsp>
                        <wps:cNvPr id="171" name="Graphic 171"/>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172" name="Graphic 172"/>
                        <wps:cNvSpPr/>
                        <wps:spPr>
                          <a:xfrm>
                            <a:off x="0" y="742949"/>
                            <a:ext cx="5810250" cy="2114550"/>
                          </a:xfrm>
                          <a:custGeom>
                            <a:avLst/>
                            <a:gdLst/>
                            <a:ahLst/>
                            <a:cxnLst/>
                            <a:rect l="l" t="t" r="r" b="b"/>
                            <a:pathLst>
                              <a:path w="5810250" h="2114550">
                                <a:moveTo>
                                  <a:pt x="0" y="2114549"/>
                                </a:moveTo>
                                <a:lnTo>
                                  <a:pt x="5810249" y="2114549"/>
                                </a:lnTo>
                                <a:lnTo>
                                  <a:pt x="5810249" y="0"/>
                                </a:lnTo>
                                <a:lnTo>
                                  <a:pt x="0" y="0"/>
                                </a:lnTo>
                                <a:lnTo>
                                  <a:pt x="0" y="2114549"/>
                                </a:lnTo>
                                <a:close/>
                              </a:path>
                            </a:pathLst>
                          </a:custGeom>
                          <a:solidFill>
                            <a:srgbClr val="E9F1CD"/>
                          </a:solidFill>
                        </wps:spPr>
                        <wps:bodyPr wrap="square" lIns="0" tIns="0" rIns="0" bIns="0" rtlCol="0">
                          <a:prstTxWarp prst="textNoShape">
                            <a:avLst/>
                          </a:prstTxWarp>
                          <a:noAutofit/>
                        </wps:bodyPr>
                      </wps:wsp>
                      <wps:wsp>
                        <wps:cNvPr id="173" name="Graphic 173"/>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74" name="Graphic 174"/>
                        <wps:cNvSpPr/>
                        <wps:spPr>
                          <a:xfrm>
                            <a:off x="209549" y="228626"/>
                            <a:ext cx="371475" cy="57150"/>
                          </a:xfrm>
                          <a:custGeom>
                            <a:avLst/>
                            <a:gdLst/>
                            <a:ahLst/>
                            <a:cxnLst/>
                            <a:rect l="l" t="t" r="r" b="b"/>
                            <a:pathLst>
                              <a:path w="371475" h="57150">
                                <a:moveTo>
                                  <a:pt x="32364" y="57073"/>
                                </a:moveTo>
                                <a:lnTo>
                                  <a:pt x="24785" y="57073"/>
                                </a:lnTo>
                                <a:lnTo>
                                  <a:pt x="21140" y="56330"/>
                                </a:lnTo>
                                <a:lnTo>
                                  <a:pt x="0" y="32299"/>
                                </a:lnTo>
                                <a:lnTo>
                                  <a:pt x="0" y="24784"/>
                                </a:lnTo>
                                <a:lnTo>
                                  <a:pt x="725" y="21059"/>
                                </a:lnTo>
                                <a:lnTo>
                                  <a:pt x="3625" y="14068"/>
                                </a:lnTo>
                                <a:lnTo>
                                  <a:pt x="5689" y="10934"/>
                                </a:lnTo>
                                <a:lnTo>
                                  <a:pt x="8369" y="8334"/>
                                </a:lnTo>
                                <a:lnTo>
                                  <a:pt x="11048" y="5657"/>
                                </a:lnTo>
                                <a:lnTo>
                                  <a:pt x="14138" y="3571"/>
                                </a:lnTo>
                                <a:lnTo>
                                  <a:pt x="21140" y="742"/>
                                </a:lnTo>
                                <a:lnTo>
                                  <a:pt x="24785" y="0"/>
                                </a:lnTo>
                                <a:lnTo>
                                  <a:pt x="32364" y="0"/>
                                </a:lnTo>
                                <a:lnTo>
                                  <a:pt x="36009" y="742"/>
                                </a:lnTo>
                                <a:lnTo>
                                  <a:pt x="43011" y="3571"/>
                                </a:lnTo>
                                <a:lnTo>
                                  <a:pt x="46101" y="5657"/>
                                </a:lnTo>
                                <a:lnTo>
                                  <a:pt x="48780" y="8334"/>
                                </a:lnTo>
                                <a:lnTo>
                                  <a:pt x="51459" y="10934"/>
                                </a:lnTo>
                                <a:lnTo>
                                  <a:pt x="53524" y="14068"/>
                                </a:lnTo>
                                <a:lnTo>
                                  <a:pt x="56424" y="21059"/>
                                </a:lnTo>
                                <a:lnTo>
                                  <a:pt x="57149" y="24784"/>
                                </a:lnTo>
                                <a:lnTo>
                                  <a:pt x="57149" y="32299"/>
                                </a:lnTo>
                                <a:lnTo>
                                  <a:pt x="36009" y="56330"/>
                                </a:lnTo>
                                <a:lnTo>
                                  <a:pt x="32364" y="57073"/>
                                </a:lnTo>
                                <a:close/>
                              </a:path>
                              <a:path w="371475" h="57150">
                                <a:moveTo>
                                  <a:pt x="137044" y="57073"/>
                                </a:moveTo>
                                <a:lnTo>
                                  <a:pt x="129465" y="57073"/>
                                </a:lnTo>
                                <a:lnTo>
                                  <a:pt x="125820" y="56330"/>
                                </a:lnTo>
                                <a:lnTo>
                                  <a:pt x="104679" y="32299"/>
                                </a:lnTo>
                                <a:lnTo>
                                  <a:pt x="104679" y="24784"/>
                                </a:lnTo>
                                <a:lnTo>
                                  <a:pt x="105404" y="21059"/>
                                </a:lnTo>
                                <a:lnTo>
                                  <a:pt x="108304" y="14068"/>
                                </a:lnTo>
                                <a:lnTo>
                                  <a:pt x="110369" y="10934"/>
                                </a:lnTo>
                                <a:lnTo>
                                  <a:pt x="113049" y="8334"/>
                                </a:lnTo>
                                <a:lnTo>
                                  <a:pt x="115728" y="5657"/>
                                </a:lnTo>
                                <a:lnTo>
                                  <a:pt x="118818" y="3571"/>
                                </a:lnTo>
                                <a:lnTo>
                                  <a:pt x="125820" y="742"/>
                                </a:lnTo>
                                <a:lnTo>
                                  <a:pt x="129465" y="0"/>
                                </a:lnTo>
                                <a:lnTo>
                                  <a:pt x="137044" y="0"/>
                                </a:lnTo>
                                <a:lnTo>
                                  <a:pt x="140689" y="742"/>
                                </a:lnTo>
                                <a:lnTo>
                                  <a:pt x="147690" y="3571"/>
                                </a:lnTo>
                                <a:lnTo>
                                  <a:pt x="150780" y="5657"/>
                                </a:lnTo>
                                <a:lnTo>
                                  <a:pt x="153460" y="8334"/>
                                </a:lnTo>
                                <a:lnTo>
                                  <a:pt x="156139" y="10934"/>
                                </a:lnTo>
                                <a:lnTo>
                                  <a:pt x="158204" y="14068"/>
                                </a:lnTo>
                                <a:lnTo>
                                  <a:pt x="161104" y="21059"/>
                                </a:lnTo>
                                <a:lnTo>
                                  <a:pt x="161829" y="24784"/>
                                </a:lnTo>
                                <a:lnTo>
                                  <a:pt x="161829" y="32299"/>
                                </a:lnTo>
                                <a:lnTo>
                                  <a:pt x="140689" y="56330"/>
                                </a:lnTo>
                                <a:lnTo>
                                  <a:pt x="137044" y="57073"/>
                                </a:lnTo>
                                <a:close/>
                              </a:path>
                              <a:path w="371475" h="57150">
                                <a:moveTo>
                                  <a:pt x="241723" y="57073"/>
                                </a:moveTo>
                                <a:lnTo>
                                  <a:pt x="234145" y="57073"/>
                                </a:lnTo>
                                <a:lnTo>
                                  <a:pt x="230500" y="56330"/>
                                </a:lnTo>
                                <a:lnTo>
                                  <a:pt x="209359" y="32299"/>
                                </a:lnTo>
                                <a:lnTo>
                                  <a:pt x="209359" y="24784"/>
                                </a:lnTo>
                                <a:lnTo>
                                  <a:pt x="210084" y="21059"/>
                                </a:lnTo>
                                <a:lnTo>
                                  <a:pt x="212984" y="14068"/>
                                </a:lnTo>
                                <a:lnTo>
                                  <a:pt x="215049" y="10934"/>
                                </a:lnTo>
                                <a:lnTo>
                                  <a:pt x="217728" y="8334"/>
                                </a:lnTo>
                                <a:lnTo>
                                  <a:pt x="220408" y="5657"/>
                                </a:lnTo>
                                <a:lnTo>
                                  <a:pt x="223498" y="3571"/>
                                </a:lnTo>
                                <a:lnTo>
                                  <a:pt x="230500" y="742"/>
                                </a:lnTo>
                                <a:lnTo>
                                  <a:pt x="234145" y="0"/>
                                </a:lnTo>
                                <a:lnTo>
                                  <a:pt x="241723" y="0"/>
                                </a:lnTo>
                                <a:lnTo>
                                  <a:pt x="245368" y="742"/>
                                </a:lnTo>
                                <a:lnTo>
                                  <a:pt x="252370" y="3571"/>
                                </a:lnTo>
                                <a:lnTo>
                                  <a:pt x="255460" y="5657"/>
                                </a:lnTo>
                                <a:lnTo>
                                  <a:pt x="258140" y="8334"/>
                                </a:lnTo>
                                <a:lnTo>
                                  <a:pt x="260819" y="10934"/>
                                </a:lnTo>
                                <a:lnTo>
                                  <a:pt x="262884" y="14068"/>
                                </a:lnTo>
                                <a:lnTo>
                                  <a:pt x="265784" y="21059"/>
                                </a:lnTo>
                                <a:lnTo>
                                  <a:pt x="266509" y="24784"/>
                                </a:lnTo>
                                <a:lnTo>
                                  <a:pt x="266509" y="32299"/>
                                </a:lnTo>
                                <a:lnTo>
                                  <a:pt x="245368" y="56330"/>
                                </a:lnTo>
                                <a:lnTo>
                                  <a:pt x="241723" y="57073"/>
                                </a:lnTo>
                                <a:close/>
                              </a:path>
                              <a:path w="371475" h="57150">
                                <a:moveTo>
                                  <a:pt x="346403" y="57073"/>
                                </a:moveTo>
                                <a:lnTo>
                                  <a:pt x="338824" y="57073"/>
                                </a:lnTo>
                                <a:lnTo>
                                  <a:pt x="335179" y="56330"/>
                                </a:lnTo>
                                <a:lnTo>
                                  <a:pt x="314039" y="32299"/>
                                </a:lnTo>
                                <a:lnTo>
                                  <a:pt x="314039" y="24784"/>
                                </a:lnTo>
                                <a:lnTo>
                                  <a:pt x="314764" y="21059"/>
                                </a:lnTo>
                                <a:lnTo>
                                  <a:pt x="317664" y="14068"/>
                                </a:lnTo>
                                <a:lnTo>
                                  <a:pt x="319729" y="10934"/>
                                </a:lnTo>
                                <a:lnTo>
                                  <a:pt x="322408" y="8334"/>
                                </a:lnTo>
                                <a:lnTo>
                                  <a:pt x="325088" y="5657"/>
                                </a:lnTo>
                                <a:lnTo>
                                  <a:pt x="328178" y="3571"/>
                                </a:lnTo>
                                <a:lnTo>
                                  <a:pt x="335179" y="742"/>
                                </a:lnTo>
                                <a:lnTo>
                                  <a:pt x="338824" y="0"/>
                                </a:lnTo>
                                <a:lnTo>
                                  <a:pt x="346403" y="0"/>
                                </a:lnTo>
                                <a:lnTo>
                                  <a:pt x="350048" y="742"/>
                                </a:lnTo>
                                <a:lnTo>
                                  <a:pt x="357050" y="3571"/>
                                </a:lnTo>
                                <a:lnTo>
                                  <a:pt x="360140" y="5657"/>
                                </a:lnTo>
                                <a:lnTo>
                                  <a:pt x="362819" y="8334"/>
                                </a:lnTo>
                                <a:lnTo>
                                  <a:pt x="365499" y="10934"/>
                                </a:lnTo>
                                <a:lnTo>
                                  <a:pt x="367563" y="14068"/>
                                </a:lnTo>
                                <a:lnTo>
                                  <a:pt x="370464" y="21059"/>
                                </a:lnTo>
                                <a:lnTo>
                                  <a:pt x="371189" y="24784"/>
                                </a:lnTo>
                                <a:lnTo>
                                  <a:pt x="371189" y="32299"/>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175" name="Graphic 175"/>
                        <wps:cNvSpPr/>
                        <wps:spPr>
                          <a:xfrm>
                            <a:off x="133337" y="1000126"/>
                            <a:ext cx="47625" cy="1419225"/>
                          </a:xfrm>
                          <a:custGeom>
                            <a:avLst/>
                            <a:gdLst/>
                            <a:ahLst/>
                            <a:cxnLst/>
                            <a:rect l="l" t="t" r="r" b="b"/>
                            <a:pathLst>
                              <a:path w="47625" h="1419225">
                                <a:moveTo>
                                  <a:pt x="47625" y="1392212"/>
                                </a:moveTo>
                                <a:lnTo>
                                  <a:pt x="26974" y="1371600"/>
                                </a:lnTo>
                                <a:lnTo>
                                  <a:pt x="20662" y="1371600"/>
                                </a:lnTo>
                                <a:lnTo>
                                  <a:pt x="0" y="1392212"/>
                                </a:lnTo>
                                <a:lnTo>
                                  <a:pt x="0" y="1398536"/>
                                </a:lnTo>
                                <a:lnTo>
                                  <a:pt x="23812" y="1419225"/>
                                </a:lnTo>
                                <a:lnTo>
                                  <a:pt x="26974" y="1419148"/>
                                </a:lnTo>
                                <a:lnTo>
                                  <a:pt x="47625" y="1398536"/>
                                </a:lnTo>
                                <a:lnTo>
                                  <a:pt x="47625" y="1395412"/>
                                </a:lnTo>
                                <a:lnTo>
                                  <a:pt x="47625" y="1392212"/>
                                </a:lnTo>
                                <a:close/>
                              </a:path>
                              <a:path w="47625" h="1419225">
                                <a:moveTo>
                                  <a:pt x="47625" y="877862"/>
                                </a:moveTo>
                                <a:lnTo>
                                  <a:pt x="26974" y="857250"/>
                                </a:lnTo>
                                <a:lnTo>
                                  <a:pt x="20662" y="857250"/>
                                </a:lnTo>
                                <a:lnTo>
                                  <a:pt x="0" y="877862"/>
                                </a:lnTo>
                                <a:lnTo>
                                  <a:pt x="0" y="884186"/>
                                </a:lnTo>
                                <a:lnTo>
                                  <a:pt x="23812" y="904875"/>
                                </a:lnTo>
                                <a:lnTo>
                                  <a:pt x="26974" y="904798"/>
                                </a:lnTo>
                                <a:lnTo>
                                  <a:pt x="47625" y="884186"/>
                                </a:lnTo>
                                <a:lnTo>
                                  <a:pt x="47625" y="881062"/>
                                </a:lnTo>
                                <a:lnTo>
                                  <a:pt x="47625" y="877862"/>
                                </a:lnTo>
                                <a:close/>
                              </a:path>
                              <a:path w="47625" h="1419225">
                                <a:moveTo>
                                  <a:pt x="47625" y="534962"/>
                                </a:moveTo>
                                <a:lnTo>
                                  <a:pt x="47028" y="531837"/>
                                </a:lnTo>
                                <a:lnTo>
                                  <a:pt x="44615" y="526034"/>
                                </a:lnTo>
                                <a:lnTo>
                                  <a:pt x="42887" y="523430"/>
                                </a:lnTo>
                                <a:lnTo>
                                  <a:pt x="40652" y="521271"/>
                                </a:lnTo>
                                <a:lnTo>
                                  <a:pt x="38430" y="518960"/>
                                </a:lnTo>
                                <a:lnTo>
                                  <a:pt x="35852" y="517258"/>
                                </a:lnTo>
                                <a:lnTo>
                                  <a:pt x="30010" y="514946"/>
                                </a:lnTo>
                                <a:lnTo>
                                  <a:pt x="26974" y="514350"/>
                                </a:lnTo>
                                <a:lnTo>
                                  <a:pt x="20662" y="514350"/>
                                </a:lnTo>
                                <a:lnTo>
                                  <a:pt x="17627" y="514946"/>
                                </a:lnTo>
                                <a:lnTo>
                                  <a:pt x="11785" y="517258"/>
                                </a:lnTo>
                                <a:lnTo>
                                  <a:pt x="9207" y="518960"/>
                                </a:lnTo>
                                <a:lnTo>
                                  <a:pt x="6985" y="521271"/>
                                </a:lnTo>
                                <a:lnTo>
                                  <a:pt x="4749" y="523430"/>
                                </a:lnTo>
                                <a:lnTo>
                                  <a:pt x="3022" y="526034"/>
                                </a:lnTo>
                                <a:lnTo>
                                  <a:pt x="609" y="531837"/>
                                </a:lnTo>
                                <a:lnTo>
                                  <a:pt x="0" y="534962"/>
                                </a:lnTo>
                                <a:lnTo>
                                  <a:pt x="0" y="541210"/>
                                </a:lnTo>
                                <a:lnTo>
                                  <a:pt x="23812" y="561975"/>
                                </a:lnTo>
                                <a:lnTo>
                                  <a:pt x="26974" y="561898"/>
                                </a:lnTo>
                                <a:lnTo>
                                  <a:pt x="47625" y="541210"/>
                                </a:lnTo>
                                <a:lnTo>
                                  <a:pt x="47625" y="538162"/>
                                </a:lnTo>
                                <a:lnTo>
                                  <a:pt x="47625" y="534962"/>
                                </a:lnTo>
                                <a:close/>
                              </a:path>
                              <a:path w="47625" h="1419225">
                                <a:moveTo>
                                  <a:pt x="47625" y="192062"/>
                                </a:moveTo>
                                <a:lnTo>
                                  <a:pt x="47028" y="189014"/>
                                </a:lnTo>
                                <a:lnTo>
                                  <a:pt x="44615" y="183210"/>
                                </a:lnTo>
                                <a:lnTo>
                                  <a:pt x="42887" y="180606"/>
                                </a:lnTo>
                                <a:lnTo>
                                  <a:pt x="40652" y="178447"/>
                                </a:lnTo>
                                <a:lnTo>
                                  <a:pt x="38430" y="176136"/>
                                </a:lnTo>
                                <a:lnTo>
                                  <a:pt x="35852" y="174434"/>
                                </a:lnTo>
                                <a:lnTo>
                                  <a:pt x="32931" y="173164"/>
                                </a:lnTo>
                                <a:lnTo>
                                  <a:pt x="30010" y="172046"/>
                                </a:lnTo>
                                <a:lnTo>
                                  <a:pt x="26974" y="171450"/>
                                </a:lnTo>
                                <a:lnTo>
                                  <a:pt x="20662" y="171450"/>
                                </a:lnTo>
                                <a:lnTo>
                                  <a:pt x="6985" y="178447"/>
                                </a:lnTo>
                                <a:lnTo>
                                  <a:pt x="4749" y="180606"/>
                                </a:lnTo>
                                <a:lnTo>
                                  <a:pt x="3022" y="183210"/>
                                </a:lnTo>
                                <a:lnTo>
                                  <a:pt x="609" y="189014"/>
                                </a:lnTo>
                                <a:lnTo>
                                  <a:pt x="0" y="192062"/>
                                </a:lnTo>
                                <a:lnTo>
                                  <a:pt x="0" y="198386"/>
                                </a:lnTo>
                                <a:lnTo>
                                  <a:pt x="20662" y="219075"/>
                                </a:lnTo>
                                <a:lnTo>
                                  <a:pt x="26974" y="219075"/>
                                </a:lnTo>
                                <a:lnTo>
                                  <a:pt x="47625" y="198386"/>
                                </a:lnTo>
                                <a:lnTo>
                                  <a:pt x="47625" y="195262"/>
                                </a:lnTo>
                                <a:lnTo>
                                  <a:pt x="47625" y="192062"/>
                                </a:lnTo>
                                <a:close/>
                              </a:path>
                              <a:path w="47625" h="1419225">
                                <a:moveTo>
                                  <a:pt x="47625" y="20612"/>
                                </a:moveTo>
                                <a:lnTo>
                                  <a:pt x="26974" y="0"/>
                                </a:lnTo>
                                <a:lnTo>
                                  <a:pt x="20662" y="0"/>
                                </a:lnTo>
                                <a:lnTo>
                                  <a:pt x="0" y="20612"/>
                                </a:lnTo>
                                <a:lnTo>
                                  <a:pt x="0" y="26936"/>
                                </a:lnTo>
                                <a:lnTo>
                                  <a:pt x="23812" y="47625"/>
                                </a:lnTo>
                                <a:lnTo>
                                  <a:pt x="26974" y="47548"/>
                                </a:lnTo>
                                <a:lnTo>
                                  <a:pt x="47625" y="26936"/>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176" name="Textbox 176"/>
                        <wps:cNvSpPr txBox="1"/>
                        <wps:spPr>
                          <a:xfrm>
                            <a:off x="0" y="742949"/>
                            <a:ext cx="5810250" cy="2114550"/>
                          </a:xfrm>
                          <a:prstGeom prst="rect">
                            <a:avLst/>
                          </a:prstGeom>
                        </wps:spPr>
                        <wps:txbx>
                          <w:txbxContent>
                            <w:p>
                              <w:pPr>
                                <w:spacing w:line="240" w:lineRule="auto" w:before="51"/>
                                <w:rPr>
                                  <w:sz w:val="22"/>
                                </w:rPr>
                              </w:pPr>
                            </w:p>
                            <w:p>
                              <w:pPr>
                                <w:spacing w:before="0"/>
                                <w:ind w:left="444" w:right="0" w:firstLine="0"/>
                                <w:jc w:val="both"/>
                                <w:rPr>
                                  <w:sz w:val="22"/>
                                </w:rPr>
                              </w:pPr>
                              <w:r>
                                <w:rPr>
                                  <w:sz w:val="22"/>
                                </w:rPr>
                                <w:t>HT</w:t>
                              </w:r>
                              <w:r>
                                <w:rPr>
                                  <w:spacing w:val="11"/>
                                  <w:sz w:val="22"/>
                                </w:rPr>
                                <w:t> </w:t>
                              </w:r>
                              <w:r>
                                <w:rPr>
                                  <w:sz w:val="22"/>
                                </w:rPr>
                                <w:t>remains</w:t>
                              </w:r>
                              <w:r>
                                <w:rPr>
                                  <w:spacing w:val="12"/>
                                  <w:sz w:val="22"/>
                                </w:rPr>
                                <w:t> </w:t>
                              </w:r>
                              <w:r>
                                <w:rPr>
                                  <w:sz w:val="22"/>
                                </w:rPr>
                                <w:t>the</w:t>
                              </w:r>
                              <w:r>
                                <w:rPr>
                                  <w:spacing w:val="12"/>
                                  <w:sz w:val="22"/>
                                </w:rPr>
                                <w:t> </w:t>
                              </w:r>
                              <w:r>
                                <w:rPr>
                                  <w:sz w:val="22"/>
                                </w:rPr>
                                <w:t>most</w:t>
                              </w:r>
                              <w:r>
                                <w:rPr>
                                  <w:spacing w:val="12"/>
                                  <w:sz w:val="22"/>
                                </w:rPr>
                                <w:t> </w:t>
                              </w:r>
                              <w:r>
                                <w:rPr>
                                  <w:sz w:val="22"/>
                                </w:rPr>
                                <w:t>effective</w:t>
                              </w:r>
                              <w:r>
                                <w:rPr>
                                  <w:spacing w:val="11"/>
                                  <w:sz w:val="22"/>
                                </w:rPr>
                                <w:t> </w:t>
                              </w:r>
                              <w:r>
                                <w:rPr>
                                  <w:sz w:val="22"/>
                                </w:rPr>
                                <w:t>of</w:t>
                              </w:r>
                              <w:r>
                                <w:rPr>
                                  <w:spacing w:val="12"/>
                                  <w:sz w:val="22"/>
                                </w:rPr>
                                <w:t> </w:t>
                              </w:r>
                              <w:r>
                                <w:rPr>
                                  <w:sz w:val="22"/>
                                </w:rPr>
                                <w:t>available</w:t>
                              </w:r>
                              <w:r>
                                <w:rPr>
                                  <w:spacing w:val="12"/>
                                  <w:sz w:val="22"/>
                                </w:rPr>
                                <w:t> </w:t>
                              </w:r>
                              <w:r>
                                <w:rPr>
                                  <w:sz w:val="22"/>
                                </w:rPr>
                                <w:t>therapeutic</w:t>
                              </w:r>
                              <w:r>
                                <w:rPr>
                                  <w:spacing w:val="12"/>
                                  <w:sz w:val="22"/>
                                </w:rPr>
                                <w:t> </w:t>
                              </w:r>
                              <w:r>
                                <w:rPr>
                                  <w:sz w:val="22"/>
                                </w:rPr>
                                <w:t>options</w:t>
                              </w:r>
                              <w:r>
                                <w:rPr>
                                  <w:spacing w:val="12"/>
                                  <w:sz w:val="22"/>
                                </w:rPr>
                                <w:t> </w:t>
                              </w:r>
                              <w:r>
                                <w:rPr>
                                  <w:sz w:val="22"/>
                                </w:rPr>
                                <w:t>for</w:t>
                              </w:r>
                              <w:r>
                                <w:rPr>
                                  <w:spacing w:val="11"/>
                                  <w:sz w:val="22"/>
                                </w:rPr>
                                <w:t> </w:t>
                              </w:r>
                              <w:r>
                                <w:rPr>
                                  <w:sz w:val="22"/>
                                </w:rPr>
                                <w:t>managing</w:t>
                              </w:r>
                              <w:r>
                                <w:rPr>
                                  <w:spacing w:val="12"/>
                                  <w:sz w:val="22"/>
                                </w:rPr>
                                <w:t> </w:t>
                              </w:r>
                              <w:r>
                                <w:rPr>
                                  <w:spacing w:val="-4"/>
                                  <w:sz w:val="22"/>
                                </w:rPr>
                                <w:t>VMS.</w:t>
                              </w:r>
                            </w:p>
                            <w:p>
                              <w:pPr>
                                <w:spacing w:line="256" w:lineRule="auto" w:before="17"/>
                                <w:ind w:left="444" w:right="746" w:firstLine="0"/>
                                <w:jc w:val="both"/>
                                <w:rPr>
                                  <w:sz w:val="22"/>
                                </w:rPr>
                              </w:pPr>
                              <w:r>
                                <w:rPr>
                                  <w:sz w:val="22"/>
                                </w:rPr>
                                <w:t>In patients in whom HT is contraindicated, nonhormonal pharmaceuticals can </w:t>
                              </w:r>
                              <w:r>
                                <w:rPr>
                                  <w:sz w:val="22"/>
                                </w:rPr>
                                <w:t>be</w:t>
                              </w:r>
                              <w:r>
                                <w:rPr>
                                  <w:spacing w:val="80"/>
                                  <w:sz w:val="22"/>
                                </w:rPr>
                                <w:t> </w:t>
                              </w:r>
                              <w:r>
                                <w:rPr>
                                  <w:sz w:val="22"/>
                                </w:rPr>
                                <w:t>effective against VMS.</w:t>
                              </w:r>
                            </w:p>
                            <w:p>
                              <w:pPr>
                                <w:spacing w:line="256" w:lineRule="auto" w:before="0"/>
                                <w:ind w:left="444" w:right="753" w:firstLine="0"/>
                                <w:jc w:val="both"/>
                                <w:rPr>
                                  <w:sz w:val="22"/>
                                </w:rPr>
                              </w:pPr>
                              <w:r>
                                <w:rPr>
                                  <w:sz w:val="22"/>
                                </w:rPr>
                                <w:t>Patients and providers should be reassured regarding availability of effective</w:t>
                              </w:r>
                              <w:r>
                                <w:rPr>
                                  <w:spacing w:val="80"/>
                                  <w:sz w:val="22"/>
                                </w:rPr>
                                <w:t> </w:t>
                              </w:r>
                              <w:r>
                                <w:rPr>
                                  <w:sz w:val="22"/>
                                </w:rPr>
                                <w:t>standardized and approved bioidentical HT formulations.</w:t>
                              </w:r>
                            </w:p>
                            <w:p>
                              <w:pPr>
                                <w:spacing w:line="256" w:lineRule="auto" w:before="0"/>
                                <w:ind w:left="444" w:right="747" w:firstLine="0"/>
                                <w:jc w:val="both"/>
                                <w:rPr>
                                  <w:sz w:val="22"/>
                                </w:rPr>
                              </w:pPr>
                              <w:r>
                                <w:rPr>
                                  <w:sz w:val="22"/>
                                </w:rPr>
                                <w:t>Utilization by patients of nonstandardized, unapproved compounded formulations that</w:t>
                              </w:r>
                              <w:r>
                                <w:rPr>
                                  <w:spacing w:val="80"/>
                                  <w:w w:val="150"/>
                                  <w:sz w:val="22"/>
                                </w:rPr>
                                <w:t> </w:t>
                              </w:r>
                              <w:r>
                                <w:rPr>
                                  <w:sz w:val="22"/>
                                </w:rPr>
                                <w:t>are being advertised direct to consumers is to be discouraged due to concerns </w:t>
                              </w:r>
                              <w:r>
                                <w:rPr>
                                  <w:sz w:val="22"/>
                                </w:rPr>
                                <w:t>regarding safety, uncertain dosing or content, as well as effectiveness of such products.</w:t>
                              </w:r>
                            </w:p>
                            <w:p>
                              <w:pPr>
                                <w:spacing w:line="251" w:lineRule="exact" w:before="0"/>
                                <w:ind w:left="444" w:right="0" w:firstLine="0"/>
                                <w:jc w:val="both"/>
                                <w:rPr>
                                  <w:sz w:val="22"/>
                                </w:rPr>
                              </w:pPr>
                              <w:r>
                                <w:rPr>
                                  <w:sz w:val="22"/>
                                </w:rPr>
                                <w:t>Benefit</w:t>
                              </w:r>
                              <w:r>
                                <w:rPr>
                                  <w:spacing w:val="10"/>
                                  <w:sz w:val="22"/>
                                </w:rPr>
                                <w:t> </w:t>
                              </w:r>
                              <w:r>
                                <w:rPr>
                                  <w:sz w:val="22"/>
                                </w:rPr>
                                <w:t>of</w:t>
                              </w:r>
                              <w:r>
                                <w:rPr>
                                  <w:spacing w:val="10"/>
                                  <w:sz w:val="22"/>
                                </w:rPr>
                                <w:t> </w:t>
                              </w:r>
                              <w:r>
                                <w:rPr>
                                  <w:sz w:val="22"/>
                                </w:rPr>
                                <w:t>alternative</w:t>
                              </w:r>
                              <w:r>
                                <w:rPr>
                                  <w:spacing w:val="10"/>
                                  <w:sz w:val="22"/>
                                </w:rPr>
                                <w:t> </w:t>
                              </w:r>
                              <w:r>
                                <w:rPr>
                                  <w:sz w:val="22"/>
                                </w:rPr>
                                <w:t>therapies</w:t>
                              </w:r>
                              <w:r>
                                <w:rPr>
                                  <w:spacing w:val="10"/>
                                  <w:sz w:val="22"/>
                                </w:rPr>
                                <w:t> </w:t>
                              </w:r>
                              <w:r>
                                <w:rPr>
                                  <w:sz w:val="22"/>
                                </w:rPr>
                                <w:t>is</w:t>
                              </w:r>
                              <w:r>
                                <w:rPr>
                                  <w:spacing w:val="10"/>
                                  <w:sz w:val="22"/>
                                </w:rPr>
                                <w:t> </w:t>
                              </w:r>
                              <w:r>
                                <w:rPr>
                                  <w:sz w:val="22"/>
                                </w:rPr>
                                <w:t>at</w:t>
                              </w:r>
                              <w:r>
                                <w:rPr>
                                  <w:spacing w:val="11"/>
                                  <w:sz w:val="22"/>
                                </w:rPr>
                                <w:t> </w:t>
                              </w:r>
                              <w:r>
                                <w:rPr>
                                  <w:sz w:val="22"/>
                                </w:rPr>
                                <w:t>best</w:t>
                              </w:r>
                              <w:r>
                                <w:rPr>
                                  <w:spacing w:val="10"/>
                                  <w:sz w:val="22"/>
                                </w:rPr>
                                <w:t> </w:t>
                              </w:r>
                              <w:r>
                                <w:rPr>
                                  <w:sz w:val="22"/>
                                </w:rPr>
                                <w:t>minimal,</w:t>
                              </w:r>
                              <w:r>
                                <w:rPr>
                                  <w:spacing w:val="10"/>
                                  <w:sz w:val="22"/>
                                </w:rPr>
                                <w:t> </w:t>
                              </w:r>
                              <w:r>
                                <w:rPr>
                                  <w:sz w:val="22"/>
                                </w:rPr>
                                <w:t>if</w:t>
                              </w:r>
                              <w:r>
                                <w:rPr>
                                  <w:spacing w:val="10"/>
                                  <w:sz w:val="22"/>
                                </w:rPr>
                                <w:t> </w:t>
                              </w:r>
                              <w:r>
                                <w:rPr>
                                  <w:spacing w:val="-4"/>
                                  <w:sz w:val="22"/>
                                </w:rPr>
                                <w:t>any.</w:t>
                              </w:r>
                            </w:p>
                          </w:txbxContent>
                        </wps:txbx>
                        <wps:bodyPr wrap="square" lIns="0" tIns="0" rIns="0" bIns="0" rtlCol="0">
                          <a:noAutofit/>
                        </wps:bodyPr>
                      </wps:wsp>
                      <wps:wsp>
                        <wps:cNvPr id="177" name="Textbox 177"/>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8"/>
                                  <w:sz w:val="33"/>
                                </w:rPr>
                                <w:t> </w:t>
                              </w:r>
                              <w:r>
                                <w:rPr>
                                  <w:rFonts w:ascii="Arial"/>
                                  <w:color w:val="FFFFFF"/>
                                  <w:sz w:val="33"/>
                                </w:rPr>
                                <w:t>points:</w:t>
                              </w:r>
                              <w:r>
                                <w:rPr>
                                  <w:rFonts w:ascii="Arial"/>
                                  <w:color w:val="FFFFFF"/>
                                  <w:spacing w:val="18"/>
                                  <w:sz w:val="33"/>
                                </w:rPr>
                                <w:t> </w:t>
                              </w:r>
                              <w:r>
                                <w:rPr>
                                  <w:rFonts w:ascii="Arial"/>
                                  <w:color w:val="FFFFFF"/>
                                  <w:sz w:val="33"/>
                                </w:rPr>
                                <w:t>Vasomotor</w:t>
                              </w:r>
                              <w:r>
                                <w:rPr>
                                  <w:rFonts w:ascii="Arial"/>
                                  <w:color w:val="FFFFFF"/>
                                  <w:spacing w:val="18"/>
                                  <w:sz w:val="33"/>
                                </w:rPr>
                                <w:t> </w:t>
                              </w:r>
                              <w:r>
                                <w:rPr>
                                  <w:rFonts w:ascii="Arial"/>
                                  <w:color w:val="FFFFFF"/>
                                  <w:sz w:val="33"/>
                                </w:rPr>
                                <w:t>Symptom</w:t>
                              </w:r>
                              <w:r>
                                <w:rPr>
                                  <w:rFonts w:ascii="Arial"/>
                                  <w:color w:val="FFFFFF"/>
                                  <w:spacing w:val="18"/>
                                  <w:sz w:val="33"/>
                                </w:rPr>
                                <w:t> </w:t>
                              </w:r>
                              <w:r>
                                <w:rPr>
                                  <w:rFonts w:ascii="Arial"/>
                                  <w:color w:val="FFFFFF"/>
                                  <w:spacing w:val="-2"/>
                                  <w:sz w:val="33"/>
                                </w:rPr>
                                <w:t>Management</w:t>
                              </w:r>
                            </w:p>
                          </w:txbxContent>
                        </wps:txbx>
                        <wps:bodyPr wrap="square" lIns="0" tIns="0" rIns="0" bIns="0" rtlCol="0">
                          <a:noAutofit/>
                        </wps:bodyPr>
                      </wps:wsp>
                    </wpg:wgp>
                  </a:graphicData>
                </a:graphic>
              </wp:anchor>
            </w:drawing>
          </mc:Choice>
          <mc:Fallback>
            <w:pict>
              <v:group style="position:absolute;margin-left:77.25pt;margin-top:18.722754pt;width:457.5pt;height:225pt;mso-position-horizontal-relative:page;mso-position-vertical-relative:paragraph;z-index:-15674368;mso-wrap-distance-left:0;mso-wrap-distance-right:0" id="docshapegroup150" coordorigin="1545,374" coordsize="9150,4500">
                <v:rect style="position:absolute;left:1545;top:374;width:9150;height:30" id="docshape151" filled="true" fillcolor="#d5e699" stroked="false">
                  <v:fill type="solid"/>
                </v:rect>
                <v:rect style="position:absolute;left:1545;top:1544;width:9150;height:3330" id="docshape152" filled="true" fillcolor="#e9f1cd" stroked="false">
                  <v:fill type="solid"/>
                </v:rect>
                <v:rect style="position:absolute;left:1545;top:464;width:9150;height:1080" id="docshape153" filled="true" fillcolor="#2b816f" stroked="false">
                  <v:fill type="solid"/>
                </v:rect>
                <v:shape style="position:absolute;left:1875;top:734;width:585;height:90" id="docshape154" coordorigin="1875,734" coordsize="585,90" path="m1926,824l1914,824,1908,823,1903,821,1897,819,1892,815,1888,811,1884,807,1881,802,1876,791,1875,785,1875,774,1876,768,1881,757,1884,752,1888,748,1892,743,1897,740,1908,736,1914,734,1926,734,1932,736,1943,740,1948,743,1952,748,1956,752,1959,757,1964,768,1965,774,1965,785,1964,791,1959,802,1956,807,1952,811,1948,815,1943,819,1937,821,1932,823,1926,824xm2091,824l2079,824,2073,823,2068,821,2062,819,2057,815,2053,811,2049,807,2046,802,2041,791,2040,785,2040,774,2041,768,2046,757,2049,752,2053,748,2057,743,2062,740,2073,736,2079,734,2091,734,2097,736,2108,740,2112,743,2117,748,2121,752,2124,757,2129,768,2130,774,2130,785,2129,791,2124,802,2121,807,2117,811,2112,815,2108,819,2102,821,2097,823,2091,824xm2256,824l2244,824,2238,823,2232,821,2227,819,2222,815,2218,811,2214,807,2210,802,2206,791,2205,785,2205,774,2206,768,2210,757,2214,752,2218,748,2222,743,2227,740,2238,736,2244,734,2256,734,2261,736,2272,740,2277,743,2282,748,2286,752,2289,757,2294,768,2295,774,2295,785,2294,791,2289,802,2286,807,2282,811,2277,815,2272,819,2267,821,2261,823,2256,824xm2421,824l2409,824,2403,823,2397,821,2392,819,2387,815,2383,811,2379,807,2375,802,2371,791,2370,785,2370,774,2371,768,2375,757,2379,752,2383,748,2387,743,2392,740,2403,736,2409,734,2421,734,2426,736,2437,740,2442,743,2446,748,2451,752,2454,757,2458,768,2460,774,2460,785,2458,791,2454,802,2451,807,2446,811,2442,815,2437,819,2432,821,2426,823,2421,824xe" filled="true" fillcolor="#d0e399" stroked="false">
                  <v:path arrowok="t"/>
                  <v:fill type="solid"/>
                </v:shape>
                <v:shape style="position:absolute;left:1754;top:1949;width:75;height:2235" id="docshape155" coordorigin="1755,1949" coordsize="75,2235" path="m1830,4142l1829,4137,1825,4128,1823,4124,1816,4117,1811,4114,1807,4112,1802,4110,1797,4109,1788,4109,1783,4110,1778,4112,1774,4114,1769,4117,1762,4124,1760,4128,1756,4137,1755,4142,1755,4152,1756,4157,1760,4166,1762,4170,1769,4177,1774,4180,1783,4183,1788,4184,1792,4184,1797,4184,1802,4183,1811,4180,1816,4177,1823,4170,1825,4166,1829,4157,1830,4152,1830,4147,1830,4142xm1830,3332l1829,3327,1825,3318,1823,3314,1816,3307,1811,3304,1807,3302,1802,3300,1797,3299,1788,3299,1783,3300,1774,3304,1769,3307,1762,3314,1760,3318,1756,3327,1755,3332,1755,3342,1756,3347,1760,3356,1762,3360,1769,3367,1774,3369,1783,3373,1788,3374,1792,3374,1797,3374,1802,3373,1811,3369,1816,3367,1823,3360,1825,3356,1829,3347,1830,3342,1830,3337,1830,3332xm1830,2792l1829,2787,1825,2778,1823,2774,1819,2770,1816,2767,1811,2764,1802,2760,1797,2759,1788,2759,1783,2760,1774,2764,1769,2767,1766,2770,1762,2774,1760,2778,1756,2787,1755,2792,1755,2802,1756,2807,1760,2816,1762,2820,1769,2827,1774,2830,1783,2833,1788,2834,1792,2834,1797,2834,1802,2833,1811,2830,1816,2827,1823,2820,1825,2816,1829,2807,1830,2802,1830,2797,1830,2792xm1830,2252l1829,2247,1825,2238,1823,2234,1819,2230,1816,2227,1811,2224,1807,2222,1802,2220,1797,2219,1788,2219,1783,2220,1778,2222,1774,2224,1769,2227,1766,2230,1762,2234,1760,2238,1756,2247,1755,2252,1755,2262,1756,2267,1760,2276,1762,2280,1769,2287,1774,2290,1783,2294,1788,2294,1797,2294,1802,2294,1811,2290,1816,2287,1823,2280,1825,2276,1829,2267,1830,2262,1830,2257,1830,2252xm1830,1982l1829,1977,1825,1968,1823,1964,1816,1957,1811,1954,1802,1950,1797,1949,1788,1949,1783,1950,1774,1954,1769,1957,1762,1964,1760,1968,1756,1977,1755,1982,1755,1992,1756,1997,1760,2006,1762,2010,1769,2017,1774,2019,1783,2023,1788,2024,1792,2024,1797,2024,1802,2023,1811,2019,1816,2017,1823,2010,1825,2006,1829,1997,1830,1992,1830,1987,1830,1982xe" filled="true" fillcolor="#2b816f" stroked="false">
                  <v:path arrowok="t"/>
                  <v:fill type="solid"/>
                </v:shape>
                <v:shape style="position:absolute;left:1545;top:1544;width:9150;height:3330" type="#_x0000_t202" id="docshape156" filled="false" stroked="false">
                  <v:textbox inset="0,0,0,0">
                    <w:txbxContent>
                      <w:p>
                        <w:pPr>
                          <w:spacing w:line="240" w:lineRule="auto" w:before="51"/>
                          <w:rPr>
                            <w:sz w:val="22"/>
                          </w:rPr>
                        </w:pPr>
                      </w:p>
                      <w:p>
                        <w:pPr>
                          <w:spacing w:before="0"/>
                          <w:ind w:left="444" w:right="0" w:firstLine="0"/>
                          <w:jc w:val="both"/>
                          <w:rPr>
                            <w:sz w:val="22"/>
                          </w:rPr>
                        </w:pPr>
                        <w:r>
                          <w:rPr>
                            <w:sz w:val="22"/>
                          </w:rPr>
                          <w:t>HT</w:t>
                        </w:r>
                        <w:r>
                          <w:rPr>
                            <w:spacing w:val="11"/>
                            <w:sz w:val="22"/>
                          </w:rPr>
                          <w:t> </w:t>
                        </w:r>
                        <w:r>
                          <w:rPr>
                            <w:sz w:val="22"/>
                          </w:rPr>
                          <w:t>remains</w:t>
                        </w:r>
                        <w:r>
                          <w:rPr>
                            <w:spacing w:val="12"/>
                            <w:sz w:val="22"/>
                          </w:rPr>
                          <w:t> </w:t>
                        </w:r>
                        <w:r>
                          <w:rPr>
                            <w:sz w:val="22"/>
                          </w:rPr>
                          <w:t>the</w:t>
                        </w:r>
                        <w:r>
                          <w:rPr>
                            <w:spacing w:val="12"/>
                            <w:sz w:val="22"/>
                          </w:rPr>
                          <w:t> </w:t>
                        </w:r>
                        <w:r>
                          <w:rPr>
                            <w:sz w:val="22"/>
                          </w:rPr>
                          <w:t>most</w:t>
                        </w:r>
                        <w:r>
                          <w:rPr>
                            <w:spacing w:val="12"/>
                            <w:sz w:val="22"/>
                          </w:rPr>
                          <w:t> </w:t>
                        </w:r>
                        <w:r>
                          <w:rPr>
                            <w:sz w:val="22"/>
                          </w:rPr>
                          <w:t>effective</w:t>
                        </w:r>
                        <w:r>
                          <w:rPr>
                            <w:spacing w:val="11"/>
                            <w:sz w:val="22"/>
                          </w:rPr>
                          <w:t> </w:t>
                        </w:r>
                        <w:r>
                          <w:rPr>
                            <w:sz w:val="22"/>
                          </w:rPr>
                          <w:t>of</w:t>
                        </w:r>
                        <w:r>
                          <w:rPr>
                            <w:spacing w:val="12"/>
                            <w:sz w:val="22"/>
                          </w:rPr>
                          <w:t> </w:t>
                        </w:r>
                        <w:r>
                          <w:rPr>
                            <w:sz w:val="22"/>
                          </w:rPr>
                          <w:t>available</w:t>
                        </w:r>
                        <w:r>
                          <w:rPr>
                            <w:spacing w:val="12"/>
                            <w:sz w:val="22"/>
                          </w:rPr>
                          <w:t> </w:t>
                        </w:r>
                        <w:r>
                          <w:rPr>
                            <w:sz w:val="22"/>
                          </w:rPr>
                          <w:t>therapeutic</w:t>
                        </w:r>
                        <w:r>
                          <w:rPr>
                            <w:spacing w:val="12"/>
                            <w:sz w:val="22"/>
                          </w:rPr>
                          <w:t> </w:t>
                        </w:r>
                        <w:r>
                          <w:rPr>
                            <w:sz w:val="22"/>
                          </w:rPr>
                          <w:t>options</w:t>
                        </w:r>
                        <w:r>
                          <w:rPr>
                            <w:spacing w:val="12"/>
                            <w:sz w:val="22"/>
                          </w:rPr>
                          <w:t> </w:t>
                        </w:r>
                        <w:r>
                          <w:rPr>
                            <w:sz w:val="22"/>
                          </w:rPr>
                          <w:t>for</w:t>
                        </w:r>
                        <w:r>
                          <w:rPr>
                            <w:spacing w:val="11"/>
                            <w:sz w:val="22"/>
                          </w:rPr>
                          <w:t> </w:t>
                        </w:r>
                        <w:r>
                          <w:rPr>
                            <w:sz w:val="22"/>
                          </w:rPr>
                          <w:t>managing</w:t>
                        </w:r>
                        <w:r>
                          <w:rPr>
                            <w:spacing w:val="12"/>
                            <w:sz w:val="22"/>
                          </w:rPr>
                          <w:t> </w:t>
                        </w:r>
                        <w:r>
                          <w:rPr>
                            <w:spacing w:val="-4"/>
                            <w:sz w:val="22"/>
                          </w:rPr>
                          <w:t>VMS.</w:t>
                        </w:r>
                      </w:p>
                      <w:p>
                        <w:pPr>
                          <w:spacing w:line="256" w:lineRule="auto" w:before="17"/>
                          <w:ind w:left="444" w:right="746" w:firstLine="0"/>
                          <w:jc w:val="both"/>
                          <w:rPr>
                            <w:sz w:val="22"/>
                          </w:rPr>
                        </w:pPr>
                        <w:r>
                          <w:rPr>
                            <w:sz w:val="22"/>
                          </w:rPr>
                          <w:t>In patients in whom HT is contraindicated, nonhormonal pharmaceuticals can </w:t>
                        </w:r>
                        <w:r>
                          <w:rPr>
                            <w:sz w:val="22"/>
                          </w:rPr>
                          <w:t>be</w:t>
                        </w:r>
                        <w:r>
                          <w:rPr>
                            <w:spacing w:val="80"/>
                            <w:sz w:val="22"/>
                          </w:rPr>
                          <w:t> </w:t>
                        </w:r>
                        <w:r>
                          <w:rPr>
                            <w:sz w:val="22"/>
                          </w:rPr>
                          <w:t>effective against VMS.</w:t>
                        </w:r>
                      </w:p>
                      <w:p>
                        <w:pPr>
                          <w:spacing w:line="256" w:lineRule="auto" w:before="0"/>
                          <w:ind w:left="444" w:right="753" w:firstLine="0"/>
                          <w:jc w:val="both"/>
                          <w:rPr>
                            <w:sz w:val="22"/>
                          </w:rPr>
                        </w:pPr>
                        <w:r>
                          <w:rPr>
                            <w:sz w:val="22"/>
                          </w:rPr>
                          <w:t>Patients and providers should be reassured regarding availability of effective</w:t>
                        </w:r>
                        <w:r>
                          <w:rPr>
                            <w:spacing w:val="80"/>
                            <w:sz w:val="22"/>
                          </w:rPr>
                          <w:t> </w:t>
                        </w:r>
                        <w:r>
                          <w:rPr>
                            <w:sz w:val="22"/>
                          </w:rPr>
                          <w:t>standardized and approved bioidentical HT formulations.</w:t>
                        </w:r>
                      </w:p>
                      <w:p>
                        <w:pPr>
                          <w:spacing w:line="256" w:lineRule="auto" w:before="0"/>
                          <w:ind w:left="444" w:right="747" w:firstLine="0"/>
                          <w:jc w:val="both"/>
                          <w:rPr>
                            <w:sz w:val="22"/>
                          </w:rPr>
                        </w:pPr>
                        <w:r>
                          <w:rPr>
                            <w:sz w:val="22"/>
                          </w:rPr>
                          <w:t>Utilization by patients of nonstandardized, unapproved compounded formulations that</w:t>
                        </w:r>
                        <w:r>
                          <w:rPr>
                            <w:spacing w:val="80"/>
                            <w:w w:val="150"/>
                            <w:sz w:val="22"/>
                          </w:rPr>
                          <w:t> </w:t>
                        </w:r>
                        <w:r>
                          <w:rPr>
                            <w:sz w:val="22"/>
                          </w:rPr>
                          <w:t>are being advertised direct to consumers is to be discouraged due to concerns </w:t>
                        </w:r>
                        <w:r>
                          <w:rPr>
                            <w:sz w:val="22"/>
                          </w:rPr>
                          <w:t>regarding safety, uncertain dosing or content, as well as effectiveness of such products.</w:t>
                        </w:r>
                      </w:p>
                      <w:p>
                        <w:pPr>
                          <w:spacing w:line="251" w:lineRule="exact" w:before="0"/>
                          <w:ind w:left="444" w:right="0" w:firstLine="0"/>
                          <w:jc w:val="both"/>
                          <w:rPr>
                            <w:sz w:val="22"/>
                          </w:rPr>
                        </w:pPr>
                        <w:r>
                          <w:rPr>
                            <w:sz w:val="22"/>
                          </w:rPr>
                          <w:t>Benefit</w:t>
                        </w:r>
                        <w:r>
                          <w:rPr>
                            <w:spacing w:val="10"/>
                            <w:sz w:val="22"/>
                          </w:rPr>
                          <w:t> </w:t>
                        </w:r>
                        <w:r>
                          <w:rPr>
                            <w:sz w:val="22"/>
                          </w:rPr>
                          <w:t>of</w:t>
                        </w:r>
                        <w:r>
                          <w:rPr>
                            <w:spacing w:val="10"/>
                            <w:sz w:val="22"/>
                          </w:rPr>
                          <w:t> </w:t>
                        </w:r>
                        <w:r>
                          <w:rPr>
                            <w:sz w:val="22"/>
                          </w:rPr>
                          <w:t>alternative</w:t>
                        </w:r>
                        <w:r>
                          <w:rPr>
                            <w:spacing w:val="10"/>
                            <w:sz w:val="22"/>
                          </w:rPr>
                          <w:t> </w:t>
                        </w:r>
                        <w:r>
                          <w:rPr>
                            <w:sz w:val="22"/>
                          </w:rPr>
                          <w:t>therapies</w:t>
                        </w:r>
                        <w:r>
                          <w:rPr>
                            <w:spacing w:val="10"/>
                            <w:sz w:val="22"/>
                          </w:rPr>
                          <w:t> </w:t>
                        </w:r>
                        <w:r>
                          <w:rPr>
                            <w:sz w:val="22"/>
                          </w:rPr>
                          <w:t>is</w:t>
                        </w:r>
                        <w:r>
                          <w:rPr>
                            <w:spacing w:val="10"/>
                            <w:sz w:val="22"/>
                          </w:rPr>
                          <w:t> </w:t>
                        </w:r>
                        <w:r>
                          <w:rPr>
                            <w:sz w:val="22"/>
                          </w:rPr>
                          <w:t>at</w:t>
                        </w:r>
                        <w:r>
                          <w:rPr>
                            <w:spacing w:val="11"/>
                            <w:sz w:val="22"/>
                          </w:rPr>
                          <w:t> </w:t>
                        </w:r>
                        <w:r>
                          <w:rPr>
                            <w:sz w:val="22"/>
                          </w:rPr>
                          <w:t>best</w:t>
                        </w:r>
                        <w:r>
                          <w:rPr>
                            <w:spacing w:val="10"/>
                            <w:sz w:val="22"/>
                          </w:rPr>
                          <w:t> </w:t>
                        </w:r>
                        <w:r>
                          <w:rPr>
                            <w:sz w:val="22"/>
                          </w:rPr>
                          <w:t>minimal,</w:t>
                        </w:r>
                        <w:r>
                          <w:rPr>
                            <w:spacing w:val="10"/>
                            <w:sz w:val="22"/>
                          </w:rPr>
                          <w:t> </w:t>
                        </w:r>
                        <w:r>
                          <w:rPr>
                            <w:sz w:val="22"/>
                          </w:rPr>
                          <w:t>if</w:t>
                        </w:r>
                        <w:r>
                          <w:rPr>
                            <w:spacing w:val="10"/>
                            <w:sz w:val="22"/>
                          </w:rPr>
                          <w:t> </w:t>
                        </w:r>
                        <w:r>
                          <w:rPr>
                            <w:spacing w:val="-4"/>
                            <w:sz w:val="22"/>
                          </w:rPr>
                          <w:t>any.</w:t>
                        </w:r>
                      </w:p>
                    </w:txbxContent>
                  </v:textbox>
                  <w10:wrap type="none"/>
                </v:shape>
                <v:shape style="position:absolute;left:1545;top:464;width:9150;height:1080" type="#_x0000_t202" id="docshape157"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8"/>
                            <w:sz w:val="33"/>
                          </w:rPr>
                          <w:t> </w:t>
                        </w:r>
                        <w:r>
                          <w:rPr>
                            <w:rFonts w:ascii="Arial"/>
                            <w:color w:val="FFFFFF"/>
                            <w:sz w:val="33"/>
                          </w:rPr>
                          <w:t>points:</w:t>
                        </w:r>
                        <w:r>
                          <w:rPr>
                            <w:rFonts w:ascii="Arial"/>
                            <w:color w:val="FFFFFF"/>
                            <w:spacing w:val="18"/>
                            <w:sz w:val="33"/>
                          </w:rPr>
                          <w:t> </w:t>
                        </w:r>
                        <w:r>
                          <w:rPr>
                            <w:rFonts w:ascii="Arial"/>
                            <w:color w:val="FFFFFF"/>
                            <w:sz w:val="33"/>
                          </w:rPr>
                          <w:t>Vasomotor</w:t>
                        </w:r>
                        <w:r>
                          <w:rPr>
                            <w:rFonts w:ascii="Arial"/>
                            <w:color w:val="FFFFFF"/>
                            <w:spacing w:val="18"/>
                            <w:sz w:val="33"/>
                          </w:rPr>
                          <w:t> </w:t>
                        </w:r>
                        <w:r>
                          <w:rPr>
                            <w:rFonts w:ascii="Arial"/>
                            <w:color w:val="FFFFFF"/>
                            <w:sz w:val="33"/>
                          </w:rPr>
                          <w:t>Symptom</w:t>
                        </w:r>
                        <w:r>
                          <w:rPr>
                            <w:rFonts w:ascii="Arial"/>
                            <w:color w:val="FFFFFF"/>
                            <w:spacing w:val="18"/>
                            <w:sz w:val="33"/>
                          </w:rPr>
                          <w:t> </w:t>
                        </w:r>
                        <w:r>
                          <w:rPr>
                            <w:rFonts w:ascii="Arial"/>
                            <w:color w:val="FFFFFF"/>
                            <w:spacing w:val="-2"/>
                            <w:sz w:val="33"/>
                          </w:rPr>
                          <w:t>Management</w:t>
                        </w:r>
                      </w:p>
                    </w:txbxContent>
                  </v:textbox>
                  <w10:wrap type="none"/>
                </v:shape>
                <w10:wrap type="topAndBottom"/>
              </v:group>
            </w:pict>
          </mc:Fallback>
        </mc:AlternateContent>
      </w:r>
    </w:p>
    <w:p>
      <w:pPr>
        <w:pStyle w:val="BodyText"/>
        <w:spacing w:before="0"/>
        <w:ind w:left="0"/>
        <w:jc w:val="left"/>
        <w:rPr>
          <w:sz w:val="20"/>
        </w:rPr>
      </w:pPr>
    </w:p>
    <w:p>
      <w:pPr>
        <w:pStyle w:val="BodyText"/>
        <w:spacing w:before="0"/>
        <w:ind w:left="0"/>
        <w:jc w:val="left"/>
        <w:rPr>
          <w:sz w:val="20"/>
        </w:rPr>
      </w:pPr>
    </w:p>
    <w:p>
      <w:pPr>
        <w:pStyle w:val="BodyText"/>
        <w:spacing w:before="186"/>
        <w:ind w:left="0"/>
        <w:jc w:val="left"/>
        <w:rPr>
          <w:sz w:val="20"/>
        </w:rPr>
      </w:pPr>
      <w:r>
        <w:rPr>
          <w:sz w:val="20"/>
        </w:rPr>
        <mc:AlternateContent>
          <mc:Choice Requires="wps">
            <w:drawing>
              <wp:anchor distT="0" distB="0" distL="0" distR="0" allowOverlap="1" layoutInCell="1" locked="0" behindDoc="1" simplePos="0" relativeHeight="487642624">
                <wp:simplePos x="0" y="0"/>
                <wp:positionH relativeFrom="page">
                  <wp:posOffset>981075</wp:posOffset>
                </wp:positionH>
                <wp:positionV relativeFrom="paragraph">
                  <wp:posOffset>279450</wp:posOffset>
                </wp:positionV>
                <wp:extent cx="285750" cy="5715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285750" cy="57150"/>
                        </a:xfrm>
                        <a:custGeom>
                          <a:avLst/>
                          <a:gdLst/>
                          <a:ahLst/>
                          <a:cxnLst/>
                          <a:rect l="l" t="t" r="r" b="b"/>
                          <a:pathLst>
                            <a:path w="285750" h="57150">
                              <a:moveTo>
                                <a:pt x="32364" y="57073"/>
                              </a:moveTo>
                              <a:lnTo>
                                <a:pt x="24785" y="57073"/>
                              </a:lnTo>
                              <a:lnTo>
                                <a:pt x="21140" y="56330"/>
                              </a:lnTo>
                              <a:lnTo>
                                <a:pt x="0" y="32299"/>
                              </a:lnTo>
                              <a:lnTo>
                                <a:pt x="0" y="24784"/>
                              </a:lnTo>
                              <a:lnTo>
                                <a:pt x="725" y="21059"/>
                              </a:lnTo>
                              <a:lnTo>
                                <a:pt x="3625" y="14068"/>
                              </a:lnTo>
                              <a:lnTo>
                                <a:pt x="5689" y="10934"/>
                              </a:lnTo>
                              <a:lnTo>
                                <a:pt x="8369" y="8334"/>
                              </a:lnTo>
                              <a:lnTo>
                                <a:pt x="11048" y="5581"/>
                              </a:lnTo>
                              <a:lnTo>
                                <a:pt x="14138" y="3495"/>
                              </a:lnTo>
                              <a:lnTo>
                                <a:pt x="21140" y="666"/>
                              </a:lnTo>
                              <a:lnTo>
                                <a:pt x="24785" y="0"/>
                              </a:lnTo>
                              <a:lnTo>
                                <a:pt x="32364" y="0"/>
                              </a:lnTo>
                              <a:lnTo>
                                <a:pt x="36009" y="666"/>
                              </a:lnTo>
                              <a:lnTo>
                                <a:pt x="43010" y="3495"/>
                              </a:lnTo>
                              <a:lnTo>
                                <a:pt x="46101" y="5581"/>
                              </a:lnTo>
                              <a:lnTo>
                                <a:pt x="48780" y="8334"/>
                              </a:lnTo>
                              <a:lnTo>
                                <a:pt x="51459" y="10934"/>
                              </a:lnTo>
                              <a:lnTo>
                                <a:pt x="53524" y="14068"/>
                              </a:lnTo>
                              <a:lnTo>
                                <a:pt x="56424" y="21059"/>
                              </a:lnTo>
                              <a:lnTo>
                                <a:pt x="57149" y="24784"/>
                              </a:lnTo>
                              <a:lnTo>
                                <a:pt x="57149" y="32299"/>
                              </a:lnTo>
                              <a:lnTo>
                                <a:pt x="39510" y="54844"/>
                              </a:lnTo>
                              <a:lnTo>
                                <a:pt x="36009" y="56330"/>
                              </a:lnTo>
                              <a:lnTo>
                                <a:pt x="32364" y="57073"/>
                              </a:lnTo>
                              <a:close/>
                            </a:path>
                            <a:path w="285750" h="57150">
                              <a:moveTo>
                                <a:pt x="146569" y="57073"/>
                              </a:moveTo>
                              <a:lnTo>
                                <a:pt x="138990" y="57073"/>
                              </a:lnTo>
                              <a:lnTo>
                                <a:pt x="135345" y="56330"/>
                              </a:lnTo>
                              <a:lnTo>
                                <a:pt x="114204" y="32299"/>
                              </a:lnTo>
                              <a:lnTo>
                                <a:pt x="114204" y="24784"/>
                              </a:lnTo>
                              <a:lnTo>
                                <a:pt x="114929" y="21059"/>
                              </a:lnTo>
                              <a:lnTo>
                                <a:pt x="117829" y="14068"/>
                              </a:lnTo>
                              <a:lnTo>
                                <a:pt x="119894" y="10934"/>
                              </a:lnTo>
                              <a:lnTo>
                                <a:pt x="122574" y="8334"/>
                              </a:lnTo>
                              <a:lnTo>
                                <a:pt x="125253" y="5581"/>
                              </a:lnTo>
                              <a:lnTo>
                                <a:pt x="128343" y="3495"/>
                              </a:lnTo>
                              <a:lnTo>
                                <a:pt x="135345" y="666"/>
                              </a:lnTo>
                              <a:lnTo>
                                <a:pt x="138990" y="0"/>
                              </a:lnTo>
                              <a:lnTo>
                                <a:pt x="146569" y="0"/>
                              </a:lnTo>
                              <a:lnTo>
                                <a:pt x="150214" y="666"/>
                              </a:lnTo>
                              <a:lnTo>
                                <a:pt x="157215" y="3495"/>
                              </a:lnTo>
                              <a:lnTo>
                                <a:pt x="160305" y="5581"/>
                              </a:lnTo>
                              <a:lnTo>
                                <a:pt x="162985" y="8334"/>
                              </a:lnTo>
                              <a:lnTo>
                                <a:pt x="165664" y="10934"/>
                              </a:lnTo>
                              <a:lnTo>
                                <a:pt x="167729" y="14068"/>
                              </a:lnTo>
                              <a:lnTo>
                                <a:pt x="170629" y="21059"/>
                              </a:lnTo>
                              <a:lnTo>
                                <a:pt x="171354" y="24784"/>
                              </a:lnTo>
                              <a:lnTo>
                                <a:pt x="171354" y="32299"/>
                              </a:lnTo>
                              <a:lnTo>
                                <a:pt x="153714" y="54844"/>
                              </a:lnTo>
                              <a:lnTo>
                                <a:pt x="150214" y="56330"/>
                              </a:lnTo>
                              <a:lnTo>
                                <a:pt x="146569" y="57073"/>
                              </a:lnTo>
                              <a:close/>
                            </a:path>
                            <a:path w="285750" h="57150">
                              <a:moveTo>
                                <a:pt x="260773" y="57073"/>
                              </a:moveTo>
                              <a:lnTo>
                                <a:pt x="253195" y="57073"/>
                              </a:lnTo>
                              <a:lnTo>
                                <a:pt x="249550" y="56330"/>
                              </a:lnTo>
                              <a:lnTo>
                                <a:pt x="228409" y="32299"/>
                              </a:lnTo>
                              <a:lnTo>
                                <a:pt x="228409" y="24784"/>
                              </a:lnTo>
                              <a:lnTo>
                                <a:pt x="229134" y="21059"/>
                              </a:lnTo>
                              <a:lnTo>
                                <a:pt x="232034" y="14068"/>
                              </a:lnTo>
                              <a:lnTo>
                                <a:pt x="234099" y="10934"/>
                              </a:lnTo>
                              <a:lnTo>
                                <a:pt x="236778" y="8334"/>
                              </a:lnTo>
                              <a:lnTo>
                                <a:pt x="239458" y="5581"/>
                              </a:lnTo>
                              <a:lnTo>
                                <a:pt x="242548" y="3495"/>
                              </a:lnTo>
                              <a:lnTo>
                                <a:pt x="249550" y="666"/>
                              </a:lnTo>
                              <a:lnTo>
                                <a:pt x="253195" y="0"/>
                              </a:lnTo>
                              <a:lnTo>
                                <a:pt x="260773" y="0"/>
                              </a:lnTo>
                              <a:lnTo>
                                <a:pt x="264418" y="666"/>
                              </a:lnTo>
                              <a:lnTo>
                                <a:pt x="271420" y="3495"/>
                              </a:lnTo>
                              <a:lnTo>
                                <a:pt x="274510" y="5581"/>
                              </a:lnTo>
                              <a:lnTo>
                                <a:pt x="277190" y="8334"/>
                              </a:lnTo>
                              <a:lnTo>
                                <a:pt x="279869" y="10934"/>
                              </a:lnTo>
                              <a:lnTo>
                                <a:pt x="281934" y="14068"/>
                              </a:lnTo>
                              <a:lnTo>
                                <a:pt x="284834" y="21059"/>
                              </a:lnTo>
                              <a:lnTo>
                                <a:pt x="285559" y="24784"/>
                              </a:lnTo>
                              <a:lnTo>
                                <a:pt x="285559" y="32299"/>
                              </a:lnTo>
                              <a:lnTo>
                                <a:pt x="267919" y="54844"/>
                              </a:lnTo>
                              <a:lnTo>
                                <a:pt x="264418" y="56330"/>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22.004009pt;width:22.5pt;height:4.5pt;mso-position-horizontal-relative:page;mso-position-vertical-relative:paragraph;z-index:-15673856;mso-wrap-distance-left:0;mso-wrap-distance-right:0" id="docshape158" coordorigin="1545,440" coordsize="450,90" path="m1596,530l1584,530,1578,529,1572,526,1567,524,1562,521,1558,517,1554,513,1551,508,1546,497,1545,491,1545,479,1546,473,1551,462,1554,457,1558,453,1562,449,1567,446,1578,441,1584,440,1596,440,1602,441,1613,446,1618,449,1622,453,1626,457,1629,462,1634,473,1635,479,1635,491,1634,497,1629,508,1626,513,1622,517,1618,521,1613,524,1607,526,1602,529,1596,530xm1776,530l1764,530,1758,529,1752,526,1747,524,1742,521,1738,517,1734,513,1731,508,1726,497,1725,491,1725,479,1726,473,1731,462,1734,457,1738,453,1742,449,1747,446,1758,441,1764,440,1776,440,1782,441,1793,446,1797,449,1802,453,1806,457,1809,462,1814,473,1815,479,1815,491,1814,497,1809,508,1806,513,1802,517,1797,521,1793,524,1787,526,1782,529,1776,530xm1956,530l1944,530,1938,529,1932,526,1927,524,1922,521,1918,517,1914,513,1910,508,1906,497,1905,491,1905,479,1906,473,1910,462,1914,457,1918,453,1922,449,1927,446,1938,441,1944,440,1956,440,1961,441,1972,446,1977,449,1982,453,1986,457,1989,462,1994,473,1995,479,1995,491,1994,497,1989,508,1986,513,1982,517,1977,521,1972,524,1967,526,1961,529,1956,530xe" filled="true" fillcolor="#bdb4d4" stroked="false">
                <v:path arrowok="t"/>
                <v:fill type="solid"/>
                <w10:wrap type="topAndBottom"/>
              </v:shape>
            </w:pict>
          </mc:Fallback>
        </mc:AlternateContent>
      </w:r>
    </w:p>
    <w:p>
      <w:pPr>
        <w:pStyle w:val="BodyText"/>
        <w:spacing w:after="0"/>
        <w:jc w:val="left"/>
        <w:rPr>
          <w:sz w:val="20"/>
        </w:rPr>
        <w:sectPr>
          <w:pgSz w:w="12240" w:h="15840"/>
          <w:pgMar w:top="1380" w:bottom="280" w:left="1440" w:right="1440"/>
        </w:sectPr>
      </w:pPr>
    </w:p>
    <w:p>
      <w:pPr>
        <w:pStyle w:val="Heading3"/>
        <w:spacing w:line="249" w:lineRule="auto" w:before="63"/>
        <w:ind w:right="255"/>
      </w:pPr>
      <w:r>
        <w:rPr/>
        <mc:AlternateContent>
          <mc:Choice Requires="wps">
            <w:drawing>
              <wp:anchor distT="0" distB="0" distL="0" distR="0" allowOverlap="1" layoutInCell="1" locked="0" behindDoc="1" simplePos="0" relativeHeight="487643136">
                <wp:simplePos x="0" y="0"/>
                <wp:positionH relativeFrom="page">
                  <wp:posOffset>981075</wp:posOffset>
                </wp:positionH>
                <wp:positionV relativeFrom="paragraph">
                  <wp:posOffset>533435</wp:posOffset>
                </wp:positionV>
                <wp:extent cx="5810250" cy="1905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42.002834pt;width:457.499964pt;height:1.5pt;mso-position-horizontal-relative:page;mso-position-vertical-relative:paragraph;z-index:-15673344;mso-wrap-distance-left:0;mso-wrap-distance-right:0" id="docshape159" filled="true" fillcolor="#534089" stroked="false">
                <v:fill type="solid"/>
                <w10:wrap type="topAndBottom"/>
              </v:rect>
            </w:pict>
          </mc:Fallback>
        </mc:AlternateContent>
      </w:r>
      <w:r>
        <w:rPr>
          <w:color w:val="534089"/>
        </w:rPr>
        <w:t>MANAGING</w:t>
      </w:r>
      <w:r>
        <w:rPr>
          <w:color w:val="534089"/>
          <w:spacing w:val="-15"/>
        </w:rPr>
        <w:t> </w:t>
      </w:r>
      <w:r>
        <w:rPr>
          <w:color w:val="534089"/>
        </w:rPr>
        <w:t>BLEEDING</w:t>
      </w:r>
      <w:r>
        <w:rPr>
          <w:color w:val="534089"/>
          <w:spacing w:val="-15"/>
        </w:rPr>
        <w:t> </w:t>
      </w:r>
      <w:r>
        <w:rPr>
          <w:color w:val="534089"/>
        </w:rPr>
        <w:t>DURING</w:t>
      </w:r>
      <w:r>
        <w:rPr>
          <w:color w:val="534089"/>
          <w:spacing w:val="-15"/>
        </w:rPr>
        <w:t> </w:t>
      </w:r>
      <w:r>
        <w:rPr>
          <w:color w:val="534089"/>
        </w:rPr>
        <w:t>MENOPAUSAL</w:t>
      </w:r>
      <w:r>
        <w:rPr>
          <w:color w:val="534089"/>
          <w:spacing w:val="-15"/>
        </w:rPr>
        <w:t> </w:t>
      </w:r>
      <w:r>
        <w:rPr>
          <w:color w:val="534089"/>
        </w:rPr>
        <w:t>HORMONE </w:t>
      </w:r>
      <w:r>
        <w:rPr>
          <w:color w:val="534089"/>
          <w:spacing w:val="-2"/>
        </w:rPr>
        <w:t>THERAPY</w:t>
      </w:r>
    </w:p>
    <w:p>
      <w:pPr>
        <w:pStyle w:val="BodyText"/>
        <w:spacing w:line="249" w:lineRule="auto" w:before="215"/>
        <w:ind w:right="100"/>
      </w:pPr>
      <w:r>
        <w:rPr/>
        <w:t>With sequential therapy, approximately 80% to 90% of women </w:t>
      </w:r>
      <w:r>
        <w:rPr/>
        <w:t>experience monthly withdrawal bleeding. With continuous, combined estrogen-progestin therapy, one can expect 40% to 60% of patients to experience breakthrough bleeding during the first 6 months of treatment; however, this percentage decreases to 10% to 20% after 1 year.</w:t>
      </w:r>
      <w:r>
        <w:rPr>
          <w:vertAlign w:val="superscript"/>
        </w:rPr>
        <w:t>110,111,531</w:t>
      </w:r>
      <w:r>
        <w:rPr>
          <w:vertAlign w:val="baseline"/>
        </w:rPr>
        <w:t> Although this percentage of amenorrhea with continuous, combined therapy is a</w:t>
      </w:r>
      <w:r>
        <w:rPr>
          <w:spacing w:val="40"/>
          <w:vertAlign w:val="baseline"/>
        </w:rPr>
        <w:t> </w:t>
      </w:r>
      <w:r>
        <w:rPr>
          <w:vertAlign w:val="baseline"/>
        </w:rPr>
        <w:t>gratifying accomplishment, the number of women who experience breakthrough bleeding is considerable, and it is a difficult management problem. Indeed, the single most aggravating and worrisome problem with daily, continuous therapy is this breakthrough bleeding.</w:t>
      </w:r>
    </w:p>
    <w:p>
      <w:pPr>
        <w:pStyle w:val="BodyText"/>
        <w:spacing w:line="249" w:lineRule="auto" w:before="12"/>
        <w:ind w:right="98" w:firstLine="450"/>
      </w:pPr>
      <w:r>
        <w:rPr/>
        <w:t>Why call it breakthrough bleeding? The bleeding experienced by women on continuous, combined therapy is similar to that seen with oral contraceptives. It originates from an endometrium dominated </w:t>
      </w:r>
      <w:r>
        <w:rPr/>
        <w:t>by progestational influence; hence, the endometrium is usually atrophic, and yields little, if anything, to the exploring biopsy instrument. Breakthrough bleeding is due to a progestational effect on vascular strength and integrity, producing a fragility that is prone to breakdown and bleeding. It is helpful</w:t>
      </w:r>
      <w:r>
        <w:rPr>
          <w:spacing w:val="40"/>
        </w:rPr>
        <w:t> </w:t>
      </w:r>
      <w:r>
        <w:rPr/>
        <w:t>to explain to patients that this bleeding represents tissue breakdown as the endometrium adjusts to its new hormonal stimulation. From our experience with oral contraceptives, we have learned to be comfortable with this type of bleeding. We have learned that for most patients, the incidence of breakthrough bleeding with oral contraceptives is greatest in the first few months of treatment and usually disappears in the majority of women. Indeed, this is the same pattern exhibited by postmenopausal women on continuous, combined therapy, and therefore, the most effective management strategy is patient education and support.</w:t>
      </w:r>
    </w:p>
    <w:p>
      <w:pPr>
        <w:pStyle w:val="BodyText"/>
        <w:spacing w:line="249" w:lineRule="auto" w:before="20"/>
        <w:ind w:right="98" w:firstLine="450"/>
      </w:pPr>
      <w:r>
        <w:rPr/>
        <w:t>It is common for women on a sequential regimen to begin bleeding during progestin administration. The timing of withdrawal bleeding </w:t>
      </w:r>
      <w:r>
        <w:rPr/>
        <w:t>in women on a sequential estrogen-progestin program was suggested as a screening method for biopsy decision-making.</w:t>
      </w:r>
      <w:r>
        <w:rPr>
          <w:spacing w:val="-1"/>
        </w:rPr>
        <w:t> </w:t>
      </w:r>
      <w:r>
        <w:rPr/>
        <w:t>In women taking a variety of progestins for 12 days each month, bleeding on or before day 10 after the addition of the progestin was associated with proliferative endometrium. Bleeding</w:t>
      </w:r>
      <w:r>
        <w:rPr>
          <w:spacing w:val="58"/>
          <w:w w:val="150"/>
        </w:rPr>
        <w:t> </w:t>
      </w:r>
      <w:r>
        <w:rPr/>
        <w:t>beginning</w:t>
      </w:r>
      <w:r>
        <w:rPr>
          <w:spacing w:val="60"/>
          <w:w w:val="150"/>
        </w:rPr>
        <w:t> </w:t>
      </w:r>
      <w:r>
        <w:rPr/>
        <w:t>on</w:t>
      </w:r>
      <w:r>
        <w:rPr>
          <w:spacing w:val="60"/>
          <w:w w:val="150"/>
        </w:rPr>
        <w:t> </w:t>
      </w:r>
      <w:r>
        <w:rPr/>
        <w:t>day</w:t>
      </w:r>
      <w:r>
        <w:rPr>
          <w:spacing w:val="61"/>
          <w:w w:val="150"/>
        </w:rPr>
        <w:t> </w:t>
      </w:r>
      <w:r>
        <w:rPr/>
        <w:t>11</w:t>
      </w:r>
      <w:r>
        <w:rPr>
          <w:spacing w:val="60"/>
          <w:w w:val="150"/>
        </w:rPr>
        <w:t> </w:t>
      </w:r>
      <w:r>
        <w:rPr/>
        <w:t>or</w:t>
      </w:r>
      <w:r>
        <w:rPr>
          <w:spacing w:val="60"/>
          <w:w w:val="150"/>
        </w:rPr>
        <w:t> </w:t>
      </w:r>
      <w:r>
        <w:rPr/>
        <w:t>later</w:t>
      </w:r>
      <w:r>
        <w:rPr>
          <w:spacing w:val="61"/>
          <w:w w:val="150"/>
        </w:rPr>
        <w:t> </w:t>
      </w:r>
      <w:r>
        <w:rPr/>
        <w:t>was</w:t>
      </w:r>
      <w:r>
        <w:rPr>
          <w:spacing w:val="60"/>
          <w:w w:val="150"/>
        </w:rPr>
        <w:t> </w:t>
      </w:r>
      <w:r>
        <w:rPr/>
        <w:t>associated</w:t>
      </w:r>
      <w:r>
        <w:rPr>
          <w:spacing w:val="60"/>
          <w:w w:val="150"/>
        </w:rPr>
        <w:t> </w:t>
      </w:r>
      <w:r>
        <w:rPr/>
        <w:t>with</w:t>
      </w:r>
      <w:r>
        <w:rPr>
          <w:spacing w:val="61"/>
          <w:w w:val="150"/>
        </w:rPr>
        <w:t> </w:t>
      </w:r>
      <w:r>
        <w:rPr>
          <w:spacing w:val="-2"/>
        </w:rPr>
        <w:t>secretory</w:t>
      </w:r>
    </w:p>
    <w:p>
      <w:pPr>
        <w:pStyle w:val="BodyText"/>
        <w:spacing w:after="0" w:line="249" w:lineRule="auto"/>
        <w:sectPr>
          <w:pgSz w:w="12240" w:h="15840"/>
          <w:pgMar w:top="1380" w:bottom="280" w:left="1440" w:right="1440"/>
        </w:sectPr>
      </w:pPr>
    </w:p>
    <w:p>
      <w:pPr>
        <w:pStyle w:val="BodyText"/>
        <w:spacing w:line="249" w:lineRule="auto"/>
        <w:ind w:right="100"/>
      </w:pPr>
      <w:r>
        <w:rPr/>
        <w:t>endometrium, presumably indicating less need for biopsy.</w:t>
      </w:r>
      <w:r>
        <w:rPr>
          <w:vertAlign w:val="superscript"/>
        </w:rPr>
        <w:t>532</w:t>
      </w:r>
      <w:r>
        <w:rPr>
          <w:vertAlign w:val="baseline"/>
        </w:rPr>
        <w:t> But does this correlate</w:t>
      </w:r>
      <w:r>
        <w:rPr>
          <w:spacing w:val="26"/>
          <w:vertAlign w:val="baseline"/>
        </w:rPr>
        <w:t> </w:t>
      </w:r>
      <w:r>
        <w:rPr>
          <w:vertAlign w:val="baseline"/>
        </w:rPr>
        <w:t>with</w:t>
      </w:r>
      <w:r>
        <w:rPr>
          <w:spacing w:val="28"/>
          <w:vertAlign w:val="baseline"/>
        </w:rPr>
        <w:t> </w:t>
      </w:r>
      <w:r>
        <w:rPr>
          <w:vertAlign w:val="baseline"/>
        </w:rPr>
        <w:t>the</w:t>
      </w:r>
      <w:r>
        <w:rPr>
          <w:spacing w:val="28"/>
          <w:vertAlign w:val="baseline"/>
        </w:rPr>
        <w:t> </w:t>
      </w:r>
      <w:r>
        <w:rPr>
          <w:vertAlign w:val="baseline"/>
        </w:rPr>
        <w:t>risk</w:t>
      </w:r>
      <w:r>
        <w:rPr>
          <w:spacing w:val="28"/>
          <w:vertAlign w:val="baseline"/>
        </w:rPr>
        <w:t> </w:t>
      </w:r>
      <w:r>
        <w:rPr>
          <w:vertAlign w:val="baseline"/>
        </w:rPr>
        <w:t>of</w:t>
      </w:r>
      <w:r>
        <w:rPr>
          <w:spacing w:val="28"/>
          <w:vertAlign w:val="baseline"/>
        </w:rPr>
        <w:t> </w:t>
      </w:r>
      <w:r>
        <w:rPr>
          <w:vertAlign w:val="baseline"/>
        </w:rPr>
        <w:t>hyperplasia</w:t>
      </w:r>
      <w:r>
        <w:rPr>
          <w:spacing w:val="28"/>
          <w:vertAlign w:val="baseline"/>
        </w:rPr>
        <w:t> </w:t>
      </w:r>
      <w:r>
        <w:rPr>
          <w:vertAlign w:val="baseline"/>
        </w:rPr>
        <w:t>and</w:t>
      </w:r>
      <w:r>
        <w:rPr>
          <w:spacing w:val="28"/>
          <w:vertAlign w:val="baseline"/>
        </w:rPr>
        <w:t> </w:t>
      </w:r>
      <w:r>
        <w:rPr>
          <w:vertAlign w:val="baseline"/>
        </w:rPr>
        <w:t>cancer?</w:t>
      </w:r>
      <w:r>
        <w:rPr>
          <w:spacing w:val="27"/>
          <w:vertAlign w:val="baseline"/>
        </w:rPr>
        <w:t> </w:t>
      </w:r>
      <w:r>
        <w:rPr>
          <w:vertAlign w:val="baseline"/>
        </w:rPr>
        <w:t>According</w:t>
      </w:r>
      <w:r>
        <w:rPr>
          <w:spacing w:val="30"/>
          <w:vertAlign w:val="baseline"/>
        </w:rPr>
        <w:t> </w:t>
      </w:r>
      <w:r>
        <w:rPr>
          <w:vertAlign w:val="baseline"/>
        </w:rPr>
        <w:t>to</w:t>
      </w:r>
      <w:r>
        <w:rPr>
          <w:spacing w:val="30"/>
          <w:vertAlign w:val="baseline"/>
        </w:rPr>
        <w:t> </w:t>
      </w:r>
      <w:r>
        <w:rPr>
          <w:vertAlign w:val="baseline"/>
        </w:rPr>
        <w:t>a</w:t>
      </w:r>
      <w:r>
        <w:rPr>
          <w:spacing w:val="30"/>
          <w:vertAlign w:val="baseline"/>
        </w:rPr>
        <w:t> </w:t>
      </w:r>
      <w:r>
        <w:rPr>
          <w:vertAlign w:val="baseline"/>
        </w:rPr>
        <w:t>study</w:t>
      </w:r>
      <w:r>
        <w:rPr>
          <w:spacing w:val="30"/>
          <w:vertAlign w:val="baseline"/>
        </w:rPr>
        <w:t> </w:t>
      </w:r>
      <w:r>
        <w:rPr>
          <w:spacing w:val="-7"/>
          <w:vertAlign w:val="baseline"/>
        </w:rPr>
        <w:t>of</w:t>
      </w:r>
    </w:p>
    <w:p>
      <w:pPr>
        <w:pStyle w:val="BodyText"/>
        <w:spacing w:line="249" w:lineRule="auto" w:before="2"/>
        <w:ind w:right="101"/>
      </w:pPr>
      <w:r>
        <w:rPr/>
        <w:t>413 postmenopausal women, the day of bleeding did not predict endometrial safety.</w:t>
      </w:r>
      <w:r>
        <w:rPr>
          <w:vertAlign w:val="superscript"/>
        </w:rPr>
        <w:t>533</w:t>
      </w:r>
      <w:r>
        <w:rPr>
          <w:vertAlign w:val="baseline"/>
        </w:rPr>
        <w:t> Late regular withdrawal bleeding on a </w:t>
      </w:r>
      <w:r>
        <w:rPr>
          <w:vertAlign w:val="baseline"/>
        </w:rPr>
        <w:t>sequential program does not give 100% assurance that there is no hyperplasia and perhaps</w:t>
      </w:r>
      <w:r>
        <w:rPr>
          <w:spacing w:val="-1"/>
          <w:vertAlign w:val="baseline"/>
        </w:rPr>
        <w:t> </w:t>
      </w:r>
      <w:r>
        <w:rPr>
          <w:vertAlign w:val="baseline"/>
        </w:rPr>
        <w:t>endometrial</w:t>
      </w:r>
      <w:r>
        <w:rPr>
          <w:spacing w:val="-1"/>
          <w:vertAlign w:val="baseline"/>
        </w:rPr>
        <w:t> </w:t>
      </w:r>
      <w:r>
        <w:rPr>
          <w:vertAlign w:val="baseline"/>
        </w:rPr>
        <w:t>cancer.</w:t>
      </w:r>
      <w:r>
        <w:rPr>
          <w:spacing w:val="-2"/>
          <w:vertAlign w:val="baseline"/>
        </w:rPr>
        <w:t> </w:t>
      </w:r>
      <w:r>
        <w:rPr>
          <w:vertAlign w:val="baseline"/>
        </w:rPr>
        <w:t>This uncertainty with the sequential program is another reason to turn to the daily, combined method where irregular bleeding and sonographic measurement of increased endometrial thickness provide good indications for endometrial biopsy.</w:t>
      </w:r>
    </w:p>
    <w:p>
      <w:pPr>
        <w:pStyle w:val="BodyText"/>
        <w:spacing w:line="249" w:lineRule="auto" w:before="9"/>
        <w:ind w:right="98" w:firstLine="450"/>
      </w:pPr>
      <w:r>
        <w:rPr/>
        <w:t>Evaluation</w:t>
      </w:r>
      <w:r>
        <w:rPr>
          <w:spacing w:val="-2"/>
        </w:rPr>
        <w:t> </w:t>
      </w:r>
      <w:r>
        <w:rPr/>
        <w:t>of</w:t>
      </w:r>
      <w:r>
        <w:rPr>
          <w:spacing w:val="-2"/>
        </w:rPr>
        <w:t> </w:t>
      </w:r>
      <w:r>
        <w:rPr/>
        <w:t>abnormal</w:t>
      </w:r>
      <w:r>
        <w:rPr>
          <w:spacing w:val="-2"/>
        </w:rPr>
        <w:t> </w:t>
      </w:r>
      <w:r>
        <w:rPr/>
        <w:t>uterine</w:t>
      </w:r>
      <w:r>
        <w:rPr>
          <w:spacing w:val="-2"/>
        </w:rPr>
        <w:t> </w:t>
      </w:r>
      <w:r>
        <w:rPr/>
        <w:t>bleeding</w:t>
      </w:r>
      <w:r>
        <w:rPr>
          <w:spacing w:val="-2"/>
        </w:rPr>
        <w:t> </w:t>
      </w:r>
      <w:r>
        <w:rPr/>
        <w:t>in</w:t>
      </w:r>
      <w:r>
        <w:rPr>
          <w:spacing w:val="-2"/>
        </w:rPr>
        <w:t> </w:t>
      </w:r>
      <w:r>
        <w:rPr/>
        <w:t>the</w:t>
      </w:r>
      <w:r>
        <w:rPr>
          <w:spacing w:val="-2"/>
        </w:rPr>
        <w:t> </w:t>
      </w:r>
      <w:r>
        <w:rPr/>
        <w:t>setting</w:t>
      </w:r>
      <w:r>
        <w:rPr>
          <w:spacing w:val="-2"/>
        </w:rPr>
        <w:t> </w:t>
      </w:r>
      <w:r>
        <w:rPr/>
        <w:t>of</w:t>
      </w:r>
      <w:r>
        <w:rPr>
          <w:spacing w:val="-2"/>
        </w:rPr>
        <w:t> </w:t>
      </w:r>
      <w:r>
        <w:rPr/>
        <w:t>hormone</w:t>
      </w:r>
      <w:r>
        <w:rPr>
          <w:spacing w:val="-2"/>
        </w:rPr>
        <w:t> </w:t>
      </w:r>
      <w:r>
        <w:rPr/>
        <w:t>use</w:t>
      </w:r>
      <w:r>
        <w:rPr>
          <w:spacing w:val="-2"/>
        </w:rPr>
        <w:t> </w:t>
      </w:r>
      <w:r>
        <w:rPr/>
        <w:t>is identical to the paradigm discussed earlier in this chapter. The thickness of the postmenopausal endometrium as measured by transvaginal ultrasound (TVUS) in postmenopausal women correlates with the presence or </w:t>
      </w:r>
      <w:r>
        <w:rPr/>
        <w:t>absence of pathology. However, the severity of pathologic change does not correlate with the measured thickness.</w:t>
      </w:r>
      <w:r>
        <w:rPr>
          <w:vertAlign w:val="superscript"/>
        </w:rPr>
        <w:t>534</w:t>
      </w:r>
      <w:r>
        <w:rPr>
          <w:spacing w:val="-1"/>
          <w:vertAlign w:val="baseline"/>
        </w:rPr>
        <w:t> </w:t>
      </w:r>
      <w:r>
        <w:rPr>
          <w:vertAlign w:val="baseline"/>
        </w:rPr>
        <w:t>Endometrial</w:t>
      </w:r>
      <w:r>
        <w:rPr>
          <w:spacing w:val="-1"/>
          <w:vertAlign w:val="baseline"/>
        </w:rPr>
        <w:t> </w:t>
      </w:r>
      <w:r>
        <w:rPr>
          <w:vertAlign w:val="baseline"/>
        </w:rPr>
        <w:t>thickness</w:t>
      </w:r>
      <w:r>
        <w:rPr>
          <w:spacing w:val="-1"/>
          <w:vertAlign w:val="baseline"/>
        </w:rPr>
        <w:t> </w:t>
      </w:r>
      <w:r>
        <w:rPr>
          <w:vertAlign w:val="baseline"/>
        </w:rPr>
        <w:t>(the</w:t>
      </w:r>
      <w:r>
        <w:rPr>
          <w:spacing w:val="-1"/>
          <w:vertAlign w:val="baseline"/>
        </w:rPr>
        <w:t> </w:t>
      </w:r>
      <w:r>
        <w:rPr>
          <w:vertAlign w:val="baseline"/>
        </w:rPr>
        <w:t>two</w:t>
      </w:r>
      <w:r>
        <w:rPr>
          <w:spacing w:val="-1"/>
          <w:vertAlign w:val="baseline"/>
        </w:rPr>
        <w:t> </w:t>
      </w:r>
      <w:r>
        <w:rPr>
          <w:vertAlign w:val="baseline"/>
        </w:rPr>
        <w:t>layers</w:t>
      </w:r>
      <w:r>
        <w:rPr>
          <w:spacing w:val="-1"/>
          <w:vertAlign w:val="baseline"/>
        </w:rPr>
        <w:t> </w:t>
      </w:r>
      <w:r>
        <w:rPr>
          <w:vertAlign w:val="baseline"/>
        </w:rPr>
        <w:t>of</w:t>
      </w:r>
      <w:r>
        <w:rPr>
          <w:spacing w:val="-1"/>
          <w:vertAlign w:val="baseline"/>
        </w:rPr>
        <w:t> </w:t>
      </w:r>
      <w:r>
        <w:rPr>
          <w:vertAlign w:val="baseline"/>
        </w:rPr>
        <w:t>the anterior and posterior walls in the longitudinal axis) 4 mm or less is highly</w:t>
      </w:r>
      <w:r>
        <w:rPr>
          <w:vertAlign w:val="superscript"/>
        </w:rPr>
        <w:t>535</w:t>
      </w:r>
      <w:r>
        <w:rPr>
          <w:vertAlign w:val="baseline"/>
        </w:rPr>
        <w:t> reassuring (negative predictive value &gt;99%), supported by the American College of Obstetricians and Gynecologists, and allows conservative management.</w:t>
      </w:r>
      <w:r>
        <w:rPr>
          <w:vertAlign w:val="superscript"/>
        </w:rPr>
        <w:t>536-540</w:t>
      </w:r>
    </w:p>
    <w:p>
      <w:pPr>
        <w:pStyle w:val="BodyText"/>
        <w:spacing w:line="249" w:lineRule="auto" w:before="12"/>
        <w:ind w:right="97" w:firstLine="450"/>
        <w:rPr>
          <w:b/>
        </w:rPr>
      </w:pPr>
      <w:r>
        <w:rPr/>
        <w:t>It is estimated that 50% to 75% of patients experiencing abnormal uterine bleeding on HT and evaluated by TVUS will eventually require a biopsy.</w:t>
      </w:r>
      <w:r>
        <w:rPr>
          <w:vertAlign w:val="superscript"/>
        </w:rPr>
        <w:t>534,538</w:t>
      </w:r>
      <w:r>
        <w:rPr>
          <w:spacing w:val="-11"/>
          <w:vertAlign w:val="baseline"/>
        </w:rPr>
        <w:t> </w:t>
      </w:r>
      <w:r>
        <w:rPr>
          <w:vertAlign w:val="baseline"/>
        </w:rPr>
        <w:t>It</w:t>
      </w:r>
      <w:r>
        <w:rPr>
          <w:spacing w:val="-10"/>
          <w:vertAlign w:val="baseline"/>
        </w:rPr>
        <w:t> </w:t>
      </w:r>
      <w:r>
        <w:rPr>
          <w:vertAlign w:val="baseline"/>
        </w:rPr>
        <w:t>seems</w:t>
      </w:r>
      <w:r>
        <w:rPr>
          <w:spacing w:val="-10"/>
          <w:vertAlign w:val="baseline"/>
        </w:rPr>
        <w:t> </w:t>
      </w:r>
      <w:r>
        <w:rPr>
          <w:vertAlign w:val="baseline"/>
        </w:rPr>
        <w:t>logical</w:t>
      </w:r>
      <w:r>
        <w:rPr>
          <w:spacing w:val="-10"/>
          <w:vertAlign w:val="baseline"/>
        </w:rPr>
        <w:t> </w:t>
      </w:r>
      <w:r>
        <w:rPr>
          <w:vertAlign w:val="baseline"/>
        </w:rPr>
        <w:t>that</w:t>
      </w:r>
      <w:r>
        <w:rPr>
          <w:spacing w:val="-10"/>
          <w:vertAlign w:val="baseline"/>
        </w:rPr>
        <w:t> </w:t>
      </w:r>
      <w:r>
        <w:rPr>
          <w:vertAlign w:val="baseline"/>
        </w:rPr>
        <w:t>endometrial</w:t>
      </w:r>
      <w:r>
        <w:rPr>
          <w:spacing w:val="-10"/>
          <w:vertAlign w:val="baseline"/>
        </w:rPr>
        <w:t> </w:t>
      </w:r>
      <w:r>
        <w:rPr>
          <w:vertAlign w:val="baseline"/>
        </w:rPr>
        <w:t>thickness</w:t>
      </w:r>
      <w:r>
        <w:rPr>
          <w:spacing w:val="-10"/>
          <w:vertAlign w:val="baseline"/>
        </w:rPr>
        <w:t> </w:t>
      </w:r>
      <w:r>
        <w:rPr>
          <w:vertAlign w:val="baseline"/>
        </w:rPr>
        <w:t>by</w:t>
      </w:r>
      <w:r>
        <w:rPr>
          <w:spacing w:val="-10"/>
          <w:vertAlign w:val="baseline"/>
        </w:rPr>
        <w:t> </w:t>
      </w:r>
      <w:r>
        <w:rPr>
          <w:vertAlign w:val="baseline"/>
        </w:rPr>
        <w:t>TVUS</w:t>
      </w:r>
      <w:r>
        <w:rPr>
          <w:spacing w:val="-10"/>
          <w:vertAlign w:val="baseline"/>
        </w:rPr>
        <w:t> </w:t>
      </w:r>
      <w:r>
        <w:rPr>
          <w:vertAlign w:val="baseline"/>
        </w:rPr>
        <w:t>in</w:t>
      </w:r>
      <w:r>
        <w:rPr>
          <w:spacing w:val="-10"/>
          <w:vertAlign w:val="baseline"/>
        </w:rPr>
        <w:t> </w:t>
      </w:r>
      <w:r>
        <w:rPr>
          <w:vertAlign w:val="baseline"/>
        </w:rPr>
        <w:t>patients on a sequential regimen can be affected by day in the treatment cycle, and for that reason, ultrasonography assessment should be obtained toward the end of the progestin phase or at the beginning of the cycle.</w:t>
      </w:r>
      <w:r>
        <w:rPr>
          <w:vertAlign w:val="superscript"/>
        </w:rPr>
        <w:t>541,542</w:t>
      </w:r>
      <w:r>
        <w:rPr>
          <w:vertAlign w:val="baseline"/>
        </w:rPr>
        <w:t> An Italian study concluded that endometrial thickness measured soon after withdrawal bleeding in women on a sequential regimen was comparable to thickness in women on a continuous, combined program of estrogen-progestin treatment.</w:t>
      </w:r>
      <w:r>
        <w:rPr>
          <w:vertAlign w:val="superscript"/>
        </w:rPr>
        <w:t>543</w:t>
      </w:r>
      <w:r>
        <w:rPr>
          <w:vertAlign w:val="baseline"/>
        </w:rPr>
        <w:t> When a thick endometrium is associated with atrophic endometrium on biopsy, polyps or submucous myomas should be</w:t>
      </w:r>
      <w:r>
        <w:rPr>
          <w:spacing w:val="40"/>
          <w:vertAlign w:val="baseline"/>
        </w:rPr>
        <w:t> </w:t>
      </w:r>
      <w:r>
        <w:rPr>
          <w:vertAlign w:val="baseline"/>
        </w:rPr>
        <w:t>suspected. A thorough curettage can miss such pathology, and either an SHBG or hysteroscopy should be considered the next step as discussed earlier.</w:t>
      </w:r>
      <w:r>
        <w:rPr>
          <w:vertAlign w:val="superscript"/>
        </w:rPr>
        <w:t>544</w:t>
      </w:r>
      <w:r>
        <w:rPr>
          <w:vertAlign w:val="baseline"/>
        </w:rPr>
        <w:t> Doppler velocimetry does not improve the accuracy of discriminating between normal and abnormal endometrium.</w:t>
      </w:r>
      <w:r>
        <w:rPr>
          <w:vertAlign w:val="superscript"/>
        </w:rPr>
        <w:t>545</w:t>
      </w:r>
      <w:r>
        <w:rPr>
          <w:vertAlign w:val="baseline"/>
        </w:rPr>
        <w:t> </w:t>
      </w:r>
      <w:r>
        <w:rPr>
          <w:b/>
          <w:vertAlign w:val="baseline"/>
        </w:rPr>
        <w:t>A clinician should not be satisfied with “normal” findings on ultrasonography if a patient</w:t>
      </w:r>
      <w:r>
        <w:rPr>
          <w:b/>
          <w:spacing w:val="59"/>
          <w:w w:val="150"/>
          <w:vertAlign w:val="baseline"/>
        </w:rPr>
        <w:t> </w:t>
      </w:r>
      <w:r>
        <w:rPr>
          <w:b/>
          <w:vertAlign w:val="baseline"/>
        </w:rPr>
        <w:t>has</w:t>
      </w:r>
      <w:r>
        <w:rPr>
          <w:b/>
          <w:spacing w:val="60"/>
          <w:w w:val="150"/>
          <w:vertAlign w:val="baseline"/>
        </w:rPr>
        <w:t> </w:t>
      </w:r>
      <w:r>
        <w:rPr>
          <w:b/>
          <w:vertAlign w:val="baseline"/>
        </w:rPr>
        <w:t>persistent</w:t>
      </w:r>
      <w:r>
        <w:rPr>
          <w:b/>
          <w:spacing w:val="59"/>
          <w:w w:val="150"/>
          <w:vertAlign w:val="baseline"/>
        </w:rPr>
        <w:t> </w:t>
      </w:r>
      <w:r>
        <w:rPr>
          <w:b/>
          <w:vertAlign w:val="baseline"/>
        </w:rPr>
        <w:t>bleeding.</w:t>
      </w:r>
      <w:r>
        <w:rPr>
          <w:b/>
          <w:spacing w:val="60"/>
          <w:w w:val="150"/>
          <w:vertAlign w:val="baseline"/>
        </w:rPr>
        <w:t> </w:t>
      </w:r>
      <w:r>
        <w:rPr>
          <w:b/>
          <w:vertAlign w:val="baseline"/>
        </w:rPr>
        <w:t>The</w:t>
      </w:r>
      <w:r>
        <w:rPr>
          <w:b/>
          <w:spacing w:val="63"/>
          <w:w w:val="150"/>
          <w:vertAlign w:val="baseline"/>
        </w:rPr>
        <w:t> </w:t>
      </w:r>
      <w:r>
        <w:rPr>
          <w:b/>
          <w:vertAlign w:val="baseline"/>
        </w:rPr>
        <w:t>pursuit</w:t>
      </w:r>
      <w:r>
        <w:rPr>
          <w:b/>
          <w:spacing w:val="64"/>
          <w:w w:val="150"/>
          <w:vertAlign w:val="baseline"/>
        </w:rPr>
        <w:t> </w:t>
      </w:r>
      <w:r>
        <w:rPr>
          <w:b/>
          <w:vertAlign w:val="baseline"/>
        </w:rPr>
        <w:t>of</w:t>
      </w:r>
      <w:r>
        <w:rPr>
          <w:b/>
          <w:spacing w:val="63"/>
          <w:w w:val="150"/>
          <w:vertAlign w:val="baseline"/>
        </w:rPr>
        <w:t> </w:t>
      </w:r>
      <w:r>
        <w:rPr>
          <w:b/>
          <w:vertAlign w:val="baseline"/>
        </w:rPr>
        <w:t>abnormal</w:t>
      </w:r>
      <w:r>
        <w:rPr>
          <w:b/>
          <w:spacing w:val="64"/>
          <w:w w:val="150"/>
          <w:vertAlign w:val="baseline"/>
        </w:rPr>
        <w:t> </w:t>
      </w:r>
      <w:r>
        <w:rPr>
          <w:b/>
          <w:spacing w:val="-2"/>
          <w:vertAlign w:val="baseline"/>
        </w:rPr>
        <w:t>bleeding</w:t>
      </w:r>
    </w:p>
    <w:p>
      <w:pPr>
        <w:pStyle w:val="BodyText"/>
        <w:spacing w:after="0" w:line="249" w:lineRule="auto"/>
        <w:rPr>
          <w:b/>
        </w:rPr>
        <w:sectPr>
          <w:pgSz w:w="12240" w:h="15840"/>
          <w:pgMar w:top="1380" w:bottom="280" w:left="1440" w:right="1440"/>
        </w:sectPr>
      </w:pPr>
    </w:p>
    <w:p>
      <w:pPr>
        <w:spacing w:line="249" w:lineRule="auto" w:before="65"/>
        <w:ind w:left="99" w:right="106" w:firstLine="0"/>
        <w:jc w:val="both"/>
        <w:rPr>
          <w:b/>
          <w:sz w:val="30"/>
        </w:rPr>
      </w:pPr>
      <w:r>
        <w:rPr>
          <w:b/>
          <w:sz w:val="30"/>
        </w:rPr>
        <w:t>despite “normal” findings should reduce missed cases of pathology </w:t>
      </w:r>
      <w:r>
        <w:rPr>
          <w:b/>
          <w:sz w:val="30"/>
        </w:rPr>
        <w:t>to nearly zero.</w:t>
      </w:r>
      <w:r>
        <w:rPr>
          <w:sz w:val="30"/>
          <w:vertAlign w:val="superscript"/>
        </w:rPr>
        <w:t>546</w:t>
      </w:r>
      <w:r>
        <w:rPr>
          <w:sz w:val="30"/>
          <w:vertAlign w:val="baseline"/>
        </w:rPr>
        <w:t> </w:t>
      </w:r>
      <w:r>
        <w:rPr>
          <w:b/>
          <w:sz w:val="30"/>
          <w:vertAlign w:val="baseline"/>
        </w:rPr>
        <w:t>In this circumstance, hysteroscopy is recommended.</w:t>
      </w:r>
    </w:p>
    <w:p>
      <w:pPr>
        <w:pStyle w:val="BodyText"/>
        <w:spacing w:line="249" w:lineRule="auto" w:before="2"/>
        <w:ind w:right="100" w:firstLine="450"/>
      </w:pPr>
      <w:r>
        <w:rPr/>
        <w:t>There is no effective method supported by clinical studies, or a large experience, of drug alteration or substitution to manage breakthrough bleeding. The breakthrough bleeding rate is only slightly better with a higher dose of progestin (5.0 mg MPA) than with a lower dose (2.5 mg).</w:t>
      </w:r>
      <w:r>
        <w:rPr>
          <w:vertAlign w:val="superscript"/>
        </w:rPr>
        <w:t>110,531</w:t>
      </w:r>
      <w:r>
        <w:rPr>
          <w:spacing w:val="-3"/>
          <w:vertAlign w:val="baseline"/>
        </w:rPr>
        <w:t> </w:t>
      </w:r>
      <w:r>
        <w:rPr>
          <w:vertAlign w:val="baseline"/>
        </w:rPr>
        <w:t>Therefore,</w:t>
      </w:r>
      <w:r>
        <w:rPr>
          <w:spacing w:val="-3"/>
          <w:vertAlign w:val="baseline"/>
        </w:rPr>
        <w:t> </w:t>
      </w:r>
      <w:r>
        <w:rPr>
          <w:vertAlign w:val="baseline"/>
        </w:rPr>
        <w:t>there</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a</w:t>
      </w:r>
      <w:r>
        <w:rPr>
          <w:spacing w:val="-3"/>
          <w:vertAlign w:val="baseline"/>
        </w:rPr>
        <w:t> </w:t>
      </w:r>
      <w:r>
        <w:rPr>
          <w:vertAlign w:val="baseline"/>
        </w:rPr>
        <w:t>strong</w:t>
      </w:r>
      <w:r>
        <w:rPr>
          <w:spacing w:val="-3"/>
          <w:vertAlign w:val="baseline"/>
        </w:rPr>
        <w:t> </w:t>
      </w:r>
      <w:r>
        <w:rPr>
          <w:vertAlign w:val="baseline"/>
        </w:rPr>
        <w:t>reason</w:t>
      </w:r>
      <w:r>
        <w:rPr>
          <w:spacing w:val="-3"/>
          <w:vertAlign w:val="baseline"/>
        </w:rPr>
        <w:t> </w:t>
      </w:r>
      <w:r>
        <w:rPr>
          <w:vertAlign w:val="baseline"/>
        </w:rPr>
        <w:t>to</w:t>
      </w:r>
      <w:r>
        <w:rPr>
          <w:spacing w:val="-3"/>
          <w:vertAlign w:val="baseline"/>
        </w:rPr>
        <w:t> </w:t>
      </w:r>
      <w:r>
        <w:rPr>
          <w:vertAlign w:val="baseline"/>
        </w:rPr>
        <w:t>use</w:t>
      </w:r>
      <w:r>
        <w:rPr>
          <w:spacing w:val="-3"/>
          <w:vertAlign w:val="baseline"/>
        </w:rPr>
        <w:t> </w:t>
      </w:r>
      <w:r>
        <w:rPr>
          <w:vertAlign w:val="baseline"/>
        </w:rPr>
        <w:t>the</w:t>
      </w:r>
      <w:r>
        <w:rPr>
          <w:spacing w:val="-3"/>
          <w:vertAlign w:val="baseline"/>
        </w:rPr>
        <w:t> </w:t>
      </w:r>
      <w:r>
        <w:rPr>
          <w:vertAlign w:val="baseline"/>
        </w:rPr>
        <w:t>higher</w:t>
      </w:r>
      <w:r>
        <w:rPr>
          <w:spacing w:val="-3"/>
          <w:vertAlign w:val="baseline"/>
        </w:rPr>
        <w:t> </w:t>
      </w:r>
      <w:r>
        <w:rPr>
          <w:vertAlign w:val="baseline"/>
        </w:rPr>
        <w:t>dose,</w:t>
      </w:r>
      <w:r>
        <w:rPr>
          <w:spacing w:val="-3"/>
          <w:vertAlign w:val="baseline"/>
        </w:rPr>
        <w:t> </w:t>
      </w:r>
      <w:r>
        <w:rPr>
          <w:vertAlign w:val="baseline"/>
        </w:rPr>
        <w:t>thus minimizing side effects. The best approach is to gain time, because most patients will cease bleeding. This means good educational preparation of</w:t>
      </w:r>
      <w:r>
        <w:rPr>
          <w:spacing w:val="40"/>
          <w:vertAlign w:val="baseline"/>
        </w:rPr>
        <w:t> </w:t>
      </w:r>
      <w:r>
        <w:rPr>
          <w:vertAlign w:val="baseline"/>
        </w:rPr>
        <w:t>the patient beforehand and frequent contact to allay anxiety and encourage persistence. Estrogen-progestin combinations that contain a 19-nortestosterone progestin (eg, NETA) demonstrate the same pattern of bleeding, but fewer patients bleed in the first 6 months and the amenorrhea rate by 1 year is higher than with other regimens.</w:t>
      </w:r>
      <w:r>
        <w:rPr>
          <w:vertAlign w:val="superscript"/>
        </w:rPr>
        <w:t>547-549</w:t>
      </w:r>
    </w:p>
    <w:p>
      <w:pPr>
        <w:spacing w:line="249" w:lineRule="auto" w:before="15"/>
        <w:ind w:left="99" w:right="97" w:firstLine="450"/>
        <w:jc w:val="both"/>
        <w:rPr>
          <w:sz w:val="30"/>
        </w:rPr>
      </w:pPr>
      <w:r>
        <w:rPr>
          <w:sz w:val="30"/>
        </w:rPr>
        <w:t>There is a subgroup of patients (10-20% at the end of 1 year) who continue to experience breakthrough bleeding. The closer a patient is </w:t>
      </w:r>
      <w:r>
        <w:rPr>
          <w:sz w:val="30"/>
        </w:rPr>
        <w:t>to having been bleeding (either to their premenopausal state or to having been on a sequential method with withdrawal bleeding), the more likely that patient will experience breakthrough bleeding. Some clinicians, therefore, prefer to start patients near the menopause on the sequential method and convert to the continuous method some years later. Some patients may choose progestin IUD as a preferred HT strategy. The local release of progestin is effective in suppressing endometrial response and preventing unscheduled bleeding in the long term. The LNG-IUD in menopausal women can be left in place for up to 10 years, a decided advantage.</w:t>
      </w:r>
      <w:r>
        <w:rPr>
          <w:sz w:val="30"/>
          <w:vertAlign w:val="superscript"/>
        </w:rPr>
        <w:t>148,550</w:t>
      </w:r>
      <w:r>
        <w:rPr>
          <w:sz w:val="30"/>
          <w:vertAlign w:val="baseline"/>
        </w:rPr>
        <w:t> </w:t>
      </w:r>
      <w:r>
        <w:rPr>
          <w:b/>
          <w:sz w:val="30"/>
          <w:vertAlign w:val="baseline"/>
        </w:rPr>
        <w:t>A combined estrogen-progestin program, however, will not totally prevent endometrial cancer.</w:t>
      </w:r>
      <w:r>
        <w:rPr>
          <w:sz w:val="30"/>
          <w:vertAlign w:val="superscript"/>
        </w:rPr>
        <w:t>551</w:t>
      </w:r>
      <w:r>
        <w:rPr>
          <w:sz w:val="30"/>
          <w:vertAlign w:val="baseline"/>
        </w:rPr>
        <w:t> </w:t>
      </w:r>
      <w:r>
        <w:rPr>
          <w:b/>
          <w:sz w:val="30"/>
          <w:vertAlign w:val="baseline"/>
        </w:rPr>
        <w:t>Vigilance on the part of the clinician, however, will detect endometrial cancer at an early stage, a stage that can be treated with excellent results</w:t>
      </w:r>
      <w:r>
        <w:rPr>
          <w:sz w:val="30"/>
          <w:vertAlign w:val="baseline"/>
        </w:rPr>
        <w:t>.</w:t>
      </w:r>
    </w:p>
    <w:p>
      <w:pPr>
        <w:pStyle w:val="BodyText"/>
        <w:spacing w:line="249" w:lineRule="auto" w:before="18"/>
        <w:ind w:right="99" w:firstLine="450"/>
      </w:pPr>
      <w:r>
        <w:rPr/>
        <w:t>For the smaller subset of hormone-using menopausal women who are bothered by persistent unscheduled bleeding that remains unresponsive to earlier-mentioned strategies, consideration for definitive surgery (such </w:t>
      </w:r>
      <w:r>
        <w:rPr/>
        <w:t>as vaginal hysterectomy) may not be unreasonable.</w:t>
      </w:r>
    </w:p>
    <w:p>
      <w:pPr>
        <w:pStyle w:val="BodyText"/>
        <w:spacing w:before="0"/>
        <w:ind w:left="0"/>
        <w:jc w:val="left"/>
        <w:rPr>
          <w:sz w:val="20"/>
        </w:rPr>
      </w:pPr>
    </w:p>
    <w:p>
      <w:pPr>
        <w:pStyle w:val="BodyText"/>
        <w:spacing w:before="116"/>
        <w:ind w:left="0"/>
        <w:jc w:val="left"/>
        <w:rPr>
          <w:sz w:val="20"/>
        </w:rPr>
      </w:pPr>
      <w:r>
        <w:rPr>
          <w:sz w:val="20"/>
        </w:rPr>
        <mc:AlternateContent>
          <mc:Choice Requires="wps">
            <w:drawing>
              <wp:anchor distT="0" distB="0" distL="0" distR="0" allowOverlap="1" layoutInCell="1" locked="0" behindDoc="1" simplePos="0" relativeHeight="487643648">
                <wp:simplePos x="0" y="0"/>
                <wp:positionH relativeFrom="page">
                  <wp:posOffset>981075</wp:posOffset>
                </wp:positionH>
                <wp:positionV relativeFrom="paragraph">
                  <wp:posOffset>234937</wp:posOffset>
                </wp:positionV>
                <wp:extent cx="285750" cy="5715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285750" cy="57150"/>
                        </a:xfrm>
                        <a:custGeom>
                          <a:avLst/>
                          <a:gdLst/>
                          <a:ahLst/>
                          <a:cxnLst/>
                          <a:rect l="l" t="t" r="r" b="b"/>
                          <a:pathLst>
                            <a:path w="285750" h="57150">
                              <a:moveTo>
                                <a:pt x="32364" y="57073"/>
                              </a:moveTo>
                              <a:lnTo>
                                <a:pt x="24785" y="57073"/>
                              </a:lnTo>
                              <a:lnTo>
                                <a:pt x="21140" y="56330"/>
                              </a:lnTo>
                              <a:lnTo>
                                <a:pt x="17639" y="54844"/>
                              </a:lnTo>
                              <a:lnTo>
                                <a:pt x="14138" y="53425"/>
                              </a:lnTo>
                              <a:lnTo>
                                <a:pt x="0" y="32299"/>
                              </a:lnTo>
                              <a:lnTo>
                                <a:pt x="0" y="24784"/>
                              </a:lnTo>
                              <a:lnTo>
                                <a:pt x="24785" y="0"/>
                              </a:lnTo>
                              <a:lnTo>
                                <a:pt x="32364" y="0"/>
                              </a:lnTo>
                              <a:lnTo>
                                <a:pt x="57149" y="24784"/>
                              </a:lnTo>
                              <a:lnTo>
                                <a:pt x="57149" y="32299"/>
                              </a:lnTo>
                              <a:lnTo>
                                <a:pt x="39510" y="54844"/>
                              </a:lnTo>
                              <a:lnTo>
                                <a:pt x="36009" y="56330"/>
                              </a:lnTo>
                              <a:lnTo>
                                <a:pt x="32364" y="57073"/>
                              </a:lnTo>
                              <a:close/>
                            </a:path>
                            <a:path w="285750" h="57150">
                              <a:moveTo>
                                <a:pt x="146569" y="57073"/>
                              </a:moveTo>
                              <a:lnTo>
                                <a:pt x="138990" y="57073"/>
                              </a:lnTo>
                              <a:lnTo>
                                <a:pt x="135345" y="56330"/>
                              </a:lnTo>
                              <a:lnTo>
                                <a:pt x="131844" y="54844"/>
                              </a:lnTo>
                              <a:lnTo>
                                <a:pt x="128343" y="53425"/>
                              </a:lnTo>
                              <a:lnTo>
                                <a:pt x="114204" y="32299"/>
                              </a:lnTo>
                              <a:lnTo>
                                <a:pt x="114204" y="24784"/>
                              </a:lnTo>
                              <a:lnTo>
                                <a:pt x="138990" y="0"/>
                              </a:lnTo>
                              <a:lnTo>
                                <a:pt x="146569" y="0"/>
                              </a:lnTo>
                              <a:lnTo>
                                <a:pt x="171354" y="24784"/>
                              </a:lnTo>
                              <a:lnTo>
                                <a:pt x="171354" y="32299"/>
                              </a:lnTo>
                              <a:lnTo>
                                <a:pt x="153714" y="54844"/>
                              </a:lnTo>
                              <a:lnTo>
                                <a:pt x="150214" y="56330"/>
                              </a:lnTo>
                              <a:lnTo>
                                <a:pt x="146569" y="57073"/>
                              </a:lnTo>
                              <a:close/>
                            </a:path>
                            <a:path w="285750" h="57150">
                              <a:moveTo>
                                <a:pt x="260773" y="57073"/>
                              </a:moveTo>
                              <a:lnTo>
                                <a:pt x="253195" y="57073"/>
                              </a:lnTo>
                              <a:lnTo>
                                <a:pt x="249550" y="56330"/>
                              </a:lnTo>
                              <a:lnTo>
                                <a:pt x="246049" y="54844"/>
                              </a:lnTo>
                              <a:lnTo>
                                <a:pt x="242548" y="53425"/>
                              </a:lnTo>
                              <a:lnTo>
                                <a:pt x="228409" y="32299"/>
                              </a:lnTo>
                              <a:lnTo>
                                <a:pt x="228409" y="24784"/>
                              </a:lnTo>
                              <a:lnTo>
                                <a:pt x="253195" y="0"/>
                              </a:lnTo>
                              <a:lnTo>
                                <a:pt x="260773" y="0"/>
                              </a:lnTo>
                              <a:lnTo>
                                <a:pt x="285559" y="24784"/>
                              </a:lnTo>
                              <a:lnTo>
                                <a:pt x="285559" y="32299"/>
                              </a:lnTo>
                              <a:lnTo>
                                <a:pt x="267919" y="54844"/>
                              </a:lnTo>
                              <a:lnTo>
                                <a:pt x="264418" y="56330"/>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499023pt;width:22.5pt;height:4.5pt;mso-position-horizontal-relative:page;mso-position-vertical-relative:paragraph;z-index:-15672832;mso-wrap-distance-left:0;mso-wrap-distance-right:0" id="docshape160" coordorigin="1545,370" coordsize="450,90" path="m1596,460l1584,460,1578,459,1573,456,1567,454,1562,451,1558,447,1554,442,1551,438,1546,427,1545,421,1545,409,1546,403,1551,392,1554,387,1562,379,1567,376,1573,373,1578,371,1584,370,1596,370,1602,371,1607,373,1613,376,1618,379,1626,387,1629,392,1634,403,1635,409,1635,421,1634,427,1629,438,1626,442,1622,447,1618,451,1613,454,1607,456,1602,459,1596,460xm1776,460l1764,460,1758,459,1753,456,1747,454,1742,451,1738,447,1734,442,1731,438,1726,427,1725,421,1725,409,1726,403,1731,392,1734,387,1742,379,1747,376,1753,373,1758,371,1764,370,1776,370,1782,371,1787,373,1793,376,1797,379,1806,387,1809,392,1814,403,1815,409,1815,421,1814,427,1809,438,1806,442,1802,447,1797,451,1793,454,1787,456,1782,459,1776,460xm1956,460l1944,460,1938,459,1932,456,1927,454,1922,451,1918,447,1914,442,1910,438,1906,427,1905,421,1905,409,1906,403,1910,392,1914,387,1922,379,1927,376,1932,373,1938,371,1944,370,1956,370,1961,371,1967,373,1972,376,1977,379,1986,387,1989,392,1994,403,1995,409,1995,421,1994,427,1989,438,1986,442,1982,447,1977,451,1972,454,1967,456,1961,459,1956,460xe" filled="true" fillcolor="#bdb4d4" stroked="false">
                <v:path arrowok="t"/>
                <v:fill type="solid"/>
                <w10:wrap type="topAndBottom"/>
              </v:shape>
            </w:pict>
          </mc:Fallback>
        </mc:AlternateContent>
      </w:r>
    </w:p>
    <w:p>
      <w:pPr>
        <w:pStyle w:val="BodyText"/>
        <w:spacing w:after="0"/>
        <w:jc w:val="left"/>
        <w:rPr>
          <w:sz w:val="20"/>
        </w:rPr>
        <w:sectPr>
          <w:pgSz w:w="12240" w:h="15840"/>
          <w:pgMar w:top="1380" w:bottom="280" w:left="1440" w:right="1440"/>
        </w:sectPr>
      </w:pPr>
    </w:p>
    <w:p>
      <w:pPr>
        <w:pStyle w:val="Heading3"/>
        <w:spacing w:line="249" w:lineRule="auto" w:before="63"/>
        <w:ind w:right="255"/>
      </w:pPr>
      <w:r>
        <w:rPr/>
        <mc:AlternateContent>
          <mc:Choice Requires="wps">
            <w:drawing>
              <wp:anchor distT="0" distB="0" distL="0" distR="0" allowOverlap="1" layoutInCell="1" locked="0" behindDoc="1" simplePos="0" relativeHeight="487644160">
                <wp:simplePos x="0" y="0"/>
                <wp:positionH relativeFrom="page">
                  <wp:posOffset>981075</wp:posOffset>
                </wp:positionH>
                <wp:positionV relativeFrom="paragraph">
                  <wp:posOffset>533435</wp:posOffset>
                </wp:positionV>
                <wp:extent cx="5810250" cy="1905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42.002762pt;width:457.499964pt;height:1.5pt;mso-position-horizontal-relative:page;mso-position-vertical-relative:paragraph;z-index:-15672320;mso-wrap-distance-left:0;mso-wrap-distance-right:0" id="docshape161" filled="true" fillcolor="#534089" stroked="false">
                <v:fill type="solid"/>
                <w10:wrap type="topAndBottom"/>
              </v:rect>
            </w:pict>
          </mc:Fallback>
        </mc:AlternateContent>
      </w:r>
      <w:r>
        <w:rPr>
          <w:color w:val="534089"/>
        </w:rPr>
        <w:t>HEALTH</w:t>
      </w:r>
      <w:r>
        <w:rPr>
          <w:color w:val="534089"/>
          <w:spacing w:val="-21"/>
        </w:rPr>
        <w:t> </w:t>
      </w:r>
      <w:r>
        <w:rPr>
          <w:color w:val="534089"/>
        </w:rPr>
        <w:t>IMPLICATIONS</w:t>
      </w:r>
      <w:r>
        <w:rPr>
          <w:color w:val="534089"/>
          <w:spacing w:val="-21"/>
        </w:rPr>
        <w:t> </w:t>
      </w:r>
      <w:r>
        <w:rPr>
          <w:color w:val="534089"/>
        </w:rPr>
        <w:t>OF</w:t>
      </w:r>
      <w:r>
        <w:rPr>
          <w:color w:val="534089"/>
          <w:spacing w:val="-21"/>
        </w:rPr>
        <w:t> </w:t>
      </w:r>
      <w:r>
        <w:rPr>
          <w:color w:val="534089"/>
        </w:rPr>
        <w:t>MENOPAUSAL</w:t>
      </w:r>
      <w:r>
        <w:rPr>
          <w:color w:val="534089"/>
          <w:spacing w:val="-21"/>
        </w:rPr>
        <w:t> </w:t>
      </w:r>
      <w:r>
        <w:rPr>
          <w:color w:val="534089"/>
        </w:rPr>
        <w:t>HORMONE </w:t>
      </w:r>
      <w:r>
        <w:rPr>
          <w:color w:val="534089"/>
          <w:spacing w:val="-2"/>
        </w:rPr>
        <w:t>THERAPY</w:t>
      </w:r>
    </w:p>
    <w:p>
      <w:pPr>
        <w:spacing w:before="213"/>
        <w:ind w:left="99" w:right="0" w:firstLine="0"/>
        <w:jc w:val="left"/>
        <w:rPr>
          <w:rFonts w:ascii="Arial"/>
          <w:b/>
          <w:sz w:val="30"/>
        </w:rPr>
      </w:pPr>
      <w:r>
        <w:rPr>
          <w:rFonts w:ascii="Arial"/>
          <w:b/>
          <w:color w:val="2674AE"/>
          <w:sz w:val="30"/>
        </w:rPr>
        <w:t>Cardiovascular </w:t>
      </w:r>
      <w:r>
        <w:rPr>
          <w:rFonts w:ascii="Arial"/>
          <w:b/>
          <w:color w:val="2674AE"/>
          <w:spacing w:val="-2"/>
          <w:sz w:val="30"/>
        </w:rPr>
        <w:t>Effects</w:t>
      </w:r>
      <w:r>
        <w:rPr>
          <w:rFonts w:ascii="Arial"/>
          <w:b/>
          <w:color w:val="2674AE"/>
          <w:spacing w:val="-2"/>
          <w:sz w:val="30"/>
          <w:vertAlign w:val="superscript"/>
        </w:rPr>
        <w:t>552</w:t>
      </w:r>
    </w:p>
    <w:p>
      <w:pPr>
        <w:spacing w:before="165"/>
        <w:ind w:left="99" w:right="0" w:firstLine="0"/>
        <w:jc w:val="left"/>
        <w:rPr>
          <w:rFonts w:ascii="Arial"/>
          <w:b/>
          <w:i/>
          <w:sz w:val="22"/>
        </w:rPr>
      </w:pPr>
      <w:r>
        <w:rPr>
          <w:rFonts w:ascii="Arial"/>
          <w:b/>
          <w:i/>
          <w:color w:val="A0234E"/>
          <w:sz w:val="22"/>
        </w:rPr>
        <w:t>A</w:t>
      </w:r>
      <w:r>
        <w:rPr>
          <w:rFonts w:ascii="Arial"/>
          <w:b/>
          <w:i/>
          <w:color w:val="A0234E"/>
          <w:spacing w:val="11"/>
          <w:sz w:val="22"/>
        </w:rPr>
        <w:t> </w:t>
      </w:r>
      <w:r>
        <w:rPr>
          <w:rFonts w:ascii="Arial"/>
          <w:b/>
          <w:i/>
          <w:color w:val="A0234E"/>
          <w:sz w:val="22"/>
        </w:rPr>
        <w:t>Favorable</w:t>
      </w:r>
      <w:r>
        <w:rPr>
          <w:rFonts w:ascii="Arial"/>
          <w:b/>
          <w:i/>
          <w:color w:val="A0234E"/>
          <w:spacing w:val="12"/>
          <w:sz w:val="22"/>
        </w:rPr>
        <w:t> </w:t>
      </w:r>
      <w:r>
        <w:rPr>
          <w:rFonts w:ascii="Arial"/>
          <w:b/>
          <w:i/>
          <w:color w:val="A0234E"/>
          <w:sz w:val="22"/>
        </w:rPr>
        <w:t>Impact</w:t>
      </w:r>
      <w:r>
        <w:rPr>
          <w:rFonts w:ascii="Arial"/>
          <w:b/>
          <w:i/>
          <w:color w:val="A0234E"/>
          <w:spacing w:val="12"/>
          <w:sz w:val="22"/>
        </w:rPr>
        <w:t> </w:t>
      </w:r>
      <w:r>
        <w:rPr>
          <w:rFonts w:ascii="Arial"/>
          <w:b/>
          <w:i/>
          <w:color w:val="A0234E"/>
          <w:sz w:val="22"/>
        </w:rPr>
        <w:t>on</w:t>
      </w:r>
      <w:r>
        <w:rPr>
          <w:rFonts w:ascii="Arial"/>
          <w:b/>
          <w:i/>
          <w:color w:val="A0234E"/>
          <w:spacing w:val="11"/>
          <w:sz w:val="22"/>
        </w:rPr>
        <w:t> </w:t>
      </w:r>
      <w:r>
        <w:rPr>
          <w:rFonts w:ascii="Arial"/>
          <w:b/>
          <w:i/>
          <w:color w:val="A0234E"/>
          <w:sz w:val="22"/>
        </w:rPr>
        <w:t>Lipids</w:t>
      </w:r>
      <w:r>
        <w:rPr>
          <w:rFonts w:ascii="Arial"/>
          <w:b/>
          <w:i/>
          <w:color w:val="A0234E"/>
          <w:spacing w:val="12"/>
          <w:sz w:val="22"/>
        </w:rPr>
        <w:t> </w:t>
      </w:r>
      <w:r>
        <w:rPr>
          <w:rFonts w:ascii="Arial"/>
          <w:b/>
          <w:i/>
          <w:color w:val="A0234E"/>
          <w:sz w:val="22"/>
        </w:rPr>
        <w:t>and</w:t>
      </w:r>
      <w:r>
        <w:rPr>
          <w:rFonts w:ascii="Arial"/>
          <w:b/>
          <w:i/>
          <w:color w:val="A0234E"/>
          <w:spacing w:val="12"/>
          <w:sz w:val="22"/>
        </w:rPr>
        <w:t> </w:t>
      </w:r>
      <w:r>
        <w:rPr>
          <w:rFonts w:ascii="Arial"/>
          <w:b/>
          <w:i/>
          <w:color w:val="A0234E"/>
          <w:spacing w:val="-2"/>
          <w:sz w:val="22"/>
        </w:rPr>
        <w:t>Lipoproteins</w:t>
      </w:r>
    </w:p>
    <w:p>
      <w:pPr>
        <w:pStyle w:val="BodyText"/>
        <w:spacing w:line="249" w:lineRule="auto" w:before="139"/>
        <w:ind w:right="99"/>
      </w:pPr>
      <w:r>
        <w:rPr/>
        <w:t>The most important lipid effects of postmenopausal estrogen treatment </w:t>
      </w:r>
      <w:r>
        <w:rPr/>
        <w:t>are the reduction in LDL cholesterol and the increase in HDL cholesterol. Estrogen increases triglyceride levels and LDL cholesterol catabolism as well as lipoprotein receptor numbers and activity, resulting in decreasing LDL cholesterol levels.</w:t>
      </w:r>
      <w:r>
        <w:rPr>
          <w:vertAlign w:val="superscript"/>
        </w:rPr>
        <w:t>553-555</w:t>
      </w:r>
      <w:r>
        <w:rPr>
          <w:vertAlign w:val="baseline"/>
        </w:rPr>
        <w:t> Estrogen induces a change in LDL cholesterol toward a smaller more dense particle, but it is in a form with a more rapid turnover in the circulation, allowing less time for oxidation and acquisition of</w:t>
      </w:r>
      <w:r>
        <w:rPr>
          <w:spacing w:val="-8"/>
          <w:vertAlign w:val="baseline"/>
        </w:rPr>
        <w:t> </w:t>
      </w:r>
      <w:r>
        <w:rPr>
          <w:vertAlign w:val="baseline"/>
        </w:rPr>
        <w:t>cholesterol.</w:t>
      </w:r>
      <w:r>
        <w:rPr>
          <w:vertAlign w:val="superscript"/>
        </w:rPr>
        <w:t>556,557</w:t>
      </w:r>
      <w:r>
        <w:rPr>
          <w:spacing w:val="-2"/>
          <w:vertAlign w:val="baseline"/>
        </w:rPr>
        <w:t> </w:t>
      </w:r>
      <w:r>
        <w:rPr>
          <w:vertAlign w:val="baseline"/>
        </w:rPr>
        <w:t>The</w:t>
      </w:r>
      <w:r>
        <w:rPr>
          <w:spacing w:val="-2"/>
          <w:vertAlign w:val="baseline"/>
        </w:rPr>
        <w:t> </w:t>
      </w:r>
      <w:r>
        <w:rPr>
          <w:vertAlign w:val="baseline"/>
        </w:rPr>
        <w:t>increase</w:t>
      </w:r>
      <w:r>
        <w:rPr>
          <w:spacing w:val="-2"/>
          <w:vertAlign w:val="baseline"/>
        </w:rPr>
        <w:t> </w:t>
      </w:r>
      <w:r>
        <w:rPr>
          <w:vertAlign w:val="baseline"/>
        </w:rPr>
        <w:t>in</w:t>
      </w:r>
      <w:r>
        <w:rPr>
          <w:spacing w:val="-2"/>
          <w:vertAlign w:val="baseline"/>
        </w:rPr>
        <w:t> </w:t>
      </w:r>
      <w:r>
        <w:rPr>
          <w:vertAlign w:val="baseline"/>
        </w:rPr>
        <w:t>HDL</w:t>
      </w:r>
      <w:r>
        <w:rPr>
          <w:spacing w:val="-2"/>
          <w:vertAlign w:val="baseline"/>
        </w:rPr>
        <w:t> </w:t>
      </w:r>
      <w:r>
        <w:rPr>
          <w:vertAlign w:val="baseline"/>
        </w:rPr>
        <w:t>cholesterol</w:t>
      </w:r>
      <w:r>
        <w:rPr>
          <w:spacing w:val="-2"/>
          <w:vertAlign w:val="baseline"/>
        </w:rPr>
        <w:t> </w:t>
      </w:r>
      <w:r>
        <w:rPr>
          <w:vertAlign w:val="baseline"/>
        </w:rPr>
        <w:t>levels,</w:t>
      </w:r>
      <w:r>
        <w:rPr>
          <w:spacing w:val="-2"/>
          <w:vertAlign w:val="baseline"/>
        </w:rPr>
        <w:t> </w:t>
      </w:r>
      <w:r>
        <w:rPr>
          <w:vertAlign w:val="baseline"/>
        </w:rPr>
        <w:t>particularly</w:t>
      </w:r>
      <w:r>
        <w:rPr>
          <w:spacing w:val="-2"/>
          <w:vertAlign w:val="baseline"/>
        </w:rPr>
        <w:t> </w:t>
      </w:r>
      <w:r>
        <w:rPr>
          <w:vertAlign w:val="baseline"/>
        </w:rPr>
        <w:t>due to</w:t>
      </w:r>
      <w:r>
        <w:rPr>
          <w:spacing w:val="21"/>
          <w:vertAlign w:val="baseline"/>
        </w:rPr>
        <w:t> </w:t>
      </w:r>
      <w:r>
        <w:rPr>
          <w:vertAlign w:val="baseline"/>
        </w:rPr>
        <w:t>the</w:t>
      </w:r>
      <w:r>
        <w:rPr>
          <w:spacing w:val="22"/>
          <w:vertAlign w:val="baseline"/>
        </w:rPr>
        <w:t> </w:t>
      </w:r>
      <w:r>
        <w:rPr>
          <w:vertAlign w:val="baseline"/>
        </w:rPr>
        <w:t>HDL</w:t>
      </w:r>
      <w:r>
        <w:rPr>
          <w:vertAlign w:val="subscript"/>
        </w:rPr>
        <w:t>2</w:t>
      </w:r>
      <w:r>
        <w:rPr>
          <w:spacing w:val="27"/>
          <w:vertAlign w:val="baseline"/>
        </w:rPr>
        <w:t> </w:t>
      </w:r>
      <w:r>
        <w:rPr>
          <w:vertAlign w:val="baseline"/>
        </w:rPr>
        <w:t>subfraction,</w:t>
      </w:r>
      <w:r>
        <w:rPr>
          <w:spacing w:val="28"/>
          <w:vertAlign w:val="baseline"/>
        </w:rPr>
        <w:t> </w:t>
      </w:r>
      <w:r>
        <w:rPr>
          <w:vertAlign w:val="baseline"/>
        </w:rPr>
        <w:t>is</w:t>
      </w:r>
      <w:r>
        <w:rPr>
          <w:spacing w:val="27"/>
          <w:vertAlign w:val="baseline"/>
        </w:rPr>
        <w:t> </w:t>
      </w:r>
      <w:r>
        <w:rPr>
          <w:vertAlign w:val="baseline"/>
        </w:rPr>
        <w:t>to</w:t>
      </w:r>
      <w:r>
        <w:rPr>
          <w:spacing w:val="28"/>
          <w:vertAlign w:val="baseline"/>
        </w:rPr>
        <w:t> </w:t>
      </w:r>
      <w:r>
        <w:rPr>
          <w:vertAlign w:val="baseline"/>
        </w:rPr>
        <w:t>an</w:t>
      </w:r>
      <w:r>
        <w:rPr>
          <w:spacing w:val="27"/>
          <w:vertAlign w:val="baseline"/>
        </w:rPr>
        <w:t> </w:t>
      </w:r>
      <w:r>
        <w:rPr>
          <w:vertAlign w:val="baseline"/>
        </w:rPr>
        <w:t>important</w:t>
      </w:r>
      <w:r>
        <w:rPr>
          <w:spacing w:val="28"/>
          <w:vertAlign w:val="baseline"/>
        </w:rPr>
        <w:t> </w:t>
      </w:r>
      <w:r>
        <w:rPr>
          <w:vertAlign w:val="baseline"/>
        </w:rPr>
        <w:t>degree</w:t>
      </w:r>
      <w:r>
        <w:rPr>
          <w:spacing w:val="27"/>
          <w:vertAlign w:val="baseline"/>
        </w:rPr>
        <w:t> </w:t>
      </w:r>
      <w:r>
        <w:rPr>
          <w:vertAlign w:val="baseline"/>
        </w:rPr>
        <w:t>the</w:t>
      </w:r>
      <w:r>
        <w:rPr>
          <w:spacing w:val="28"/>
          <w:vertAlign w:val="baseline"/>
        </w:rPr>
        <w:t> </w:t>
      </w:r>
      <w:r>
        <w:rPr>
          <w:vertAlign w:val="baseline"/>
        </w:rPr>
        <w:t>consequence</w:t>
      </w:r>
      <w:r>
        <w:rPr>
          <w:spacing w:val="27"/>
          <w:vertAlign w:val="baseline"/>
        </w:rPr>
        <w:t> </w:t>
      </w:r>
      <w:r>
        <w:rPr>
          <w:vertAlign w:val="baseline"/>
        </w:rPr>
        <w:t>of</w:t>
      </w:r>
      <w:r>
        <w:rPr>
          <w:spacing w:val="28"/>
          <w:vertAlign w:val="baseline"/>
        </w:rPr>
        <w:t> </w:t>
      </w:r>
      <w:r>
        <w:rPr>
          <w:spacing w:val="-5"/>
          <w:vertAlign w:val="baseline"/>
        </w:rPr>
        <w:t>the</w:t>
      </w:r>
    </w:p>
    <w:p>
      <w:pPr>
        <w:pStyle w:val="BodyText"/>
        <w:spacing w:line="266" w:lineRule="auto" w:before="56"/>
        <w:ind w:right="100"/>
      </w:pPr>
      <w:r>
        <w:rPr/>
        <w:t>inhibition of hepatic lipase activity, which converts HDL</w:t>
      </w:r>
      <w:r>
        <w:rPr>
          <w:vertAlign w:val="subscript"/>
        </w:rPr>
        <w:t>2</w:t>
      </w:r>
      <w:r>
        <w:rPr>
          <w:vertAlign w:val="baseline"/>
        </w:rPr>
        <w:t> to HDL</w:t>
      </w:r>
      <w:r>
        <w:rPr>
          <w:vertAlign w:val="subscript"/>
        </w:rPr>
        <w:t>3</w:t>
      </w:r>
      <w:r>
        <w:rPr>
          <w:vertAlign w:val="baseline"/>
        </w:rPr>
        <w:t> (</w:t>
      </w:r>
      <w:r>
        <w:rPr>
          <w:b/>
          <w:color w:val="256E60"/>
          <w:vertAlign w:val="baseline"/>
        </w:rPr>
        <w:t>Figure 22.5</w:t>
      </w:r>
      <w:r>
        <w:rPr>
          <w:vertAlign w:val="baseline"/>
        </w:rPr>
        <w:t>). Postmenopausal ET with or without added progestin also produces a reduction in the circulating levels of lipoprotein(a).</w:t>
      </w:r>
      <w:r>
        <w:rPr>
          <w:vertAlign w:val="superscript"/>
        </w:rPr>
        <w:t>558,559</w:t>
      </w:r>
    </w:p>
    <w:p>
      <w:pPr>
        <w:pStyle w:val="BodyText"/>
        <w:spacing w:before="0"/>
        <w:ind w:left="0"/>
        <w:jc w:val="left"/>
        <w:rPr>
          <w:sz w:val="20"/>
        </w:rPr>
      </w:pPr>
    </w:p>
    <w:p>
      <w:pPr>
        <w:pStyle w:val="BodyText"/>
        <w:spacing w:before="87"/>
        <w:ind w:left="0"/>
        <w:jc w:val="left"/>
        <w:rPr>
          <w:sz w:val="20"/>
        </w:rPr>
      </w:pPr>
      <w:r>
        <w:rPr>
          <w:sz w:val="20"/>
        </w:rPr>
        <w:drawing>
          <wp:anchor distT="0" distB="0" distL="0" distR="0" allowOverlap="1" layoutInCell="1" locked="0" behindDoc="1" simplePos="0" relativeHeight="487644672">
            <wp:simplePos x="0" y="0"/>
            <wp:positionH relativeFrom="page">
              <wp:posOffset>981075</wp:posOffset>
            </wp:positionH>
            <wp:positionV relativeFrom="paragraph">
              <wp:posOffset>216796</wp:posOffset>
            </wp:positionV>
            <wp:extent cx="2933700" cy="2676525"/>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33" cstate="print"/>
                    <a:stretch>
                      <a:fillRect/>
                    </a:stretch>
                  </pic:blipFill>
                  <pic:spPr>
                    <a:xfrm>
                      <a:off x="0" y="0"/>
                      <a:ext cx="2933700" cy="26765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5184">
                <wp:simplePos x="0" y="0"/>
                <wp:positionH relativeFrom="page">
                  <wp:posOffset>981075</wp:posOffset>
                </wp:positionH>
                <wp:positionV relativeFrom="paragraph">
                  <wp:posOffset>3083835</wp:posOffset>
                </wp:positionV>
                <wp:extent cx="856615" cy="5715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856615" cy="57150"/>
                        </a:xfrm>
                        <a:custGeom>
                          <a:avLst/>
                          <a:gdLst/>
                          <a:ahLst/>
                          <a:cxnLst/>
                          <a:rect l="l" t="t" r="r" b="b"/>
                          <a:pathLst>
                            <a:path w="856615" h="57150">
                              <a:moveTo>
                                <a:pt x="32364" y="57149"/>
                              </a:moveTo>
                              <a:lnTo>
                                <a:pt x="24785" y="57149"/>
                              </a:lnTo>
                              <a:lnTo>
                                <a:pt x="21140" y="56407"/>
                              </a:lnTo>
                              <a:lnTo>
                                <a:pt x="17639" y="54844"/>
                              </a:lnTo>
                              <a:lnTo>
                                <a:pt x="14138" y="53425"/>
                              </a:lnTo>
                              <a:lnTo>
                                <a:pt x="0" y="32365"/>
                              </a:lnTo>
                              <a:lnTo>
                                <a:pt x="0" y="24707"/>
                              </a:lnTo>
                              <a:lnTo>
                                <a:pt x="725" y="20983"/>
                              </a:lnTo>
                              <a:lnTo>
                                <a:pt x="3625" y="13992"/>
                              </a:lnTo>
                              <a:lnTo>
                                <a:pt x="5689" y="10934"/>
                              </a:lnTo>
                              <a:lnTo>
                                <a:pt x="8369" y="8334"/>
                              </a:lnTo>
                              <a:lnTo>
                                <a:pt x="11048" y="5657"/>
                              </a:lnTo>
                              <a:lnTo>
                                <a:pt x="14138" y="3571"/>
                              </a:lnTo>
                              <a:lnTo>
                                <a:pt x="17639" y="2085"/>
                              </a:lnTo>
                              <a:lnTo>
                                <a:pt x="21140" y="666"/>
                              </a:lnTo>
                              <a:lnTo>
                                <a:pt x="24785" y="0"/>
                              </a:lnTo>
                              <a:lnTo>
                                <a:pt x="32364" y="0"/>
                              </a:lnTo>
                              <a:lnTo>
                                <a:pt x="48780" y="8334"/>
                              </a:lnTo>
                              <a:lnTo>
                                <a:pt x="51459" y="10934"/>
                              </a:lnTo>
                              <a:lnTo>
                                <a:pt x="53524" y="13992"/>
                              </a:lnTo>
                              <a:lnTo>
                                <a:pt x="56424" y="20983"/>
                              </a:lnTo>
                              <a:lnTo>
                                <a:pt x="57149" y="24707"/>
                              </a:lnTo>
                              <a:lnTo>
                                <a:pt x="57149" y="32365"/>
                              </a:lnTo>
                              <a:lnTo>
                                <a:pt x="39510" y="54844"/>
                              </a:lnTo>
                              <a:lnTo>
                                <a:pt x="36009" y="56407"/>
                              </a:lnTo>
                              <a:lnTo>
                                <a:pt x="32364" y="57149"/>
                              </a:lnTo>
                              <a:close/>
                            </a:path>
                            <a:path w="856615" h="57150">
                              <a:moveTo>
                                <a:pt x="146569" y="57149"/>
                              </a:moveTo>
                              <a:lnTo>
                                <a:pt x="138990" y="57149"/>
                              </a:lnTo>
                              <a:lnTo>
                                <a:pt x="135345" y="56407"/>
                              </a:lnTo>
                              <a:lnTo>
                                <a:pt x="131844" y="54844"/>
                              </a:lnTo>
                              <a:lnTo>
                                <a:pt x="128343" y="53425"/>
                              </a:lnTo>
                              <a:lnTo>
                                <a:pt x="114204" y="32365"/>
                              </a:lnTo>
                              <a:lnTo>
                                <a:pt x="114204" y="24707"/>
                              </a:lnTo>
                              <a:lnTo>
                                <a:pt x="114929" y="20983"/>
                              </a:lnTo>
                              <a:lnTo>
                                <a:pt x="117829" y="13992"/>
                              </a:lnTo>
                              <a:lnTo>
                                <a:pt x="119894" y="10934"/>
                              </a:lnTo>
                              <a:lnTo>
                                <a:pt x="122574" y="8334"/>
                              </a:lnTo>
                              <a:lnTo>
                                <a:pt x="125253" y="5657"/>
                              </a:lnTo>
                              <a:lnTo>
                                <a:pt x="128343" y="3571"/>
                              </a:lnTo>
                              <a:lnTo>
                                <a:pt x="131844" y="2085"/>
                              </a:lnTo>
                              <a:lnTo>
                                <a:pt x="135345" y="666"/>
                              </a:lnTo>
                              <a:lnTo>
                                <a:pt x="138990" y="0"/>
                              </a:lnTo>
                              <a:lnTo>
                                <a:pt x="146569" y="0"/>
                              </a:lnTo>
                              <a:lnTo>
                                <a:pt x="162985" y="8334"/>
                              </a:lnTo>
                              <a:lnTo>
                                <a:pt x="165664" y="10934"/>
                              </a:lnTo>
                              <a:lnTo>
                                <a:pt x="167729" y="13992"/>
                              </a:lnTo>
                              <a:lnTo>
                                <a:pt x="170629" y="20983"/>
                              </a:lnTo>
                              <a:lnTo>
                                <a:pt x="171354" y="24707"/>
                              </a:lnTo>
                              <a:lnTo>
                                <a:pt x="171354" y="32365"/>
                              </a:lnTo>
                              <a:lnTo>
                                <a:pt x="153714" y="54844"/>
                              </a:lnTo>
                              <a:lnTo>
                                <a:pt x="150214" y="56407"/>
                              </a:lnTo>
                              <a:lnTo>
                                <a:pt x="146569" y="57149"/>
                              </a:lnTo>
                              <a:close/>
                            </a:path>
                            <a:path w="856615" h="57150">
                              <a:moveTo>
                                <a:pt x="260773" y="57149"/>
                              </a:moveTo>
                              <a:lnTo>
                                <a:pt x="253195" y="57149"/>
                              </a:lnTo>
                              <a:lnTo>
                                <a:pt x="249550" y="56407"/>
                              </a:lnTo>
                              <a:lnTo>
                                <a:pt x="246049" y="54844"/>
                              </a:lnTo>
                              <a:lnTo>
                                <a:pt x="242548" y="53425"/>
                              </a:lnTo>
                              <a:lnTo>
                                <a:pt x="228409" y="32365"/>
                              </a:lnTo>
                              <a:lnTo>
                                <a:pt x="228409" y="24707"/>
                              </a:lnTo>
                              <a:lnTo>
                                <a:pt x="229134" y="20983"/>
                              </a:lnTo>
                              <a:lnTo>
                                <a:pt x="232034" y="13992"/>
                              </a:lnTo>
                              <a:lnTo>
                                <a:pt x="234099" y="10934"/>
                              </a:lnTo>
                              <a:lnTo>
                                <a:pt x="236778" y="8334"/>
                              </a:lnTo>
                              <a:lnTo>
                                <a:pt x="239458" y="5657"/>
                              </a:lnTo>
                              <a:lnTo>
                                <a:pt x="242548" y="3571"/>
                              </a:lnTo>
                              <a:lnTo>
                                <a:pt x="246049" y="2085"/>
                              </a:lnTo>
                              <a:lnTo>
                                <a:pt x="249550" y="666"/>
                              </a:lnTo>
                              <a:lnTo>
                                <a:pt x="253195" y="0"/>
                              </a:lnTo>
                              <a:lnTo>
                                <a:pt x="260773" y="0"/>
                              </a:lnTo>
                              <a:lnTo>
                                <a:pt x="277190" y="8334"/>
                              </a:lnTo>
                              <a:lnTo>
                                <a:pt x="279869" y="10934"/>
                              </a:lnTo>
                              <a:lnTo>
                                <a:pt x="281934" y="13992"/>
                              </a:lnTo>
                              <a:lnTo>
                                <a:pt x="284834" y="20983"/>
                              </a:lnTo>
                              <a:lnTo>
                                <a:pt x="285559" y="24707"/>
                              </a:lnTo>
                              <a:lnTo>
                                <a:pt x="285559" y="32365"/>
                              </a:lnTo>
                              <a:lnTo>
                                <a:pt x="267919" y="54844"/>
                              </a:lnTo>
                              <a:lnTo>
                                <a:pt x="264418" y="56407"/>
                              </a:lnTo>
                              <a:lnTo>
                                <a:pt x="260773" y="57149"/>
                              </a:lnTo>
                              <a:close/>
                            </a:path>
                            <a:path w="856615" h="57150">
                              <a:moveTo>
                                <a:pt x="374978" y="57149"/>
                              </a:moveTo>
                              <a:lnTo>
                                <a:pt x="367399" y="57149"/>
                              </a:lnTo>
                              <a:lnTo>
                                <a:pt x="363754" y="56407"/>
                              </a:lnTo>
                              <a:lnTo>
                                <a:pt x="360254" y="54844"/>
                              </a:lnTo>
                              <a:lnTo>
                                <a:pt x="356753" y="53425"/>
                              </a:lnTo>
                              <a:lnTo>
                                <a:pt x="342614" y="32365"/>
                              </a:lnTo>
                              <a:lnTo>
                                <a:pt x="342614" y="24707"/>
                              </a:lnTo>
                              <a:lnTo>
                                <a:pt x="343339" y="20983"/>
                              </a:lnTo>
                              <a:lnTo>
                                <a:pt x="346239" y="13992"/>
                              </a:lnTo>
                              <a:lnTo>
                                <a:pt x="348304" y="10934"/>
                              </a:lnTo>
                              <a:lnTo>
                                <a:pt x="350983" y="8334"/>
                              </a:lnTo>
                              <a:lnTo>
                                <a:pt x="353663" y="5657"/>
                              </a:lnTo>
                              <a:lnTo>
                                <a:pt x="356753" y="3571"/>
                              </a:lnTo>
                              <a:lnTo>
                                <a:pt x="360253" y="2085"/>
                              </a:lnTo>
                              <a:lnTo>
                                <a:pt x="363754" y="666"/>
                              </a:lnTo>
                              <a:lnTo>
                                <a:pt x="367399" y="0"/>
                              </a:lnTo>
                              <a:lnTo>
                                <a:pt x="374978" y="0"/>
                              </a:lnTo>
                              <a:lnTo>
                                <a:pt x="391394" y="8334"/>
                              </a:lnTo>
                              <a:lnTo>
                                <a:pt x="394074" y="10934"/>
                              </a:lnTo>
                              <a:lnTo>
                                <a:pt x="396138" y="13992"/>
                              </a:lnTo>
                              <a:lnTo>
                                <a:pt x="399039" y="20983"/>
                              </a:lnTo>
                              <a:lnTo>
                                <a:pt x="399764" y="24707"/>
                              </a:lnTo>
                              <a:lnTo>
                                <a:pt x="399764" y="32365"/>
                              </a:lnTo>
                              <a:lnTo>
                                <a:pt x="382124" y="54844"/>
                              </a:lnTo>
                              <a:lnTo>
                                <a:pt x="378623" y="56407"/>
                              </a:lnTo>
                              <a:lnTo>
                                <a:pt x="374978" y="57149"/>
                              </a:lnTo>
                              <a:close/>
                            </a:path>
                            <a:path w="856615" h="57150">
                              <a:moveTo>
                                <a:pt x="489183" y="57149"/>
                              </a:moveTo>
                              <a:lnTo>
                                <a:pt x="481604" y="57149"/>
                              </a:lnTo>
                              <a:lnTo>
                                <a:pt x="477959" y="56407"/>
                              </a:lnTo>
                              <a:lnTo>
                                <a:pt x="474458" y="54844"/>
                              </a:lnTo>
                              <a:lnTo>
                                <a:pt x="470957" y="53425"/>
                              </a:lnTo>
                              <a:lnTo>
                                <a:pt x="456818" y="32365"/>
                              </a:lnTo>
                              <a:lnTo>
                                <a:pt x="456818" y="24707"/>
                              </a:lnTo>
                              <a:lnTo>
                                <a:pt x="457543" y="20983"/>
                              </a:lnTo>
                              <a:lnTo>
                                <a:pt x="460444" y="13992"/>
                              </a:lnTo>
                              <a:lnTo>
                                <a:pt x="462508" y="10934"/>
                              </a:lnTo>
                              <a:lnTo>
                                <a:pt x="465188" y="8334"/>
                              </a:lnTo>
                              <a:lnTo>
                                <a:pt x="467867" y="5657"/>
                              </a:lnTo>
                              <a:lnTo>
                                <a:pt x="470957" y="3571"/>
                              </a:lnTo>
                              <a:lnTo>
                                <a:pt x="474458" y="2085"/>
                              </a:lnTo>
                              <a:lnTo>
                                <a:pt x="477959" y="666"/>
                              </a:lnTo>
                              <a:lnTo>
                                <a:pt x="481604" y="0"/>
                              </a:lnTo>
                              <a:lnTo>
                                <a:pt x="489183" y="0"/>
                              </a:lnTo>
                              <a:lnTo>
                                <a:pt x="505599" y="8334"/>
                              </a:lnTo>
                              <a:lnTo>
                                <a:pt x="508278" y="10934"/>
                              </a:lnTo>
                              <a:lnTo>
                                <a:pt x="510343" y="13992"/>
                              </a:lnTo>
                              <a:lnTo>
                                <a:pt x="513243" y="20983"/>
                              </a:lnTo>
                              <a:lnTo>
                                <a:pt x="513968" y="24707"/>
                              </a:lnTo>
                              <a:lnTo>
                                <a:pt x="513968" y="32365"/>
                              </a:lnTo>
                              <a:lnTo>
                                <a:pt x="496329" y="54844"/>
                              </a:lnTo>
                              <a:lnTo>
                                <a:pt x="492828" y="56407"/>
                              </a:lnTo>
                              <a:lnTo>
                                <a:pt x="489183" y="57149"/>
                              </a:lnTo>
                              <a:close/>
                            </a:path>
                            <a:path w="856615" h="57150">
                              <a:moveTo>
                                <a:pt x="603387" y="57149"/>
                              </a:moveTo>
                              <a:lnTo>
                                <a:pt x="595809" y="57149"/>
                              </a:lnTo>
                              <a:lnTo>
                                <a:pt x="592164" y="56407"/>
                              </a:lnTo>
                              <a:lnTo>
                                <a:pt x="588663" y="54844"/>
                              </a:lnTo>
                              <a:lnTo>
                                <a:pt x="585162" y="53425"/>
                              </a:lnTo>
                              <a:lnTo>
                                <a:pt x="571023" y="32365"/>
                              </a:lnTo>
                              <a:lnTo>
                                <a:pt x="571023" y="24707"/>
                              </a:lnTo>
                              <a:lnTo>
                                <a:pt x="571748" y="20983"/>
                              </a:lnTo>
                              <a:lnTo>
                                <a:pt x="574648" y="13992"/>
                              </a:lnTo>
                              <a:lnTo>
                                <a:pt x="576713" y="10934"/>
                              </a:lnTo>
                              <a:lnTo>
                                <a:pt x="579393" y="8334"/>
                              </a:lnTo>
                              <a:lnTo>
                                <a:pt x="582072" y="5657"/>
                              </a:lnTo>
                              <a:lnTo>
                                <a:pt x="585162" y="3571"/>
                              </a:lnTo>
                              <a:lnTo>
                                <a:pt x="588663" y="2085"/>
                              </a:lnTo>
                              <a:lnTo>
                                <a:pt x="592164" y="666"/>
                              </a:lnTo>
                              <a:lnTo>
                                <a:pt x="595809" y="0"/>
                              </a:lnTo>
                              <a:lnTo>
                                <a:pt x="603387" y="0"/>
                              </a:lnTo>
                              <a:lnTo>
                                <a:pt x="619804" y="8334"/>
                              </a:lnTo>
                              <a:lnTo>
                                <a:pt x="622483" y="10934"/>
                              </a:lnTo>
                              <a:lnTo>
                                <a:pt x="624548" y="13992"/>
                              </a:lnTo>
                              <a:lnTo>
                                <a:pt x="627448" y="20983"/>
                              </a:lnTo>
                              <a:lnTo>
                                <a:pt x="628173" y="24707"/>
                              </a:lnTo>
                              <a:lnTo>
                                <a:pt x="628173" y="32365"/>
                              </a:lnTo>
                              <a:lnTo>
                                <a:pt x="610533" y="54844"/>
                              </a:lnTo>
                              <a:lnTo>
                                <a:pt x="607032" y="56407"/>
                              </a:lnTo>
                              <a:lnTo>
                                <a:pt x="603387" y="57149"/>
                              </a:lnTo>
                              <a:close/>
                            </a:path>
                            <a:path w="856615" h="57150">
                              <a:moveTo>
                                <a:pt x="717592" y="57149"/>
                              </a:moveTo>
                              <a:lnTo>
                                <a:pt x="710014" y="57149"/>
                              </a:lnTo>
                              <a:lnTo>
                                <a:pt x="706369" y="56407"/>
                              </a:lnTo>
                              <a:lnTo>
                                <a:pt x="702868" y="54844"/>
                              </a:lnTo>
                              <a:lnTo>
                                <a:pt x="699367" y="53425"/>
                              </a:lnTo>
                              <a:lnTo>
                                <a:pt x="685228" y="32365"/>
                              </a:lnTo>
                              <a:lnTo>
                                <a:pt x="685228" y="24707"/>
                              </a:lnTo>
                              <a:lnTo>
                                <a:pt x="685953" y="20983"/>
                              </a:lnTo>
                              <a:lnTo>
                                <a:pt x="688853" y="13992"/>
                              </a:lnTo>
                              <a:lnTo>
                                <a:pt x="690918" y="10934"/>
                              </a:lnTo>
                              <a:lnTo>
                                <a:pt x="693597" y="8334"/>
                              </a:lnTo>
                              <a:lnTo>
                                <a:pt x="696277" y="5657"/>
                              </a:lnTo>
                              <a:lnTo>
                                <a:pt x="699367" y="3571"/>
                              </a:lnTo>
                              <a:lnTo>
                                <a:pt x="702868" y="2085"/>
                              </a:lnTo>
                              <a:lnTo>
                                <a:pt x="706369" y="666"/>
                              </a:lnTo>
                              <a:lnTo>
                                <a:pt x="710014" y="0"/>
                              </a:lnTo>
                              <a:lnTo>
                                <a:pt x="717592" y="0"/>
                              </a:lnTo>
                              <a:lnTo>
                                <a:pt x="734009" y="8334"/>
                              </a:lnTo>
                              <a:lnTo>
                                <a:pt x="736688" y="10934"/>
                              </a:lnTo>
                              <a:lnTo>
                                <a:pt x="738753" y="13992"/>
                              </a:lnTo>
                              <a:lnTo>
                                <a:pt x="741653" y="20983"/>
                              </a:lnTo>
                              <a:lnTo>
                                <a:pt x="742378" y="24707"/>
                              </a:lnTo>
                              <a:lnTo>
                                <a:pt x="742378" y="32365"/>
                              </a:lnTo>
                              <a:lnTo>
                                <a:pt x="724738" y="54844"/>
                              </a:lnTo>
                              <a:lnTo>
                                <a:pt x="721237" y="56407"/>
                              </a:lnTo>
                              <a:lnTo>
                                <a:pt x="717592" y="57149"/>
                              </a:lnTo>
                              <a:close/>
                            </a:path>
                            <a:path w="856615" h="57150">
                              <a:moveTo>
                                <a:pt x="831797" y="57149"/>
                              </a:moveTo>
                              <a:lnTo>
                                <a:pt x="824218" y="57149"/>
                              </a:lnTo>
                              <a:lnTo>
                                <a:pt x="820573" y="56407"/>
                              </a:lnTo>
                              <a:lnTo>
                                <a:pt x="817072" y="54844"/>
                              </a:lnTo>
                              <a:lnTo>
                                <a:pt x="813572" y="53425"/>
                              </a:lnTo>
                              <a:lnTo>
                                <a:pt x="799433" y="32365"/>
                              </a:lnTo>
                              <a:lnTo>
                                <a:pt x="799433" y="24707"/>
                              </a:lnTo>
                              <a:lnTo>
                                <a:pt x="800158" y="20983"/>
                              </a:lnTo>
                              <a:lnTo>
                                <a:pt x="803058" y="13992"/>
                              </a:lnTo>
                              <a:lnTo>
                                <a:pt x="805123" y="10934"/>
                              </a:lnTo>
                              <a:lnTo>
                                <a:pt x="807802" y="8334"/>
                              </a:lnTo>
                              <a:lnTo>
                                <a:pt x="810481" y="5657"/>
                              </a:lnTo>
                              <a:lnTo>
                                <a:pt x="813572" y="3571"/>
                              </a:lnTo>
                              <a:lnTo>
                                <a:pt x="817072" y="2085"/>
                              </a:lnTo>
                              <a:lnTo>
                                <a:pt x="820573" y="666"/>
                              </a:lnTo>
                              <a:lnTo>
                                <a:pt x="824218" y="0"/>
                              </a:lnTo>
                              <a:lnTo>
                                <a:pt x="831797" y="0"/>
                              </a:lnTo>
                              <a:lnTo>
                                <a:pt x="848213" y="8334"/>
                              </a:lnTo>
                              <a:lnTo>
                                <a:pt x="850893" y="10934"/>
                              </a:lnTo>
                              <a:lnTo>
                                <a:pt x="852957" y="13992"/>
                              </a:lnTo>
                              <a:lnTo>
                                <a:pt x="855858" y="20983"/>
                              </a:lnTo>
                              <a:lnTo>
                                <a:pt x="856583" y="24707"/>
                              </a:lnTo>
                              <a:lnTo>
                                <a:pt x="856583" y="32365"/>
                              </a:lnTo>
                              <a:lnTo>
                                <a:pt x="838943" y="54844"/>
                              </a:lnTo>
                              <a:lnTo>
                                <a:pt x="835442" y="56407"/>
                              </a:lnTo>
                              <a:lnTo>
                                <a:pt x="831797" y="57149"/>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42.821716pt;width:67.45pt;height:4.5pt;mso-position-horizontal-relative:page;mso-position-vertical-relative:paragraph;z-index:-15671296;mso-wrap-distance-left:0;mso-wrap-distance-right:0" id="docshape162" coordorigin="1545,4856" coordsize="1349,90" path="m1596,4946l1584,4946,1578,4945,1573,4943,1567,4941,1562,4937,1558,4933,1554,4929,1551,4924,1546,4913,1545,4907,1545,4895,1546,4889,1551,4878,1554,4874,1558,4870,1562,4865,1567,4862,1573,4860,1578,4857,1584,4856,1596,4856,1602,4857,1607,4860,1613,4862,1618,4865,1622,4870,1626,4874,1629,4878,1634,4889,1635,4895,1635,4907,1634,4913,1629,4924,1626,4929,1622,4933,1618,4937,1613,4941,1607,4943,1602,4945,1596,4946xm1776,4946l1764,4946,1758,4945,1753,4943,1747,4941,1742,4937,1738,4933,1734,4929,1731,4924,1726,4913,1725,4907,1725,4895,1726,4889,1731,4878,1734,4874,1738,4870,1742,4865,1747,4862,1753,4860,1758,4857,1764,4856,1776,4856,1782,4857,1787,4860,1793,4862,1797,4865,1802,4870,1806,4874,1809,4878,1814,4889,1815,4895,1815,4907,1814,4913,1809,4924,1806,4929,1802,4933,1797,4937,1793,4941,1787,4943,1782,4945,1776,4946xm1956,4946l1944,4946,1938,4945,1932,4943,1927,4941,1922,4937,1918,4933,1914,4929,1910,4924,1906,4913,1905,4907,1905,4895,1906,4889,1910,4878,1914,4874,1918,4870,1922,4865,1927,4862,1932,4860,1938,4857,1944,4856,1956,4856,1961,4857,1967,4860,1972,4862,1977,4865,1982,4870,1986,4874,1989,4878,1994,4889,1995,4895,1995,4907,1994,4913,1989,4924,1986,4929,1982,4933,1977,4937,1972,4941,1967,4943,1961,4945,1956,4946xm2136,4946l2124,4946,2118,4945,2112,4943,2107,4941,2102,4937,2098,4933,2094,4929,2090,4924,2086,4913,2085,4907,2085,4895,2086,4889,2090,4878,2094,4874,2098,4870,2102,4865,2107,4862,2112,4860,2118,4857,2124,4856,2136,4856,2141,4857,2147,4860,2152,4862,2157,4865,2161,4870,2166,4874,2169,4878,2173,4889,2175,4895,2175,4907,2173,4913,2169,4924,2166,4929,2161,4933,2157,4937,2152,4941,2147,4943,2141,4945,2136,4946xm2315,4946l2303,4946,2298,4945,2292,4943,2287,4941,2282,4937,2278,4933,2273,4929,2270,4924,2266,4913,2264,4907,2264,4895,2266,4889,2270,4878,2273,4874,2278,4870,2282,4865,2287,4862,2292,4860,2298,4857,2303,4856,2315,4856,2321,4857,2327,4860,2332,4862,2337,4865,2341,4870,2345,4874,2349,4878,2353,4889,2354,4895,2354,4907,2353,4913,2349,4924,2345,4929,2341,4933,2337,4937,2332,4941,2327,4943,2321,4945,2315,4946xm2495,4946l2483,4946,2478,4945,2472,4943,2467,4941,2462,4937,2457,4933,2453,4929,2450,4924,2445,4913,2444,4907,2444,4895,2445,4889,2450,4878,2453,4874,2457,4870,2462,4865,2467,4862,2472,4860,2478,4857,2483,4856,2495,4856,2501,4857,2506,4860,2512,4862,2517,4865,2521,4870,2525,4874,2529,4878,2533,4889,2534,4895,2534,4907,2533,4913,2529,4924,2525,4929,2521,4933,2517,4937,2512,4941,2506,4943,2501,4945,2495,4946xm2675,4946l2663,4946,2657,4945,2652,4943,2646,4941,2641,4937,2637,4933,2633,4929,2630,4924,2625,4913,2624,4907,2624,4895,2625,4889,2630,4878,2633,4874,2637,4870,2641,4865,2646,4862,2652,4860,2657,4857,2663,4856,2675,4856,2681,4857,2686,4860,2692,4862,2697,4865,2701,4870,2705,4874,2708,4878,2713,4889,2714,4895,2714,4907,2713,4913,2708,4924,2705,4929,2701,4933,2697,4937,2692,4941,2686,4943,2681,4945,2675,4946xm2855,4946l2843,4946,2837,4945,2832,4943,2826,4941,2821,4937,2817,4933,2813,4929,2810,4924,2805,4913,2804,4907,2804,4895,2805,4889,2810,4878,2813,4874,2817,4870,2821,4865,2826,4862,2832,4860,2837,4857,2843,4856,2855,4856,2861,4857,2866,4860,2872,4862,2877,4865,2881,4870,2885,4874,2888,4878,2893,4889,2894,4895,2894,4907,2893,4913,2888,4924,2885,4929,2881,4933,2877,4937,2872,4941,2866,4943,2861,4945,2855,4946xe" filled="true" fillcolor="#2b816f" stroked="false">
                <v:path arrowok="t"/>
                <v:fill type="solid"/>
                <w10:wrap type="topAndBottom"/>
              </v:shape>
            </w:pict>
          </mc:Fallback>
        </mc:AlternateContent>
      </w:r>
    </w:p>
    <w:p>
      <w:pPr>
        <w:pStyle w:val="BodyText"/>
        <w:spacing w:before="46"/>
        <w:ind w:left="0"/>
        <w:jc w:val="left"/>
        <w:rPr>
          <w:sz w:val="20"/>
        </w:rPr>
      </w:pPr>
    </w:p>
    <w:p>
      <w:pPr>
        <w:spacing w:before="63"/>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22.5</w:t>
      </w:r>
    </w:p>
    <w:p>
      <w:pPr>
        <w:spacing w:after="0"/>
        <w:jc w:val="left"/>
        <w:rPr>
          <w:rFonts w:ascii="Arial"/>
          <w:b/>
          <w:sz w:val="22"/>
        </w:rPr>
        <w:sectPr>
          <w:pgSz w:w="12240" w:h="15840"/>
          <w:pgMar w:top="1380" w:bottom="280" w:left="1440" w:right="1440"/>
        </w:sectPr>
      </w:pPr>
    </w:p>
    <w:p>
      <w:pPr>
        <w:pStyle w:val="BodyText"/>
        <w:spacing w:line="249" w:lineRule="auto"/>
        <w:ind w:right="97" w:firstLine="450"/>
      </w:pPr>
      <w:r>
        <w:rPr/>
        <w:t>The changes in circulating apoprotein levels mirror those of the lipoproteins: Apolipoprotein B (the principal surface protein of LDL cholesterol) levels diminish in response to estrogen, and apolipoprotein A-I (the principal apolipoprotein of HDL cholesterol) increases. The </w:t>
      </w:r>
      <w:r>
        <w:rPr/>
        <w:t>positive effects of estrogens on cholesterol may be mitigated by the concomitant use of progestins.</w:t>
      </w:r>
      <w:r>
        <w:rPr>
          <w:vertAlign w:val="superscript"/>
        </w:rPr>
        <w:t>111,113,560-565</w:t>
      </w:r>
      <w:r>
        <w:rPr>
          <w:vertAlign w:val="baseline"/>
        </w:rPr>
        <w:t> In an interesting approach to understanding the differential in cardiovascular risks noted in the two WHI hormone trials (CEE+MPA and CEE alone), ametabolomic analysis was undertaken at baseline and 1-year samples in 503 and 431 participants in the WHI CEE and CEE+MPA trial, and relevance of differentially altered metabolites by type of HT (CEE alone vs CEE+MPA) was evaluated for an association with incident CHD in 944 participants (472 CHD cases) of the WHI-OS; these associations were further confirmed in an independent replication cohort of 980 participants (men and women) in the PREDIMED trial (Prevenci6n con Dieta Mediterranea) deemed at high risk for CHD. A differential effect of HT regimen on the metabolome was apparent. Twelve metabolites had discordant effects by HT and were associated with incident CHD in the WHI-OS. All 12 metabolites were altered in the CHD</w:t>
      </w:r>
      <w:r>
        <w:rPr>
          <w:spacing w:val="40"/>
          <w:vertAlign w:val="baseline"/>
        </w:rPr>
        <w:t> </w:t>
      </w:r>
      <w:r>
        <w:rPr>
          <w:vertAlign w:val="baseline"/>
        </w:rPr>
        <w:t>protective direction by CEE exposure, whereas a single metabolite (lysine) was significantly altered in the direction of increased CHD risk by CEE+MPA exposure. Associations of a subset of four metabolites (C58:11 triacylglycerol, C54:9 triacylglycerol, C36:1 phosphatidylcholine, and sucrose) were replicated in the PREDIMED population.</w:t>
      </w:r>
      <w:r>
        <w:rPr>
          <w:vertAlign w:val="superscript"/>
        </w:rPr>
        <w:t>566</w:t>
      </w:r>
    </w:p>
    <w:p>
      <w:pPr>
        <w:pStyle w:val="BodyText"/>
        <w:spacing w:line="249" w:lineRule="auto" w:before="28"/>
        <w:ind w:right="103" w:firstLine="450"/>
      </w:pPr>
      <w:r>
        <w:rPr/>
        <w:t>The concomitant administration of estrogen and an HMG-CoA reductase inhibitor (such as pravastatin) produced a more favorable </w:t>
      </w:r>
      <w:r>
        <w:rPr/>
        <w:t>change in the lipid profile in women with hypercholesterolemia than either treatment alone.</w:t>
      </w:r>
      <w:r>
        <w:rPr>
          <w:vertAlign w:val="superscript"/>
        </w:rPr>
        <w:t>567</w:t>
      </w:r>
    </w:p>
    <w:p>
      <w:pPr>
        <w:spacing w:before="304"/>
        <w:ind w:left="99" w:right="0" w:firstLine="0"/>
        <w:jc w:val="both"/>
        <w:rPr>
          <w:rFonts w:ascii="Arial"/>
          <w:b/>
          <w:i/>
          <w:sz w:val="22"/>
        </w:rPr>
      </w:pPr>
      <w:r>
        <w:rPr>
          <w:rFonts w:ascii="Arial"/>
          <w:b/>
          <w:i/>
          <w:color w:val="A0234E"/>
          <w:sz w:val="22"/>
        </w:rPr>
        <w:t>Direct</w:t>
      </w:r>
      <w:r>
        <w:rPr>
          <w:rFonts w:ascii="Arial"/>
          <w:b/>
          <w:i/>
          <w:color w:val="A0234E"/>
          <w:spacing w:val="27"/>
          <w:sz w:val="22"/>
        </w:rPr>
        <w:t> </w:t>
      </w:r>
      <w:r>
        <w:rPr>
          <w:rFonts w:ascii="Arial"/>
          <w:b/>
          <w:i/>
          <w:color w:val="A0234E"/>
          <w:sz w:val="22"/>
        </w:rPr>
        <w:t>Antiatherosclerotic</w:t>
      </w:r>
      <w:r>
        <w:rPr>
          <w:rFonts w:ascii="Arial"/>
          <w:b/>
          <w:i/>
          <w:color w:val="A0234E"/>
          <w:spacing w:val="27"/>
          <w:sz w:val="22"/>
        </w:rPr>
        <w:t> </w:t>
      </w:r>
      <w:r>
        <w:rPr>
          <w:rFonts w:ascii="Arial"/>
          <w:b/>
          <w:i/>
          <w:color w:val="A0234E"/>
          <w:spacing w:val="-2"/>
          <w:sz w:val="22"/>
        </w:rPr>
        <w:t>Effects</w:t>
      </w:r>
    </w:p>
    <w:p>
      <w:pPr>
        <w:pStyle w:val="BodyText"/>
        <w:spacing w:line="249" w:lineRule="auto" w:before="123"/>
        <w:ind w:right="101"/>
      </w:pPr>
      <w:r>
        <w:rPr/>
        <w:t>Studies in nonhuman primates (such as monkeys) have suggested that estrogen may have antiatherosclerotic effects that are independent of the cholesterol-lipoprotein profile. Oral administration of a combination </w:t>
      </w:r>
      <w:r>
        <w:rPr/>
        <w:t>of estrogen and a high dose of progestin to monkeys fed a high-cholesterol</w:t>
      </w:r>
      <w:r>
        <w:rPr>
          <w:spacing w:val="40"/>
        </w:rPr>
        <w:t> </w:t>
      </w:r>
      <w:r>
        <w:rPr/>
        <w:t>diet decreased the extent of coronary atherosclerosis despite a reduction in HDL cholesterol levels.</w:t>
      </w:r>
      <w:r>
        <w:rPr>
          <w:vertAlign w:val="superscript"/>
        </w:rPr>
        <w:t>568-570</w:t>
      </w:r>
      <w:r>
        <w:rPr>
          <w:vertAlign w:val="baseline"/>
        </w:rPr>
        <w:t> In somewhat similar experiments, estrogen treatment</w:t>
      </w:r>
      <w:r>
        <w:rPr>
          <w:spacing w:val="54"/>
          <w:vertAlign w:val="baseline"/>
        </w:rPr>
        <w:t> </w:t>
      </w:r>
      <w:r>
        <w:rPr>
          <w:vertAlign w:val="baseline"/>
        </w:rPr>
        <w:t>markedly</w:t>
      </w:r>
      <w:r>
        <w:rPr>
          <w:spacing w:val="54"/>
          <w:vertAlign w:val="baseline"/>
        </w:rPr>
        <w:t> </w:t>
      </w:r>
      <w:r>
        <w:rPr>
          <w:vertAlign w:val="baseline"/>
        </w:rPr>
        <w:t>prevented</w:t>
      </w:r>
      <w:r>
        <w:rPr>
          <w:spacing w:val="54"/>
          <w:vertAlign w:val="baseline"/>
        </w:rPr>
        <w:t> </w:t>
      </w:r>
      <w:r>
        <w:rPr>
          <w:vertAlign w:val="baseline"/>
        </w:rPr>
        <w:t>arterial</w:t>
      </w:r>
      <w:r>
        <w:rPr>
          <w:spacing w:val="54"/>
          <w:vertAlign w:val="baseline"/>
        </w:rPr>
        <w:t> </w:t>
      </w:r>
      <w:r>
        <w:rPr>
          <w:vertAlign w:val="baseline"/>
        </w:rPr>
        <w:t>lesion</w:t>
      </w:r>
      <w:r>
        <w:rPr>
          <w:spacing w:val="54"/>
          <w:vertAlign w:val="baseline"/>
        </w:rPr>
        <w:t> </w:t>
      </w:r>
      <w:r>
        <w:rPr>
          <w:vertAlign w:val="baseline"/>
        </w:rPr>
        <w:t>development</w:t>
      </w:r>
      <w:r>
        <w:rPr>
          <w:spacing w:val="54"/>
          <w:vertAlign w:val="baseline"/>
        </w:rPr>
        <w:t> </w:t>
      </w:r>
      <w:r>
        <w:rPr>
          <w:vertAlign w:val="baseline"/>
        </w:rPr>
        <w:t>in</w:t>
      </w:r>
      <w:r>
        <w:rPr>
          <w:spacing w:val="54"/>
          <w:vertAlign w:val="baseline"/>
        </w:rPr>
        <w:t> </w:t>
      </w:r>
      <w:r>
        <w:rPr>
          <w:vertAlign w:val="baseline"/>
        </w:rPr>
        <w:t>rabbits,</w:t>
      </w:r>
      <w:r>
        <w:rPr>
          <w:spacing w:val="54"/>
          <w:vertAlign w:val="baseline"/>
        </w:rPr>
        <w:t> </w:t>
      </w:r>
      <w:r>
        <w:rPr>
          <w:spacing w:val="-5"/>
          <w:vertAlign w:val="baseline"/>
        </w:rPr>
        <w:t>and</w:t>
      </w:r>
    </w:p>
    <w:p>
      <w:pPr>
        <w:pStyle w:val="BodyText"/>
        <w:spacing w:after="0" w:line="249" w:lineRule="auto"/>
        <w:sectPr>
          <w:pgSz w:w="12240" w:h="15840"/>
          <w:pgMar w:top="1380" w:bottom="280" w:left="1440" w:right="1440"/>
        </w:sectPr>
      </w:pPr>
    </w:p>
    <w:p>
      <w:pPr>
        <w:pStyle w:val="BodyText"/>
        <w:jc w:val="left"/>
      </w:pPr>
      <w:r>
        <w:rPr/>
        <w:t>this</w:t>
      </w:r>
      <w:r>
        <w:rPr>
          <w:spacing w:val="1"/>
        </w:rPr>
        <w:t> </w:t>
      </w:r>
      <w:r>
        <w:rPr/>
        <w:t>effect</w:t>
      </w:r>
      <w:r>
        <w:rPr>
          <w:spacing w:val="3"/>
        </w:rPr>
        <w:t> </w:t>
      </w:r>
      <w:r>
        <w:rPr/>
        <w:t>was</w:t>
      </w:r>
      <w:r>
        <w:rPr>
          <w:spacing w:val="4"/>
        </w:rPr>
        <w:t> </w:t>
      </w:r>
      <w:r>
        <w:rPr/>
        <w:t>not</w:t>
      </w:r>
      <w:r>
        <w:rPr>
          <w:spacing w:val="3"/>
        </w:rPr>
        <w:t> </w:t>
      </w:r>
      <w:r>
        <w:rPr/>
        <w:t>reduced</w:t>
      </w:r>
      <w:r>
        <w:rPr>
          <w:spacing w:val="4"/>
        </w:rPr>
        <w:t> </w:t>
      </w:r>
      <w:r>
        <w:rPr/>
        <w:t>by</w:t>
      </w:r>
      <w:r>
        <w:rPr>
          <w:spacing w:val="3"/>
        </w:rPr>
        <w:t> </w:t>
      </w:r>
      <w:r>
        <w:rPr/>
        <w:t>adding</w:t>
      </w:r>
      <w:r>
        <w:rPr>
          <w:spacing w:val="4"/>
        </w:rPr>
        <w:t> </w:t>
      </w:r>
      <w:r>
        <w:rPr/>
        <w:t>progestin</w:t>
      </w:r>
      <w:r>
        <w:rPr>
          <w:spacing w:val="3"/>
        </w:rPr>
        <w:t> </w:t>
      </w:r>
      <w:r>
        <w:rPr/>
        <w:t>to</w:t>
      </w:r>
      <w:r>
        <w:rPr>
          <w:spacing w:val="4"/>
        </w:rPr>
        <w:t> </w:t>
      </w:r>
      <w:r>
        <w:rPr/>
        <w:t>the</w:t>
      </w:r>
      <w:r>
        <w:rPr>
          <w:spacing w:val="3"/>
        </w:rPr>
        <w:t> </w:t>
      </w:r>
      <w:r>
        <w:rPr/>
        <w:t>treatment</w:t>
      </w:r>
      <w:r>
        <w:rPr>
          <w:spacing w:val="4"/>
        </w:rPr>
        <w:t> </w:t>
      </w:r>
      <w:r>
        <w:rPr>
          <w:spacing w:val="-2"/>
        </w:rPr>
        <w:t>regimen.</w:t>
      </w:r>
      <w:r>
        <w:rPr>
          <w:spacing w:val="-2"/>
          <w:vertAlign w:val="superscript"/>
        </w:rPr>
        <w:t>571-</w:t>
      </w:r>
    </w:p>
    <w:p>
      <w:pPr>
        <w:spacing w:before="31"/>
        <w:ind w:left="99" w:right="0" w:firstLine="0"/>
        <w:jc w:val="left"/>
        <w:rPr>
          <w:sz w:val="17"/>
        </w:rPr>
      </w:pPr>
      <w:r>
        <w:rPr>
          <w:spacing w:val="-5"/>
          <w:sz w:val="17"/>
        </w:rPr>
        <w:t>574</w:t>
      </w:r>
    </w:p>
    <w:p>
      <w:pPr>
        <w:pStyle w:val="BodyText"/>
        <w:spacing w:line="249" w:lineRule="auto" w:before="148"/>
        <w:ind w:right="99" w:firstLine="450"/>
      </w:pPr>
      <w:r>
        <w:rPr/>
        <w:t>The monkey studies were extended to a postmenopausal model (ovariectomized monkeys). Compared with no hormone </w:t>
      </w:r>
      <w:r>
        <w:rPr/>
        <w:t>treatment, treatment with either estrogen alone or estrogen with progesterone in a sequential manner significantly reduced atherosclerosis, once again independently of the circulating lipid and lipoprotein profile.</w:t>
      </w:r>
      <w:r>
        <w:rPr>
          <w:vertAlign w:val="superscript"/>
        </w:rPr>
        <w:t>575,576</w:t>
      </w:r>
      <w:r>
        <w:rPr>
          <w:vertAlign w:val="baseline"/>
        </w:rPr>
        <w:t> A direct inhibition of LDL cholesterol accumulation and an increase in LDL cholesterol metabolism in arterial vessels could be demonstrated in these monkeys being fed a highly atherogenic diet.</w:t>
      </w:r>
      <w:r>
        <w:rPr>
          <w:vertAlign w:val="superscript"/>
        </w:rPr>
        <w:t>577</w:t>
      </w:r>
      <w:r>
        <w:rPr>
          <w:vertAlign w:val="baseline"/>
        </w:rPr>
        <w:t> The daily administration of MPA in this monkey model did not prevent the beneficial effect of CEE on coronary artery atherosclerosis.</w:t>
      </w:r>
      <w:r>
        <w:rPr>
          <w:vertAlign w:val="superscript"/>
        </w:rPr>
        <w:t>442</w:t>
      </w:r>
    </w:p>
    <w:p>
      <w:pPr>
        <w:pStyle w:val="BodyText"/>
        <w:spacing w:line="249" w:lineRule="auto" w:before="13"/>
        <w:ind w:right="98" w:firstLine="450"/>
      </w:pPr>
      <w:r>
        <w:rPr/>
        <w:t>Estradiol fatty acid esters are present in low concentrations in the circulation, transported in lipoproteins. These esters are potent estrogens and protect against the oxidation of LDL cholesterol; the antioxidant efficacy of estradiol may require esterification and incorporation into </w:t>
      </w:r>
      <w:r>
        <w:rPr/>
        <w:t>LDL cholesterol.</w:t>
      </w:r>
      <w:r>
        <w:rPr>
          <w:vertAlign w:val="superscript"/>
        </w:rPr>
        <w:t>578</w:t>
      </w:r>
      <w:r>
        <w:rPr>
          <w:vertAlign w:val="baseline"/>
        </w:rPr>
        <w:t> Estradiol fatty acid ester concentrations are increased by oral estrogen, but not by transdermal administration.</w:t>
      </w:r>
      <w:r>
        <w:rPr>
          <w:vertAlign w:val="superscript"/>
        </w:rPr>
        <w:t>579</w:t>
      </w:r>
    </w:p>
    <w:p>
      <w:pPr>
        <w:spacing w:before="306"/>
        <w:ind w:left="99" w:right="0" w:firstLine="0"/>
        <w:jc w:val="both"/>
        <w:rPr>
          <w:rFonts w:ascii="Arial"/>
          <w:b/>
          <w:i/>
          <w:sz w:val="22"/>
        </w:rPr>
      </w:pPr>
      <w:r>
        <w:rPr>
          <w:rFonts w:ascii="Arial"/>
          <w:b/>
          <w:i/>
          <w:color w:val="A0234E"/>
          <w:sz w:val="22"/>
        </w:rPr>
        <w:t>Endothelium-Dependent</w:t>
      </w:r>
      <w:r>
        <w:rPr>
          <w:rFonts w:ascii="Arial"/>
          <w:b/>
          <w:i/>
          <w:color w:val="A0234E"/>
          <w:spacing w:val="22"/>
          <w:sz w:val="22"/>
        </w:rPr>
        <w:t> </w:t>
      </w:r>
      <w:r>
        <w:rPr>
          <w:rFonts w:ascii="Arial"/>
          <w:b/>
          <w:i/>
          <w:color w:val="A0234E"/>
          <w:sz w:val="22"/>
        </w:rPr>
        <w:t>Vasodilation</w:t>
      </w:r>
      <w:r>
        <w:rPr>
          <w:rFonts w:ascii="Arial"/>
          <w:b/>
          <w:i/>
          <w:color w:val="A0234E"/>
          <w:spacing w:val="22"/>
          <w:sz w:val="22"/>
        </w:rPr>
        <w:t> </w:t>
      </w:r>
      <w:r>
        <w:rPr>
          <w:rFonts w:ascii="Arial"/>
          <w:b/>
          <w:i/>
          <w:color w:val="A0234E"/>
          <w:sz w:val="22"/>
        </w:rPr>
        <w:t>and</w:t>
      </w:r>
      <w:r>
        <w:rPr>
          <w:rFonts w:ascii="Arial"/>
          <w:b/>
          <w:i/>
          <w:color w:val="A0234E"/>
          <w:spacing w:val="22"/>
          <w:sz w:val="22"/>
        </w:rPr>
        <w:t> </w:t>
      </w:r>
      <w:r>
        <w:rPr>
          <w:rFonts w:ascii="Arial"/>
          <w:b/>
          <w:i/>
          <w:color w:val="A0234E"/>
          <w:sz w:val="22"/>
        </w:rPr>
        <w:t>Antiplatelet</w:t>
      </w:r>
      <w:r>
        <w:rPr>
          <w:rFonts w:ascii="Arial"/>
          <w:b/>
          <w:i/>
          <w:color w:val="A0234E"/>
          <w:spacing w:val="22"/>
          <w:sz w:val="22"/>
        </w:rPr>
        <w:t> </w:t>
      </w:r>
      <w:r>
        <w:rPr>
          <w:rFonts w:ascii="Arial"/>
          <w:b/>
          <w:i/>
          <w:color w:val="A0234E"/>
          <w:sz w:val="22"/>
        </w:rPr>
        <w:t>Aggregation</w:t>
      </w:r>
      <w:r>
        <w:rPr>
          <w:rFonts w:ascii="Arial"/>
          <w:b/>
          <w:i/>
          <w:color w:val="A0234E"/>
          <w:spacing w:val="22"/>
          <w:sz w:val="22"/>
        </w:rPr>
        <w:t> </w:t>
      </w:r>
      <w:r>
        <w:rPr>
          <w:rFonts w:ascii="Arial"/>
          <w:b/>
          <w:i/>
          <w:color w:val="A0234E"/>
          <w:sz w:val="22"/>
        </w:rPr>
        <w:t>(see</w:t>
      </w:r>
      <w:r>
        <w:rPr>
          <w:rFonts w:ascii="Arial"/>
          <w:b/>
          <w:i/>
          <w:color w:val="A0234E"/>
          <w:spacing w:val="22"/>
          <w:sz w:val="22"/>
        </w:rPr>
        <w:t> </w:t>
      </w:r>
      <w:r>
        <w:rPr>
          <w:rFonts w:ascii="Arial"/>
          <w:b/>
          <w:i/>
          <w:color w:val="256E60"/>
          <w:sz w:val="22"/>
        </w:rPr>
        <w:t>Figure</w:t>
      </w:r>
      <w:r>
        <w:rPr>
          <w:rFonts w:ascii="Arial"/>
          <w:b/>
          <w:i/>
          <w:color w:val="256E60"/>
          <w:spacing w:val="22"/>
          <w:sz w:val="22"/>
        </w:rPr>
        <w:t> </w:t>
      </w:r>
      <w:r>
        <w:rPr>
          <w:rFonts w:ascii="Arial"/>
          <w:b/>
          <w:i/>
          <w:color w:val="256E60"/>
          <w:spacing w:val="-2"/>
          <w:sz w:val="22"/>
        </w:rPr>
        <w:t>22.6</w:t>
      </w:r>
      <w:r>
        <w:rPr>
          <w:rFonts w:ascii="Arial"/>
          <w:b/>
          <w:i/>
          <w:color w:val="A0234E"/>
          <w:spacing w:val="-2"/>
          <w:sz w:val="22"/>
        </w:rPr>
        <w:t>)</w:t>
      </w:r>
    </w:p>
    <w:p>
      <w:pPr>
        <w:pStyle w:val="BodyText"/>
        <w:spacing w:line="249" w:lineRule="auto" w:before="123"/>
        <w:ind w:right="97"/>
      </w:pPr>
      <w:r>
        <w:rPr/>
        <w:t>Endothelium modulates the degree of contraction and function of </w:t>
      </w:r>
      <w:r>
        <w:rPr/>
        <w:t>the surrounding smooth muscle, primarily by the release of endothelium-derived relaxing and contracting factors. In hypertension and other CVDs, the release of relaxing factors (such as nitric oxide) is blunted, and the release of contracting factors (the most important being endothelin-1) is augmented. The endothelins are a family of peptides that act in a paracrine manner on smooth muscle cells. Endothelin-1 appears to be exclusively synthesized by endothelial cells. Endothelin-induced vasoconstriction is a consequence of a direct action on vascular smooth muscle cells, an action that is reversed by nitric oxide. Impaired release of nitric oxide, therefore, enhances endothelin action. Hypertension and atherosclerosis are believed to be influenced by the balance among these factors. Women have lower circulating levels of endothelin, which decrease in response to oral and transdermal estrogen treatment.</w:t>
      </w:r>
      <w:r>
        <w:rPr>
          <w:vertAlign w:val="superscript"/>
        </w:rPr>
        <w:t>580,581</w:t>
      </w:r>
    </w:p>
    <w:p>
      <w:pPr>
        <w:pStyle w:val="BodyText"/>
        <w:spacing w:after="0" w:line="249" w:lineRule="auto"/>
        <w:sectPr>
          <w:pgSz w:w="12240" w:h="15840"/>
          <w:pgMar w:top="1380" w:bottom="280" w:left="1440" w:right="1440"/>
        </w:sectPr>
      </w:pPr>
    </w:p>
    <w:p>
      <w:pPr>
        <w:spacing w:line="240" w:lineRule="auto"/>
        <w:ind w:left="105" w:right="0" w:firstLine="0"/>
        <w:rPr>
          <w:sz w:val="20"/>
        </w:rPr>
      </w:pPr>
      <w:r>
        <w:rPr>
          <w:sz w:val="20"/>
        </w:rPr>
        <w:drawing>
          <wp:inline distT="0" distB="0" distL="0" distR="0">
            <wp:extent cx="5810249" cy="273367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34" cstate="print"/>
                    <a:stretch>
                      <a:fillRect/>
                    </a:stretch>
                  </pic:blipFill>
                  <pic:spPr>
                    <a:xfrm>
                      <a:off x="0" y="0"/>
                      <a:ext cx="5810249" cy="2733675"/>
                    </a:xfrm>
                    <a:prstGeom prst="rect">
                      <a:avLst/>
                    </a:prstGeom>
                  </pic:spPr>
                </pic:pic>
              </a:graphicData>
            </a:graphic>
          </wp:inline>
        </w:drawing>
      </w:r>
      <w:r>
        <w:rPr>
          <w:sz w:val="20"/>
        </w:rPr>
      </w:r>
    </w:p>
    <w:p>
      <w:pPr>
        <w:pStyle w:val="BodyText"/>
        <w:spacing w:before="46"/>
        <w:ind w:left="0"/>
        <w:jc w:val="left"/>
        <w:rPr>
          <w:sz w:val="20"/>
        </w:rPr>
      </w:pPr>
      <w:r>
        <w:rPr>
          <w:sz w:val="20"/>
        </w:rPr>
        <mc:AlternateContent>
          <mc:Choice Requires="wps">
            <w:drawing>
              <wp:anchor distT="0" distB="0" distL="0" distR="0" allowOverlap="1" layoutInCell="1" locked="0" behindDoc="1" simplePos="0" relativeHeight="487645696">
                <wp:simplePos x="0" y="0"/>
                <wp:positionH relativeFrom="page">
                  <wp:posOffset>981075</wp:posOffset>
                </wp:positionH>
                <wp:positionV relativeFrom="paragraph">
                  <wp:posOffset>190514</wp:posOffset>
                </wp:positionV>
                <wp:extent cx="856615" cy="5715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856615" cy="57150"/>
                        </a:xfrm>
                        <a:custGeom>
                          <a:avLst/>
                          <a:gdLst/>
                          <a:ahLst/>
                          <a:cxnLst/>
                          <a:rect l="l" t="t" r="r" b="b"/>
                          <a:pathLst>
                            <a:path w="856615" h="57150">
                              <a:moveTo>
                                <a:pt x="32364" y="57149"/>
                              </a:moveTo>
                              <a:lnTo>
                                <a:pt x="24785" y="57149"/>
                              </a:lnTo>
                              <a:lnTo>
                                <a:pt x="21140" y="56407"/>
                              </a:lnTo>
                              <a:lnTo>
                                <a:pt x="17639" y="54844"/>
                              </a:lnTo>
                              <a:lnTo>
                                <a:pt x="14138" y="53425"/>
                              </a:lnTo>
                              <a:lnTo>
                                <a:pt x="0" y="32365"/>
                              </a:lnTo>
                              <a:lnTo>
                                <a:pt x="0" y="24707"/>
                              </a:lnTo>
                              <a:lnTo>
                                <a:pt x="24785" y="0"/>
                              </a:lnTo>
                              <a:lnTo>
                                <a:pt x="32364" y="0"/>
                              </a:lnTo>
                              <a:lnTo>
                                <a:pt x="57149" y="24707"/>
                              </a:lnTo>
                              <a:lnTo>
                                <a:pt x="57149" y="32365"/>
                              </a:lnTo>
                              <a:lnTo>
                                <a:pt x="39510" y="54844"/>
                              </a:lnTo>
                              <a:lnTo>
                                <a:pt x="36009" y="56407"/>
                              </a:lnTo>
                              <a:lnTo>
                                <a:pt x="32364" y="57149"/>
                              </a:lnTo>
                              <a:close/>
                            </a:path>
                            <a:path w="856615" h="57150">
                              <a:moveTo>
                                <a:pt x="146569" y="57149"/>
                              </a:moveTo>
                              <a:lnTo>
                                <a:pt x="138990" y="57149"/>
                              </a:lnTo>
                              <a:lnTo>
                                <a:pt x="135345" y="56407"/>
                              </a:lnTo>
                              <a:lnTo>
                                <a:pt x="131844" y="54844"/>
                              </a:lnTo>
                              <a:lnTo>
                                <a:pt x="128343" y="53425"/>
                              </a:lnTo>
                              <a:lnTo>
                                <a:pt x="114204" y="32365"/>
                              </a:lnTo>
                              <a:lnTo>
                                <a:pt x="114204" y="24707"/>
                              </a:lnTo>
                              <a:lnTo>
                                <a:pt x="138990" y="0"/>
                              </a:lnTo>
                              <a:lnTo>
                                <a:pt x="146569" y="0"/>
                              </a:lnTo>
                              <a:lnTo>
                                <a:pt x="171354" y="24707"/>
                              </a:lnTo>
                              <a:lnTo>
                                <a:pt x="171354" y="32365"/>
                              </a:lnTo>
                              <a:lnTo>
                                <a:pt x="153714" y="54844"/>
                              </a:lnTo>
                              <a:lnTo>
                                <a:pt x="150214" y="56407"/>
                              </a:lnTo>
                              <a:lnTo>
                                <a:pt x="146569" y="57149"/>
                              </a:lnTo>
                              <a:close/>
                            </a:path>
                            <a:path w="856615" h="57150">
                              <a:moveTo>
                                <a:pt x="260773" y="57149"/>
                              </a:moveTo>
                              <a:lnTo>
                                <a:pt x="253195" y="57149"/>
                              </a:lnTo>
                              <a:lnTo>
                                <a:pt x="249550" y="56407"/>
                              </a:lnTo>
                              <a:lnTo>
                                <a:pt x="246049" y="54844"/>
                              </a:lnTo>
                              <a:lnTo>
                                <a:pt x="242548" y="53425"/>
                              </a:lnTo>
                              <a:lnTo>
                                <a:pt x="228409" y="32365"/>
                              </a:lnTo>
                              <a:lnTo>
                                <a:pt x="228409" y="24707"/>
                              </a:lnTo>
                              <a:lnTo>
                                <a:pt x="253195" y="0"/>
                              </a:lnTo>
                              <a:lnTo>
                                <a:pt x="260773" y="0"/>
                              </a:lnTo>
                              <a:lnTo>
                                <a:pt x="285559" y="24707"/>
                              </a:lnTo>
                              <a:lnTo>
                                <a:pt x="285559" y="32365"/>
                              </a:lnTo>
                              <a:lnTo>
                                <a:pt x="267919" y="54844"/>
                              </a:lnTo>
                              <a:lnTo>
                                <a:pt x="264418" y="56407"/>
                              </a:lnTo>
                              <a:lnTo>
                                <a:pt x="260773" y="57149"/>
                              </a:lnTo>
                              <a:close/>
                            </a:path>
                            <a:path w="856615" h="57150">
                              <a:moveTo>
                                <a:pt x="374978" y="57149"/>
                              </a:moveTo>
                              <a:lnTo>
                                <a:pt x="367399" y="57149"/>
                              </a:lnTo>
                              <a:lnTo>
                                <a:pt x="363754" y="56407"/>
                              </a:lnTo>
                              <a:lnTo>
                                <a:pt x="360254" y="54844"/>
                              </a:lnTo>
                              <a:lnTo>
                                <a:pt x="356753" y="53425"/>
                              </a:lnTo>
                              <a:lnTo>
                                <a:pt x="342614" y="32365"/>
                              </a:lnTo>
                              <a:lnTo>
                                <a:pt x="342614" y="24707"/>
                              </a:lnTo>
                              <a:lnTo>
                                <a:pt x="367399" y="0"/>
                              </a:lnTo>
                              <a:lnTo>
                                <a:pt x="374978" y="0"/>
                              </a:lnTo>
                              <a:lnTo>
                                <a:pt x="399764" y="24707"/>
                              </a:lnTo>
                              <a:lnTo>
                                <a:pt x="399764" y="32365"/>
                              </a:lnTo>
                              <a:lnTo>
                                <a:pt x="382124" y="54844"/>
                              </a:lnTo>
                              <a:lnTo>
                                <a:pt x="378623" y="56407"/>
                              </a:lnTo>
                              <a:lnTo>
                                <a:pt x="374978" y="57149"/>
                              </a:lnTo>
                              <a:close/>
                            </a:path>
                            <a:path w="856615" h="57150">
                              <a:moveTo>
                                <a:pt x="489183" y="57149"/>
                              </a:moveTo>
                              <a:lnTo>
                                <a:pt x="481604" y="57149"/>
                              </a:lnTo>
                              <a:lnTo>
                                <a:pt x="477959" y="56407"/>
                              </a:lnTo>
                              <a:lnTo>
                                <a:pt x="474458" y="54844"/>
                              </a:lnTo>
                              <a:lnTo>
                                <a:pt x="470957" y="53425"/>
                              </a:lnTo>
                              <a:lnTo>
                                <a:pt x="456818" y="32365"/>
                              </a:lnTo>
                              <a:lnTo>
                                <a:pt x="456818" y="24707"/>
                              </a:lnTo>
                              <a:lnTo>
                                <a:pt x="481604" y="0"/>
                              </a:lnTo>
                              <a:lnTo>
                                <a:pt x="489183" y="0"/>
                              </a:lnTo>
                              <a:lnTo>
                                <a:pt x="513968" y="24707"/>
                              </a:lnTo>
                              <a:lnTo>
                                <a:pt x="513968" y="32365"/>
                              </a:lnTo>
                              <a:lnTo>
                                <a:pt x="496329" y="54844"/>
                              </a:lnTo>
                              <a:lnTo>
                                <a:pt x="492828" y="56407"/>
                              </a:lnTo>
                              <a:lnTo>
                                <a:pt x="489183" y="57149"/>
                              </a:lnTo>
                              <a:close/>
                            </a:path>
                            <a:path w="856615" h="57150">
                              <a:moveTo>
                                <a:pt x="603387" y="57149"/>
                              </a:moveTo>
                              <a:lnTo>
                                <a:pt x="595809" y="57149"/>
                              </a:lnTo>
                              <a:lnTo>
                                <a:pt x="592164" y="56407"/>
                              </a:lnTo>
                              <a:lnTo>
                                <a:pt x="588663" y="54844"/>
                              </a:lnTo>
                              <a:lnTo>
                                <a:pt x="585162" y="53425"/>
                              </a:lnTo>
                              <a:lnTo>
                                <a:pt x="571023" y="32365"/>
                              </a:lnTo>
                              <a:lnTo>
                                <a:pt x="571023" y="24707"/>
                              </a:lnTo>
                              <a:lnTo>
                                <a:pt x="595809" y="0"/>
                              </a:lnTo>
                              <a:lnTo>
                                <a:pt x="603387" y="0"/>
                              </a:lnTo>
                              <a:lnTo>
                                <a:pt x="628173" y="24707"/>
                              </a:lnTo>
                              <a:lnTo>
                                <a:pt x="628173" y="32365"/>
                              </a:lnTo>
                              <a:lnTo>
                                <a:pt x="610533" y="54844"/>
                              </a:lnTo>
                              <a:lnTo>
                                <a:pt x="607032" y="56407"/>
                              </a:lnTo>
                              <a:lnTo>
                                <a:pt x="603387" y="57149"/>
                              </a:lnTo>
                              <a:close/>
                            </a:path>
                            <a:path w="856615" h="57150">
                              <a:moveTo>
                                <a:pt x="717592" y="57149"/>
                              </a:moveTo>
                              <a:lnTo>
                                <a:pt x="710014" y="57149"/>
                              </a:lnTo>
                              <a:lnTo>
                                <a:pt x="706369" y="56407"/>
                              </a:lnTo>
                              <a:lnTo>
                                <a:pt x="702868" y="54844"/>
                              </a:lnTo>
                              <a:lnTo>
                                <a:pt x="699367" y="53425"/>
                              </a:lnTo>
                              <a:lnTo>
                                <a:pt x="685228" y="32365"/>
                              </a:lnTo>
                              <a:lnTo>
                                <a:pt x="685228" y="24707"/>
                              </a:lnTo>
                              <a:lnTo>
                                <a:pt x="710014" y="0"/>
                              </a:lnTo>
                              <a:lnTo>
                                <a:pt x="717592" y="0"/>
                              </a:lnTo>
                              <a:lnTo>
                                <a:pt x="742378" y="24707"/>
                              </a:lnTo>
                              <a:lnTo>
                                <a:pt x="742378" y="32365"/>
                              </a:lnTo>
                              <a:lnTo>
                                <a:pt x="724738" y="54844"/>
                              </a:lnTo>
                              <a:lnTo>
                                <a:pt x="721237" y="56407"/>
                              </a:lnTo>
                              <a:lnTo>
                                <a:pt x="717592" y="57149"/>
                              </a:lnTo>
                              <a:close/>
                            </a:path>
                            <a:path w="856615" h="57150">
                              <a:moveTo>
                                <a:pt x="831797" y="57149"/>
                              </a:moveTo>
                              <a:lnTo>
                                <a:pt x="824218" y="57149"/>
                              </a:lnTo>
                              <a:lnTo>
                                <a:pt x="820573" y="56407"/>
                              </a:lnTo>
                              <a:lnTo>
                                <a:pt x="817072" y="54844"/>
                              </a:lnTo>
                              <a:lnTo>
                                <a:pt x="813572" y="53425"/>
                              </a:lnTo>
                              <a:lnTo>
                                <a:pt x="799433" y="32365"/>
                              </a:lnTo>
                              <a:lnTo>
                                <a:pt x="799433" y="24707"/>
                              </a:lnTo>
                              <a:lnTo>
                                <a:pt x="824218" y="0"/>
                              </a:lnTo>
                              <a:lnTo>
                                <a:pt x="831797" y="0"/>
                              </a:lnTo>
                              <a:lnTo>
                                <a:pt x="856583" y="24707"/>
                              </a:lnTo>
                              <a:lnTo>
                                <a:pt x="856583" y="32365"/>
                              </a:lnTo>
                              <a:lnTo>
                                <a:pt x="838943" y="54844"/>
                              </a:lnTo>
                              <a:lnTo>
                                <a:pt x="835442" y="56407"/>
                              </a:lnTo>
                              <a:lnTo>
                                <a:pt x="831797" y="57149"/>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15.001145pt;width:67.45pt;height:4.5pt;mso-position-horizontal-relative:page;mso-position-vertical-relative:paragraph;z-index:-15670784;mso-wrap-distance-left:0;mso-wrap-distance-right:0" id="docshape163" coordorigin="1545,300" coordsize="1349,90" path="m1596,390l1584,390,1578,389,1573,386,1567,384,1562,381,1558,377,1554,373,1551,368,1546,357,1545,351,1545,339,1546,333,1551,322,1554,317,1562,309,1567,306,1578,301,1584,300,1596,300,1602,301,1613,306,1618,309,1626,317,1629,322,1634,333,1635,339,1635,351,1634,357,1629,368,1626,373,1622,377,1618,381,1613,384,1607,386,1602,389,1596,390xm1776,390l1764,390,1758,389,1753,386,1747,384,1742,381,1738,377,1734,373,1731,368,1726,357,1725,351,1725,339,1726,333,1731,322,1734,317,1742,309,1747,306,1758,301,1764,300,1776,300,1782,301,1793,306,1797,309,1806,317,1809,322,1814,333,1815,339,1815,351,1814,357,1809,368,1806,373,1802,377,1797,381,1793,384,1787,386,1782,389,1776,390xm1956,390l1944,390,1938,389,1932,386,1927,384,1922,381,1918,377,1914,373,1910,368,1906,357,1905,351,1905,339,1906,333,1910,322,1914,317,1922,309,1927,306,1938,301,1944,300,1956,300,1961,301,1972,306,1977,309,1986,317,1989,322,1994,333,1995,339,1995,351,1994,357,1989,368,1986,373,1982,377,1977,381,1972,384,1967,386,1961,389,1956,390xm2136,390l2124,390,2118,389,2112,386,2107,384,2102,381,2098,377,2094,373,2090,368,2086,357,2085,351,2085,339,2086,333,2090,322,2094,317,2102,309,2107,306,2118,301,2124,300,2136,300,2141,301,2152,306,2157,309,2166,317,2169,322,2173,333,2175,339,2175,351,2173,357,2169,368,2166,373,2161,377,2157,381,2152,384,2147,386,2141,389,2136,390xm2315,390l2303,390,2298,389,2292,386,2287,384,2282,381,2278,377,2273,373,2270,368,2266,357,2264,351,2264,339,2266,333,2270,322,2273,317,2282,309,2287,306,2298,301,2303,300,2315,300,2321,301,2332,306,2337,309,2345,317,2349,322,2353,333,2354,339,2354,351,2353,357,2349,368,2345,373,2341,377,2337,381,2332,384,2327,386,2321,389,2315,390xm2495,390l2483,390,2478,389,2472,386,2467,384,2462,381,2457,377,2453,373,2450,368,2445,357,2444,351,2444,339,2445,333,2450,322,2453,317,2462,309,2467,306,2478,301,2483,300,2495,300,2501,301,2512,306,2517,309,2525,317,2529,322,2533,333,2534,339,2534,351,2533,357,2529,368,2525,373,2521,377,2517,381,2512,384,2506,386,2501,389,2495,390xm2675,390l2663,390,2657,389,2652,386,2646,384,2641,381,2637,377,2633,373,2630,368,2625,357,2624,351,2624,339,2625,333,2630,322,2633,317,2641,309,2646,306,2657,301,2663,300,2675,300,2681,301,2692,306,2697,309,2705,317,2708,322,2713,333,2714,339,2714,351,2713,357,2708,368,2705,373,2701,377,2697,381,2692,384,2686,386,2681,389,2675,390xm2855,390l2843,390,2837,389,2832,386,2826,384,2821,381,2817,377,2813,373,2810,368,2805,357,2804,351,2804,339,2805,333,2810,322,2813,317,2821,309,2826,306,2837,301,2843,300,2855,300,2861,301,2872,306,2877,309,2885,317,2888,322,2893,333,2894,339,2894,351,2893,357,2888,368,2885,373,2881,377,2877,381,2872,384,2866,386,2861,389,2855,390xe" filled="true" fillcolor="#2b816f" stroked="false">
                <v:path arrowok="t"/>
                <v:fill type="solid"/>
                <w10:wrap type="topAndBottom"/>
              </v:shape>
            </w:pict>
          </mc:Fallback>
        </mc:AlternateContent>
      </w: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22.6</w:t>
      </w:r>
    </w:p>
    <w:p>
      <w:pPr>
        <w:pStyle w:val="BodyText"/>
        <w:spacing w:before="215"/>
        <w:ind w:left="0"/>
        <w:jc w:val="left"/>
        <w:rPr>
          <w:rFonts w:ascii="Arial"/>
          <w:b/>
          <w:sz w:val="22"/>
        </w:rPr>
      </w:pPr>
    </w:p>
    <w:p>
      <w:pPr>
        <w:pStyle w:val="BodyText"/>
        <w:spacing w:line="249" w:lineRule="auto" w:before="1"/>
        <w:ind w:right="100" w:firstLine="450"/>
      </w:pPr>
      <w:r>
        <w:rPr/>
        <w:t>Nitric</w:t>
      </w:r>
      <w:r>
        <w:rPr>
          <w:spacing w:val="-2"/>
        </w:rPr>
        <w:t> </w:t>
      </w:r>
      <w:r>
        <w:rPr/>
        <w:t>oxide</w:t>
      </w:r>
      <w:r>
        <w:rPr>
          <w:spacing w:val="-2"/>
        </w:rPr>
        <w:t> </w:t>
      </w:r>
      <w:r>
        <w:rPr/>
        <w:t>(and</w:t>
      </w:r>
      <w:r>
        <w:rPr>
          <w:spacing w:val="-2"/>
        </w:rPr>
        <w:t> </w:t>
      </w:r>
      <w:r>
        <w:rPr/>
        <w:t>estrogen)</w:t>
      </w:r>
      <w:r>
        <w:rPr>
          <w:spacing w:val="-2"/>
        </w:rPr>
        <w:t> </w:t>
      </w:r>
      <w:r>
        <w:rPr/>
        <w:t>also</w:t>
      </w:r>
      <w:r>
        <w:rPr>
          <w:spacing w:val="-2"/>
        </w:rPr>
        <w:t> </w:t>
      </w:r>
      <w:r>
        <w:rPr/>
        <w:t>inhibits</w:t>
      </w:r>
      <w:r>
        <w:rPr>
          <w:spacing w:val="-2"/>
        </w:rPr>
        <w:t> </w:t>
      </w:r>
      <w:r>
        <w:rPr/>
        <w:t>the</w:t>
      </w:r>
      <w:r>
        <w:rPr>
          <w:spacing w:val="-2"/>
        </w:rPr>
        <w:t> </w:t>
      </w:r>
      <w:r>
        <w:rPr/>
        <w:t>adhesion</w:t>
      </w:r>
      <w:r>
        <w:rPr>
          <w:spacing w:val="-2"/>
        </w:rPr>
        <w:t> </w:t>
      </w:r>
      <w:r>
        <w:rPr/>
        <w:t>and</w:t>
      </w:r>
      <w:r>
        <w:rPr>
          <w:spacing w:val="-2"/>
        </w:rPr>
        <w:t> </w:t>
      </w:r>
      <w:r>
        <w:rPr/>
        <w:t>aggregation</w:t>
      </w:r>
      <w:r>
        <w:rPr>
          <w:spacing w:val="-2"/>
        </w:rPr>
        <w:t> </w:t>
      </w:r>
      <w:r>
        <w:rPr/>
        <w:t>of platelets in a synergistic manner with prostacyclin (also a potent vasodilator derived from the endothelium).</w:t>
      </w:r>
      <w:r>
        <w:rPr>
          <w:vertAlign w:val="superscript"/>
        </w:rPr>
        <w:t>582,583</w:t>
      </w:r>
      <w:r>
        <w:rPr>
          <w:vertAlign w:val="baseline"/>
        </w:rPr>
        <w:t> Increased blood flow due </w:t>
      </w:r>
      <w:r>
        <w:rPr>
          <w:vertAlign w:val="baseline"/>
        </w:rPr>
        <w:t>to vasodilation and decreased peripheral resistance can be observed to occur rapidly following the administration of estrogen. This response can be produced by both transdermal and oral administration.</w:t>
      </w:r>
      <w:r>
        <w:rPr>
          <w:vertAlign w:val="superscript"/>
        </w:rPr>
        <w:t>584-586</w:t>
      </w:r>
      <w:r>
        <w:rPr>
          <w:vertAlign w:val="baseline"/>
        </w:rPr>
        <w:t> The synthesis and secretion of nitric oxide (the potent endothelial vasodilating product) can be directly stimulated by estrogen in in vitro experimental preparations of coronary arteries.</w:t>
      </w:r>
      <w:r>
        <w:rPr>
          <w:vertAlign w:val="superscript"/>
        </w:rPr>
        <w:t>587</w:t>
      </w:r>
      <w:r>
        <w:rPr>
          <w:vertAlign w:val="baseline"/>
        </w:rPr>
        <w:t> In both normotensive postmenopausal women and women with hypertension, hypercholesterolemia, diabetes mellitus, or coronary</w:t>
      </w:r>
      <w:r>
        <w:rPr>
          <w:spacing w:val="-3"/>
          <w:vertAlign w:val="baseline"/>
        </w:rPr>
        <w:t> </w:t>
      </w:r>
      <w:r>
        <w:rPr>
          <w:vertAlign w:val="baseline"/>
        </w:rPr>
        <w:t>artery</w:t>
      </w:r>
      <w:r>
        <w:rPr>
          <w:spacing w:val="-3"/>
          <w:vertAlign w:val="baseline"/>
        </w:rPr>
        <w:t> </w:t>
      </w:r>
      <w:r>
        <w:rPr>
          <w:vertAlign w:val="baseline"/>
        </w:rPr>
        <w:t>disease,</w:t>
      </w:r>
      <w:r>
        <w:rPr>
          <w:spacing w:val="-3"/>
          <w:vertAlign w:val="baseline"/>
        </w:rPr>
        <w:t> </w:t>
      </w:r>
      <w:r>
        <w:rPr>
          <w:vertAlign w:val="baseline"/>
        </w:rPr>
        <w:t>the</w:t>
      </w:r>
      <w:r>
        <w:rPr>
          <w:spacing w:val="-3"/>
          <w:vertAlign w:val="baseline"/>
        </w:rPr>
        <w:t> </w:t>
      </w:r>
      <w:r>
        <w:rPr>
          <w:vertAlign w:val="baseline"/>
        </w:rPr>
        <w:t>intra-arterial</w:t>
      </w:r>
      <w:r>
        <w:rPr>
          <w:spacing w:val="-3"/>
          <w:vertAlign w:val="baseline"/>
        </w:rPr>
        <w:t> </w:t>
      </w:r>
      <w:r>
        <w:rPr>
          <w:vertAlign w:val="baseline"/>
        </w:rPr>
        <w:t>infusion</w:t>
      </w:r>
      <w:r>
        <w:rPr>
          <w:spacing w:val="-3"/>
          <w:vertAlign w:val="baseline"/>
        </w:rPr>
        <w:t> </w:t>
      </w:r>
      <w:r>
        <w:rPr>
          <w:vertAlign w:val="baseline"/>
        </w:rPr>
        <w:t>of</w:t>
      </w:r>
      <w:r>
        <w:rPr>
          <w:spacing w:val="-3"/>
          <w:vertAlign w:val="baseline"/>
        </w:rPr>
        <w:t> </w:t>
      </w:r>
      <w:r>
        <w:rPr>
          <w:vertAlign w:val="baseline"/>
        </w:rPr>
        <w:t>physiologic</w:t>
      </w:r>
      <w:r>
        <w:rPr>
          <w:spacing w:val="-3"/>
          <w:vertAlign w:val="baseline"/>
        </w:rPr>
        <w:t> </w:t>
      </w:r>
      <w:r>
        <w:rPr>
          <w:vertAlign w:val="baseline"/>
        </w:rPr>
        <w:t>amounts</w:t>
      </w:r>
      <w:r>
        <w:rPr>
          <w:spacing w:val="-3"/>
          <w:vertAlign w:val="baseline"/>
        </w:rPr>
        <w:t> </w:t>
      </w:r>
      <w:r>
        <w:rPr>
          <w:vertAlign w:val="baseline"/>
        </w:rPr>
        <w:t>of estradiol into the forearm potentiates endothelium-dependent vasodilation, and there is a dose-response effect.</w:t>
      </w:r>
      <w:r>
        <w:rPr>
          <w:vertAlign w:val="superscript"/>
        </w:rPr>
        <w:t>588,589</w:t>
      </w:r>
      <w:r>
        <w:rPr>
          <w:vertAlign w:val="baseline"/>
        </w:rPr>
        <w:t> Similarly, brachial artery dilation has been reported with 0.3 and 0.625 mg conjugated estrogens.</w:t>
      </w:r>
      <w:r>
        <w:rPr>
          <w:vertAlign w:val="superscript"/>
        </w:rPr>
        <w:t>590</w:t>
      </w:r>
      <w:r>
        <w:rPr>
          <w:vertAlign w:val="baseline"/>
        </w:rPr>
        <w:t> Comparing brachial artery responses in HT users versus nonusers</w:t>
      </w:r>
      <w:r>
        <w:rPr>
          <w:spacing w:val="40"/>
          <w:vertAlign w:val="baseline"/>
        </w:rPr>
        <w:t> </w:t>
      </w:r>
      <w:r>
        <w:rPr>
          <w:vertAlign w:val="baseline"/>
        </w:rPr>
        <w:t>(estrogens with/without progestin), improved endothelium-dependent vasodilation</w:t>
      </w:r>
      <w:r>
        <w:rPr>
          <w:spacing w:val="-1"/>
          <w:vertAlign w:val="baseline"/>
        </w:rPr>
        <w:t> </w:t>
      </w:r>
      <w:r>
        <w:rPr>
          <w:vertAlign w:val="baseline"/>
        </w:rPr>
        <w:t>was</w:t>
      </w:r>
      <w:r>
        <w:rPr>
          <w:spacing w:val="-1"/>
          <w:vertAlign w:val="baseline"/>
        </w:rPr>
        <w:t> </w:t>
      </w:r>
      <w:r>
        <w:rPr>
          <w:vertAlign w:val="baseline"/>
        </w:rPr>
        <w:t>observed</w:t>
      </w:r>
      <w:r>
        <w:rPr>
          <w:spacing w:val="-1"/>
          <w:vertAlign w:val="baseline"/>
        </w:rPr>
        <w:t> </w:t>
      </w:r>
      <w:r>
        <w:rPr>
          <w:vertAlign w:val="baseline"/>
        </w:rPr>
        <w:t>with</w:t>
      </w:r>
      <w:r>
        <w:rPr>
          <w:spacing w:val="-1"/>
          <w:vertAlign w:val="baseline"/>
        </w:rPr>
        <w:t> </w:t>
      </w:r>
      <w:r>
        <w:rPr>
          <w:vertAlign w:val="baseline"/>
        </w:rPr>
        <w:t>standard</w:t>
      </w:r>
      <w:r>
        <w:rPr>
          <w:spacing w:val="-1"/>
          <w:vertAlign w:val="baseline"/>
        </w:rPr>
        <w:t> </w:t>
      </w:r>
      <w:r>
        <w:rPr>
          <w:vertAlign w:val="baseline"/>
        </w:rPr>
        <w:t>doses.</w:t>
      </w:r>
      <w:r>
        <w:rPr>
          <w:vertAlign w:val="superscript"/>
        </w:rPr>
        <w:t>591</w:t>
      </w:r>
      <w:r>
        <w:rPr>
          <w:vertAlign w:val="baseline"/>
        </w:rPr>
        <w:t> Furthermore, the addition of NETA or MPA did not reduce the beneficial effect of estrogen on peripheral artery blood flow.</w:t>
      </w:r>
      <w:r>
        <w:rPr>
          <w:vertAlign w:val="superscript"/>
        </w:rPr>
        <w:t>592,593</w:t>
      </w:r>
      <w:r>
        <w:rPr>
          <w:vertAlign w:val="baseline"/>
        </w:rPr>
        <w:t> However, not all studies agree. A Danish assessment of brachial artery</w:t>
      </w:r>
      <w:r>
        <w:rPr>
          <w:spacing w:val="1"/>
          <w:vertAlign w:val="baseline"/>
        </w:rPr>
        <w:t> </w:t>
      </w:r>
      <w:r>
        <w:rPr>
          <w:vertAlign w:val="baseline"/>
        </w:rPr>
        <w:t>responses demonstrated no difference</w:t>
      </w:r>
      <w:r>
        <w:rPr>
          <w:spacing w:val="1"/>
          <w:vertAlign w:val="baseline"/>
        </w:rPr>
        <w:t> </w:t>
      </w:r>
      <w:r>
        <w:rPr>
          <w:spacing w:val="-2"/>
          <w:vertAlign w:val="baseline"/>
        </w:rPr>
        <w:t>between</w:t>
      </w:r>
    </w:p>
    <w:p>
      <w:pPr>
        <w:pStyle w:val="BodyText"/>
        <w:spacing w:after="0" w:line="249" w:lineRule="auto"/>
        <w:sectPr>
          <w:pgSz w:w="12240" w:h="15840"/>
          <w:pgMar w:top="1440" w:bottom="280" w:left="1440" w:right="1440"/>
        </w:sectPr>
      </w:pPr>
    </w:p>
    <w:p>
      <w:pPr>
        <w:pStyle w:val="BodyText"/>
        <w:spacing w:line="249" w:lineRule="auto"/>
        <w:ind w:right="98"/>
      </w:pPr>
      <w:r>
        <w:rPr/>
        <w:t>postmenopausal women on long-term combined estrogen-progestin </w:t>
      </w:r>
      <w:r>
        <w:rPr/>
        <w:t>therapy compared with those receiving no treatment.</w:t>
      </w:r>
      <w:r>
        <w:rPr>
          <w:vertAlign w:val="superscript"/>
        </w:rPr>
        <w:t>594</w:t>
      </w:r>
    </w:p>
    <w:p>
      <w:pPr>
        <w:pStyle w:val="BodyText"/>
        <w:spacing w:line="252" w:lineRule="auto" w:before="2"/>
        <w:ind w:right="97" w:firstLine="450"/>
      </w:pPr>
      <w:r>
        <w:rPr/>
        <w:t>The synthesis of nitric oxide is involved in the regulation of vascular (and gastrointestinal) tone and neuronal activity. A family of isozymes (nitric oxide synthases) catalyzes the oxidation of </w:t>
      </w:r>
      <w:r>
        <w:rPr>
          <w:sz w:val="16"/>
        </w:rPr>
        <w:t>L</w:t>
      </w:r>
      <w:r>
        <w:rPr/>
        <w:t>-arginine to nitric oxide and citrulline. The action of nitric oxide synthase in the endothelium </w:t>
      </w:r>
      <w:r>
        <w:rPr/>
        <w:t>is calcium dependent.</w:t>
      </w:r>
      <w:r>
        <w:rPr>
          <w:vertAlign w:val="superscript"/>
        </w:rPr>
        <w:t>595</w:t>
      </w:r>
      <w:r>
        <w:rPr>
          <w:vertAlign w:val="baseline"/>
        </w:rPr>
        <w:t> In animal experiments, the endothelial basal release of nitric oxide is greater in females, a gender difference that is mediated by estrogen.</w:t>
      </w:r>
      <w:r>
        <w:rPr>
          <w:vertAlign w:val="superscript"/>
        </w:rPr>
        <w:t>587,596</w:t>
      </w:r>
      <w:r>
        <w:rPr>
          <w:vertAlign w:val="baseline"/>
        </w:rPr>
        <w:t> In women treated with postmenopausal estrogen and either cyproterone acetate or MPA, circulating nitric oxide (as reflected in nitrite-nitrate levels) is increased, a consequence of estrogen-induced nitric oxide production in the endothelium.</w:t>
      </w:r>
      <w:r>
        <w:rPr>
          <w:vertAlign w:val="superscript"/>
        </w:rPr>
        <w:t>597,598</w:t>
      </w:r>
      <w:r>
        <w:rPr>
          <w:vertAlign w:val="baseline"/>
        </w:rPr>
        <w:t> In contrast, long-term treatment with estradiol and NETA was not associated with changes in nitric oxide, endothelin-1,</w:t>
      </w:r>
      <w:r>
        <w:rPr>
          <w:spacing w:val="73"/>
          <w:vertAlign w:val="baseline"/>
        </w:rPr>
        <w:t> </w:t>
      </w:r>
      <w:r>
        <w:rPr>
          <w:vertAlign w:val="baseline"/>
        </w:rPr>
        <w:t>prostacyclin,</w:t>
      </w:r>
      <w:r>
        <w:rPr>
          <w:spacing w:val="74"/>
          <w:vertAlign w:val="baseline"/>
        </w:rPr>
        <w:t> </w:t>
      </w:r>
      <w:r>
        <w:rPr>
          <w:vertAlign w:val="baseline"/>
        </w:rPr>
        <w:t>or</w:t>
      </w:r>
      <w:r>
        <w:rPr>
          <w:spacing w:val="74"/>
          <w:vertAlign w:val="baseline"/>
        </w:rPr>
        <w:t> </w:t>
      </w:r>
      <w:r>
        <w:rPr>
          <w:vertAlign w:val="baseline"/>
        </w:rPr>
        <w:t>thromboxane</w:t>
      </w:r>
      <w:r>
        <w:rPr>
          <w:spacing w:val="74"/>
          <w:vertAlign w:val="baseline"/>
        </w:rPr>
        <w:t> </w:t>
      </w:r>
      <w:r>
        <w:rPr>
          <w:vertAlign w:val="baseline"/>
        </w:rPr>
        <w:t>A</w:t>
      </w:r>
      <w:r>
        <w:rPr>
          <w:vertAlign w:val="subscript"/>
        </w:rPr>
        <w:t>2</w:t>
      </w:r>
      <w:r>
        <w:rPr>
          <w:vertAlign w:val="baseline"/>
        </w:rPr>
        <w:t>,</w:t>
      </w:r>
      <w:r>
        <w:rPr>
          <w:spacing w:val="74"/>
          <w:vertAlign w:val="baseline"/>
        </w:rPr>
        <w:t> </w:t>
      </w:r>
      <w:r>
        <w:rPr>
          <w:vertAlign w:val="baseline"/>
        </w:rPr>
        <w:t>suggesting</w:t>
      </w:r>
      <w:r>
        <w:rPr>
          <w:spacing w:val="74"/>
          <w:vertAlign w:val="baseline"/>
        </w:rPr>
        <w:t> </w:t>
      </w:r>
      <w:r>
        <w:rPr>
          <w:vertAlign w:val="baseline"/>
        </w:rPr>
        <w:t>that</w:t>
      </w:r>
      <w:r>
        <w:rPr>
          <w:spacing w:val="74"/>
          <w:vertAlign w:val="baseline"/>
        </w:rPr>
        <w:t> </w:t>
      </w:r>
      <w:r>
        <w:rPr>
          <w:spacing w:val="-2"/>
          <w:vertAlign w:val="baseline"/>
        </w:rPr>
        <w:t>different</w:t>
      </w:r>
    </w:p>
    <w:p>
      <w:pPr>
        <w:pStyle w:val="BodyText"/>
        <w:spacing w:before="49"/>
      </w:pPr>
      <w:r>
        <w:rPr/>
        <w:t>progestins</w:t>
      </w:r>
      <w:r>
        <w:rPr>
          <w:spacing w:val="-2"/>
        </w:rPr>
        <w:t> </w:t>
      </w:r>
      <w:r>
        <w:rPr/>
        <w:t>have</w:t>
      </w:r>
      <w:r>
        <w:rPr>
          <w:spacing w:val="-2"/>
        </w:rPr>
        <w:t> </w:t>
      </w:r>
      <w:r>
        <w:rPr/>
        <w:t>differential</w:t>
      </w:r>
      <w:r>
        <w:rPr>
          <w:spacing w:val="-2"/>
        </w:rPr>
        <w:t> effects.</w:t>
      </w:r>
      <w:r>
        <w:rPr>
          <w:spacing w:val="-2"/>
          <w:vertAlign w:val="superscript"/>
        </w:rPr>
        <w:t>599</w:t>
      </w:r>
    </w:p>
    <w:p>
      <w:pPr>
        <w:pStyle w:val="BodyText"/>
        <w:spacing w:line="249" w:lineRule="auto" w:before="15"/>
        <w:ind w:right="99" w:firstLine="450"/>
      </w:pPr>
      <w:r>
        <w:rPr/>
        <w:t>Acetylcholine induces vasoconstriction in coronary arteries; </w:t>
      </w:r>
      <w:r>
        <w:rPr/>
        <w:t>however, the direct administration of estradiol in physiologic doses into the coronary arteries of postmenopausal women with and without CHD converts acetylcholine-induced vasoconstriction into vasodilation with increased flow.</w:t>
      </w:r>
      <w:r>
        <w:rPr>
          <w:vertAlign w:val="superscript"/>
        </w:rPr>
        <w:t>600</w:t>
      </w:r>
      <w:r>
        <w:rPr>
          <w:vertAlign w:val="baseline"/>
        </w:rPr>
        <w:t> This favorable vasomotor response to acetylcholine can also be demonstrated in acute experiments with transdermal administration of estradiol (achieving blood levels of 67-89 pg/mL).</w:t>
      </w:r>
      <w:r>
        <w:rPr>
          <w:vertAlign w:val="superscript"/>
        </w:rPr>
        <w:t>601</w:t>
      </w:r>
      <w:r>
        <w:rPr>
          <w:vertAlign w:val="baseline"/>
        </w:rPr>
        <w:t> This is an endothelium-dependent response, mediated to a significant degree by an increase in nitric oxide.</w:t>
      </w:r>
      <w:r>
        <w:rPr>
          <w:vertAlign w:val="superscript"/>
        </w:rPr>
        <w:t>602</w:t>
      </w:r>
      <w:r>
        <w:rPr>
          <w:vertAlign w:val="baseline"/>
        </w:rPr>
        <w:t> In the monkey, the vasodilatory response to acetylcholine required a blood level of estradiol higher than 60 pg/mL.</w:t>
      </w:r>
      <w:r>
        <w:rPr>
          <w:vertAlign w:val="superscript"/>
        </w:rPr>
        <w:t>603</w:t>
      </w:r>
    </w:p>
    <w:p>
      <w:pPr>
        <w:spacing w:before="311"/>
        <w:ind w:left="99" w:right="0" w:firstLine="0"/>
        <w:jc w:val="both"/>
        <w:rPr>
          <w:rFonts w:ascii="Arial"/>
          <w:b/>
          <w:i/>
          <w:sz w:val="22"/>
        </w:rPr>
      </w:pPr>
      <w:r>
        <w:rPr>
          <w:rFonts w:ascii="Arial"/>
          <w:b/>
          <w:i/>
          <w:color w:val="A0234E"/>
          <w:sz w:val="22"/>
        </w:rPr>
        <w:t>Endothelium-Independent</w:t>
      </w:r>
      <w:r>
        <w:rPr>
          <w:rFonts w:ascii="Arial"/>
          <w:b/>
          <w:i/>
          <w:color w:val="A0234E"/>
          <w:spacing w:val="55"/>
          <w:sz w:val="22"/>
        </w:rPr>
        <w:t> </w:t>
      </w:r>
      <w:r>
        <w:rPr>
          <w:rFonts w:ascii="Arial"/>
          <w:b/>
          <w:i/>
          <w:color w:val="A0234E"/>
          <w:spacing w:val="-2"/>
          <w:sz w:val="22"/>
        </w:rPr>
        <w:t>Vasodilation</w:t>
      </w:r>
    </w:p>
    <w:p>
      <w:pPr>
        <w:pStyle w:val="BodyText"/>
        <w:spacing w:line="249" w:lineRule="auto" w:before="123"/>
        <w:ind w:right="99"/>
      </w:pPr>
      <w:r>
        <w:rPr/>
        <w:t>Estrogen causes relaxation in coronary arteries that are denuded </w:t>
      </w:r>
      <w:r>
        <w:rPr/>
        <w:t>of endothelium.</w:t>
      </w:r>
      <w:r>
        <w:rPr>
          <w:vertAlign w:val="superscript"/>
        </w:rPr>
        <w:t>604</w:t>
      </w:r>
      <w:r>
        <w:rPr>
          <w:vertAlign w:val="baseline"/>
        </w:rPr>
        <w:t> This response is not prevented by the presence of inhibitors of nitric oxide synthase or prostaglandin synthase, thus suggesting that</w:t>
      </w:r>
      <w:r>
        <w:rPr>
          <w:spacing w:val="40"/>
          <w:vertAlign w:val="baseline"/>
        </w:rPr>
        <w:t> </w:t>
      </w:r>
      <w:r>
        <w:rPr>
          <w:vertAlign w:val="baseline"/>
        </w:rPr>
        <w:t>some degree of vasodilation in response to estrogen is achieved through a mechanism that is independent of the vascular endothelium, perhaps acting via calcium-mediated events.</w:t>
      </w:r>
      <w:r>
        <w:rPr>
          <w:vertAlign w:val="superscript"/>
        </w:rPr>
        <w:t>605</w:t>
      </w:r>
      <w:r>
        <w:rPr>
          <w:vertAlign w:val="baseline"/>
        </w:rPr>
        <w:t> The vasodilation produced by sodium nitroprusside is endothelium-independent. In otherwise healthy postmenopausal</w:t>
      </w:r>
      <w:r>
        <w:rPr>
          <w:spacing w:val="48"/>
          <w:vertAlign w:val="baseline"/>
        </w:rPr>
        <w:t> </w:t>
      </w:r>
      <w:r>
        <w:rPr>
          <w:vertAlign w:val="baseline"/>
        </w:rPr>
        <w:t>women</w:t>
      </w:r>
      <w:r>
        <w:rPr>
          <w:spacing w:val="48"/>
          <w:vertAlign w:val="baseline"/>
        </w:rPr>
        <w:t> </w:t>
      </w:r>
      <w:r>
        <w:rPr>
          <w:vertAlign w:val="baseline"/>
        </w:rPr>
        <w:t>and</w:t>
      </w:r>
      <w:r>
        <w:rPr>
          <w:spacing w:val="48"/>
          <w:vertAlign w:val="baseline"/>
        </w:rPr>
        <w:t> </w:t>
      </w:r>
      <w:r>
        <w:rPr>
          <w:vertAlign w:val="baseline"/>
        </w:rPr>
        <w:t>in</w:t>
      </w:r>
      <w:r>
        <w:rPr>
          <w:spacing w:val="48"/>
          <w:vertAlign w:val="baseline"/>
        </w:rPr>
        <w:t> </w:t>
      </w:r>
      <w:r>
        <w:rPr>
          <w:vertAlign w:val="baseline"/>
        </w:rPr>
        <w:t>those</w:t>
      </w:r>
      <w:r>
        <w:rPr>
          <w:spacing w:val="48"/>
          <w:vertAlign w:val="baseline"/>
        </w:rPr>
        <w:t> </w:t>
      </w:r>
      <w:r>
        <w:rPr>
          <w:vertAlign w:val="baseline"/>
        </w:rPr>
        <w:t>with</w:t>
      </w:r>
      <w:r>
        <w:rPr>
          <w:spacing w:val="48"/>
          <w:vertAlign w:val="baseline"/>
        </w:rPr>
        <w:t> </w:t>
      </w:r>
      <w:r>
        <w:rPr>
          <w:vertAlign w:val="baseline"/>
        </w:rPr>
        <w:t>risk</w:t>
      </w:r>
      <w:r>
        <w:rPr>
          <w:spacing w:val="48"/>
          <w:vertAlign w:val="baseline"/>
        </w:rPr>
        <w:t> </w:t>
      </w:r>
      <w:r>
        <w:rPr>
          <w:vertAlign w:val="baseline"/>
        </w:rPr>
        <w:t>factors</w:t>
      </w:r>
      <w:r>
        <w:rPr>
          <w:spacing w:val="48"/>
          <w:vertAlign w:val="baseline"/>
        </w:rPr>
        <w:t> </w:t>
      </w:r>
      <w:r>
        <w:rPr>
          <w:vertAlign w:val="baseline"/>
        </w:rPr>
        <w:t>for</w:t>
      </w:r>
      <w:r>
        <w:rPr>
          <w:spacing w:val="48"/>
          <w:vertAlign w:val="baseline"/>
        </w:rPr>
        <w:t> </w:t>
      </w:r>
      <w:r>
        <w:rPr>
          <w:spacing w:val="-2"/>
          <w:vertAlign w:val="baseline"/>
        </w:rPr>
        <w:t>atherosclerosis</w:t>
      </w:r>
    </w:p>
    <w:p>
      <w:pPr>
        <w:pStyle w:val="BodyText"/>
        <w:spacing w:after="0" w:line="249" w:lineRule="auto"/>
        <w:sectPr>
          <w:pgSz w:w="12240" w:h="15840"/>
          <w:pgMar w:top="1380" w:bottom="280" w:left="1440" w:right="1440"/>
        </w:sectPr>
      </w:pPr>
    </w:p>
    <w:p>
      <w:pPr>
        <w:pStyle w:val="BodyText"/>
        <w:spacing w:line="249" w:lineRule="auto"/>
        <w:ind w:right="106"/>
      </w:pPr>
      <w:r>
        <w:rPr/>
        <w:t>(hypertension, hypercholesterolemia, diabetes mellitus, coronary </w:t>
      </w:r>
      <w:r>
        <w:rPr/>
        <w:t>artery disease), administration of physiologic doses of estradiol increased forearm vasodilation induced by sodium nitroprusside.</w:t>
      </w:r>
      <w:r>
        <w:rPr>
          <w:vertAlign w:val="superscript"/>
        </w:rPr>
        <w:t>588</w:t>
      </w:r>
      <w:r>
        <w:rPr>
          <w:vertAlign w:val="baseline"/>
        </w:rPr>
        <w:t> However, others have reported no effect of estrogen administration on endothelium-independent </w:t>
      </w:r>
      <w:r>
        <w:rPr>
          <w:spacing w:val="-2"/>
          <w:vertAlign w:val="baseline"/>
        </w:rPr>
        <w:t>vasodilation.</w:t>
      </w:r>
      <w:r>
        <w:rPr>
          <w:spacing w:val="-2"/>
          <w:vertAlign w:val="superscript"/>
        </w:rPr>
        <w:t>586</w:t>
      </w:r>
    </w:p>
    <w:p>
      <w:pPr>
        <w:spacing w:before="305"/>
        <w:ind w:left="99" w:right="0" w:firstLine="0"/>
        <w:jc w:val="both"/>
        <w:rPr>
          <w:rFonts w:ascii="Arial"/>
          <w:b/>
          <w:i/>
          <w:sz w:val="22"/>
        </w:rPr>
      </w:pPr>
      <w:r>
        <w:rPr>
          <w:rFonts w:ascii="Arial"/>
          <w:b/>
          <w:i/>
          <w:color w:val="A0234E"/>
          <w:sz w:val="22"/>
        </w:rPr>
        <w:t>Actions</w:t>
      </w:r>
      <w:r>
        <w:rPr>
          <w:rFonts w:ascii="Arial"/>
          <w:b/>
          <w:i/>
          <w:color w:val="A0234E"/>
          <w:spacing w:val="11"/>
          <w:sz w:val="22"/>
        </w:rPr>
        <w:t> </w:t>
      </w:r>
      <w:r>
        <w:rPr>
          <w:rFonts w:ascii="Arial"/>
          <w:b/>
          <w:i/>
          <w:color w:val="A0234E"/>
          <w:sz w:val="22"/>
        </w:rPr>
        <w:t>on</w:t>
      </w:r>
      <w:r>
        <w:rPr>
          <w:rFonts w:ascii="Arial"/>
          <w:b/>
          <w:i/>
          <w:color w:val="A0234E"/>
          <w:spacing w:val="11"/>
          <w:sz w:val="22"/>
        </w:rPr>
        <w:t> </w:t>
      </w:r>
      <w:r>
        <w:rPr>
          <w:rFonts w:ascii="Arial"/>
          <w:b/>
          <w:i/>
          <w:color w:val="A0234E"/>
          <w:sz w:val="22"/>
        </w:rPr>
        <w:t>the</w:t>
      </w:r>
      <w:r>
        <w:rPr>
          <w:rFonts w:ascii="Arial"/>
          <w:b/>
          <w:i/>
          <w:color w:val="A0234E"/>
          <w:spacing w:val="11"/>
          <w:sz w:val="22"/>
        </w:rPr>
        <w:t> </w:t>
      </w:r>
      <w:r>
        <w:rPr>
          <w:rFonts w:ascii="Arial"/>
          <w:b/>
          <w:i/>
          <w:color w:val="A0234E"/>
          <w:sz w:val="22"/>
        </w:rPr>
        <w:t>Heart</w:t>
      </w:r>
      <w:r>
        <w:rPr>
          <w:rFonts w:ascii="Arial"/>
          <w:b/>
          <w:i/>
          <w:color w:val="A0234E"/>
          <w:spacing w:val="11"/>
          <w:sz w:val="22"/>
        </w:rPr>
        <w:t> </w:t>
      </w:r>
      <w:r>
        <w:rPr>
          <w:rFonts w:ascii="Arial"/>
          <w:b/>
          <w:i/>
          <w:color w:val="A0234E"/>
          <w:sz w:val="22"/>
        </w:rPr>
        <w:t>and</w:t>
      </w:r>
      <w:r>
        <w:rPr>
          <w:rFonts w:ascii="Arial"/>
          <w:b/>
          <w:i/>
          <w:color w:val="A0234E"/>
          <w:spacing w:val="12"/>
          <w:sz w:val="22"/>
        </w:rPr>
        <w:t> </w:t>
      </w:r>
      <w:r>
        <w:rPr>
          <w:rFonts w:ascii="Arial"/>
          <w:b/>
          <w:i/>
          <w:color w:val="A0234E"/>
          <w:sz w:val="22"/>
        </w:rPr>
        <w:t>Large</w:t>
      </w:r>
      <w:r>
        <w:rPr>
          <w:rFonts w:ascii="Arial"/>
          <w:b/>
          <w:i/>
          <w:color w:val="A0234E"/>
          <w:spacing w:val="11"/>
          <w:sz w:val="22"/>
        </w:rPr>
        <w:t> </w:t>
      </w:r>
      <w:r>
        <w:rPr>
          <w:rFonts w:ascii="Arial"/>
          <w:b/>
          <w:i/>
          <w:color w:val="A0234E"/>
          <w:sz w:val="22"/>
        </w:rPr>
        <w:t>Blood</w:t>
      </w:r>
      <w:r>
        <w:rPr>
          <w:rFonts w:ascii="Arial"/>
          <w:b/>
          <w:i/>
          <w:color w:val="A0234E"/>
          <w:spacing w:val="11"/>
          <w:sz w:val="22"/>
        </w:rPr>
        <w:t> </w:t>
      </w:r>
      <w:r>
        <w:rPr>
          <w:rFonts w:ascii="Arial"/>
          <w:b/>
          <w:i/>
          <w:color w:val="A0234E"/>
          <w:spacing w:val="-2"/>
          <w:sz w:val="22"/>
        </w:rPr>
        <w:t>Vessels</w:t>
      </w:r>
    </w:p>
    <w:p>
      <w:pPr>
        <w:pStyle w:val="BodyText"/>
        <w:spacing w:line="249" w:lineRule="auto" w:before="123"/>
        <w:ind w:right="97"/>
      </w:pPr>
      <w:r>
        <w:rPr/>
        <w:t>Estrogen treatment in some studies was associated with increased left ventricular diastolic filling and stroke volume,</w:t>
      </w:r>
      <w:r>
        <w:rPr>
          <w:vertAlign w:val="superscript"/>
        </w:rPr>
        <w:t>586,606-608</w:t>
      </w:r>
      <w:r>
        <w:rPr>
          <w:vertAlign w:val="baseline"/>
        </w:rPr>
        <w:t> an effect </w:t>
      </w:r>
      <w:r>
        <w:rPr>
          <w:vertAlign w:val="baseline"/>
        </w:rPr>
        <w:t>that probably</w:t>
      </w:r>
      <w:r>
        <w:rPr>
          <w:spacing w:val="-5"/>
          <w:vertAlign w:val="baseline"/>
        </w:rPr>
        <w:t> </w:t>
      </w:r>
      <w:r>
        <w:rPr>
          <w:vertAlign w:val="baseline"/>
        </w:rPr>
        <w:t>reflects</w:t>
      </w:r>
      <w:r>
        <w:rPr>
          <w:spacing w:val="-5"/>
          <w:vertAlign w:val="baseline"/>
        </w:rPr>
        <w:t> </w:t>
      </w:r>
      <w:r>
        <w:rPr>
          <w:vertAlign w:val="baseline"/>
        </w:rPr>
        <w:t>a</w:t>
      </w:r>
      <w:r>
        <w:rPr>
          <w:spacing w:val="-5"/>
          <w:vertAlign w:val="baseline"/>
        </w:rPr>
        <w:t> </w:t>
      </w:r>
      <w:r>
        <w:rPr>
          <w:vertAlign w:val="baseline"/>
        </w:rPr>
        <w:t>direct</w:t>
      </w:r>
      <w:r>
        <w:rPr>
          <w:spacing w:val="-5"/>
          <w:vertAlign w:val="baseline"/>
        </w:rPr>
        <w:t> </w:t>
      </w:r>
      <w:r>
        <w:rPr>
          <w:vertAlign w:val="baseline"/>
        </w:rPr>
        <w:t>inotropic</w:t>
      </w:r>
      <w:r>
        <w:rPr>
          <w:spacing w:val="-5"/>
          <w:vertAlign w:val="baseline"/>
        </w:rPr>
        <w:t> </w:t>
      </w:r>
      <w:r>
        <w:rPr>
          <w:vertAlign w:val="baseline"/>
        </w:rPr>
        <w:t>action</w:t>
      </w:r>
      <w:r>
        <w:rPr>
          <w:spacing w:val="-5"/>
          <w:vertAlign w:val="baseline"/>
        </w:rPr>
        <w:t> </w:t>
      </w:r>
      <w:r>
        <w:rPr>
          <w:vertAlign w:val="baseline"/>
        </w:rPr>
        <w:t>of</w:t>
      </w:r>
      <w:r>
        <w:rPr>
          <w:spacing w:val="-5"/>
          <w:vertAlign w:val="baseline"/>
        </w:rPr>
        <w:t> </w:t>
      </w:r>
      <w:r>
        <w:rPr>
          <w:vertAlign w:val="baseline"/>
        </w:rPr>
        <w:t>estrogen.</w:t>
      </w:r>
      <w:r>
        <w:rPr>
          <w:vertAlign w:val="superscript"/>
        </w:rPr>
        <w:t>609</w:t>
      </w:r>
      <w:r>
        <w:rPr>
          <w:spacing w:val="-1"/>
          <w:vertAlign w:val="baseline"/>
        </w:rPr>
        <w:t> </w:t>
      </w:r>
      <w:r>
        <w:rPr>
          <w:vertAlign w:val="baseline"/>
        </w:rPr>
        <w:t>In</w:t>
      </w:r>
      <w:r>
        <w:rPr>
          <w:spacing w:val="-1"/>
          <w:vertAlign w:val="baseline"/>
        </w:rPr>
        <w:t> </w:t>
      </w:r>
      <w:r>
        <w:rPr>
          <w:vertAlign w:val="baseline"/>
        </w:rPr>
        <w:t>a</w:t>
      </w:r>
      <w:r>
        <w:rPr>
          <w:spacing w:val="-1"/>
          <w:vertAlign w:val="baseline"/>
        </w:rPr>
        <w:t> </w:t>
      </w:r>
      <w:r>
        <w:rPr>
          <w:vertAlign w:val="baseline"/>
        </w:rPr>
        <w:t>3-month</w:t>
      </w:r>
      <w:r>
        <w:rPr>
          <w:spacing w:val="-1"/>
          <w:vertAlign w:val="baseline"/>
        </w:rPr>
        <w:t> </w:t>
      </w:r>
      <w:r>
        <w:rPr>
          <w:vertAlign w:val="baseline"/>
        </w:rPr>
        <w:t>study, MPA (5 mg daily for 10 days each month) did not attenuate the increase in left ventricular output (systolic flow velocity) observed with estrogen treatment.</w:t>
      </w:r>
      <w:r>
        <w:rPr>
          <w:vertAlign w:val="superscript"/>
        </w:rPr>
        <w:t>610</w:t>
      </w:r>
      <w:r>
        <w:rPr>
          <w:vertAlign w:val="baseline"/>
        </w:rPr>
        <w:t> On the other hand, others have detected attenuation of estrogen’s beneficial effects on compliance (stiffness) associated with combined estrogen-progestin treatment.</w:t>
      </w:r>
      <w:r>
        <w:rPr>
          <w:vertAlign w:val="superscript"/>
        </w:rPr>
        <w:t>609,611</w:t>
      </w:r>
      <w:r>
        <w:rPr>
          <w:vertAlign w:val="baseline"/>
        </w:rPr>
        <w:t> And others have not been able to demonstrate an effect of short-term oral estrogen or long-term transdermal estrogen treatment on cardiac structure and function.</w:t>
      </w:r>
      <w:r>
        <w:rPr>
          <w:vertAlign w:val="superscript"/>
        </w:rPr>
        <w:t>612,613</w:t>
      </w:r>
      <w:r>
        <w:rPr>
          <w:vertAlign w:val="baseline"/>
        </w:rPr>
        <w:t> The reasons for these observations as well as the differences remain unclear.</w:t>
      </w:r>
    </w:p>
    <w:p>
      <w:pPr>
        <w:spacing w:before="312"/>
        <w:ind w:left="99" w:right="0" w:firstLine="0"/>
        <w:jc w:val="both"/>
        <w:rPr>
          <w:rFonts w:ascii="Arial"/>
          <w:b/>
          <w:i/>
          <w:sz w:val="22"/>
        </w:rPr>
      </w:pPr>
      <w:r>
        <w:rPr>
          <w:rFonts w:ascii="Arial"/>
          <w:b/>
          <w:i/>
          <w:color w:val="A0234E"/>
          <w:sz w:val="22"/>
        </w:rPr>
        <w:t>Actions</w:t>
      </w:r>
      <w:r>
        <w:rPr>
          <w:rFonts w:ascii="Arial"/>
          <w:b/>
          <w:i/>
          <w:color w:val="A0234E"/>
          <w:spacing w:val="13"/>
          <w:sz w:val="22"/>
        </w:rPr>
        <w:t> </w:t>
      </w:r>
      <w:r>
        <w:rPr>
          <w:rFonts w:ascii="Arial"/>
          <w:b/>
          <w:i/>
          <w:color w:val="A0234E"/>
          <w:sz w:val="22"/>
        </w:rPr>
        <w:t>on</w:t>
      </w:r>
      <w:r>
        <w:rPr>
          <w:rFonts w:ascii="Arial"/>
          <w:b/>
          <w:i/>
          <w:color w:val="A0234E"/>
          <w:spacing w:val="14"/>
          <w:sz w:val="22"/>
        </w:rPr>
        <w:t> </w:t>
      </w:r>
      <w:r>
        <w:rPr>
          <w:rFonts w:ascii="Arial"/>
          <w:b/>
          <w:i/>
          <w:color w:val="A0234E"/>
          <w:sz w:val="22"/>
        </w:rPr>
        <w:t>Glucose</w:t>
      </w:r>
      <w:r>
        <w:rPr>
          <w:rFonts w:ascii="Arial"/>
          <w:b/>
          <w:i/>
          <w:color w:val="A0234E"/>
          <w:spacing w:val="14"/>
          <w:sz w:val="22"/>
        </w:rPr>
        <w:t> </w:t>
      </w:r>
      <w:r>
        <w:rPr>
          <w:rFonts w:ascii="Arial"/>
          <w:b/>
          <w:i/>
          <w:color w:val="A0234E"/>
          <w:spacing w:val="-2"/>
          <w:sz w:val="22"/>
        </w:rPr>
        <w:t>Metabolism</w:t>
      </w:r>
    </w:p>
    <w:p>
      <w:pPr>
        <w:pStyle w:val="BodyText"/>
        <w:spacing w:line="249" w:lineRule="auto" w:before="123"/>
        <w:ind w:right="97"/>
      </w:pPr>
      <w:r>
        <w:rPr/>
        <w:t>An age-related decline in the basal metabolic rate is accentuated at menopause, associated with an increase in body fat, especially central (android) body fat.</w:t>
      </w:r>
      <w:r>
        <w:rPr>
          <w:vertAlign w:val="superscript"/>
        </w:rPr>
        <w:t>614,615</w:t>
      </w:r>
      <w:r>
        <w:rPr>
          <w:vertAlign w:val="baseline"/>
        </w:rPr>
        <w:t> Insulin resistance and circulating insulin </w:t>
      </w:r>
      <w:r>
        <w:rPr>
          <w:vertAlign w:val="baseline"/>
        </w:rPr>
        <w:t>levels increase in women after menopause, and impaired glucose tolerance predicts an increased risk of CHD.</w:t>
      </w:r>
      <w:r>
        <w:rPr>
          <w:vertAlign w:val="superscript"/>
        </w:rPr>
        <w:t>616,617</w:t>
      </w:r>
      <w:r>
        <w:rPr>
          <w:vertAlign w:val="baseline"/>
        </w:rPr>
        <w:t> Estrogen (with or without progestin) prevents the tendency to increase central body fat with aging.</w:t>
      </w:r>
      <w:r>
        <w:rPr>
          <w:vertAlign w:val="superscript"/>
        </w:rPr>
        <w:t>618-621</w:t>
      </w:r>
      <w:r>
        <w:rPr>
          <w:vertAlign w:val="baseline"/>
        </w:rPr>
        <w:t> The WHI randomized clinical trial documented improvements in fasting glucose and insulin levels in the estrogen/progestin-treated group.</w:t>
      </w:r>
      <w:r>
        <w:rPr>
          <w:vertAlign w:val="superscript"/>
        </w:rPr>
        <w:t>622</w:t>
      </w:r>
      <w:r>
        <w:rPr>
          <w:vertAlign w:val="baseline"/>
        </w:rPr>
        <w:t> Hyperinsulinemia also has a direct atherogenic effect on blood vessels, perhaps secondary to insulin propeptides. In addition to its vasoconstrictive properties, endothelin-1 exerts a mitogenic effect and, therefore, contributes to the atherosclerotic process. Insulin directly stimulates the secretion of endothelin-1 in endothelial cells, and the circulating levels of endothelin-1 are correlated with insulin levels.</w:t>
      </w:r>
      <w:r>
        <w:rPr>
          <w:vertAlign w:val="superscript"/>
        </w:rPr>
        <w:t>623</w:t>
      </w:r>
    </w:p>
    <w:p>
      <w:pPr>
        <w:pStyle w:val="BodyText"/>
        <w:spacing w:line="249" w:lineRule="auto" w:before="18"/>
        <w:ind w:right="102" w:firstLine="450"/>
      </w:pPr>
      <w:r>
        <w:rPr/>
        <w:t>Postmenopausal women being treated with oral estrogen have </w:t>
      </w:r>
      <w:r>
        <w:rPr/>
        <w:t>lower fasting</w:t>
      </w:r>
      <w:r>
        <w:rPr>
          <w:spacing w:val="-3"/>
        </w:rPr>
        <w:t> </w:t>
      </w:r>
      <w:r>
        <w:rPr/>
        <w:t>insulin</w:t>
      </w:r>
      <w:r>
        <w:rPr>
          <w:spacing w:val="-2"/>
        </w:rPr>
        <w:t> </w:t>
      </w:r>
      <w:r>
        <w:rPr/>
        <w:t>levels</w:t>
      </w:r>
      <w:r>
        <w:rPr>
          <w:spacing w:val="-2"/>
        </w:rPr>
        <w:t> </w:t>
      </w:r>
      <w:r>
        <w:rPr/>
        <w:t>and</w:t>
      </w:r>
      <w:r>
        <w:rPr>
          <w:spacing w:val="-2"/>
        </w:rPr>
        <w:t> </w:t>
      </w:r>
      <w:r>
        <w:rPr/>
        <w:t>a</w:t>
      </w:r>
      <w:r>
        <w:rPr>
          <w:spacing w:val="-2"/>
        </w:rPr>
        <w:t> </w:t>
      </w:r>
      <w:r>
        <w:rPr/>
        <w:t>lesser</w:t>
      </w:r>
      <w:r>
        <w:rPr>
          <w:spacing w:val="-3"/>
        </w:rPr>
        <w:t> </w:t>
      </w:r>
      <w:r>
        <w:rPr/>
        <w:t>insulin</w:t>
      </w:r>
      <w:r>
        <w:rPr>
          <w:spacing w:val="-2"/>
        </w:rPr>
        <w:t> </w:t>
      </w:r>
      <w:r>
        <w:rPr/>
        <w:t>response</w:t>
      </w:r>
      <w:r>
        <w:rPr>
          <w:spacing w:val="-2"/>
        </w:rPr>
        <w:t> </w:t>
      </w:r>
      <w:r>
        <w:rPr/>
        <w:t>to</w:t>
      </w:r>
      <w:r>
        <w:rPr>
          <w:spacing w:val="-2"/>
        </w:rPr>
        <w:t> </w:t>
      </w:r>
      <w:r>
        <w:rPr/>
        <w:t>glucose.</w:t>
      </w:r>
      <w:r>
        <w:rPr>
          <w:vertAlign w:val="superscript"/>
        </w:rPr>
        <w:t>562,622-627</w:t>
      </w:r>
      <w:r>
        <w:rPr>
          <w:spacing w:val="1"/>
          <w:vertAlign w:val="baseline"/>
        </w:rPr>
        <w:t> </w:t>
      </w:r>
      <w:r>
        <w:rPr>
          <w:vertAlign w:val="baseline"/>
        </w:rPr>
        <w:t>In</w:t>
      </w:r>
      <w:r>
        <w:rPr>
          <w:spacing w:val="1"/>
          <w:vertAlign w:val="baseline"/>
        </w:rPr>
        <w:t> </w:t>
      </w:r>
      <w:r>
        <w:rPr>
          <w:vertAlign w:val="baseline"/>
        </w:rPr>
        <w:t>a</w:t>
      </w:r>
      <w:r>
        <w:rPr>
          <w:spacing w:val="2"/>
          <w:vertAlign w:val="baseline"/>
        </w:rPr>
        <w:t> </w:t>
      </w:r>
      <w:r>
        <w:rPr>
          <w:spacing w:val="-5"/>
          <w:vertAlign w:val="baseline"/>
        </w:rPr>
        <w:t>1-</w:t>
      </w:r>
    </w:p>
    <w:p>
      <w:pPr>
        <w:pStyle w:val="BodyText"/>
        <w:spacing w:after="0" w:line="249" w:lineRule="auto"/>
        <w:sectPr>
          <w:pgSz w:w="12240" w:h="15840"/>
          <w:pgMar w:top="1380" w:bottom="280" w:left="1440" w:right="1440"/>
        </w:sectPr>
      </w:pPr>
    </w:p>
    <w:p>
      <w:pPr>
        <w:pStyle w:val="BodyText"/>
        <w:spacing w:line="249" w:lineRule="auto"/>
        <w:ind w:right="98"/>
      </w:pPr>
      <w:r>
        <w:rPr/>
        <w:t>year randomized trial comparing unopposed conjugated estrogens to the usual sequential and continuous regimens of conjugated estrogens and MPA,</w:t>
      </w:r>
      <w:r>
        <w:rPr>
          <w:spacing w:val="-1"/>
        </w:rPr>
        <w:t> </w:t>
      </w:r>
      <w:r>
        <w:rPr/>
        <w:t>no</w:t>
      </w:r>
      <w:r>
        <w:rPr>
          <w:spacing w:val="-1"/>
        </w:rPr>
        <w:t> </w:t>
      </w:r>
      <w:r>
        <w:rPr/>
        <w:t>differences</w:t>
      </w:r>
      <w:r>
        <w:rPr>
          <w:spacing w:val="-1"/>
        </w:rPr>
        <w:t> </w:t>
      </w:r>
      <w:r>
        <w:rPr/>
        <w:t>in</w:t>
      </w:r>
      <w:r>
        <w:rPr>
          <w:spacing w:val="-1"/>
        </w:rPr>
        <w:t> </w:t>
      </w:r>
      <w:r>
        <w:rPr/>
        <w:t>the</w:t>
      </w:r>
      <w:r>
        <w:rPr>
          <w:spacing w:val="-1"/>
        </w:rPr>
        <w:t> </w:t>
      </w:r>
      <w:r>
        <w:rPr/>
        <w:t>treatment</w:t>
      </w:r>
      <w:r>
        <w:rPr>
          <w:spacing w:val="-1"/>
        </w:rPr>
        <w:t> </w:t>
      </w:r>
      <w:r>
        <w:rPr/>
        <w:t>groups</w:t>
      </w:r>
      <w:r>
        <w:rPr>
          <w:spacing w:val="-1"/>
        </w:rPr>
        <w:t> </w:t>
      </w:r>
      <w:r>
        <w:rPr/>
        <w:t>were</w:t>
      </w:r>
      <w:r>
        <w:rPr>
          <w:spacing w:val="-1"/>
        </w:rPr>
        <w:t> </w:t>
      </w:r>
      <w:r>
        <w:rPr/>
        <w:t>observed</w:t>
      </w:r>
      <w:r>
        <w:rPr>
          <w:spacing w:val="-1"/>
        </w:rPr>
        <w:t> </w:t>
      </w:r>
      <w:r>
        <w:rPr/>
        <w:t>in</w:t>
      </w:r>
      <w:r>
        <w:rPr>
          <w:spacing w:val="-1"/>
        </w:rPr>
        <w:t> </w:t>
      </w:r>
      <w:r>
        <w:rPr/>
        <w:t>the</w:t>
      </w:r>
      <w:r>
        <w:rPr>
          <w:spacing w:val="-1"/>
        </w:rPr>
        <w:t> </w:t>
      </w:r>
      <w:r>
        <w:rPr/>
        <w:t>favorable decreases</w:t>
      </w:r>
      <w:r>
        <w:rPr>
          <w:spacing w:val="-3"/>
        </w:rPr>
        <w:t> </w:t>
      </w:r>
      <w:r>
        <w:rPr/>
        <w:t>in</w:t>
      </w:r>
      <w:r>
        <w:rPr>
          <w:spacing w:val="-3"/>
        </w:rPr>
        <w:t> </w:t>
      </w:r>
      <w:r>
        <w:rPr/>
        <w:t>fasting</w:t>
      </w:r>
      <w:r>
        <w:rPr>
          <w:spacing w:val="-3"/>
        </w:rPr>
        <w:t> </w:t>
      </w:r>
      <w:r>
        <w:rPr/>
        <w:t>insulin</w:t>
      </w:r>
      <w:r>
        <w:rPr>
          <w:spacing w:val="-3"/>
        </w:rPr>
        <w:t> </w:t>
      </w:r>
      <w:r>
        <w:rPr/>
        <w:t>levels.</w:t>
      </w:r>
      <w:r>
        <w:rPr>
          <w:vertAlign w:val="superscript"/>
        </w:rPr>
        <w:t>562</w:t>
      </w:r>
      <w:r>
        <w:rPr>
          <w:spacing w:val="-1"/>
          <w:vertAlign w:val="baseline"/>
        </w:rPr>
        <w:t> </w:t>
      </w:r>
      <w:r>
        <w:rPr>
          <w:vertAlign w:val="baseline"/>
        </w:rPr>
        <w:t>Nonoral administration of estrogen </w:t>
      </w:r>
      <w:r>
        <w:rPr>
          <w:vertAlign w:val="baseline"/>
        </w:rPr>
        <w:t>has little effect on insulin metabolism, unless a dose is administered that is equivalent to 1.25 mg conjugated estrogens.</w:t>
      </w:r>
      <w:r>
        <w:rPr>
          <w:vertAlign w:val="superscript"/>
        </w:rPr>
        <w:t>625,628</w:t>
      </w:r>
      <w:r>
        <w:rPr>
          <w:spacing w:val="-1"/>
          <w:vertAlign w:val="baseline"/>
        </w:rPr>
        <w:t> </w:t>
      </w:r>
      <w:r>
        <w:rPr>
          <w:vertAlign w:val="baseline"/>
        </w:rPr>
        <w:t>Because a lower oral dose produces a beneficial impact, this suggests that the hepatic first-pass effect is important in this response, at least in normal women; reports with transdermal HT have indicated improvements in insulin resistance and hyperinsulinemia, but no effect in women with normal insulin sensitivity.</w:t>
      </w:r>
      <w:r>
        <w:rPr>
          <w:vertAlign w:val="superscript"/>
        </w:rPr>
        <w:t>629,630</w:t>
      </w:r>
      <w:r>
        <w:rPr>
          <w:vertAlign w:val="baseline"/>
        </w:rPr>
        <w:t> In double-blind, crossover, placebo-controlled studies of postmenopausal women with type 2, non-insulin-dependent diabetes mellitus, estrogen treatment improved all glucose metabolic parameters (including insulin resistance), the lipoprotein profile, and measurements of </w:t>
      </w:r>
      <w:r>
        <w:rPr>
          <w:spacing w:val="-2"/>
          <w:vertAlign w:val="baseline"/>
        </w:rPr>
        <w:t>androgenicity.</w:t>
      </w:r>
      <w:r>
        <w:rPr>
          <w:spacing w:val="-2"/>
          <w:vertAlign w:val="superscript"/>
        </w:rPr>
        <w:t>631,632</w:t>
      </w:r>
    </w:p>
    <w:p>
      <w:pPr>
        <w:spacing w:line="249" w:lineRule="auto" w:before="18"/>
        <w:ind w:left="99" w:right="98" w:firstLine="450"/>
        <w:jc w:val="both"/>
        <w:rPr>
          <w:sz w:val="30"/>
        </w:rPr>
      </w:pPr>
      <w:r>
        <w:rPr>
          <w:b/>
          <w:sz w:val="30"/>
        </w:rPr>
        <w:t>The evidence strongly indicates that postmenopausal ET improves glucose metabolism. Epidemiologic studies impressively document </w:t>
      </w:r>
      <w:r>
        <w:rPr>
          <w:b/>
          <w:sz w:val="30"/>
        </w:rPr>
        <w:t>that this beneficial metabolic effect associated with estrogen lowers the incidence of adult-onset, type 2 diabetes mellitus. </w:t>
      </w:r>
      <w:r>
        <w:rPr>
          <w:sz w:val="30"/>
        </w:rPr>
        <w:t>Three large cohort studies, the Nurses’ Health Study, the Finnish Kuopio Osteoporosis Risk Factor and Prevention Study, and the French E3N study, reported decreases in new-onset diabetes associated with ET.</w:t>
      </w:r>
      <w:r>
        <w:rPr>
          <w:sz w:val="30"/>
          <w:vertAlign w:val="superscript"/>
        </w:rPr>
        <w:t>633-635</w:t>
      </w:r>
      <w:r>
        <w:rPr>
          <w:sz w:val="30"/>
          <w:vertAlign w:val="baseline"/>
        </w:rPr>
        <w:t> In the French cohort, no effect of progestins was observed, and the reduction in the incidence of diabetes (32%) was greater with oral administration of estrogen compared with</w:t>
      </w:r>
      <w:r>
        <w:rPr>
          <w:spacing w:val="-5"/>
          <w:sz w:val="30"/>
          <w:vertAlign w:val="baseline"/>
        </w:rPr>
        <w:t> </w:t>
      </w:r>
      <w:r>
        <w:rPr>
          <w:sz w:val="30"/>
          <w:vertAlign w:val="baseline"/>
        </w:rPr>
        <w:t>the</w:t>
      </w:r>
      <w:r>
        <w:rPr>
          <w:spacing w:val="-5"/>
          <w:sz w:val="30"/>
          <w:vertAlign w:val="baseline"/>
        </w:rPr>
        <w:t> </w:t>
      </w:r>
      <w:r>
        <w:rPr>
          <w:sz w:val="30"/>
          <w:vertAlign w:val="baseline"/>
        </w:rPr>
        <w:t>transdermal</w:t>
      </w:r>
      <w:r>
        <w:rPr>
          <w:spacing w:val="-5"/>
          <w:sz w:val="30"/>
          <w:vertAlign w:val="baseline"/>
        </w:rPr>
        <w:t> </w:t>
      </w:r>
      <w:r>
        <w:rPr>
          <w:sz w:val="30"/>
          <w:vertAlign w:val="baseline"/>
        </w:rPr>
        <w:t>method.</w:t>
      </w:r>
      <w:r>
        <w:rPr>
          <w:sz w:val="30"/>
          <w:vertAlign w:val="superscript"/>
        </w:rPr>
        <w:t>635</w:t>
      </w:r>
      <w:r>
        <w:rPr>
          <w:spacing w:val="-3"/>
          <w:sz w:val="30"/>
          <w:vertAlign w:val="baseline"/>
        </w:rPr>
        <w:t> </w:t>
      </w:r>
      <w:r>
        <w:rPr>
          <w:sz w:val="30"/>
          <w:vertAlign w:val="baseline"/>
        </w:rPr>
        <w:t>Clinical</w:t>
      </w:r>
      <w:r>
        <w:rPr>
          <w:spacing w:val="-3"/>
          <w:sz w:val="30"/>
          <w:vertAlign w:val="baseline"/>
        </w:rPr>
        <w:t> </w:t>
      </w:r>
      <w:r>
        <w:rPr>
          <w:sz w:val="30"/>
          <w:vertAlign w:val="baseline"/>
        </w:rPr>
        <w:t>trial</w:t>
      </w:r>
      <w:r>
        <w:rPr>
          <w:spacing w:val="-3"/>
          <w:sz w:val="30"/>
          <w:vertAlign w:val="baseline"/>
        </w:rPr>
        <w:t> </w:t>
      </w:r>
      <w:r>
        <w:rPr>
          <w:sz w:val="30"/>
          <w:vertAlign w:val="baseline"/>
        </w:rPr>
        <w:t>results</w:t>
      </w:r>
      <w:r>
        <w:rPr>
          <w:spacing w:val="-3"/>
          <w:sz w:val="30"/>
          <w:vertAlign w:val="baseline"/>
        </w:rPr>
        <w:t> </w:t>
      </w:r>
      <w:r>
        <w:rPr>
          <w:sz w:val="30"/>
          <w:vertAlign w:val="baseline"/>
        </w:rPr>
        <w:t>are</w:t>
      </w:r>
      <w:r>
        <w:rPr>
          <w:spacing w:val="-3"/>
          <w:sz w:val="30"/>
          <w:vertAlign w:val="baseline"/>
        </w:rPr>
        <w:t> </w:t>
      </w:r>
      <w:r>
        <w:rPr>
          <w:sz w:val="30"/>
          <w:vertAlign w:val="baseline"/>
        </w:rPr>
        <w:t>in</w:t>
      </w:r>
      <w:r>
        <w:rPr>
          <w:spacing w:val="-3"/>
          <w:sz w:val="30"/>
          <w:vertAlign w:val="baseline"/>
        </w:rPr>
        <w:t> </w:t>
      </w:r>
      <w:r>
        <w:rPr>
          <w:sz w:val="30"/>
          <w:vertAlign w:val="baseline"/>
        </w:rPr>
        <w:t>agreement.</w:t>
      </w:r>
      <w:r>
        <w:rPr>
          <w:spacing w:val="-4"/>
          <w:sz w:val="30"/>
          <w:vertAlign w:val="baseline"/>
        </w:rPr>
        <w:t> </w:t>
      </w:r>
      <w:r>
        <w:rPr>
          <w:sz w:val="30"/>
          <w:vertAlign w:val="baseline"/>
        </w:rPr>
        <w:t>In</w:t>
      </w:r>
      <w:r>
        <w:rPr>
          <w:spacing w:val="-5"/>
          <w:sz w:val="30"/>
          <w:vertAlign w:val="baseline"/>
        </w:rPr>
        <w:t> </w:t>
      </w:r>
      <w:r>
        <w:rPr>
          <w:sz w:val="30"/>
          <w:vertAlign w:val="baseline"/>
        </w:rPr>
        <w:t>the Heart and Estrogen-Progestin Replacement Study (HERS) trial, the hormone-treated group developed diabetes at a rate that was 35% lower compared with the placebo group.</w:t>
      </w:r>
      <w:r>
        <w:rPr>
          <w:sz w:val="30"/>
          <w:vertAlign w:val="superscript"/>
        </w:rPr>
        <w:t>627</w:t>
      </w:r>
      <w:r>
        <w:rPr>
          <w:sz w:val="30"/>
          <w:vertAlign w:val="baseline"/>
        </w:rPr>
        <w:t> Similar findings were observed in the WHI hormone trials wherein a 21% reduction in incident diabetes was observed in the combined CEE and MPA trial, whereas a 12% reduction with the estrogen-alone trial.</w:t>
      </w:r>
      <w:r>
        <w:rPr>
          <w:sz w:val="30"/>
          <w:vertAlign w:val="superscript"/>
        </w:rPr>
        <w:t>68,636</w:t>
      </w:r>
    </w:p>
    <w:p>
      <w:pPr>
        <w:spacing w:before="319"/>
        <w:ind w:left="99" w:right="0" w:firstLine="0"/>
        <w:jc w:val="both"/>
        <w:rPr>
          <w:rFonts w:ascii="Arial"/>
          <w:b/>
          <w:i/>
          <w:sz w:val="22"/>
        </w:rPr>
      </w:pPr>
      <w:r>
        <w:rPr>
          <w:rFonts w:ascii="Arial"/>
          <w:b/>
          <w:i/>
          <w:color w:val="A0234E"/>
          <w:sz w:val="22"/>
        </w:rPr>
        <w:t>Inhibition</w:t>
      </w:r>
      <w:r>
        <w:rPr>
          <w:rFonts w:ascii="Arial"/>
          <w:b/>
          <w:i/>
          <w:color w:val="A0234E"/>
          <w:spacing w:val="17"/>
          <w:sz w:val="22"/>
        </w:rPr>
        <w:t> </w:t>
      </w:r>
      <w:r>
        <w:rPr>
          <w:rFonts w:ascii="Arial"/>
          <w:b/>
          <w:i/>
          <w:color w:val="A0234E"/>
          <w:sz w:val="22"/>
        </w:rPr>
        <w:t>of</w:t>
      </w:r>
      <w:r>
        <w:rPr>
          <w:rFonts w:ascii="Arial"/>
          <w:b/>
          <w:i/>
          <w:color w:val="A0234E"/>
          <w:spacing w:val="17"/>
          <w:sz w:val="22"/>
        </w:rPr>
        <w:t> </w:t>
      </w:r>
      <w:r>
        <w:rPr>
          <w:rFonts w:ascii="Arial"/>
          <w:b/>
          <w:i/>
          <w:color w:val="A0234E"/>
          <w:sz w:val="22"/>
        </w:rPr>
        <w:t>Lipoprotein</w:t>
      </w:r>
      <w:r>
        <w:rPr>
          <w:rFonts w:ascii="Arial"/>
          <w:b/>
          <w:i/>
          <w:color w:val="A0234E"/>
          <w:spacing w:val="17"/>
          <w:sz w:val="22"/>
        </w:rPr>
        <w:t> </w:t>
      </w:r>
      <w:r>
        <w:rPr>
          <w:rFonts w:ascii="Arial"/>
          <w:b/>
          <w:i/>
          <w:color w:val="A0234E"/>
          <w:spacing w:val="-2"/>
          <w:sz w:val="22"/>
        </w:rPr>
        <w:t>Oxidation</w:t>
      </w:r>
    </w:p>
    <w:p>
      <w:pPr>
        <w:pStyle w:val="BodyText"/>
        <w:spacing w:line="249" w:lineRule="auto" w:before="123"/>
        <w:ind w:right="98"/>
      </w:pPr>
      <w:r>
        <w:rPr/>
        <w:t>The oxidation of LDL cholesterol particles is a step (perhaps the initial</w:t>
      </w:r>
      <w:r>
        <w:rPr>
          <w:spacing w:val="40"/>
        </w:rPr>
        <w:t> </w:t>
      </w:r>
      <w:r>
        <w:rPr/>
        <w:t>step) in the formation of atherosclerosis, and smoking is associated with a high</w:t>
      </w:r>
      <w:r>
        <w:rPr>
          <w:spacing w:val="67"/>
        </w:rPr>
        <w:t>  </w:t>
      </w:r>
      <w:r>
        <w:rPr/>
        <w:t>level</w:t>
      </w:r>
      <w:r>
        <w:rPr>
          <w:spacing w:val="68"/>
        </w:rPr>
        <w:t>  </w:t>
      </w:r>
      <w:r>
        <w:rPr/>
        <w:t>of</w:t>
      </w:r>
      <w:r>
        <w:rPr>
          <w:spacing w:val="67"/>
        </w:rPr>
        <w:t>  </w:t>
      </w:r>
      <w:r>
        <w:rPr/>
        <w:t>lipoprotein</w:t>
      </w:r>
      <w:r>
        <w:rPr>
          <w:spacing w:val="68"/>
        </w:rPr>
        <w:t>  </w:t>
      </w:r>
      <w:r>
        <w:rPr/>
        <w:t>oxidation.</w:t>
      </w:r>
      <w:r>
        <w:rPr>
          <w:spacing w:val="67"/>
        </w:rPr>
        <w:t>  </w:t>
      </w:r>
      <w:r>
        <w:rPr/>
        <w:t>In</w:t>
      </w:r>
      <w:r>
        <w:rPr>
          <w:spacing w:val="70"/>
        </w:rPr>
        <w:t>  </w:t>
      </w:r>
      <w:r>
        <w:rPr/>
        <w:t>animal</w:t>
      </w:r>
      <w:r>
        <w:rPr>
          <w:spacing w:val="70"/>
        </w:rPr>
        <w:t>  </w:t>
      </w:r>
      <w:r>
        <w:rPr/>
        <w:t>experiments,</w:t>
      </w:r>
      <w:r>
        <w:rPr>
          <w:spacing w:val="70"/>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97"/>
      </w:pPr>
      <w:r>
        <w:rPr/>
        <w:t>administration of large amounts of antioxidants inhibits the formation of atherosclerosis and causes the regression of existing lesions. Estrogen is </w:t>
      </w:r>
      <w:r>
        <w:rPr/>
        <w:t>an antioxidant. Estradiol directly inhibits LDL cholesterol oxidation in response to copper and decreases the overall formation of lipid oxides.</w:t>
      </w:r>
      <w:r>
        <w:rPr>
          <w:vertAlign w:val="superscript"/>
        </w:rPr>
        <w:t>637,638</w:t>
      </w:r>
      <w:r>
        <w:rPr>
          <w:vertAlign w:val="baseline"/>
        </w:rPr>
        <w:t> Importantly, this antioxidant action of estradiol is associated with physiologic blood levels.</w:t>
      </w:r>
      <w:r>
        <w:rPr>
          <w:vertAlign w:val="superscript"/>
        </w:rPr>
        <w:t>639</w:t>
      </w:r>
      <w:r>
        <w:rPr>
          <w:vertAlign w:val="baseline"/>
        </w:rPr>
        <w:t> In addition, estrogen may regenerate circulating antioxidants (tocopherols and β-carotene) and preserve these antioxidants within LDL cholesterol particles. This antioxidant action of estrogen preserves endothelial-dependent vasodilator function by preventing the deleterious effect that oxidized LDL cholesterol has on endothelial production of vasoactive agents.</w:t>
      </w:r>
      <w:r>
        <w:rPr>
          <w:vertAlign w:val="superscript"/>
        </w:rPr>
        <w:t>640</w:t>
      </w:r>
      <w:r>
        <w:rPr>
          <w:vertAlign w:val="baseline"/>
        </w:rPr>
        <w:t> In an assessment of peroxide formation by platelets, women treated with both estrogen and MPA in a sequential regimen had greater antioxidant activity compared with the days on</w:t>
      </w:r>
      <w:r>
        <w:rPr>
          <w:spacing w:val="40"/>
          <w:vertAlign w:val="baseline"/>
        </w:rPr>
        <w:t> </w:t>
      </w:r>
      <w:r>
        <w:rPr>
          <w:vertAlign w:val="baseline"/>
        </w:rPr>
        <w:t>estrogen alone.</w:t>
      </w:r>
      <w:r>
        <w:rPr>
          <w:vertAlign w:val="superscript"/>
        </w:rPr>
        <w:t>641</w:t>
      </w:r>
      <w:r>
        <w:rPr>
          <w:vertAlign w:val="baseline"/>
        </w:rPr>
        <w:t> In a 1-year study, the presence of LNG did not attenuate the antioxidant activity of estradiol.</w:t>
      </w:r>
      <w:r>
        <w:rPr>
          <w:vertAlign w:val="superscript"/>
        </w:rPr>
        <w:t>642</w:t>
      </w:r>
    </w:p>
    <w:p>
      <w:pPr>
        <w:spacing w:before="317"/>
        <w:ind w:left="99" w:right="0" w:firstLine="0"/>
        <w:jc w:val="both"/>
        <w:rPr>
          <w:rFonts w:ascii="Arial"/>
          <w:b/>
          <w:i/>
          <w:sz w:val="22"/>
        </w:rPr>
      </w:pPr>
      <w:r>
        <w:rPr>
          <w:rFonts w:ascii="Arial"/>
          <w:b/>
          <w:i/>
          <w:color w:val="A0234E"/>
          <w:sz w:val="22"/>
        </w:rPr>
        <w:t>A</w:t>
      </w:r>
      <w:r>
        <w:rPr>
          <w:rFonts w:ascii="Arial"/>
          <w:b/>
          <w:i/>
          <w:color w:val="A0234E"/>
          <w:spacing w:val="11"/>
          <w:sz w:val="22"/>
        </w:rPr>
        <w:t> </w:t>
      </w:r>
      <w:r>
        <w:rPr>
          <w:rFonts w:ascii="Arial"/>
          <w:b/>
          <w:i/>
          <w:color w:val="A0234E"/>
          <w:sz w:val="22"/>
        </w:rPr>
        <w:t>Favorable</w:t>
      </w:r>
      <w:r>
        <w:rPr>
          <w:rFonts w:ascii="Arial"/>
          <w:b/>
          <w:i/>
          <w:color w:val="A0234E"/>
          <w:spacing w:val="12"/>
          <w:sz w:val="22"/>
        </w:rPr>
        <w:t> </w:t>
      </w:r>
      <w:r>
        <w:rPr>
          <w:rFonts w:ascii="Arial"/>
          <w:b/>
          <w:i/>
          <w:color w:val="A0234E"/>
          <w:sz w:val="22"/>
        </w:rPr>
        <w:t>Impact</w:t>
      </w:r>
      <w:r>
        <w:rPr>
          <w:rFonts w:ascii="Arial"/>
          <w:b/>
          <w:i/>
          <w:color w:val="A0234E"/>
          <w:spacing w:val="12"/>
          <w:sz w:val="22"/>
        </w:rPr>
        <w:t> </w:t>
      </w:r>
      <w:r>
        <w:rPr>
          <w:rFonts w:ascii="Arial"/>
          <w:b/>
          <w:i/>
          <w:color w:val="A0234E"/>
          <w:sz w:val="22"/>
        </w:rPr>
        <w:t>on</w:t>
      </w:r>
      <w:r>
        <w:rPr>
          <w:rFonts w:ascii="Arial"/>
          <w:b/>
          <w:i/>
          <w:color w:val="A0234E"/>
          <w:spacing w:val="12"/>
          <w:sz w:val="22"/>
        </w:rPr>
        <w:t> </w:t>
      </w:r>
      <w:r>
        <w:rPr>
          <w:rFonts w:ascii="Arial"/>
          <w:b/>
          <w:i/>
          <w:color w:val="A0234E"/>
          <w:spacing w:val="-2"/>
          <w:sz w:val="22"/>
        </w:rPr>
        <w:t>Fibrinolysis</w:t>
      </w:r>
    </w:p>
    <w:p>
      <w:pPr>
        <w:pStyle w:val="BodyText"/>
        <w:spacing w:line="249" w:lineRule="auto" w:before="123"/>
        <w:ind w:right="98"/>
      </w:pPr>
      <w:r>
        <w:rPr/>
        <w:t>Menopause is followed by increases in factor VII, fibrinogen, and plasminogen activator inhibitor-1 (PAI-1).</w:t>
      </w:r>
      <w:r>
        <w:rPr>
          <w:vertAlign w:val="superscript"/>
        </w:rPr>
        <w:t>643,644</w:t>
      </w:r>
      <w:r>
        <w:rPr>
          <w:vertAlign w:val="baseline"/>
        </w:rPr>
        <w:t> These changes produce </w:t>
      </w:r>
      <w:r>
        <w:rPr>
          <w:vertAlign w:val="baseline"/>
        </w:rPr>
        <w:t>a relatively hypercoagulable state and are associated with an increased risk of cardiovascular events. Postmenopausal women treated with estrogen have lower fibrinogen and plasminogen levels. Reduced levels of fibrinogen, factor VII, and PAI-1 have been observed in premenopausal women compared with postmenopausal women, and oral estrogen alone or combined with a progestin prevents the usual increase in these clotting factors associated with menopause.</w:t>
      </w:r>
      <w:r>
        <w:rPr>
          <w:vertAlign w:val="superscript"/>
        </w:rPr>
        <w:t>645-649</w:t>
      </w:r>
      <w:r>
        <w:rPr>
          <w:vertAlign w:val="baseline"/>
        </w:rPr>
        <w:t> This would be consistent with increased fibrinolytic activity, a possible cardioprotective mechanism probably mediated, at least partially, by nitric oxide and prostacyclin. Platelet aggregation is also reduced by postmenopausal estrogen treatment, and this response is slightly attenuated by MPA.</w:t>
      </w:r>
      <w:r>
        <w:rPr>
          <w:vertAlign w:val="superscript"/>
        </w:rPr>
        <w:t>582</w:t>
      </w:r>
      <w:r>
        <w:rPr>
          <w:vertAlign w:val="baseline"/>
        </w:rPr>
        <w:t> In a randomized 1-year trial, the addition of MPA, either sequentially or continuously, produced a more favorable change in coagulation factors compared with unopposed </w:t>
      </w:r>
      <w:r>
        <w:rPr>
          <w:spacing w:val="-2"/>
          <w:vertAlign w:val="baseline"/>
        </w:rPr>
        <w:t>estrogen.</w:t>
      </w:r>
      <w:r>
        <w:rPr>
          <w:spacing w:val="-2"/>
          <w:vertAlign w:val="superscript"/>
        </w:rPr>
        <w:t>650</w:t>
      </w:r>
    </w:p>
    <w:p>
      <w:pPr>
        <w:pStyle w:val="BodyText"/>
        <w:spacing w:line="249" w:lineRule="auto" w:before="20"/>
        <w:ind w:right="108" w:firstLine="450"/>
      </w:pPr>
      <w:r>
        <w:rPr/>
        <w:t>The transdermal and oral routes of administration of estrogen</w:t>
      </w:r>
      <w:r>
        <w:rPr>
          <w:spacing w:val="40"/>
        </w:rPr>
        <w:t> </w:t>
      </w:r>
      <w:r>
        <w:rPr/>
        <w:t>(combined with MPA) have puzzling differences in the reported effects </w:t>
      </w:r>
      <w:r>
        <w:rPr/>
        <w:t>on most</w:t>
      </w:r>
      <w:r>
        <w:rPr>
          <w:spacing w:val="59"/>
        </w:rPr>
        <w:t> </w:t>
      </w:r>
      <w:r>
        <w:rPr/>
        <w:t>hemostatic</w:t>
      </w:r>
      <w:r>
        <w:rPr>
          <w:spacing w:val="61"/>
        </w:rPr>
        <w:t> </w:t>
      </w:r>
      <w:r>
        <w:rPr/>
        <w:t>risk</w:t>
      </w:r>
      <w:r>
        <w:rPr>
          <w:spacing w:val="61"/>
        </w:rPr>
        <w:t> </w:t>
      </w:r>
      <w:r>
        <w:rPr/>
        <w:t>factors,</w:t>
      </w:r>
      <w:r>
        <w:rPr>
          <w:spacing w:val="61"/>
        </w:rPr>
        <w:t> </w:t>
      </w:r>
      <w:r>
        <w:rPr/>
        <w:t>such</w:t>
      </w:r>
      <w:r>
        <w:rPr>
          <w:spacing w:val="62"/>
        </w:rPr>
        <w:t> </w:t>
      </w:r>
      <w:r>
        <w:rPr/>
        <w:t>as</w:t>
      </w:r>
      <w:r>
        <w:rPr>
          <w:spacing w:val="61"/>
        </w:rPr>
        <w:t> </w:t>
      </w:r>
      <w:r>
        <w:rPr/>
        <w:t>factor</w:t>
      </w:r>
      <w:r>
        <w:rPr>
          <w:spacing w:val="61"/>
        </w:rPr>
        <w:t> </w:t>
      </w:r>
      <w:r>
        <w:rPr/>
        <w:t>VII,</w:t>
      </w:r>
      <w:r>
        <w:rPr>
          <w:spacing w:val="61"/>
        </w:rPr>
        <w:t> </w:t>
      </w:r>
      <w:r>
        <w:rPr/>
        <w:t>fibrinogen,</w:t>
      </w:r>
      <w:r>
        <w:rPr>
          <w:spacing w:val="61"/>
        </w:rPr>
        <w:t> </w:t>
      </w:r>
      <w:r>
        <w:rPr/>
        <w:t>PAI-1,</w:t>
      </w:r>
      <w:r>
        <w:rPr>
          <w:spacing w:val="62"/>
        </w:rPr>
        <w:t> </w:t>
      </w:r>
      <w:r>
        <w:rPr>
          <w:spacing w:val="-5"/>
        </w:rPr>
        <w:t>and</w:t>
      </w:r>
    </w:p>
    <w:p>
      <w:pPr>
        <w:pStyle w:val="BodyText"/>
        <w:spacing w:after="0" w:line="249" w:lineRule="auto"/>
        <w:sectPr>
          <w:pgSz w:w="12240" w:h="15840"/>
          <w:pgMar w:top="1380" w:bottom="280" w:left="1440" w:right="1440"/>
        </w:sectPr>
      </w:pPr>
    </w:p>
    <w:p>
      <w:pPr>
        <w:pStyle w:val="BodyText"/>
        <w:spacing w:line="249" w:lineRule="auto"/>
        <w:ind w:right="98"/>
      </w:pPr>
      <w:r>
        <w:rPr/>
        <w:t>antithrombin III. In at least one study, antithrombin III levels were reduced by</w:t>
      </w:r>
      <w:r>
        <w:rPr>
          <w:spacing w:val="-3"/>
        </w:rPr>
        <w:t> </w:t>
      </w:r>
      <w:r>
        <w:rPr/>
        <w:t>oral</w:t>
      </w:r>
      <w:r>
        <w:rPr>
          <w:spacing w:val="-3"/>
        </w:rPr>
        <w:t> </w:t>
      </w:r>
      <w:r>
        <w:rPr/>
        <w:t>estrogen,</w:t>
      </w:r>
      <w:r>
        <w:rPr>
          <w:spacing w:val="-3"/>
        </w:rPr>
        <w:t> </w:t>
      </w:r>
      <w:r>
        <w:rPr/>
        <w:t>but</w:t>
      </w:r>
      <w:r>
        <w:rPr>
          <w:spacing w:val="-3"/>
        </w:rPr>
        <w:t> </w:t>
      </w:r>
      <w:r>
        <w:rPr/>
        <w:t>not</w:t>
      </w:r>
      <w:r>
        <w:rPr>
          <w:spacing w:val="-3"/>
        </w:rPr>
        <w:t> </w:t>
      </w:r>
      <w:r>
        <w:rPr/>
        <w:t>by</w:t>
      </w:r>
      <w:r>
        <w:rPr>
          <w:spacing w:val="-3"/>
        </w:rPr>
        <w:t> </w:t>
      </w:r>
      <w:r>
        <w:rPr/>
        <w:t>transdermal</w:t>
      </w:r>
      <w:r>
        <w:rPr>
          <w:spacing w:val="-3"/>
        </w:rPr>
        <w:t> </w:t>
      </w:r>
      <w:r>
        <w:rPr/>
        <w:t>administration;</w:t>
      </w:r>
      <w:r>
        <w:rPr>
          <w:spacing w:val="-3"/>
        </w:rPr>
        <w:t> </w:t>
      </w:r>
      <w:r>
        <w:rPr/>
        <w:t>however,</w:t>
      </w:r>
      <w:r>
        <w:rPr>
          <w:spacing w:val="-3"/>
        </w:rPr>
        <w:t> </w:t>
      </w:r>
      <w:r>
        <w:rPr/>
        <w:t>the</w:t>
      </w:r>
      <w:r>
        <w:rPr>
          <w:spacing w:val="-3"/>
        </w:rPr>
        <w:t> </w:t>
      </w:r>
      <w:r>
        <w:rPr/>
        <w:t>values remained within the normal range.</w:t>
      </w:r>
      <w:r>
        <w:rPr>
          <w:vertAlign w:val="superscript"/>
        </w:rPr>
        <w:t>651</w:t>
      </w:r>
      <w:r>
        <w:rPr>
          <w:vertAlign w:val="baseline"/>
        </w:rPr>
        <w:t> In regard to PAI-1, studies </w:t>
      </w:r>
      <w:r>
        <w:rPr>
          <w:vertAlign w:val="baseline"/>
        </w:rPr>
        <w:t>with transdermal estrogen have provided conflicting data, varying from</w:t>
      </w:r>
      <w:r>
        <w:rPr>
          <w:spacing w:val="40"/>
          <w:vertAlign w:val="baseline"/>
        </w:rPr>
        <w:t> </w:t>
      </w:r>
      <w:r>
        <w:rPr>
          <w:vertAlign w:val="baseline"/>
        </w:rPr>
        <w:t>favorable changes in PAI-1 levels to no effect.</w:t>
      </w:r>
      <w:r>
        <w:rPr>
          <w:vertAlign w:val="superscript"/>
        </w:rPr>
        <w:t>35,652,653</w:t>
      </w:r>
      <w:r>
        <w:rPr>
          <w:vertAlign w:val="baseline"/>
        </w:rPr>
        <w:t> However, in a crossover study designed to compare 100 μg transdermal estradiol with 0.625 mg oral conjugated estrogens (both combined with 2.5 mg MPA daily), only the oral estrogen had a favorable reduction in PAI-1 levels.</w:t>
      </w:r>
      <w:r>
        <w:rPr>
          <w:vertAlign w:val="superscript"/>
        </w:rPr>
        <w:t>653</w:t>
      </w:r>
      <w:r>
        <w:rPr>
          <w:vertAlign w:val="baseline"/>
        </w:rPr>
        <w:t> Appropriate doses of HT have been reported to not have an adverse impact on</w:t>
      </w:r>
      <w:r>
        <w:rPr>
          <w:spacing w:val="-11"/>
          <w:vertAlign w:val="baseline"/>
        </w:rPr>
        <w:t> </w:t>
      </w:r>
      <w:r>
        <w:rPr>
          <w:vertAlign w:val="baseline"/>
        </w:rPr>
        <w:t>clotting</w:t>
      </w:r>
      <w:r>
        <w:rPr>
          <w:spacing w:val="-11"/>
          <w:vertAlign w:val="baseline"/>
        </w:rPr>
        <w:t> </w:t>
      </w:r>
      <w:r>
        <w:rPr>
          <w:vertAlign w:val="baseline"/>
        </w:rPr>
        <w:t>factors</w:t>
      </w:r>
      <w:r>
        <w:rPr>
          <w:vertAlign w:val="superscript"/>
        </w:rPr>
        <w:t>646,654,655</w:t>
      </w:r>
      <w:r>
        <w:rPr>
          <w:vertAlign w:val="baseline"/>
        </w:rPr>
        <w:t>;</w:t>
      </w:r>
      <w:r>
        <w:rPr>
          <w:spacing w:val="-5"/>
          <w:vertAlign w:val="baseline"/>
        </w:rPr>
        <w:t> </w:t>
      </w:r>
      <w:r>
        <w:rPr>
          <w:vertAlign w:val="baseline"/>
        </w:rPr>
        <w:t>however,</w:t>
      </w:r>
      <w:r>
        <w:rPr>
          <w:spacing w:val="-5"/>
          <w:vertAlign w:val="baseline"/>
        </w:rPr>
        <w:t> </w:t>
      </w:r>
      <w:r>
        <w:rPr>
          <w:vertAlign w:val="baseline"/>
        </w:rPr>
        <w:t>the</w:t>
      </w:r>
      <w:r>
        <w:rPr>
          <w:spacing w:val="-5"/>
          <w:vertAlign w:val="baseline"/>
        </w:rPr>
        <w:t> </w:t>
      </w:r>
      <w:r>
        <w:rPr>
          <w:vertAlign w:val="baseline"/>
        </w:rPr>
        <w:t>clotting</w:t>
      </w:r>
      <w:r>
        <w:rPr>
          <w:spacing w:val="-5"/>
          <w:vertAlign w:val="baseline"/>
        </w:rPr>
        <w:t> </w:t>
      </w:r>
      <w:r>
        <w:rPr>
          <w:vertAlign w:val="baseline"/>
        </w:rPr>
        <w:t>story</w:t>
      </w:r>
      <w:r>
        <w:rPr>
          <w:spacing w:val="-5"/>
          <w:vertAlign w:val="baseline"/>
        </w:rPr>
        <w:t> </w:t>
      </w:r>
      <w:r>
        <w:rPr>
          <w:vertAlign w:val="baseline"/>
        </w:rPr>
        <w:t>is</w:t>
      </w:r>
      <w:r>
        <w:rPr>
          <w:spacing w:val="-5"/>
          <w:vertAlign w:val="baseline"/>
        </w:rPr>
        <w:t> </w:t>
      </w:r>
      <w:r>
        <w:rPr>
          <w:vertAlign w:val="baseline"/>
        </w:rPr>
        <w:t>difficult</w:t>
      </w:r>
      <w:r>
        <w:rPr>
          <w:spacing w:val="-5"/>
          <w:vertAlign w:val="baseline"/>
        </w:rPr>
        <w:t> </w:t>
      </w:r>
      <w:r>
        <w:rPr>
          <w:vertAlign w:val="baseline"/>
        </w:rPr>
        <w:t>to</w:t>
      </w:r>
      <w:r>
        <w:rPr>
          <w:spacing w:val="-5"/>
          <w:vertAlign w:val="baseline"/>
        </w:rPr>
        <w:t> </w:t>
      </w:r>
      <w:r>
        <w:rPr>
          <w:vertAlign w:val="baseline"/>
        </w:rPr>
        <w:t>unravel. While no RCTs have analyzed the difference in VTE risk between oral and transdermal estrogen, observational studies have demonstrated a difference in risk based on routes of administration. A recent meta-analysis showed that oral estrogen administration resulted in an increased risk of VTE,</w:t>
      </w:r>
      <w:r>
        <w:rPr>
          <w:spacing w:val="40"/>
          <w:vertAlign w:val="baseline"/>
        </w:rPr>
        <w:t> </w:t>
      </w:r>
      <w:r>
        <w:rPr>
          <w:vertAlign w:val="baseline"/>
        </w:rPr>
        <w:t>which was not seen with transdermal estrogen administration.</w:t>
      </w:r>
      <w:r>
        <w:rPr>
          <w:vertAlign w:val="superscript"/>
        </w:rPr>
        <w:t>656,657</w:t>
      </w:r>
      <w:r>
        <w:rPr>
          <w:vertAlign w:val="baseline"/>
        </w:rPr>
        <w:t> In addition, oral estrogen use in conjunction with progesterone has been associated with a greater risk of VTE than oral estrogen use alone.</w:t>
      </w:r>
      <w:r>
        <w:rPr>
          <w:vertAlign w:val="superscript"/>
        </w:rPr>
        <w:t>658</w:t>
      </w:r>
      <w:r>
        <w:rPr>
          <w:vertAlign w:val="baseline"/>
        </w:rPr>
        <w:t> Several factors, which are not controlled for in observational trials, also make it difficult to draw a conclusion from the aforementioned data. The frequency (cyclic vs continuous) and derivative of progesterone used were not controlled for in observational trials. Inherent differences in estrogen’s route of administration also likely affected the observed results—estrogens’ effects on hepatic first-pass metabolism (namely, oral estrogen’s ability to alter the synthesis and clearance of hemostatic proteins), oral estrogens’ ability to activate the coagulation cascade, and estrogens’ effects on thrombin generation. Thus, a randomized controlled study comparing the effects of oral versus transdermal estrogen, with or without the addition of progesterone derivative, is needed before a definitive statement regarding the superiority of one form of administration or another can be made.</w:t>
      </w:r>
    </w:p>
    <w:p>
      <w:pPr>
        <w:pStyle w:val="BodyText"/>
        <w:spacing w:line="249" w:lineRule="auto" w:before="35"/>
        <w:ind w:right="101" w:firstLine="450"/>
      </w:pPr>
      <w:r>
        <w:rPr/>
        <w:t>How can there be favorable changes indicating an increase </w:t>
      </w:r>
      <w:r>
        <w:rPr/>
        <w:t>in fibrinolysis and at the same time an increased risk of venous thrombosis, and why in older women, especially those with clinically apparent CHD, does estrogen seem to have a prothrombotic effect? Decreases in antithrombin III and protein S associated with estrogen treatment, a hypercoagulable change, may have a greater impact on the venous system.</w:t>
      </w:r>
      <w:r>
        <w:rPr>
          <w:vertAlign w:val="superscript"/>
        </w:rPr>
        <w:t>659</w:t>
      </w:r>
      <w:r>
        <w:rPr>
          <w:spacing w:val="33"/>
          <w:vertAlign w:val="baseline"/>
        </w:rPr>
        <w:t> </w:t>
      </w:r>
      <w:r>
        <w:rPr>
          <w:vertAlign w:val="baseline"/>
        </w:rPr>
        <w:t>There</w:t>
      </w:r>
      <w:r>
        <w:rPr>
          <w:spacing w:val="34"/>
          <w:vertAlign w:val="baseline"/>
        </w:rPr>
        <w:t> </w:t>
      </w:r>
      <w:r>
        <w:rPr>
          <w:vertAlign w:val="baseline"/>
        </w:rPr>
        <w:t>may</w:t>
      </w:r>
      <w:r>
        <w:rPr>
          <w:spacing w:val="34"/>
          <w:vertAlign w:val="baseline"/>
        </w:rPr>
        <w:t> </w:t>
      </w:r>
      <w:r>
        <w:rPr>
          <w:vertAlign w:val="baseline"/>
        </w:rPr>
        <w:t>also</w:t>
      </w:r>
      <w:r>
        <w:rPr>
          <w:spacing w:val="34"/>
          <w:vertAlign w:val="baseline"/>
        </w:rPr>
        <w:t> </w:t>
      </w:r>
      <w:r>
        <w:rPr>
          <w:vertAlign w:val="baseline"/>
        </w:rPr>
        <w:t>be</w:t>
      </w:r>
      <w:r>
        <w:rPr>
          <w:spacing w:val="33"/>
          <w:vertAlign w:val="baseline"/>
        </w:rPr>
        <w:t> </w:t>
      </w:r>
      <w:r>
        <w:rPr>
          <w:vertAlign w:val="baseline"/>
        </w:rPr>
        <w:t>subtle</w:t>
      </w:r>
      <w:r>
        <w:rPr>
          <w:spacing w:val="34"/>
          <w:vertAlign w:val="baseline"/>
        </w:rPr>
        <w:t> </w:t>
      </w:r>
      <w:r>
        <w:rPr>
          <w:vertAlign w:val="baseline"/>
        </w:rPr>
        <w:t>variations</w:t>
      </w:r>
      <w:r>
        <w:rPr>
          <w:spacing w:val="34"/>
          <w:vertAlign w:val="baseline"/>
        </w:rPr>
        <w:t> </w:t>
      </w:r>
      <w:r>
        <w:rPr>
          <w:vertAlign w:val="baseline"/>
        </w:rPr>
        <w:t>of</w:t>
      </w:r>
      <w:r>
        <w:rPr>
          <w:spacing w:val="34"/>
          <w:vertAlign w:val="baseline"/>
        </w:rPr>
        <w:t> </w:t>
      </w:r>
      <w:r>
        <w:rPr>
          <w:vertAlign w:val="baseline"/>
        </w:rPr>
        <w:t>inherited</w:t>
      </w:r>
      <w:r>
        <w:rPr>
          <w:spacing w:val="33"/>
          <w:vertAlign w:val="baseline"/>
        </w:rPr>
        <w:t> </w:t>
      </w:r>
      <w:r>
        <w:rPr>
          <w:spacing w:val="-2"/>
          <w:vertAlign w:val="baseline"/>
        </w:rPr>
        <w:t>susceptibilities</w:t>
      </w:r>
    </w:p>
    <w:p>
      <w:pPr>
        <w:pStyle w:val="BodyText"/>
        <w:spacing w:after="0" w:line="249" w:lineRule="auto"/>
        <w:sectPr>
          <w:pgSz w:w="12240" w:h="15840"/>
          <w:pgMar w:top="1380" w:bottom="280" w:left="1440" w:right="1440"/>
        </w:sectPr>
      </w:pPr>
    </w:p>
    <w:p>
      <w:pPr>
        <w:pStyle w:val="BodyText"/>
        <w:spacing w:line="249" w:lineRule="auto"/>
        <w:ind w:right="99"/>
      </w:pPr>
      <w:r>
        <w:rPr/>
        <w:t>that tilt the balance toward thrombosis; for example, concentrations of factors that favor arterial thrombosis have been reported (tissue factor pathway coagulation inhibitor and thrombin-activatable </w:t>
      </w:r>
      <w:r>
        <w:rPr/>
        <w:t>fibrinolysis inhibitor) in women treated with estrogens.</w:t>
      </w:r>
      <w:r>
        <w:rPr>
          <w:vertAlign w:val="superscript"/>
        </w:rPr>
        <w:t>660</w:t>
      </w:r>
      <w:r>
        <w:rPr>
          <w:vertAlign w:val="baseline"/>
        </w:rPr>
        <w:t> Another possibility is that the fibrinolysis is a response to coagulation activity and, therefore, not necessarily a beneficial response.</w:t>
      </w:r>
    </w:p>
    <w:p>
      <w:pPr>
        <w:pStyle w:val="BodyText"/>
        <w:spacing w:line="249" w:lineRule="auto" w:before="7"/>
        <w:ind w:right="98" w:firstLine="450"/>
      </w:pPr>
      <w:r>
        <w:rPr/>
        <w:t>Estrogen has adverse effects on already-established atherosclerosis. MMP enzymes are secreted by inflammatory cells and smooth muscle cells. These enzymes digest the proteins in the fibrous cap of an atherosclerotic plaque, making the plaque unstable and predisposed to rupture. </w:t>
      </w:r>
      <w:r>
        <w:rPr/>
        <w:t>Estrogen induces MMP enzymes and decreases their specific inhibitors (tissue inhibitors of metalloproteinase or TIMP); this is a mechanism involved in the prothrombotic effects of estrogen in the presence of established atherosclerosis. This effect of estrogen may be dose-related and might be avoided with transdermal administration.</w:t>
      </w:r>
      <w:r>
        <w:rPr>
          <w:vertAlign w:val="superscript"/>
        </w:rPr>
        <w:t>661</w:t>
      </w:r>
    </w:p>
    <w:p>
      <w:pPr>
        <w:spacing w:before="310"/>
        <w:ind w:left="99" w:right="0" w:firstLine="0"/>
        <w:jc w:val="both"/>
        <w:rPr>
          <w:rFonts w:ascii="Arial"/>
          <w:b/>
          <w:i/>
          <w:sz w:val="22"/>
        </w:rPr>
      </w:pPr>
      <w:r>
        <w:rPr>
          <w:rFonts w:ascii="Arial"/>
          <w:b/>
          <w:i/>
          <w:color w:val="A0234E"/>
          <w:sz w:val="22"/>
        </w:rPr>
        <w:t>Inhibition</w:t>
      </w:r>
      <w:r>
        <w:rPr>
          <w:rFonts w:ascii="Arial"/>
          <w:b/>
          <w:i/>
          <w:color w:val="A0234E"/>
          <w:spacing w:val="13"/>
          <w:sz w:val="22"/>
        </w:rPr>
        <w:t> </w:t>
      </w:r>
      <w:r>
        <w:rPr>
          <w:rFonts w:ascii="Arial"/>
          <w:b/>
          <w:i/>
          <w:color w:val="A0234E"/>
          <w:sz w:val="22"/>
        </w:rPr>
        <w:t>of</w:t>
      </w:r>
      <w:r>
        <w:rPr>
          <w:rFonts w:ascii="Arial"/>
          <w:b/>
          <w:i/>
          <w:color w:val="A0234E"/>
          <w:spacing w:val="14"/>
          <w:sz w:val="22"/>
        </w:rPr>
        <w:t> </w:t>
      </w:r>
      <w:r>
        <w:rPr>
          <w:rFonts w:ascii="Arial"/>
          <w:b/>
          <w:i/>
          <w:color w:val="A0234E"/>
          <w:sz w:val="22"/>
        </w:rPr>
        <w:t>Intimal</w:t>
      </w:r>
      <w:r>
        <w:rPr>
          <w:rFonts w:ascii="Arial"/>
          <w:b/>
          <w:i/>
          <w:color w:val="A0234E"/>
          <w:spacing w:val="14"/>
          <w:sz w:val="22"/>
        </w:rPr>
        <w:t> </w:t>
      </w:r>
      <w:r>
        <w:rPr>
          <w:rFonts w:ascii="Arial"/>
          <w:b/>
          <w:i/>
          <w:color w:val="A0234E"/>
          <w:spacing w:val="-2"/>
          <w:sz w:val="22"/>
        </w:rPr>
        <w:t>Thickening</w:t>
      </w:r>
    </w:p>
    <w:p>
      <w:pPr>
        <w:pStyle w:val="BodyText"/>
        <w:spacing w:line="249" w:lineRule="auto" w:before="123"/>
        <w:ind w:right="99"/>
      </w:pPr>
      <w:r>
        <w:rPr/>
        <w:t>Hypertension and atherosclerosis are associated with increased proliferation of vascular smooth muscle cells.</w:t>
      </w:r>
      <w:r>
        <w:rPr>
          <w:spacing w:val="-1"/>
        </w:rPr>
        <w:t> </w:t>
      </w:r>
      <w:r>
        <w:rPr/>
        <w:t>This growth of smooth muscle cells is also characterized by migration into the intima. Arterial intimal thickening is </w:t>
      </w:r>
      <w:r>
        <w:rPr/>
        <w:t>an early indicator of atherosclerosis. The proliferation and migration of human aortic smooth muscle cells in response to growth factors are inhibited by estradiol, and, importantly, this inhibition is not prevented by the presence of</w:t>
      </w:r>
      <w:r>
        <w:rPr>
          <w:spacing w:val="-8"/>
        </w:rPr>
        <w:t> </w:t>
      </w:r>
      <w:r>
        <w:rPr/>
        <w:t>progestins.</w:t>
      </w:r>
      <w:r>
        <w:rPr>
          <w:vertAlign w:val="superscript"/>
        </w:rPr>
        <w:t>662,663</w:t>
      </w:r>
      <w:r>
        <w:rPr>
          <w:spacing w:val="-7"/>
          <w:vertAlign w:val="baseline"/>
        </w:rPr>
        <w:t> </w:t>
      </w:r>
      <w:r>
        <w:rPr>
          <w:vertAlign w:val="baseline"/>
        </w:rPr>
        <w:t>Nitric</w:t>
      </w:r>
      <w:r>
        <w:rPr>
          <w:spacing w:val="-7"/>
          <w:vertAlign w:val="baseline"/>
        </w:rPr>
        <w:t> </w:t>
      </w:r>
      <w:r>
        <w:rPr>
          <w:vertAlign w:val="baseline"/>
        </w:rPr>
        <w:t>oxide,</w:t>
      </w:r>
      <w:r>
        <w:rPr>
          <w:spacing w:val="-7"/>
          <w:vertAlign w:val="baseline"/>
        </w:rPr>
        <w:t> </w:t>
      </w:r>
      <w:r>
        <w:rPr>
          <w:vertAlign w:val="baseline"/>
        </w:rPr>
        <w:t>which</w:t>
      </w:r>
      <w:r>
        <w:rPr>
          <w:spacing w:val="-7"/>
          <w:vertAlign w:val="baseline"/>
        </w:rPr>
        <w:t> </w:t>
      </w:r>
      <w:r>
        <w:rPr>
          <w:vertAlign w:val="baseline"/>
        </w:rPr>
        <w:t>is</w:t>
      </w:r>
      <w:r>
        <w:rPr>
          <w:spacing w:val="-7"/>
          <w:vertAlign w:val="baseline"/>
        </w:rPr>
        <w:t> </w:t>
      </w:r>
      <w:r>
        <w:rPr>
          <w:vertAlign w:val="baseline"/>
        </w:rPr>
        <w:t>regulated</w:t>
      </w:r>
      <w:r>
        <w:rPr>
          <w:spacing w:val="-7"/>
          <w:vertAlign w:val="baseline"/>
        </w:rPr>
        <w:t> </w:t>
      </w:r>
      <w:r>
        <w:rPr>
          <w:vertAlign w:val="baseline"/>
        </w:rPr>
        <w:t>by</w:t>
      </w:r>
      <w:r>
        <w:rPr>
          <w:spacing w:val="-7"/>
          <w:vertAlign w:val="baseline"/>
        </w:rPr>
        <w:t> </w:t>
      </w:r>
      <w:r>
        <w:rPr>
          <w:vertAlign w:val="baseline"/>
        </w:rPr>
        <w:t>estrogen,</w:t>
      </w:r>
      <w:r>
        <w:rPr>
          <w:spacing w:val="-7"/>
          <w:vertAlign w:val="baseline"/>
        </w:rPr>
        <w:t> </w:t>
      </w:r>
      <w:r>
        <w:rPr>
          <w:vertAlign w:val="baseline"/>
        </w:rPr>
        <w:t>also</w:t>
      </w:r>
      <w:r>
        <w:rPr>
          <w:spacing w:val="-7"/>
          <w:vertAlign w:val="baseline"/>
        </w:rPr>
        <w:t> </w:t>
      </w:r>
      <w:r>
        <w:rPr>
          <w:vertAlign w:val="baseline"/>
        </w:rPr>
        <w:t>inhibits smooth muscle proliferation and migration.</w:t>
      </w:r>
      <w:r>
        <w:rPr>
          <w:vertAlign w:val="superscript"/>
        </w:rPr>
        <w:t>664</w:t>
      </w:r>
      <w:r>
        <w:rPr>
          <w:vertAlign w:val="baseline"/>
        </w:rPr>
        <w:t> Imaging studies have documented a reduction in intimal thickening in postmenopausal women who</w:t>
      </w:r>
      <w:r>
        <w:rPr>
          <w:spacing w:val="-1"/>
          <w:vertAlign w:val="baseline"/>
        </w:rPr>
        <w:t> </w:t>
      </w:r>
      <w:r>
        <w:rPr>
          <w:vertAlign w:val="baseline"/>
        </w:rPr>
        <w:t>are</w:t>
      </w:r>
      <w:r>
        <w:rPr>
          <w:spacing w:val="-1"/>
          <w:vertAlign w:val="baseline"/>
        </w:rPr>
        <w:t> </w:t>
      </w:r>
      <w:r>
        <w:rPr>
          <w:vertAlign w:val="baseline"/>
        </w:rPr>
        <w:t>estrogen</w:t>
      </w:r>
      <w:r>
        <w:rPr>
          <w:spacing w:val="-1"/>
          <w:vertAlign w:val="baseline"/>
        </w:rPr>
        <w:t> </w:t>
      </w:r>
      <w:r>
        <w:rPr>
          <w:vertAlign w:val="baseline"/>
        </w:rPr>
        <w:t>users</w:t>
      </w:r>
      <w:r>
        <w:rPr>
          <w:spacing w:val="-1"/>
          <w:vertAlign w:val="baseline"/>
        </w:rPr>
        <w:t> </w:t>
      </w:r>
      <w:r>
        <w:rPr>
          <w:vertAlign w:val="baseline"/>
        </w:rPr>
        <w:t>compared</w:t>
      </w:r>
      <w:r>
        <w:rPr>
          <w:spacing w:val="-1"/>
          <w:vertAlign w:val="baseline"/>
        </w:rPr>
        <w:t> </w:t>
      </w:r>
      <w:r>
        <w:rPr>
          <w:vertAlign w:val="baseline"/>
        </w:rPr>
        <w:t>with</w:t>
      </w:r>
      <w:r>
        <w:rPr>
          <w:spacing w:val="-1"/>
          <w:vertAlign w:val="baseline"/>
        </w:rPr>
        <w:t> </w:t>
      </w:r>
      <w:r>
        <w:rPr>
          <w:vertAlign w:val="baseline"/>
        </w:rPr>
        <w:t>nonusers,</w:t>
      </w:r>
      <w:r>
        <w:rPr>
          <w:spacing w:val="-1"/>
          <w:vertAlign w:val="baseline"/>
        </w:rPr>
        <w:t> </w:t>
      </w:r>
      <w:r>
        <w:rPr>
          <w:vertAlign w:val="baseline"/>
        </w:rPr>
        <w:t>and</w:t>
      </w:r>
      <w:r>
        <w:rPr>
          <w:spacing w:val="-1"/>
          <w:vertAlign w:val="baseline"/>
        </w:rPr>
        <w:t> </w:t>
      </w:r>
      <w:r>
        <w:rPr>
          <w:vertAlign w:val="baseline"/>
        </w:rPr>
        <w:t>this</w:t>
      </w:r>
      <w:r>
        <w:rPr>
          <w:spacing w:val="-1"/>
          <w:vertAlign w:val="baseline"/>
        </w:rPr>
        <w:t> </w:t>
      </w:r>
      <w:r>
        <w:rPr>
          <w:vertAlign w:val="baseline"/>
        </w:rPr>
        <w:t>beneficial</w:t>
      </w:r>
      <w:r>
        <w:rPr>
          <w:spacing w:val="-1"/>
          <w:vertAlign w:val="baseline"/>
        </w:rPr>
        <w:t> </w:t>
      </w:r>
      <w:r>
        <w:rPr>
          <w:vertAlign w:val="baseline"/>
        </w:rPr>
        <w:t>effect</w:t>
      </w:r>
      <w:r>
        <w:rPr>
          <w:spacing w:val="-1"/>
          <w:vertAlign w:val="baseline"/>
        </w:rPr>
        <w:t> </w:t>
      </w:r>
      <w:r>
        <w:rPr>
          <w:vertAlign w:val="baseline"/>
        </w:rPr>
        <w:t>is not compromised by the addition of a progestational agent to the treatment regimen.</w:t>
      </w:r>
      <w:r>
        <w:rPr>
          <w:vertAlign w:val="superscript"/>
        </w:rPr>
        <w:t>611,665-667</w:t>
      </w:r>
      <w:r>
        <w:rPr>
          <w:vertAlign w:val="baseline"/>
        </w:rPr>
        <w:t> Thus, postmenopausal HT can bring about a reduction in atherosclerosis, and this effect is comparable with that produced by a lipid-lowering drug.</w:t>
      </w:r>
      <w:r>
        <w:rPr>
          <w:vertAlign w:val="superscript"/>
        </w:rPr>
        <w:t>665,668</w:t>
      </w:r>
    </w:p>
    <w:p>
      <w:pPr>
        <w:spacing w:before="316"/>
        <w:ind w:left="99" w:right="0" w:firstLine="0"/>
        <w:jc w:val="both"/>
        <w:rPr>
          <w:rFonts w:ascii="Arial"/>
          <w:b/>
          <w:i/>
          <w:sz w:val="22"/>
        </w:rPr>
      </w:pPr>
      <w:r>
        <w:rPr>
          <w:rFonts w:ascii="Arial"/>
          <w:b/>
          <w:i/>
          <w:color w:val="A0234E"/>
          <w:sz w:val="22"/>
        </w:rPr>
        <w:t>Protection</w:t>
      </w:r>
      <w:r>
        <w:rPr>
          <w:rFonts w:ascii="Arial"/>
          <w:b/>
          <w:i/>
          <w:color w:val="A0234E"/>
          <w:spacing w:val="17"/>
          <w:sz w:val="22"/>
        </w:rPr>
        <w:t> </w:t>
      </w:r>
      <w:r>
        <w:rPr>
          <w:rFonts w:ascii="Arial"/>
          <w:b/>
          <w:i/>
          <w:color w:val="A0234E"/>
          <w:sz w:val="22"/>
        </w:rPr>
        <w:t>of</w:t>
      </w:r>
      <w:r>
        <w:rPr>
          <w:rFonts w:ascii="Arial"/>
          <w:b/>
          <w:i/>
          <w:color w:val="A0234E"/>
          <w:spacing w:val="18"/>
          <w:sz w:val="22"/>
        </w:rPr>
        <w:t> </w:t>
      </w:r>
      <w:r>
        <w:rPr>
          <w:rFonts w:ascii="Arial"/>
          <w:b/>
          <w:i/>
          <w:color w:val="A0234E"/>
          <w:sz w:val="22"/>
        </w:rPr>
        <w:t>Endothelial</w:t>
      </w:r>
      <w:r>
        <w:rPr>
          <w:rFonts w:ascii="Arial"/>
          <w:b/>
          <w:i/>
          <w:color w:val="A0234E"/>
          <w:spacing w:val="17"/>
          <w:sz w:val="22"/>
        </w:rPr>
        <w:t> </w:t>
      </w:r>
      <w:r>
        <w:rPr>
          <w:rFonts w:ascii="Arial"/>
          <w:b/>
          <w:i/>
          <w:color w:val="A0234E"/>
          <w:spacing w:val="-2"/>
          <w:sz w:val="22"/>
        </w:rPr>
        <w:t>Cells</w:t>
      </w:r>
    </w:p>
    <w:p>
      <w:pPr>
        <w:pStyle w:val="BodyText"/>
        <w:spacing w:line="249" w:lineRule="auto" w:before="123"/>
        <w:ind w:right="98"/>
      </w:pPr>
      <w:r>
        <w:rPr/>
        <w:t>Endothelial cells can respond to injury by initiating the clotting process. Animal studies indicate that estrogen accelerates healing and recovery </w:t>
      </w:r>
      <w:r>
        <w:rPr/>
        <w:t>of</w:t>
      </w:r>
      <w:r>
        <w:rPr>
          <w:spacing w:val="40"/>
        </w:rPr>
        <w:t> </w:t>
      </w:r>
      <w:r>
        <w:rPr/>
        <w:t>the</w:t>
      </w:r>
      <w:r>
        <w:rPr>
          <w:spacing w:val="-1"/>
        </w:rPr>
        <w:t> </w:t>
      </w:r>
      <w:r>
        <w:rPr/>
        <w:t>endothelium</w:t>
      </w:r>
      <w:r>
        <w:rPr>
          <w:spacing w:val="-1"/>
        </w:rPr>
        <w:t> </w:t>
      </w:r>
      <w:r>
        <w:rPr/>
        <w:t>in</w:t>
      </w:r>
      <w:r>
        <w:rPr>
          <w:spacing w:val="-1"/>
        </w:rPr>
        <w:t> </w:t>
      </w:r>
      <w:r>
        <w:rPr/>
        <w:t>response to</w:t>
      </w:r>
      <w:r>
        <w:rPr>
          <w:spacing w:val="-1"/>
        </w:rPr>
        <w:t> </w:t>
      </w:r>
      <w:r>
        <w:rPr/>
        <w:t>injury.</w:t>
      </w:r>
      <w:r>
        <w:rPr>
          <w:vertAlign w:val="superscript"/>
        </w:rPr>
        <w:t>669</w:t>
      </w:r>
      <w:r>
        <w:rPr>
          <w:spacing w:val="-1"/>
          <w:vertAlign w:val="baseline"/>
        </w:rPr>
        <w:t> </w:t>
      </w:r>
      <w:r>
        <w:rPr>
          <w:vertAlign w:val="baseline"/>
        </w:rPr>
        <w:t>This</w:t>
      </w:r>
      <w:r>
        <w:rPr>
          <w:spacing w:val="-2"/>
          <w:vertAlign w:val="baseline"/>
        </w:rPr>
        <w:t> </w:t>
      </w:r>
      <w:r>
        <w:rPr>
          <w:vertAlign w:val="baseline"/>
        </w:rPr>
        <w:t>is</w:t>
      </w:r>
      <w:r>
        <w:rPr>
          <w:spacing w:val="-2"/>
          <w:vertAlign w:val="baseline"/>
        </w:rPr>
        <w:t> </w:t>
      </w:r>
      <w:r>
        <w:rPr>
          <w:vertAlign w:val="baseline"/>
        </w:rPr>
        <w:t>correlated</w:t>
      </w:r>
      <w:r>
        <w:rPr>
          <w:spacing w:val="-1"/>
          <w:vertAlign w:val="baseline"/>
        </w:rPr>
        <w:t> </w:t>
      </w:r>
      <w:r>
        <w:rPr>
          <w:vertAlign w:val="baseline"/>
        </w:rPr>
        <w:t>with</w:t>
      </w:r>
      <w:r>
        <w:rPr>
          <w:spacing w:val="-2"/>
          <w:vertAlign w:val="baseline"/>
        </w:rPr>
        <w:t> </w:t>
      </w:r>
      <w:r>
        <w:rPr>
          <w:vertAlign w:val="baseline"/>
        </w:rPr>
        <w:t>inhibition</w:t>
      </w:r>
      <w:r>
        <w:rPr>
          <w:spacing w:val="-2"/>
          <w:vertAlign w:val="baseline"/>
        </w:rPr>
        <w:t> </w:t>
      </w:r>
      <w:r>
        <w:rPr>
          <w:spacing w:val="-5"/>
          <w:vertAlign w:val="baseline"/>
        </w:rPr>
        <w:t>of</w:t>
      </w:r>
    </w:p>
    <w:p>
      <w:pPr>
        <w:pStyle w:val="BodyText"/>
        <w:spacing w:after="0" w:line="249" w:lineRule="auto"/>
        <w:sectPr>
          <w:pgSz w:w="12240" w:h="15840"/>
          <w:pgMar w:top="1380" w:bottom="280" w:left="1440" w:right="1440"/>
        </w:sectPr>
      </w:pPr>
    </w:p>
    <w:p>
      <w:pPr>
        <w:pStyle w:val="BodyText"/>
        <w:spacing w:line="249" w:lineRule="auto"/>
        <w:ind w:right="98"/>
      </w:pPr>
      <w:r>
        <w:rPr/>
        <w:t>intimal thickening and recovery of important functions, such as nitric oxide production. In vitro studies of human endothelial cells demonstrate that estrogen can inhibit cytokine-induced apoptosis.</w:t>
      </w:r>
      <w:r>
        <w:rPr>
          <w:vertAlign w:val="superscript"/>
        </w:rPr>
        <w:t>670</w:t>
      </w:r>
      <w:r>
        <w:rPr>
          <w:vertAlign w:val="baseline"/>
        </w:rPr>
        <w:t> In the rat, MPA </w:t>
      </w:r>
      <w:r>
        <w:rPr>
          <w:vertAlign w:val="baseline"/>
        </w:rPr>
        <w:t>blocked the estrogen-induced healing response after carotid artery injuries.</w:t>
      </w:r>
      <w:r>
        <w:rPr>
          <w:vertAlign w:val="superscript"/>
        </w:rPr>
        <w:t>671</w:t>
      </w:r>
    </w:p>
    <w:p>
      <w:pPr>
        <w:spacing w:before="303"/>
        <w:ind w:left="99" w:right="0" w:firstLine="0"/>
        <w:jc w:val="left"/>
        <w:rPr>
          <w:rFonts w:ascii="Arial"/>
          <w:b/>
          <w:i/>
          <w:sz w:val="22"/>
        </w:rPr>
      </w:pPr>
      <w:r>
        <w:rPr>
          <w:rFonts w:ascii="Arial"/>
          <w:b/>
          <w:i/>
          <w:color w:val="A0234E"/>
          <w:sz w:val="22"/>
        </w:rPr>
        <w:t>Inhibition</w:t>
      </w:r>
      <w:r>
        <w:rPr>
          <w:rFonts w:ascii="Arial"/>
          <w:b/>
          <w:i/>
          <w:color w:val="A0234E"/>
          <w:spacing w:val="14"/>
          <w:sz w:val="22"/>
        </w:rPr>
        <w:t> </w:t>
      </w:r>
      <w:r>
        <w:rPr>
          <w:rFonts w:ascii="Arial"/>
          <w:b/>
          <w:i/>
          <w:color w:val="A0234E"/>
          <w:sz w:val="22"/>
        </w:rPr>
        <w:t>of</w:t>
      </w:r>
      <w:r>
        <w:rPr>
          <w:rFonts w:ascii="Arial"/>
          <w:b/>
          <w:i/>
          <w:color w:val="A0234E"/>
          <w:spacing w:val="15"/>
          <w:sz w:val="22"/>
        </w:rPr>
        <w:t> </w:t>
      </w:r>
      <w:r>
        <w:rPr>
          <w:rFonts w:ascii="Arial"/>
          <w:b/>
          <w:i/>
          <w:color w:val="A0234E"/>
          <w:sz w:val="22"/>
        </w:rPr>
        <w:t>Macrophage</w:t>
      </w:r>
      <w:r>
        <w:rPr>
          <w:rFonts w:ascii="Arial"/>
          <w:b/>
          <w:i/>
          <w:color w:val="A0234E"/>
          <w:spacing w:val="15"/>
          <w:sz w:val="22"/>
        </w:rPr>
        <w:t> </w:t>
      </w:r>
      <w:r>
        <w:rPr>
          <w:rFonts w:ascii="Arial"/>
          <w:b/>
          <w:i/>
          <w:color w:val="A0234E"/>
          <w:sz w:val="22"/>
        </w:rPr>
        <w:t>Foam</w:t>
      </w:r>
      <w:r>
        <w:rPr>
          <w:rFonts w:ascii="Arial"/>
          <w:b/>
          <w:i/>
          <w:color w:val="A0234E"/>
          <w:spacing w:val="15"/>
          <w:sz w:val="22"/>
        </w:rPr>
        <w:t> </w:t>
      </w:r>
      <w:r>
        <w:rPr>
          <w:rFonts w:ascii="Arial"/>
          <w:b/>
          <w:i/>
          <w:color w:val="A0234E"/>
          <w:sz w:val="22"/>
        </w:rPr>
        <w:t>Cell</w:t>
      </w:r>
      <w:r>
        <w:rPr>
          <w:rFonts w:ascii="Arial"/>
          <w:b/>
          <w:i/>
          <w:color w:val="A0234E"/>
          <w:spacing w:val="15"/>
          <w:sz w:val="22"/>
        </w:rPr>
        <w:t> </w:t>
      </w:r>
      <w:r>
        <w:rPr>
          <w:rFonts w:ascii="Arial"/>
          <w:b/>
          <w:i/>
          <w:color w:val="A0234E"/>
          <w:spacing w:val="-2"/>
          <w:sz w:val="22"/>
        </w:rPr>
        <w:t>Formation</w:t>
      </w:r>
    </w:p>
    <w:p>
      <w:pPr>
        <w:pStyle w:val="BodyText"/>
        <w:spacing w:line="249" w:lineRule="auto" w:before="124"/>
        <w:ind w:right="103"/>
      </w:pPr>
      <w:r>
        <w:rPr/>
        <w:t>A feature of atherosclerotic plaque formation is monocytic infiltration into the arterial wall and the formation of macrophage foam cells. In a </w:t>
      </w:r>
      <w:r>
        <w:rPr/>
        <w:t>non-antioxidant activity, estrogen inhibits macrophage foam cell accumulation in atherosclerotic lesions.</w:t>
      </w:r>
      <w:r>
        <w:rPr>
          <w:vertAlign w:val="superscript"/>
        </w:rPr>
        <w:t>672</w:t>
      </w:r>
    </w:p>
    <w:p>
      <w:pPr>
        <w:spacing w:before="303"/>
        <w:ind w:left="99" w:right="0" w:firstLine="0"/>
        <w:jc w:val="left"/>
        <w:rPr>
          <w:rFonts w:ascii="Arial"/>
          <w:b/>
          <w:i/>
          <w:sz w:val="22"/>
        </w:rPr>
      </w:pPr>
      <w:r>
        <w:rPr>
          <w:rFonts w:ascii="Arial"/>
          <w:b/>
          <w:i/>
          <w:color w:val="A0234E"/>
          <w:sz w:val="22"/>
        </w:rPr>
        <w:t>Reduction</w:t>
      </w:r>
      <w:r>
        <w:rPr>
          <w:rFonts w:ascii="Arial"/>
          <w:b/>
          <w:i/>
          <w:color w:val="A0234E"/>
          <w:spacing w:val="19"/>
          <w:sz w:val="22"/>
        </w:rPr>
        <w:t> </w:t>
      </w:r>
      <w:r>
        <w:rPr>
          <w:rFonts w:ascii="Arial"/>
          <w:b/>
          <w:i/>
          <w:color w:val="A0234E"/>
          <w:sz w:val="22"/>
        </w:rPr>
        <w:t>of</w:t>
      </w:r>
      <w:r>
        <w:rPr>
          <w:rFonts w:ascii="Arial"/>
          <w:b/>
          <w:i/>
          <w:color w:val="A0234E"/>
          <w:spacing w:val="20"/>
          <w:sz w:val="22"/>
        </w:rPr>
        <w:t> </w:t>
      </w:r>
      <w:r>
        <w:rPr>
          <w:rFonts w:ascii="Arial"/>
          <w:b/>
          <w:i/>
          <w:color w:val="A0234E"/>
          <w:sz w:val="22"/>
        </w:rPr>
        <w:t>Angiotensin-Converting</w:t>
      </w:r>
      <w:r>
        <w:rPr>
          <w:rFonts w:ascii="Arial"/>
          <w:b/>
          <w:i/>
          <w:color w:val="A0234E"/>
          <w:spacing w:val="20"/>
          <w:sz w:val="22"/>
        </w:rPr>
        <w:t> </w:t>
      </w:r>
      <w:r>
        <w:rPr>
          <w:rFonts w:ascii="Arial"/>
          <w:b/>
          <w:i/>
          <w:color w:val="A0234E"/>
          <w:sz w:val="22"/>
        </w:rPr>
        <w:t>Enzyme</w:t>
      </w:r>
      <w:r>
        <w:rPr>
          <w:rFonts w:ascii="Arial"/>
          <w:b/>
          <w:i/>
          <w:color w:val="A0234E"/>
          <w:spacing w:val="19"/>
          <w:sz w:val="22"/>
        </w:rPr>
        <w:t> </w:t>
      </w:r>
      <w:r>
        <w:rPr>
          <w:rFonts w:ascii="Arial"/>
          <w:b/>
          <w:i/>
          <w:color w:val="A0234E"/>
          <w:sz w:val="22"/>
        </w:rPr>
        <w:t>and</w:t>
      </w:r>
      <w:r>
        <w:rPr>
          <w:rFonts w:ascii="Arial"/>
          <w:b/>
          <w:i/>
          <w:color w:val="A0234E"/>
          <w:spacing w:val="20"/>
          <w:sz w:val="22"/>
        </w:rPr>
        <w:t> </w:t>
      </w:r>
      <w:r>
        <w:rPr>
          <w:rFonts w:ascii="Arial"/>
          <w:b/>
          <w:i/>
          <w:color w:val="A0234E"/>
          <w:sz w:val="22"/>
        </w:rPr>
        <w:t>Renin</w:t>
      </w:r>
      <w:r>
        <w:rPr>
          <w:rFonts w:ascii="Arial"/>
          <w:b/>
          <w:i/>
          <w:color w:val="A0234E"/>
          <w:spacing w:val="20"/>
          <w:sz w:val="22"/>
        </w:rPr>
        <w:t> </w:t>
      </w:r>
      <w:r>
        <w:rPr>
          <w:rFonts w:ascii="Arial"/>
          <w:b/>
          <w:i/>
          <w:color w:val="A0234E"/>
          <w:spacing w:val="-2"/>
          <w:sz w:val="22"/>
        </w:rPr>
        <w:t>Levels</w:t>
      </w:r>
    </w:p>
    <w:p>
      <w:pPr>
        <w:pStyle w:val="BodyText"/>
        <w:spacing w:line="249" w:lineRule="auto" w:before="124"/>
        <w:ind w:right="99"/>
      </w:pPr>
      <w:r>
        <w:rPr/>
        <w:t>Although oral estrogen, but not transdermal estrogen, increases angiotensinogen levels, angiotensin-converting enzyme (ACE) and </w:t>
      </w:r>
      <w:r>
        <w:rPr/>
        <w:t>renin levels are decreased (with or without progestin) by both routes of administration.</w:t>
      </w:r>
      <w:r>
        <w:rPr>
          <w:vertAlign w:val="superscript"/>
        </w:rPr>
        <w:t>673,674</w:t>
      </w:r>
      <w:r>
        <w:rPr>
          <w:vertAlign w:val="baseline"/>
        </w:rPr>
        <w:t> The angiotensin II receptor (AT</w:t>
      </w:r>
      <w:r>
        <w:rPr>
          <w:position w:val="-7"/>
          <w:sz w:val="17"/>
          <w:vertAlign w:val="baseline"/>
        </w:rPr>
        <w:t>1</w:t>
      </w:r>
      <w:r>
        <w:rPr>
          <w:spacing w:val="40"/>
          <w:position w:val="-7"/>
          <w:sz w:val="17"/>
          <w:vertAlign w:val="baseline"/>
        </w:rPr>
        <w:t> </w:t>
      </w:r>
      <w:r>
        <w:rPr>
          <w:vertAlign w:val="baseline"/>
        </w:rPr>
        <w:t>receptor) is involved in vasoconstriction, aldosterone release, sodium and water retention, and growth and proliferation of myocardial and vascular cells. Estrogen induces downregulation</w:t>
      </w:r>
      <w:r>
        <w:rPr>
          <w:spacing w:val="3"/>
          <w:vertAlign w:val="baseline"/>
        </w:rPr>
        <w:t> </w:t>
      </w:r>
      <w:r>
        <w:rPr>
          <w:vertAlign w:val="baseline"/>
        </w:rPr>
        <w:t>of</w:t>
      </w:r>
      <w:r>
        <w:rPr>
          <w:spacing w:val="4"/>
          <w:vertAlign w:val="baseline"/>
        </w:rPr>
        <w:t> </w:t>
      </w:r>
      <w:r>
        <w:rPr>
          <w:vertAlign w:val="baseline"/>
        </w:rPr>
        <w:t>the</w:t>
      </w:r>
      <w:r>
        <w:rPr>
          <w:spacing w:val="3"/>
          <w:vertAlign w:val="baseline"/>
        </w:rPr>
        <w:t> </w:t>
      </w:r>
      <w:r>
        <w:rPr>
          <w:vertAlign w:val="baseline"/>
        </w:rPr>
        <w:t>AT</w:t>
      </w:r>
      <w:r>
        <w:rPr>
          <w:vertAlign w:val="subscript"/>
        </w:rPr>
        <w:t>1</w:t>
      </w:r>
      <w:r>
        <w:rPr>
          <w:spacing w:val="7"/>
          <w:vertAlign w:val="baseline"/>
        </w:rPr>
        <w:t> </w:t>
      </w:r>
      <w:r>
        <w:rPr>
          <w:vertAlign w:val="baseline"/>
        </w:rPr>
        <w:t>receptor,</w:t>
      </w:r>
      <w:r>
        <w:rPr>
          <w:spacing w:val="8"/>
          <w:vertAlign w:val="baseline"/>
        </w:rPr>
        <w:t> </w:t>
      </w:r>
      <w:r>
        <w:rPr>
          <w:vertAlign w:val="baseline"/>
        </w:rPr>
        <w:t>and</w:t>
      </w:r>
      <w:r>
        <w:rPr>
          <w:spacing w:val="9"/>
          <w:vertAlign w:val="baseline"/>
        </w:rPr>
        <w:t> </w:t>
      </w:r>
      <w:r>
        <w:rPr>
          <w:vertAlign w:val="baseline"/>
        </w:rPr>
        <w:t>hypercholesterolemia</w:t>
      </w:r>
      <w:r>
        <w:rPr>
          <w:spacing w:val="8"/>
          <w:vertAlign w:val="baseline"/>
        </w:rPr>
        <w:t> </w:t>
      </w:r>
      <w:r>
        <w:rPr>
          <w:vertAlign w:val="baseline"/>
        </w:rPr>
        <w:t>is</w:t>
      </w:r>
      <w:r>
        <w:rPr>
          <w:spacing w:val="8"/>
          <w:vertAlign w:val="baseline"/>
        </w:rPr>
        <w:t> </w:t>
      </w:r>
      <w:r>
        <w:rPr>
          <w:spacing w:val="-2"/>
          <w:vertAlign w:val="baseline"/>
        </w:rPr>
        <w:t>associated</w:t>
      </w:r>
    </w:p>
    <w:p>
      <w:pPr>
        <w:pStyle w:val="BodyText"/>
        <w:spacing w:before="46"/>
      </w:pPr>
      <w:r>
        <w:rPr/>
        <w:t>with</w:t>
      </w:r>
      <w:r>
        <w:rPr>
          <w:spacing w:val="-9"/>
        </w:rPr>
        <w:t> </w:t>
      </w:r>
      <w:r>
        <w:rPr/>
        <w:t>AT</w:t>
      </w:r>
      <w:r>
        <w:rPr>
          <w:position w:val="-7"/>
          <w:sz w:val="17"/>
        </w:rPr>
        <w:t>1</w:t>
      </w:r>
      <w:r>
        <w:rPr>
          <w:spacing w:val="23"/>
          <w:position w:val="-7"/>
          <w:sz w:val="17"/>
        </w:rPr>
        <w:t> </w:t>
      </w:r>
      <w:r>
        <w:rPr/>
        <w:t>upregulation</w:t>
      </w:r>
      <w:r>
        <w:rPr>
          <w:spacing w:val="-8"/>
        </w:rPr>
        <w:t> </w:t>
      </w:r>
      <w:r>
        <w:rPr/>
        <w:t>and</w:t>
      </w:r>
      <w:r>
        <w:rPr>
          <w:spacing w:val="-8"/>
        </w:rPr>
        <w:t> </w:t>
      </w:r>
      <w:r>
        <w:rPr>
          <w:spacing w:val="-2"/>
        </w:rPr>
        <w:t>function.</w:t>
      </w:r>
      <w:r>
        <w:rPr>
          <w:spacing w:val="-2"/>
          <w:vertAlign w:val="superscript"/>
        </w:rPr>
        <w:t>675,676</w:t>
      </w:r>
    </w:p>
    <w:p>
      <w:pPr>
        <w:spacing w:before="307"/>
        <w:ind w:left="99" w:right="0" w:firstLine="0"/>
        <w:jc w:val="left"/>
        <w:rPr>
          <w:rFonts w:ascii="Arial"/>
          <w:b/>
          <w:i/>
          <w:sz w:val="22"/>
        </w:rPr>
      </w:pPr>
      <w:r>
        <w:rPr>
          <w:rFonts w:ascii="Arial"/>
          <w:b/>
          <w:i/>
          <w:color w:val="A0234E"/>
          <w:sz w:val="22"/>
        </w:rPr>
        <w:t>Reduction</w:t>
      </w:r>
      <w:r>
        <w:rPr>
          <w:rFonts w:ascii="Arial"/>
          <w:b/>
          <w:i/>
          <w:color w:val="A0234E"/>
          <w:spacing w:val="16"/>
          <w:sz w:val="22"/>
        </w:rPr>
        <w:t> </w:t>
      </w:r>
      <w:r>
        <w:rPr>
          <w:rFonts w:ascii="Arial"/>
          <w:b/>
          <w:i/>
          <w:color w:val="A0234E"/>
          <w:sz w:val="22"/>
        </w:rPr>
        <w:t>of</w:t>
      </w:r>
      <w:r>
        <w:rPr>
          <w:rFonts w:ascii="Arial"/>
          <w:b/>
          <w:i/>
          <w:color w:val="A0234E"/>
          <w:spacing w:val="16"/>
          <w:sz w:val="22"/>
        </w:rPr>
        <w:t> </w:t>
      </w:r>
      <w:r>
        <w:rPr>
          <w:rFonts w:ascii="Arial"/>
          <w:b/>
          <w:i/>
          <w:color w:val="A0234E"/>
          <w:sz w:val="22"/>
        </w:rPr>
        <w:t>Adhesion</w:t>
      </w:r>
      <w:r>
        <w:rPr>
          <w:rFonts w:ascii="Arial"/>
          <w:b/>
          <w:i/>
          <w:color w:val="A0234E"/>
          <w:spacing w:val="16"/>
          <w:sz w:val="22"/>
        </w:rPr>
        <w:t> </w:t>
      </w:r>
      <w:r>
        <w:rPr>
          <w:rFonts w:ascii="Arial"/>
          <w:b/>
          <w:i/>
          <w:color w:val="A0234E"/>
          <w:spacing w:val="-2"/>
          <w:sz w:val="22"/>
        </w:rPr>
        <w:t>Molecules</w:t>
      </w:r>
    </w:p>
    <w:p>
      <w:pPr>
        <w:pStyle w:val="BodyText"/>
        <w:spacing w:line="249" w:lineRule="auto" w:before="124"/>
        <w:ind w:right="98"/>
      </w:pPr>
      <w:r>
        <w:rPr/>
        <w:t>Adhesion</w:t>
      </w:r>
      <w:r>
        <w:rPr>
          <w:spacing w:val="-2"/>
        </w:rPr>
        <w:t> </w:t>
      </w:r>
      <w:r>
        <w:rPr/>
        <w:t>molecules</w:t>
      </w:r>
      <w:r>
        <w:rPr>
          <w:spacing w:val="-2"/>
        </w:rPr>
        <w:t> </w:t>
      </w:r>
      <w:r>
        <w:rPr/>
        <w:t>recruit</w:t>
      </w:r>
      <w:r>
        <w:rPr>
          <w:spacing w:val="-2"/>
        </w:rPr>
        <w:t> </w:t>
      </w:r>
      <w:r>
        <w:rPr/>
        <w:t>leukocytes</w:t>
      </w:r>
      <w:r>
        <w:rPr>
          <w:spacing w:val="-2"/>
        </w:rPr>
        <w:t> </w:t>
      </w:r>
      <w:r>
        <w:rPr/>
        <w:t>to</w:t>
      </w:r>
      <w:r>
        <w:rPr>
          <w:spacing w:val="-2"/>
        </w:rPr>
        <w:t> </w:t>
      </w:r>
      <w:r>
        <w:rPr/>
        <w:t>the</w:t>
      </w:r>
      <w:r>
        <w:rPr>
          <w:spacing w:val="-2"/>
        </w:rPr>
        <w:t> </w:t>
      </w:r>
      <w:r>
        <w:rPr/>
        <w:t>endothelium</w:t>
      </w:r>
      <w:r>
        <w:rPr>
          <w:spacing w:val="-2"/>
        </w:rPr>
        <w:t> </w:t>
      </w:r>
      <w:r>
        <w:rPr/>
        <w:t>and</w:t>
      </w:r>
      <w:r>
        <w:rPr>
          <w:spacing w:val="-2"/>
        </w:rPr>
        <w:t> </w:t>
      </w:r>
      <w:r>
        <w:rPr/>
        <w:t>play</w:t>
      </w:r>
      <w:r>
        <w:rPr>
          <w:spacing w:val="-2"/>
        </w:rPr>
        <w:t> </w:t>
      </w:r>
      <w:r>
        <w:rPr/>
        <w:t>a</w:t>
      </w:r>
      <w:r>
        <w:rPr>
          <w:spacing w:val="-2"/>
        </w:rPr>
        <w:t> </w:t>
      </w:r>
      <w:r>
        <w:rPr/>
        <w:t>role</w:t>
      </w:r>
      <w:r>
        <w:rPr>
          <w:spacing w:val="-2"/>
        </w:rPr>
        <w:t> </w:t>
      </w:r>
      <w:r>
        <w:rPr/>
        <w:t>in attaching platelets to the endothelium. Studies with multiple markers report that oral ET increases CRP, the only marker synthesized in the </w:t>
      </w:r>
      <w:r>
        <w:rPr/>
        <w:t>liver; however, it reduces the circulating levels of other markers (E-selectin, P-selectin,</w:t>
      </w:r>
      <w:r>
        <w:rPr>
          <w:spacing w:val="-5"/>
        </w:rPr>
        <w:t> </w:t>
      </w:r>
      <w:r>
        <w:rPr/>
        <w:t>intercellular</w:t>
      </w:r>
      <w:r>
        <w:rPr>
          <w:spacing w:val="-5"/>
        </w:rPr>
        <w:t> </w:t>
      </w:r>
      <w:r>
        <w:rPr/>
        <w:t>adhesion</w:t>
      </w:r>
      <w:r>
        <w:rPr>
          <w:spacing w:val="-5"/>
        </w:rPr>
        <w:t> </w:t>
      </w:r>
      <w:r>
        <w:rPr/>
        <w:t>molecule-1,</w:t>
      </w:r>
      <w:r>
        <w:rPr>
          <w:spacing w:val="-5"/>
        </w:rPr>
        <w:t> </w:t>
      </w:r>
      <w:r>
        <w:rPr/>
        <w:t>vascular</w:t>
      </w:r>
      <w:r>
        <w:rPr>
          <w:spacing w:val="-5"/>
        </w:rPr>
        <w:t> </w:t>
      </w:r>
      <w:r>
        <w:rPr/>
        <w:t>cell</w:t>
      </w:r>
      <w:r>
        <w:rPr>
          <w:spacing w:val="-5"/>
        </w:rPr>
        <w:t> </w:t>
      </w:r>
      <w:r>
        <w:rPr/>
        <w:t>adhesion</w:t>
      </w:r>
      <w:r>
        <w:rPr>
          <w:spacing w:val="-5"/>
        </w:rPr>
        <w:t> </w:t>
      </w:r>
      <w:r>
        <w:rPr/>
        <w:t>molecule-1, monocyte chemoattractant protein-1, and tumor necrosis factor-a) with inconsistent</w:t>
      </w:r>
      <w:r>
        <w:rPr>
          <w:spacing w:val="-1"/>
        </w:rPr>
        <w:t> </w:t>
      </w:r>
      <w:r>
        <w:rPr/>
        <w:t>effects</w:t>
      </w:r>
      <w:r>
        <w:rPr>
          <w:spacing w:val="-1"/>
        </w:rPr>
        <w:t> </w:t>
      </w:r>
      <w:r>
        <w:rPr/>
        <w:t>on</w:t>
      </w:r>
      <w:r>
        <w:rPr>
          <w:spacing w:val="-1"/>
        </w:rPr>
        <w:t> </w:t>
      </w:r>
      <w:r>
        <w:rPr/>
        <w:t>IL-6.</w:t>
      </w:r>
      <w:r>
        <w:rPr>
          <w:vertAlign w:val="superscript"/>
        </w:rPr>
        <w:t>53,54,677,678</w:t>
      </w:r>
      <w:r>
        <w:rPr>
          <w:spacing w:val="-2"/>
          <w:vertAlign w:val="baseline"/>
        </w:rPr>
        <w:t> </w:t>
      </w:r>
      <w:r>
        <w:rPr>
          <w:vertAlign w:val="baseline"/>
        </w:rPr>
        <w:t>An</w:t>
      </w:r>
      <w:r>
        <w:rPr>
          <w:spacing w:val="-2"/>
          <w:vertAlign w:val="baseline"/>
        </w:rPr>
        <w:t> </w:t>
      </w:r>
      <w:r>
        <w:rPr>
          <w:vertAlign w:val="baseline"/>
        </w:rPr>
        <w:t>increase</w:t>
      </w:r>
      <w:r>
        <w:rPr>
          <w:spacing w:val="-2"/>
          <w:vertAlign w:val="baseline"/>
        </w:rPr>
        <w:t> </w:t>
      </w:r>
      <w:r>
        <w:rPr>
          <w:vertAlign w:val="baseline"/>
        </w:rPr>
        <w:t>in</w:t>
      </w:r>
      <w:r>
        <w:rPr>
          <w:spacing w:val="-2"/>
          <w:vertAlign w:val="baseline"/>
        </w:rPr>
        <w:t> </w:t>
      </w:r>
      <w:r>
        <w:rPr>
          <w:vertAlign w:val="baseline"/>
        </w:rPr>
        <w:t>CRP</w:t>
      </w:r>
      <w:r>
        <w:rPr>
          <w:spacing w:val="-2"/>
          <w:vertAlign w:val="baseline"/>
        </w:rPr>
        <w:t> </w:t>
      </w:r>
      <w:r>
        <w:rPr>
          <w:vertAlign w:val="baseline"/>
        </w:rPr>
        <w:t>levels</w:t>
      </w:r>
      <w:r>
        <w:rPr>
          <w:spacing w:val="-2"/>
          <w:vertAlign w:val="baseline"/>
        </w:rPr>
        <w:t> </w:t>
      </w:r>
      <w:r>
        <w:rPr>
          <w:vertAlign w:val="baseline"/>
        </w:rPr>
        <w:t>may</w:t>
      </w:r>
      <w:r>
        <w:rPr>
          <w:spacing w:val="-2"/>
          <w:vertAlign w:val="baseline"/>
        </w:rPr>
        <w:t> </w:t>
      </w:r>
      <w:r>
        <w:rPr>
          <w:vertAlign w:val="baseline"/>
        </w:rPr>
        <w:t>be</w:t>
      </w:r>
      <w:r>
        <w:rPr>
          <w:spacing w:val="-2"/>
          <w:vertAlign w:val="baseline"/>
        </w:rPr>
        <w:t> </w:t>
      </w:r>
      <w:r>
        <w:rPr>
          <w:vertAlign w:val="baseline"/>
        </w:rPr>
        <w:t>due to estrogen’s well-known effect to stimulate the hepatic synthesis of proteins, especially because of the first-pass phenomenon with oral administration. For this reason, transdermal estrogen treatment reduces adhesion markers but does not change CRP levels.</w:t>
      </w:r>
      <w:r>
        <w:rPr>
          <w:vertAlign w:val="superscript"/>
        </w:rPr>
        <w:t>679-681</w:t>
      </w:r>
    </w:p>
    <w:p>
      <w:pPr>
        <w:spacing w:before="312"/>
        <w:ind w:left="99" w:right="0" w:firstLine="0"/>
        <w:jc w:val="left"/>
        <w:rPr>
          <w:rFonts w:ascii="Arial"/>
          <w:b/>
          <w:i/>
          <w:sz w:val="22"/>
        </w:rPr>
      </w:pPr>
      <w:r>
        <w:rPr>
          <w:rFonts w:ascii="Arial"/>
          <w:b/>
          <w:i/>
          <w:color w:val="A0234E"/>
          <w:sz w:val="22"/>
        </w:rPr>
        <w:t>Reduction</w:t>
      </w:r>
      <w:r>
        <w:rPr>
          <w:rFonts w:ascii="Arial"/>
          <w:b/>
          <w:i/>
          <w:color w:val="A0234E"/>
          <w:spacing w:val="13"/>
          <w:sz w:val="22"/>
        </w:rPr>
        <w:t> </w:t>
      </w:r>
      <w:r>
        <w:rPr>
          <w:rFonts w:ascii="Arial"/>
          <w:b/>
          <w:i/>
          <w:color w:val="A0234E"/>
          <w:sz w:val="22"/>
        </w:rPr>
        <w:t>of</w:t>
      </w:r>
      <w:r>
        <w:rPr>
          <w:rFonts w:ascii="Arial"/>
          <w:b/>
          <w:i/>
          <w:color w:val="A0234E"/>
          <w:spacing w:val="14"/>
          <w:sz w:val="22"/>
        </w:rPr>
        <w:t> </w:t>
      </w:r>
      <w:r>
        <w:rPr>
          <w:rFonts w:ascii="Arial"/>
          <w:b/>
          <w:i/>
          <w:color w:val="A0234E"/>
          <w:spacing w:val="-2"/>
          <w:sz w:val="22"/>
        </w:rPr>
        <w:t>Homocysteine</w:t>
      </w:r>
    </w:p>
    <w:p>
      <w:pPr>
        <w:spacing w:after="0"/>
        <w:jc w:val="left"/>
        <w:rPr>
          <w:rFonts w:ascii="Arial"/>
          <w:b/>
          <w:i/>
          <w:sz w:val="22"/>
        </w:rPr>
        <w:sectPr>
          <w:pgSz w:w="12240" w:h="15840"/>
          <w:pgMar w:top="1380" w:bottom="280" w:left="1440" w:right="1440"/>
        </w:sectPr>
      </w:pPr>
    </w:p>
    <w:p>
      <w:pPr>
        <w:pStyle w:val="BodyText"/>
        <w:spacing w:line="249" w:lineRule="auto"/>
        <w:ind w:right="102"/>
      </w:pPr>
      <w:r>
        <w:rPr/>
        <w:t>Increased circulating levels of homocysteine are correlated with increased risks of atherosclerosis and thrombosis. Homocysteine levels increase </w:t>
      </w:r>
      <w:r>
        <w:rPr/>
        <w:t>after menopause and are associated with hypertension and a degree of atherosclerosis.</w:t>
      </w:r>
      <w:r>
        <w:rPr>
          <w:vertAlign w:val="superscript"/>
        </w:rPr>
        <w:t>682</w:t>
      </w:r>
      <w:r>
        <w:rPr>
          <w:vertAlign w:val="baseline"/>
        </w:rPr>
        <w:t> Homocysteine levels are significantly lowered by estrogen or estrogen-progestin treatment, administered either orally or </w:t>
      </w:r>
      <w:r>
        <w:rPr>
          <w:spacing w:val="-2"/>
          <w:vertAlign w:val="baseline"/>
        </w:rPr>
        <w:t>transdermally.</w:t>
      </w:r>
      <w:r>
        <w:rPr>
          <w:spacing w:val="-2"/>
          <w:vertAlign w:val="superscript"/>
        </w:rPr>
        <w:t>683,684</w:t>
      </w:r>
    </w:p>
    <w:p>
      <w:pPr>
        <w:spacing w:before="306"/>
        <w:ind w:left="99" w:right="0" w:firstLine="0"/>
        <w:jc w:val="both"/>
        <w:rPr>
          <w:rFonts w:ascii="Arial"/>
          <w:b/>
          <w:i/>
          <w:sz w:val="22"/>
        </w:rPr>
      </w:pPr>
      <w:r>
        <w:rPr>
          <w:rFonts w:ascii="Arial"/>
          <w:b/>
          <w:i/>
          <w:color w:val="A0234E"/>
          <w:sz w:val="22"/>
        </w:rPr>
        <w:t>Reduction</w:t>
      </w:r>
      <w:r>
        <w:rPr>
          <w:rFonts w:ascii="Arial"/>
          <w:b/>
          <w:i/>
          <w:color w:val="A0234E"/>
          <w:spacing w:val="14"/>
          <w:sz w:val="22"/>
        </w:rPr>
        <w:t> </w:t>
      </w:r>
      <w:r>
        <w:rPr>
          <w:rFonts w:ascii="Arial"/>
          <w:b/>
          <w:i/>
          <w:color w:val="A0234E"/>
          <w:sz w:val="22"/>
        </w:rPr>
        <w:t>in</w:t>
      </w:r>
      <w:r>
        <w:rPr>
          <w:rFonts w:ascii="Arial"/>
          <w:b/>
          <w:i/>
          <w:color w:val="A0234E"/>
          <w:spacing w:val="15"/>
          <w:sz w:val="22"/>
        </w:rPr>
        <w:t> </w:t>
      </w:r>
      <w:r>
        <w:rPr>
          <w:rFonts w:ascii="Arial"/>
          <w:b/>
          <w:i/>
          <w:color w:val="A0234E"/>
          <w:sz w:val="22"/>
        </w:rPr>
        <w:t>Cellular</w:t>
      </w:r>
      <w:r>
        <w:rPr>
          <w:rFonts w:ascii="Arial"/>
          <w:b/>
          <w:i/>
          <w:color w:val="A0234E"/>
          <w:spacing w:val="15"/>
          <w:sz w:val="22"/>
        </w:rPr>
        <w:t> </w:t>
      </w:r>
      <w:r>
        <w:rPr>
          <w:rFonts w:ascii="Arial"/>
          <w:b/>
          <w:i/>
          <w:color w:val="A0234E"/>
          <w:spacing w:val="-2"/>
          <w:sz w:val="22"/>
        </w:rPr>
        <w:t>Senescence</w:t>
      </w:r>
    </w:p>
    <w:p>
      <w:pPr>
        <w:pStyle w:val="BodyText"/>
        <w:spacing w:line="249" w:lineRule="auto" w:before="123"/>
        <w:ind w:right="97"/>
      </w:pPr>
      <w:r>
        <w:rPr>
          <w:i/>
        </w:rPr>
        <w:t>Cell senescence </w:t>
      </w:r>
      <w:r>
        <w:rPr/>
        <w:t>refers to a state of cell cycle arrest and occurs in </w:t>
      </w:r>
      <w:r>
        <w:rPr/>
        <w:t>response</w:t>
      </w:r>
      <w:r>
        <w:rPr>
          <w:spacing w:val="40"/>
        </w:rPr>
        <w:t> </w:t>
      </w:r>
      <w:r>
        <w:rPr/>
        <w:t>to various stressors.</w:t>
      </w:r>
      <w:r>
        <w:rPr>
          <w:vertAlign w:val="superscript"/>
        </w:rPr>
        <w:t>685</w:t>
      </w:r>
      <w:r>
        <w:rPr>
          <w:vertAlign w:val="baseline"/>
        </w:rPr>
        <w:t> Expression of the senescence-associated secretory phenotype, cell cycle arrest factors, senescence-associated β-galactosidase, morphogenesis,</w:t>
      </w:r>
      <w:r>
        <w:rPr>
          <w:spacing w:val="-1"/>
          <w:vertAlign w:val="baseline"/>
        </w:rPr>
        <w:t> </w:t>
      </w:r>
      <w:r>
        <w:rPr>
          <w:vertAlign w:val="baseline"/>
        </w:rPr>
        <w:t>and</w:t>
      </w:r>
      <w:r>
        <w:rPr>
          <w:spacing w:val="-1"/>
          <w:vertAlign w:val="baseline"/>
        </w:rPr>
        <w:t> </w:t>
      </w:r>
      <w:r>
        <w:rPr>
          <w:vertAlign w:val="baseline"/>
        </w:rPr>
        <w:t>chromatin</w:t>
      </w:r>
      <w:r>
        <w:rPr>
          <w:spacing w:val="-1"/>
          <w:vertAlign w:val="baseline"/>
        </w:rPr>
        <w:t> </w:t>
      </w:r>
      <w:r>
        <w:rPr>
          <w:vertAlign w:val="baseline"/>
        </w:rPr>
        <w:t>remodeling</w:t>
      </w:r>
      <w:r>
        <w:rPr>
          <w:spacing w:val="-1"/>
          <w:vertAlign w:val="baseline"/>
        </w:rPr>
        <w:t> </w:t>
      </w:r>
      <w:r>
        <w:rPr>
          <w:vertAlign w:val="baseline"/>
        </w:rPr>
        <w:t>are</w:t>
      </w:r>
      <w:r>
        <w:rPr>
          <w:spacing w:val="-1"/>
          <w:vertAlign w:val="baseline"/>
        </w:rPr>
        <w:t> </w:t>
      </w:r>
      <w:r>
        <w:rPr>
          <w:vertAlign w:val="baseline"/>
        </w:rPr>
        <w:t>some</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biologic</w:t>
      </w:r>
      <w:r>
        <w:rPr>
          <w:spacing w:val="-1"/>
          <w:vertAlign w:val="baseline"/>
        </w:rPr>
        <w:t> </w:t>
      </w:r>
      <w:r>
        <w:rPr>
          <w:vertAlign w:val="baseline"/>
        </w:rPr>
        <w:t>features of senescent cells. Persistent cellular senescence is associated with pathologies including aging.</w:t>
      </w:r>
      <w:r>
        <w:rPr>
          <w:vertAlign w:val="superscript"/>
        </w:rPr>
        <w:t>685,686</w:t>
      </w:r>
      <w:r>
        <w:rPr>
          <w:vertAlign w:val="baseline"/>
        </w:rPr>
        <w:t> Several markers of cell senescence were analyzed in a secondary analysis in Kronos Early Estrogen Prevention</w:t>
      </w:r>
      <w:r>
        <w:rPr>
          <w:spacing w:val="40"/>
          <w:vertAlign w:val="baseline"/>
        </w:rPr>
        <w:t> </w:t>
      </w:r>
      <w:r>
        <w:rPr>
          <w:vertAlign w:val="baseline"/>
        </w:rPr>
        <w:t>Study (KEEPS), a RCT of oral CEE versus transdermal estradiol versus placebo (discussed later in this chapter under Menopausal Hormone Use</w:t>
      </w:r>
      <w:r>
        <w:rPr>
          <w:spacing w:val="40"/>
          <w:vertAlign w:val="baseline"/>
        </w:rPr>
        <w:t> </w:t>
      </w:r>
      <w:r>
        <w:rPr>
          <w:vertAlign w:val="baseline"/>
        </w:rPr>
        <w:t>and Cardiovascular Disease: Primary Prevention Randomized Clinical Trials Addressing the Timing Hypothesis); a reduction in several senescence markers (eg, macrophage inflammatory protein-1a) was observed in both oral CEE and transdermal estradiol, with a greater reduction seen with oral therapy. The authors attribute their observations to differences in circulating estrogen metabolites due to differences in the estrogen formulations and in their mode of delivery and suggested that their findings allow for generation of new hypotheses with regard to the effects</w:t>
      </w:r>
      <w:r>
        <w:rPr>
          <w:spacing w:val="40"/>
          <w:vertAlign w:val="baseline"/>
        </w:rPr>
        <w:t> </w:t>
      </w:r>
      <w:r>
        <w:rPr>
          <w:vertAlign w:val="baseline"/>
        </w:rPr>
        <w:t>of menopause on the biology of aging.</w:t>
      </w:r>
      <w:r>
        <w:rPr>
          <w:vertAlign w:val="superscript"/>
        </w:rPr>
        <w:t>687</w:t>
      </w:r>
    </w:p>
    <w:p>
      <w:pPr>
        <w:pStyle w:val="BodyText"/>
        <w:spacing w:before="66"/>
        <w:ind w:left="0"/>
        <w:jc w:val="left"/>
      </w:pPr>
    </w:p>
    <w:p>
      <w:pPr>
        <w:spacing w:line="249" w:lineRule="auto" w:before="0"/>
        <w:ind w:left="99" w:right="255" w:firstLine="0"/>
        <w:jc w:val="left"/>
        <w:rPr>
          <w:rFonts w:ascii="Arial"/>
          <w:b/>
          <w:sz w:val="30"/>
        </w:rPr>
      </w:pPr>
      <w:r>
        <w:rPr>
          <w:rFonts w:ascii="Arial"/>
          <w:b/>
          <w:color w:val="2674AE"/>
          <w:sz w:val="30"/>
        </w:rPr>
        <w:t>Menopausal</w:t>
      </w:r>
      <w:r>
        <w:rPr>
          <w:rFonts w:ascii="Arial"/>
          <w:b/>
          <w:color w:val="2674AE"/>
          <w:spacing w:val="-8"/>
          <w:sz w:val="30"/>
        </w:rPr>
        <w:t> </w:t>
      </w:r>
      <w:r>
        <w:rPr>
          <w:rFonts w:ascii="Arial"/>
          <w:b/>
          <w:color w:val="2674AE"/>
          <w:sz w:val="30"/>
        </w:rPr>
        <w:t>Hormone</w:t>
      </w:r>
      <w:r>
        <w:rPr>
          <w:rFonts w:ascii="Arial"/>
          <w:b/>
          <w:color w:val="2674AE"/>
          <w:spacing w:val="-8"/>
          <w:sz w:val="30"/>
        </w:rPr>
        <w:t> </w:t>
      </w:r>
      <w:r>
        <w:rPr>
          <w:rFonts w:ascii="Arial"/>
          <w:b/>
          <w:color w:val="2674AE"/>
          <w:sz w:val="30"/>
        </w:rPr>
        <w:t>Use</w:t>
      </w:r>
      <w:r>
        <w:rPr>
          <w:rFonts w:ascii="Arial"/>
          <w:b/>
          <w:color w:val="2674AE"/>
          <w:spacing w:val="-8"/>
          <w:sz w:val="30"/>
        </w:rPr>
        <w:t> </w:t>
      </w:r>
      <w:r>
        <w:rPr>
          <w:rFonts w:ascii="Arial"/>
          <w:b/>
          <w:color w:val="2674AE"/>
          <w:sz w:val="30"/>
        </w:rPr>
        <w:t>and</w:t>
      </w:r>
      <w:r>
        <w:rPr>
          <w:rFonts w:ascii="Arial"/>
          <w:b/>
          <w:color w:val="2674AE"/>
          <w:spacing w:val="-8"/>
          <w:sz w:val="30"/>
        </w:rPr>
        <w:t> </w:t>
      </w:r>
      <w:r>
        <w:rPr>
          <w:rFonts w:ascii="Arial"/>
          <w:b/>
          <w:color w:val="2674AE"/>
          <w:sz w:val="30"/>
        </w:rPr>
        <w:t>Cardiovascular</w:t>
      </w:r>
      <w:r>
        <w:rPr>
          <w:rFonts w:ascii="Arial"/>
          <w:b/>
          <w:color w:val="2674AE"/>
          <w:spacing w:val="-8"/>
          <w:sz w:val="30"/>
        </w:rPr>
        <w:t> </w:t>
      </w:r>
      <w:r>
        <w:rPr>
          <w:rFonts w:ascii="Arial"/>
          <w:b/>
          <w:color w:val="2674AE"/>
          <w:sz w:val="30"/>
        </w:rPr>
        <w:t>Disease: Evidence From Observational Studies</w:t>
      </w:r>
    </w:p>
    <w:p>
      <w:pPr>
        <w:pStyle w:val="BodyText"/>
        <w:spacing w:line="249" w:lineRule="auto" w:before="154"/>
        <w:ind w:right="102"/>
      </w:pPr>
      <w:r>
        <w:rPr/>
        <w:t>A review of case-control studies in the literature finds overwhelming support for about a 50% reduced risk of CHD in estrogen users.</w:t>
      </w:r>
      <w:r>
        <w:rPr>
          <w:vertAlign w:val="superscript"/>
        </w:rPr>
        <w:t>688-705</w:t>
      </w:r>
      <w:r>
        <w:rPr>
          <w:vertAlign w:val="baseline"/>
        </w:rPr>
        <w:t> </w:t>
      </w:r>
      <w:r>
        <w:rPr>
          <w:vertAlign w:val="baseline"/>
        </w:rPr>
        <w:t>In three studies of women undergoing angiography, a comparison of coronary artery occlusion in users and nonusers of estrogen indicated a significant protective effect of postmenopausal estrogen.</w:t>
      </w:r>
      <w:r>
        <w:rPr>
          <w:vertAlign w:val="superscript"/>
        </w:rPr>
        <w:t>697-699</w:t>
      </w:r>
      <w:r>
        <w:rPr>
          <w:vertAlign w:val="baseline"/>
        </w:rPr>
        <w:t> Women using HT at the time</w:t>
      </w:r>
      <w:r>
        <w:rPr>
          <w:spacing w:val="28"/>
          <w:vertAlign w:val="baseline"/>
        </w:rPr>
        <w:t> </w:t>
      </w:r>
      <w:r>
        <w:rPr>
          <w:vertAlign w:val="baseline"/>
        </w:rPr>
        <w:t>of</w:t>
      </w:r>
      <w:r>
        <w:rPr>
          <w:spacing w:val="28"/>
          <w:vertAlign w:val="baseline"/>
        </w:rPr>
        <w:t> </w:t>
      </w:r>
      <w:r>
        <w:rPr>
          <w:vertAlign w:val="baseline"/>
        </w:rPr>
        <w:t>a</w:t>
      </w:r>
      <w:r>
        <w:rPr>
          <w:spacing w:val="28"/>
          <w:vertAlign w:val="baseline"/>
        </w:rPr>
        <w:t> </w:t>
      </w:r>
      <w:r>
        <w:rPr>
          <w:vertAlign w:val="baseline"/>
        </w:rPr>
        <w:t>myocardial</w:t>
      </w:r>
      <w:r>
        <w:rPr>
          <w:spacing w:val="28"/>
          <w:vertAlign w:val="baseline"/>
        </w:rPr>
        <w:t> </w:t>
      </w:r>
      <w:r>
        <w:rPr>
          <w:vertAlign w:val="baseline"/>
        </w:rPr>
        <w:t>infarction</w:t>
      </w:r>
      <w:r>
        <w:rPr>
          <w:spacing w:val="28"/>
          <w:vertAlign w:val="baseline"/>
        </w:rPr>
        <w:t> </w:t>
      </w:r>
      <w:r>
        <w:rPr>
          <w:vertAlign w:val="baseline"/>
        </w:rPr>
        <w:t>or</w:t>
      </w:r>
      <w:r>
        <w:rPr>
          <w:spacing w:val="28"/>
          <w:vertAlign w:val="baseline"/>
        </w:rPr>
        <w:t> </w:t>
      </w:r>
      <w:r>
        <w:rPr>
          <w:vertAlign w:val="baseline"/>
        </w:rPr>
        <w:t>with</w:t>
      </w:r>
      <w:r>
        <w:rPr>
          <w:spacing w:val="28"/>
          <w:vertAlign w:val="baseline"/>
        </w:rPr>
        <w:t> </w:t>
      </w:r>
      <w:r>
        <w:rPr>
          <w:vertAlign w:val="baseline"/>
        </w:rPr>
        <w:t>congestive</w:t>
      </w:r>
      <w:r>
        <w:rPr>
          <w:spacing w:val="28"/>
          <w:vertAlign w:val="baseline"/>
        </w:rPr>
        <w:t> </w:t>
      </w:r>
      <w:r>
        <w:rPr>
          <w:vertAlign w:val="baseline"/>
        </w:rPr>
        <w:t>heart</w:t>
      </w:r>
      <w:r>
        <w:rPr>
          <w:spacing w:val="28"/>
          <w:vertAlign w:val="baseline"/>
        </w:rPr>
        <w:t> </w:t>
      </w:r>
      <w:r>
        <w:rPr>
          <w:vertAlign w:val="baseline"/>
        </w:rPr>
        <w:t>failure</w:t>
      </w:r>
      <w:r>
        <w:rPr>
          <w:spacing w:val="28"/>
          <w:vertAlign w:val="baseline"/>
        </w:rPr>
        <w:t> </w:t>
      </w:r>
      <w:r>
        <w:rPr>
          <w:vertAlign w:val="baseline"/>
        </w:rPr>
        <w:t>have</w:t>
      </w:r>
      <w:r>
        <w:rPr>
          <w:spacing w:val="28"/>
          <w:vertAlign w:val="baseline"/>
        </w:rPr>
        <w:t> </w:t>
      </w:r>
      <w:r>
        <w:rPr>
          <w:spacing w:val="-4"/>
          <w:vertAlign w:val="baseline"/>
        </w:rPr>
        <w:t>been</w:t>
      </w:r>
    </w:p>
    <w:p>
      <w:pPr>
        <w:pStyle w:val="BodyText"/>
        <w:spacing w:after="0" w:line="249" w:lineRule="auto"/>
        <w:sectPr>
          <w:pgSz w:w="12240" w:h="15840"/>
          <w:pgMar w:top="1380" w:bottom="280" w:left="1440" w:right="1440"/>
        </w:sectPr>
      </w:pPr>
    </w:p>
    <w:p>
      <w:pPr>
        <w:pStyle w:val="BodyText"/>
        <w:spacing w:line="249" w:lineRule="auto"/>
        <w:ind w:right="101"/>
      </w:pPr>
      <w:r>
        <w:rPr/>
        <w:t>reported to have an improved rate of survival.</w:t>
      </w:r>
      <w:r>
        <w:rPr>
          <w:vertAlign w:val="superscript"/>
        </w:rPr>
        <w:t>706,707</w:t>
      </w:r>
      <w:r>
        <w:rPr>
          <w:vertAlign w:val="baseline"/>
        </w:rPr>
        <w:t> Little attention has </w:t>
      </w:r>
      <w:r>
        <w:rPr>
          <w:vertAlign w:val="baseline"/>
        </w:rPr>
        <w:t>been given to peripheral artery disease, but one case-control study did report a decrease in risk in users of HT.</w:t>
      </w:r>
      <w:r>
        <w:rPr>
          <w:vertAlign w:val="superscript"/>
        </w:rPr>
        <w:t>708</w:t>
      </w:r>
    </w:p>
    <w:p>
      <w:pPr>
        <w:pStyle w:val="BodyText"/>
        <w:spacing w:line="249" w:lineRule="auto" w:before="3"/>
        <w:ind w:right="100" w:firstLine="450"/>
      </w:pPr>
      <w:r>
        <w:rPr/>
        <w:t>In</w:t>
      </w:r>
      <w:r>
        <w:rPr>
          <w:spacing w:val="-3"/>
        </w:rPr>
        <w:t> </w:t>
      </w:r>
      <w:r>
        <w:rPr/>
        <w:t>a</w:t>
      </w:r>
      <w:r>
        <w:rPr>
          <w:spacing w:val="-3"/>
        </w:rPr>
        <w:t> </w:t>
      </w:r>
      <w:r>
        <w:rPr/>
        <w:t>large</w:t>
      </w:r>
      <w:r>
        <w:rPr>
          <w:spacing w:val="-3"/>
        </w:rPr>
        <w:t> </w:t>
      </w:r>
      <w:r>
        <w:rPr/>
        <w:t>number</w:t>
      </w:r>
      <w:r>
        <w:rPr>
          <w:spacing w:val="-3"/>
        </w:rPr>
        <w:t> </w:t>
      </w:r>
      <w:r>
        <w:rPr/>
        <w:t>of</w:t>
      </w:r>
      <w:r>
        <w:rPr>
          <w:spacing w:val="-3"/>
        </w:rPr>
        <w:t> </w:t>
      </w:r>
      <w:r>
        <w:rPr/>
        <w:t>cohort</w:t>
      </w:r>
      <w:r>
        <w:rPr>
          <w:spacing w:val="-3"/>
        </w:rPr>
        <w:t> </w:t>
      </w:r>
      <w:r>
        <w:rPr/>
        <w:t>studies,</w:t>
      </w:r>
      <w:r>
        <w:rPr>
          <w:spacing w:val="-3"/>
        </w:rPr>
        <w:t> </w:t>
      </w:r>
      <w:r>
        <w:rPr/>
        <w:t>most</w:t>
      </w:r>
      <w:r>
        <w:rPr>
          <w:spacing w:val="-3"/>
        </w:rPr>
        <w:t> </w:t>
      </w:r>
      <w:r>
        <w:rPr/>
        <w:t>uniformly</w:t>
      </w:r>
      <w:r>
        <w:rPr>
          <w:spacing w:val="-3"/>
        </w:rPr>
        <w:t> </w:t>
      </w:r>
      <w:r>
        <w:rPr/>
        <w:t>reported</w:t>
      </w:r>
      <w:r>
        <w:rPr>
          <w:spacing w:val="-3"/>
        </w:rPr>
        <w:t> </w:t>
      </w:r>
      <w:r>
        <w:rPr/>
        <w:t>a</w:t>
      </w:r>
      <w:r>
        <w:rPr>
          <w:spacing w:val="-3"/>
        </w:rPr>
        <w:t> </w:t>
      </w:r>
      <w:r>
        <w:rPr/>
        <w:t>reduction in CHD in estrogen users; only three produced conflicting data.</w:t>
      </w:r>
      <w:r>
        <w:rPr>
          <w:vertAlign w:val="superscript"/>
        </w:rPr>
        <w:t>709-724</w:t>
      </w:r>
      <w:r>
        <w:rPr>
          <w:vertAlign w:val="baseline"/>
        </w:rPr>
        <w:t> In the Nurses’ Health Study with 20 years of follow-up, the age-adjusted relative risk</w:t>
      </w:r>
      <w:r>
        <w:rPr>
          <w:spacing w:val="10"/>
          <w:vertAlign w:val="baseline"/>
        </w:rPr>
        <w:t> </w:t>
      </w:r>
      <w:r>
        <w:rPr>
          <w:vertAlign w:val="baseline"/>
        </w:rPr>
        <w:t>(RR)</w:t>
      </w:r>
      <w:r>
        <w:rPr>
          <w:spacing w:val="10"/>
          <w:vertAlign w:val="baseline"/>
        </w:rPr>
        <w:t> </w:t>
      </w:r>
      <w:r>
        <w:rPr>
          <w:vertAlign w:val="baseline"/>
        </w:rPr>
        <w:t>of</w:t>
      </w:r>
      <w:r>
        <w:rPr>
          <w:spacing w:val="10"/>
          <w:vertAlign w:val="baseline"/>
        </w:rPr>
        <w:t> </w:t>
      </w:r>
      <w:r>
        <w:rPr>
          <w:vertAlign w:val="baseline"/>
        </w:rPr>
        <w:t>coronary</w:t>
      </w:r>
      <w:r>
        <w:rPr>
          <w:spacing w:val="10"/>
          <w:vertAlign w:val="baseline"/>
        </w:rPr>
        <w:t> </w:t>
      </w:r>
      <w:r>
        <w:rPr>
          <w:vertAlign w:val="baseline"/>
        </w:rPr>
        <w:t>disease</w:t>
      </w:r>
      <w:r>
        <w:rPr>
          <w:spacing w:val="10"/>
          <w:vertAlign w:val="baseline"/>
        </w:rPr>
        <w:t> </w:t>
      </w:r>
      <w:r>
        <w:rPr>
          <w:vertAlign w:val="baseline"/>
        </w:rPr>
        <w:t>in</w:t>
      </w:r>
      <w:r>
        <w:rPr>
          <w:spacing w:val="10"/>
          <w:vertAlign w:val="baseline"/>
        </w:rPr>
        <w:t> </w:t>
      </w:r>
      <w:r>
        <w:rPr>
          <w:vertAlign w:val="baseline"/>
        </w:rPr>
        <w:t>current</w:t>
      </w:r>
      <w:r>
        <w:rPr>
          <w:spacing w:val="10"/>
          <w:vertAlign w:val="baseline"/>
        </w:rPr>
        <w:t> </w:t>
      </w:r>
      <w:r>
        <w:rPr>
          <w:vertAlign w:val="baseline"/>
        </w:rPr>
        <w:t>users</w:t>
      </w:r>
      <w:r>
        <w:rPr>
          <w:spacing w:val="10"/>
          <w:vertAlign w:val="baseline"/>
        </w:rPr>
        <w:t> </w:t>
      </w:r>
      <w:r>
        <w:rPr>
          <w:vertAlign w:val="baseline"/>
        </w:rPr>
        <w:t>of</w:t>
      </w:r>
      <w:r>
        <w:rPr>
          <w:spacing w:val="10"/>
          <w:vertAlign w:val="baseline"/>
        </w:rPr>
        <w:t> </w:t>
      </w:r>
      <w:r>
        <w:rPr>
          <w:vertAlign w:val="baseline"/>
        </w:rPr>
        <w:t>HT</w:t>
      </w:r>
      <w:r>
        <w:rPr>
          <w:spacing w:val="10"/>
          <w:vertAlign w:val="baseline"/>
        </w:rPr>
        <w:t> </w:t>
      </w:r>
      <w:r>
        <w:rPr>
          <w:vertAlign w:val="baseline"/>
        </w:rPr>
        <w:t>was</w:t>
      </w:r>
      <w:r>
        <w:rPr>
          <w:spacing w:val="10"/>
          <w:vertAlign w:val="baseline"/>
        </w:rPr>
        <w:t> </w:t>
      </w:r>
      <w:r>
        <w:rPr>
          <w:vertAlign w:val="baseline"/>
        </w:rPr>
        <w:t>39%</w:t>
      </w:r>
      <w:r>
        <w:rPr>
          <w:spacing w:val="10"/>
          <w:vertAlign w:val="baseline"/>
        </w:rPr>
        <w:t> </w:t>
      </w:r>
      <w:r>
        <w:rPr>
          <w:vertAlign w:val="baseline"/>
        </w:rPr>
        <w:t>reduced</w:t>
      </w:r>
      <w:r>
        <w:rPr>
          <w:spacing w:val="10"/>
          <w:vertAlign w:val="baseline"/>
        </w:rPr>
        <w:t> </w:t>
      </w:r>
      <w:r>
        <w:rPr>
          <w:spacing w:val="-5"/>
          <w:vertAlign w:val="baseline"/>
        </w:rPr>
        <w:t>(RR</w:t>
      </w:r>
    </w:p>
    <w:p>
      <w:pPr>
        <w:pStyle w:val="BodyText"/>
        <w:spacing w:line="249" w:lineRule="auto" w:before="5"/>
        <w:ind w:right="102"/>
      </w:pPr>
      <w:r>
        <w:rPr/>
        <w:t>= 0.61; CI = 0.52-0.71).</w:t>
      </w:r>
      <w:r>
        <w:rPr>
          <w:vertAlign w:val="superscript"/>
        </w:rPr>
        <w:t>725</w:t>
      </w:r>
      <w:r>
        <w:rPr>
          <w:vertAlign w:val="baseline"/>
        </w:rPr>
        <w:t> The benefit was observed with both the </w:t>
      </w:r>
      <w:r>
        <w:rPr>
          <w:vertAlign w:val="baseline"/>
        </w:rPr>
        <w:t>0.625-and the 0.3-mg doses of conjugated estrogens. The beneficial impact was observed to diminish beginning 3 years after discontinuation. It was suggested</w:t>
      </w:r>
      <w:r>
        <w:rPr>
          <w:spacing w:val="-4"/>
          <w:vertAlign w:val="baseline"/>
        </w:rPr>
        <w:t> </w:t>
      </w:r>
      <w:r>
        <w:rPr>
          <w:vertAlign w:val="baseline"/>
        </w:rPr>
        <w:t>that</w:t>
      </w:r>
      <w:r>
        <w:rPr>
          <w:spacing w:val="-4"/>
          <w:vertAlign w:val="baseline"/>
        </w:rPr>
        <w:t> </w:t>
      </w:r>
      <w:r>
        <w:rPr>
          <w:vertAlign w:val="baseline"/>
        </w:rPr>
        <w:t>higher</w:t>
      </w:r>
      <w:r>
        <w:rPr>
          <w:spacing w:val="-4"/>
          <w:vertAlign w:val="baseline"/>
        </w:rPr>
        <w:t> </w:t>
      </w:r>
      <w:r>
        <w:rPr>
          <w:vertAlign w:val="baseline"/>
        </w:rPr>
        <w:t>doses</w:t>
      </w:r>
      <w:r>
        <w:rPr>
          <w:spacing w:val="-4"/>
          <w:vertAlign w:val="baseline"/>
        </w:rPr>
        <w:t> </w:t>
      </w:r>
      <w:r>
        <w:rPr>
          <w:vertAlign w:val="baseline"/>
        </w:rPr>
        <w:t>might</w:t>
      </w:r>
      <w:r>
        <w:rPr>
          <w:spacing w:val="-4"/>
          <w:vertAlign w:val="baseline"/>
        </w:rPr>
        <w:t> </w:t>
      </w:r>
      <w:r>
        <w:rPr>
          <w:vertAlign w:val="baseline"/>
        </w:rPr>
        <w:t>be</w:t>
      </w:r>
      <w:r>
        <w:rPr>
          <w:spacing w:val="-4"/>
          <w:vertAlign w:val="baseline"/>
        </w:rPr>
        <w:t> </w:t>
      </w:r>
      <w:r>
        <w:rPr>
          <w:vertAlign w:val="baseline"/>
        </w:rPr>
        <w:t>harmful</w:t>
      </w:r>
      <w:r>
        <w:rPr>
          <w:spacing w:val="-4"/>
          <w:vertAlign w:val="baseline"/>
        </w:rPr>
        <w:t> </w:t>
      </w:r>
      <w:r>
        <w:rPr>
          <w:vertAlign w:val="baseline"/>
        </w:rPr>
        <w:t>because</w:t>
      </w:r>
      <w:r>
        <w:rPr>
          <w:spacing w:val="-4"/>
          <w:vertAlign w:val="baseline"/>
        </w:rPr>
        <w:t> </w:t>
      </w:r>
      <w:r>
        <w:rPr>
          <w:vertAlign w:val="baseline"/>
        </w:rPr>
        <w:t>there</w:t>
      </w:r>
      <w:r>
        <w:rPr>
          <w:spacing w:val="-4"/>
          <w:vertAlign w:val="baseline"/>
        </w:rPr>
        <w:t> </w:t>
      </w:r>
      <w:r>
        <w:rPr>
          <w:vertAlign w:val="baseline"/>
        </w:rPr>
        <w:t>was</w:t>
      </w:r>
      <w:r>
        <w:rPr>
          <w:spacing w:val="-4"/>
          <w:vertAlign w:val="baseline"/>
        </w:rPr>
        <w:t> </w:t>
      </w:r>
      <w:r>
        <w:rPr>
          <w:vertAlign w:val="baseline"/>
        </w:rPr>
        <w:t>an</w:t>
      </w:r>
      <w:r>
        <w:rPr>
          <w:spacing w:val="-4"/>
          <w:vertAlign w:val="baseline"/>
        </w:rPr>
        <w:t> </w:t>
      </w:r>
      <w:r>
        <w:rPr>
          <w:vertAlign w:val="baseline"/>
        </w:rPr>
        <w:t>apparent increase in the risk of coronary disease among women taking more than 0.625 mg conjugated estrogens per day. Current postmenopausal hormone users in the Nurses’ Health Study have had a 37% reduced risk of mortality due largely to protection against CHD, an effect that was still present after adjusting for dietary factors, alcohol intake, vitamin or aspirin use, and </w:t>
      </w:r>
      <w:r>
        <w:rPr>
          <w:spacing w:val="-2"/>
          <w:vertAlign w:val="baseline"/>
        </w:rPr>
        <w:t>exercise.</w:t>
      </w:r>
      <w:r>
        <w:rPr>
          <w:spacing w:val="-2"/>
          <w:vertAlign w:val="superscript"/>
        </w:rPr>
        <w:t>720</w:t>
      </w:r>
    </w:p>
    <w:p>
      <w:pPr>
        <w:pStyle w:val="BodyText"/>
        <w:spacing w:line="249" w:lineRule="auto" w:before="13"/>
        <w:ind w:right="98" w:firstLine="450"/>
      </w:pPr>
      <w:r>
        <w:rPr/>
        <w:t>Electron beam tomography (also called ultrafast computed tomography [CT]) can assess for the presence of coronary artery disease by </w:t>
      </w:r>
      <w:r>
        <w:rPr/>
        <w:t>quantifying the amount of calcium in the coronary arteries, a measure that is known to correlate with the degree of disease and the risk of coronary events. Studies using this technique have demonstrated a lower prevalence of coronary artery calcium (CAC) in women younger than age 60, a prevalence comparable to men (of any age) in women older than 60, and less calcium (and, therefore, less coronary artery disease) in women using postmenopausal HT compared with nonusers.</w:t>
      </w:r>
      <w:r>
        <w:rPr>
          <w:vertAlign w:val="superscript"/>
        </w:rPr>
        <w:t>726,727</w:t>
      </w:r>
      <w:r>
        <w:rPr>
          <w:vertAlign w:val="baseline"/>
        </w:rPr>
        <w:t> In women with an average age of 59 who had used HT for an average of 9 years, coronary artery calcification was significantly reduced, with a greater effect observed with increasing duration of use.</w:t>
      </w:r>
      <w:r>
        <w:rPr>
          <w:vertAlign w:val="superscript"/>
        </w:rPr>
        <w:t>728</w:t>
      </w:r>
      <w:r>
        <w:rPr>
          <w:vertAlign w:val="baseline"/>
        </w:rPr>
        <w:t> This salutary effect of estrogen was confirmed in a substudy of the WHI estrogen-only arm.</w:t>
      </w:r>
      <w:r>
        <w:rPr>
          <w:vertAlign w:val="superscript"/>
        </w:rPr>
        <w:t>729</w:t>
      </w:r>
    </w:p>
    <w:p>
      <w:pPr>
        <w:pStyle w:val="BodyText"/>
        <w:spacing w:line="249" w:lineRule="auto" w:before="16"/>
        <w:ind w:right="97" w:firstLine="450"/>
      </w:pPr>
      <w:r>
        <w:rPr/>
        <w:t>These observational studies have been criticized by arguing </w:t>
      </w:r>
      <w:r>
        <w:rPr/>
        <w:t>that estrogen treatment is a marker for variables (eg, better diet and better health care) that place postmenopausal estrogen users in a low-risk group for CVD (the “healthy user” effect). Moreover, indeed, women who choose to use</w:t>
      </w:r>
      <w:r>
        <w:rPr>
          <w:spacing w:val="40"/>
        </w:rPr>
        <w:t> </w:t>
      </w:r>
      <w:r>
        <w:rPr/>
        <w:t>HT have been reported to have a better cardiovascular risk profile than nonusers.</w:t>
      </w:r>
      <w:r>
        <w:rPr>
          <w:vertAlign w:val="superscript"/>
        </w:rPr>
        <w:t>730</w:t>
      </w:r>
      <w:r>
        <w:rPr>
          <w:spacing w:val="65"/>
          <w:vertAlign w:val="baseline"/>
        </w:rPr>
        <w:t> </w:t>
      </w:r>
      <w:r>
        <w:rPr>
          <w:vertAlign w:val="baseline"/>
        </w:rPr>
        <w:t>This</w:t>
      </w:r>
      <w:r>
        <w:rPr>
          <w:spacing w:val="66"/>
          <w:vertAlign w:val="baseline"/>
        </w:rPr>
        <w:t> </w:t>
      </w:r>
      <w:r>
        <w:rPr>
          <w:vertAlign w:val="baseline"/>
        </w:rPr>
        <w:t>question</w:t>
      </w:r>
      <w:r>
        <w:rPr>
          <w:spacing w:val="66"/>
          <w:vertAlign w:val="baseline"/>
        </w:rPr>
        <w:t> </w:t>
      </w:r>
      <w:r>
        <w:rPr>
          <w:vertAlign w:val="baseline"/>
        </w:rPr>
        <w:t>was</w:t>
      </w:r>
      <w:r>
        <w:rPr>
          <w:spacing w:val="66"/>
          <w:vertAlign w:val="baseline"/>
        </w:rPr>
        <w:t> </w:t>
      </w:r>
      <w:r>
        <w:rPr>
          <w:vertAlign w:val="baseline"/>
        </w:rPr>
        <w:t>addressed</w:t>
      </w:r>
      <w:r>
        <w:rPr>
          <w:spacing w:val="65"/>
          <w:vertAlign w:val="baseline"/>
        </w:rPr>
        <w:t> </w:t>
      </w:r>
      <w:r>
        <w:rPr>
          <w:vertAlign w:val="baseline"/>
        </w:rPr>
        <w:t>by</w:t>
      </w:r>
      <w:r>
        <w:rPr>
          <w:spacing w:val="66"/>
          <w:vertAlign w:val="baseline"/>
        </w:rPr>
        <w:t> </w:t>
      </w:r>
      <w:r>
        <w:rPr>
          <w:vertAlign w:val="baseline"/>
        </w:rPr>
        <w:t>the</w:t>
      </w:r>
      <w:r>
        <w:rPr>
          <w:spacing w:val="66"/>
          <w:vertAlign w:val="baseline"/>
        </w:rPr>
        <w:t> </w:t>
      </w:r>
      <w:r>
        <w:rPr>
          <w:vertAlign w:val="baseline"/>
        </w:rPr>
        <w:t>Lipid</w:t>
      </w:r>
      <w:r>
        <w:rPr>
          <w:spacing w:val="66"/>
          <w:vertAlign w:val="baseline"/>
        </w:rPr>
        <w:t> </w:t>
      </w:r>
      <w:r>
        <w:rPr>
          <w:vertAlign w:val="baseline"/>
        </w:rPr>
        <w:t>Research</w:t>
      </w:r>
      <w:r>
        <w:rPr>
          <w:spacing w:val="65"/>
          <w:vertAlign w:val="baseline"/>
        </w:rPr>
        <w:t> </w:t>
      </w:r>
      <w:r>
        <w:rPr>
          <w:spacing w:val="-2"/>
          <w:vertAlign w:val="baseline"/>
        </w:rPr>
        <w:t>Clinics</w:t>
      </w:r>
    </w:p>
    <w:p>
      <w:pPr>
        <w:pStyle w:val="BodyText"/>
        <w:spacing w:after="0" w:line="249" w:lineRule="auto"/>
        <w:sectPr>
          <w:pgSz w:w="12240" w:h="15840"/>
          <w:pgMar w:top="1380" w:bottom="280" w:left="1440" w:right="1440"/>
        </w:sectPr>
      </w:pPr>
    </w:p>
    <w:p>
      <w:pPr>
        <w:pStyle w:val="BodyText"/>
        <w:spacing w:line="249" w:lineRule="auto"/>
        <w:ind w:right="100"/>
      </w:pPr>
      <w:r>
        <w:rPr/>
        <w:t>Study,</w:t>
      </w:r>
      <w:r>
        <w:rPr>
          <w:spacing w:val="-19"/>
        </w:rPr>
        <w:t> </w:t>
      </w:r>
      <w:r>
        <w:rPr/>
        <w:t>the</w:t>
      </w:r>
      <w:r>
        <w:rPr>
          <w:spacing w:val="-19"/>
        </w:rPr>
        <w:t> </w:t>
      </w:r>
      <w:r>
        <w:rPr/>
        <w:t>Leisure</w:t>
      </w:r>
      <w:r>
        <w:rPr>
          <w:spacing w:val="-19"/>
        </w:rPr>
        <w:t> </w:t>
      </w:r>
      <w:r>
        <w:rPr/>
        <w:t>World</w:t>
      </w:r>
      <w:r>
        <w:rPr>
          <w:spacing w:val="-18"/>
        </w:rPr>
        <w:t> </w:t>
      </w:r>
      <w:r>
        <w:rPr/>
        <w:t>Study,</w:t>
      </w:r>
      <w:r>
        <w:rPr>
          <w:spacing w:val="-19"/>
        </w:rPr>
        <w:t> </w:t>
      </w:r>
      <w:r>
        <w:rPr/>
        <w:t>and</w:t>
      </w:r>
      <w:r>
        <w:rPr>
          <w:spacing w:val="-19"/>
        </w:rPr>
        <w:t> </w:t>
      </w:r>
      <w:r>
        <w:rPr/>
        <w:t>the</w:t>
      </w:r>
      <w:r>
        <w:rPr>
          <w:spacing w:val="-18"/>
        </w:rPr>
        <w:t> </w:t>
      </w:r>
      <w:r>
        <w:rPr/>
        <w:t>Nurses’</w:t>
      </w:r>
      <w:r>
        <w:rPr>
          <w:spacing w:val="-19"/>
        </w:rPr>
        <w:t> </w:t>
      </w:r>
      <w:r>
        <w:rPr/>
        <w:t>Health</w:t>
      </w:r>
      <w:r>
        <w:rPr>
          <w:spacing w:val="-19"/>
        </w:rPr>
        <w:t> </w:t>
      </w:r>
      <w:r>
        <w:rPr/>
        <w:t>Study.</w:t>
      </w:r>
      <w:r>
        <w:rPr>
          <w:vertAlign w:val="superscript"/>
        </w:rPr>
        <w:t>713,731,732</w:t>
      </w:r>
      <w:r>
        <w:rPr>
          <w:spacing w:val="-18"/>
          <w:vertAlign w:val="baseline"/>
        </w:rPr>
        <w:t> </w:t>
      </w:r>
      <w:r>
        <w:rPr>
          <w:vertAlign w:val="baseline"/>
        </w:rPr>
        <w:t>These epidemiologists concluded that their evidence strongly indicated that in women receiving estrogen treatment who have the same risk factors for CVD</w:t>
      </w:r>
      <w:r>
        <w:rPr>
          <w:spacing w:val="-4"/>
          <w:vertAlign w:val="baseline"/>
        </w:rPr>
        <w:t> </w:t>
      </w:r>
      <w:r>
        <w:rPr>
          <w:vertAlign w:val="baseline"/>
        </w:rPr>
        <w:t>as</w:t>
      </w:r>
      <w:r>
        <w:rPr>
          <w:spacing w:val="-4"/>
          <w:vertAlign w:val="baseline"/>
        </w:rPr>
        <w:t> </w:t>
      </w:r>
      <w:r>
        <w:rPr>
          <w:vertAlign w:val="baseline"/>
        </w:rPr>
        <w:t>those</w:t>
      </w:r>
      <w:r>
        <w:rPr>
          <w:spacing w:val="-4"/>
          <w:vertAlign w:val="baseline"/>
        </w:rPr>
        <w:t> </w:t>
      </w:r>
      <w:r>
        <w:rPr>
          <w:vertAlign w:val="baseline"/>
        </w:rPr>
        <w:t>not</w:t>
      </w:r>
      <w:r>
        <w:rPr>
          <w:spacing w:val="-4"/>
          <w:vertAlign w:val="baseline"/>
        </w:rPr>
        <w:t> </w:t>
      </w:r>
      <w:r>
        <w:rPr>
          <w:vertAlign w:val="baseline"/>
        </w:rPr>
        <w:t>receiving</w:t>
      </w:r>
      <w:r>
        <w:rPr>
          <w:spacing w:val="-4"/>
          <w:vertAlign w:val="baseline"/>
        </w:rPr>
        <w:t> </w:t>
      </w:r>
      <w:r>
        <w:rPr>
          <w:vertAlign w:val="baseline"/>
        </w:rPr>
        <w:t>treatment,</w:t>
      </w:r>
      <w:r>
        <w:rPr>
          <w:spacing w:val="-4"/>
          <w:vertAlign w:val="baseline"/>
        </w:rPr>
        <w:t> </w:t>
      </w:r>
      <w:r>
        <w:rPr>
          <w:vertAlign w:val="baseline"/>
        </w:rPr>
        <w:t>the</w:t>
      </w:r>
      <w:r>
        <w:rPr>
          <w:spacing w:val="-4"/>
          <w:vertAlign w:val="baseline"/>
        </w:rPr>
        <w:t> </w:t>
      </w:r>
      <w:r>
        <w:rPr>
          <w:vertAlign w:val="baseline"/>
        </w:rPr>
        <w:t>same</w:t>
      </w:r>
      <w:r>
        <w:rPr>
          <w:spacing w:val="-4"/>
          <w:vertAlign w:val="baseline"/>
        </w:rPr>
        <w:t> </w:t>
      </w:r>
      <w:r>
        <w:rPr>
          <w:vertAlign w:val="baseline"/>
        </w:rPr>
        <w:t>beneficial</w:t>
      </w:r>
      <w:r>
        <w:rPr>
          <w:spacing w:val="-4"/>
          <w:vertAlign w:val="baseline"/>
        </w:rPr>
        <w:t> </w:t>
      </w:r>
      <w:r>
        <w:rPr>
          <w:vertAlign w:val="baseline"/>
        </w:rPr>
        <w:t>effect</w:t>
      </w:r>
      <w:r>
        <w:rPr>
          <w:spacing w:val="-4"/>
          <w:vertAlign w:val="baseline"/>
        </w:rPr>
        <w:t> </w:t>
      </w:r>
      <w:r>
        <w:rPr>
          <w:vertAlign w:val="baseline"/>
        </w:rPr>
        <w:t>of</w:t>
      </w:r>
      <w:r>
        <w:rPr>
          <w:spacing w:val="-4"/>
          <w:vertAlign w:val="baseline"/>
        </w:rPr>
        <w:t> </w:t>
      </w:r>
      <w:r>
        <w:rPr>
          <w:vertAlign w:val="baseline"/>
        </w:rPr>
        <w:t>estrogen was present. This is especially the case in the Nurses’ Health Study, in which the participants are of a relatively homogeneous socioeconomic group.</w:t>
      </w:r>
      <w:r>
        <w:rPr>
          <w:spacing w:val="-5"/>
          <w:vertAlign w:val="baseline"/>
        </w:rPr>
        <w:t> </w:t>
      </w:r>
      <w:r>
        <w:rPr>
          <w:vertAlign w:val="baseline"/>
        </w:rPr>
        <w:t>A cohort follow-up study in Southeastern New England documented similar levels of total cholesterol, HDL cholesterol, BMI, and blood pressure in estrogen users and nonusers, indicating that selection of significantly more healthy women for estrogen use could not fully explain the beneficial effect of estrogen on the risk of CVD.</w:t>
      </w:r>
      <w:r>
        <w:rPr>
          <w:vertAlign w:val="superscript"/>
        </w:rPr>
        <w:t>733</w:t>
      </w:r>
      <w:r>
        <w:rPr>
          <w:vertAlign w:val="baseline"/>
        </w:rPr>
        <w:t> In a comparison of health variables among users and nonusers in South Australia, there was no evidence</w:t>
      </w:r>
      <w:r>
        <w:rPr>
          <w:spacing w:val="-5"/>
          <w:vertAlign w:val="baseline"/>
        </w:rPr>
        <w:t> </w:t>
      </w:r>
      <w:r>
        <w:rPr>
          <w:vertAlign w:val="baseline"/>
        </w:rPr>
        <w:t>to</w:t>
      </w:r>
      <w:r>
        <w:rPr>
          <w:spacing w:val="-5"/>
          <w:vertAlign w:val="baseline"/>
        </w:rPr>
        <w:t> </w:t>
      </w:r>
      <w:r>
        <w:rPr>
          <w:vertAlign w:val="baseline"/>
        </w:rPr>
        <w:t>support</w:t>
      </w:r>
      <w:r>
        <w:rPr>
          <w:spacing w:val="-5"/>
          <w:vertAlign w:val="baseline"/>
        </w:rPr>
        <w:t> </w:t>
      </w:r>
      <w:r>
        <w:rPr>
          <w:vertAlign w:val="baseline"/>
        </w:rPr>
        <w:t>the</w:t>
      </w:r>
      <w:r>
        <w:rPr>
          <w:spacing w:val="-5"/>
          <w:vertAlign w:val="baseline"/>
        </w:rPr>
        <w:t> </w:t>
      </w:r>
      <w:r>
        <w:rPr>
          <w:vertAlign w:val="baseline"/>
        </w:rPr>
        <w:t>presence</w:t>
      </w:r>
      <w:r>
        <w:rPr>
          <w:spacing w:val="-5"/>
          <w:vertAlign w:val="baseline"/>
        </w:rPr>
        <w:t> </w:t>
      </w:r>
      <w:r>
        <w:rPr>
          <w:vertAlign w:val="baseline"/>
        </w:rPr>
        <w:t>of</w:t>
      </w:r>
      <w:r>
        <w:rPr>
          <w:spacing w:val="-5"/>
          <w:vertAlign w:val="baseline"/>
        </w:rPr>
        <w:t> </w:t>
      </w:r>
      <w:r>
        <w:rPr>
          <w:vertAlign w:val="baseline"/>
        </w:rPr>
        <w:t>a</w:t>
      </w:r>
      <w:r>
        <w:rPr>
          <w:spacing w:val="-5"/>
          <w:vertAlign w:val="baseline"/>
        </w:rPr>
        <w:t> </w:t>
      </w:r>
      <w:r>
        <w:rPr>
          <w:vertAlign w:val="baseline"/>
        </w:rPr>
        <w:t>“healthy</w:t>
      </w:r>
      <w:r>
        <w:rPr>
          <w:spacing w:val="-5"/>
          <w:vertAlign w:val="baseline"/>
        </w:rPr>
        <w:t> </w:t>
      </w:r>
      <w:r>
        <w:rPr>
          <w:vertAlign w:val="baseline"/>
        </w:rPr>
        <w:t>user”</w:t>
      </w:r>
      <w:r>
        <w:rPr>
          <w:spacing w:val="-5"/>
          <w:vertAlign w:val="baseline"/>
        </w:rPr>
        <w:t> </w:t>
      </w:r>
      <w:r>
        <w:rPr>
          <w:vertAlign w:val="baseline"/>
        </w:rPr>
        <w:t>effect.</w:t>
      </w:r>
      <w:r>
        <w:rPr>
          <w:vertAlign w:val="superscript"/>
        </w:rPr>
        <w:t>734</w:t>
      </w:r>
      <w:r>
        <w:rPr>
          <w:spacing w:val="-6"/>
          <w:vertAlign w:val="baseline"/>
        </w:rPr>
        <w:t> </w:t>
      </w:r>
      <w:r>
        <w:rPr>
          <w:vertAlign w:val="baseline"/>
        </w:rPr>
        <w:t>In</w:t>
      </w:r>
      <w:r>
        <w:rPr>
          <w:spacing w:val="-5"/>
          <w:vertAlign w:val="baseline"/>
        </w:rPr>
        <w:t> </w:t>
      </w:r>
      <w:r>
        <w:rPr>
          <w:vertAlign w:val="baseline"/>
        </w:rPr>
        <w:t>Chile,</w:t>
      </w:r>
      <w:r>
        <w:rPr>
          <w:spacing w:val="-5"/>
          <w:vertAlign w:val="baseline"/>
        </w:rPr>
        <w:t> </w:t>
      </w:r>
      <w:r>
        <w:rPr>
          <w:vertAlign w:val="baseline"/>
        </w:rPr>
        <w:t>users and nonusers of HT had identical risk factors for CVD.</w:t>
      </w:r>
      <w:r>
        <w:rPr>
          <w:vertAlign w:val="superscript"/>
        </w:rPr>
        <w:t>735</w:t>
      </w:r>
    </w:p>
    <w:p>
      <w:pPr>
        <w:pStyle w:val="BodyText"/>
        <w:spacing w:line="249" w:lineRule="auto" w:before="17"/>
        <w:ind w:right="102" w:firstLine="450"/>
      </w:pPr>
      <w:r>
        <w:rPr/>
        <w:t>In contrast to the uniform results from observational studies of the association</w:t>
      </w:r>
      <w:r>
        <w:rPr>
          <w:spacing w:val="-5"/>
        </w:rPr>
        <w:t> </w:t>
      </w:r>
      <w:r>
        <w:rPr/>
        <w:t>between</w:t>
      </w:r>
      <w:r>
        <w:rPr>
          <w:spacing w:val="-5"/>
        </w:rPr>
        <w:t> </w:t>
      </w:r>
      <w:r>
        <w:rPr/>
        <w:t>postmenopausal</w:t>
      </w:r>
      <w:r>
        <w:rPr>
          <w:spacing w:val="-5"/>
        </w:rPr>
        <w:t> </w:t>
      </w:r>
      <w:r>
        <w:rPr/>
        <w:t>HT</w:t>
      </w:r>
      <w:r>
        <w:rPr>
          <w:spacing w:val="-5"/>
        </w:rPr>
        <w:t> </w:t>
      </w:r>
      <w:r>
        <w:rPr/>
        <w:t>and</w:t>
      </w:r>
      <w:r>
        <w:rPr>
          <w:spacing w:val="-5"/>
        </w:rPr>
        <w:t> </w:t>
      </w:r>
      <w:r>
        <w:rPr/>
        <w:t>CHD,</w:t>
      </w:r>
      <w:r>
        <w:rPr>
          <w:spacing w:val="-5"/>
        </w:rPr>
        <w:t> </w:t>
      </w:r>
      <w:r>
        <w:rPr/>
        <w:t>epidemiologic</w:t>
      </w:r>
      <w:r>
        <w:rPr>
          <w:spacing w:val="-5"/>
        </w:rPr>
        <w:t> </w:t>
      </w:r>
      <w:r>
        <w:rPr/>
        <w:t>data</w:t>
      </w:r>
      <w:r>
        <w:rPr>
          <w:spacing w:val="-5"/>
        </w:rPr>
        <w:t> </w:t>
      </w:r>
      <w:r>
        <w:rPr/>
        <w:t>over the</w:t>
      </w:r>
      <w:r>
        <w:rPr>
          <w:spacing w:val="-2"/>
        </w:rPr>
        <w:t> </w:t>
      </w:r>
      <w:r>
        <w:rPr/>
        <w:t>last</w:t>
      </w:r>
      <w:r>
        <w:rPr>
          <w:spacing w:val="-2"/>
        </w:rPr>
        <w:t> </w:t>
      </w:r>
      <w:r>
        <w:rPr/>
        <w:t>30</w:t>
      </w:r>
      <w:r>
        <w:rPr>
          <w:spacing w:val="-2"/>
        </w:rPr>
        <w:t> </w:t>
      </w:r>
      <w:r>
        <w:rPr/>
        <w:t>years</w:t>
      </w:r>
      <w:r>
        <w:rPr>
          <w:spacing w:val="-2"/>
        </w:rPr>
        <w:t> </w:t>
      </w:r>
      <w:r>
        <w:rPr/>
        <w:t>regarding</w:t>
      </w:r>
      <w:r>
        <w:rPr>
          <w:spacing w:val="-2"/>
        </w:rPr>
        <w:t> </w:t>
      </w:r>
      <w:r>
        <w:rPr/>
        <w:t>estrogen</w:t>
      </w:r>
      <w:r>
        <w:rPr>
          <w:spacing w:val="-2"/>
        </w:rPr>
        <w:t> </w:t>
      </w:r>
      <w:r>
        <w:rPr/>
        <w:t>use</w:t>
      </w:r>
      <w:r>
        <w:rPr>
          <w:spacing w:val="-2"/>
        </w:rPr>
        <w:t> </w:t>
      </w:r>
      <w:r>
        <w:rPr/>
        <w:t>and</w:t>
      </w:r>
      <w:r>
        <w:rPr>
          <w:spacing w:val="-2"/>
        </w:rPr>
        <w:t> </w:t>
      </w:r>
      <w:r>
        <w:rPr/>
        <w:t>stroke</w:t>
      </w:r>
      <w:r>
        <w:rPr>
          <w:spacing w:val="-2"/>
        </w:rPr>
        <w:t> </w:t>
      </w:r>
      <w:r>
        <w:rPr/>
        <w:t>have</w:t>
      </w:r>
      <w:r>
        <w:rPr>
          <w:spacing w:val="-2"/>
        </w:rPr>
        <w:t> </w:t>
      </w:r>
      <w:r>
        <w:rPr/>
        <w:t>not</w:t>
      </w:r>
      <w:r>
        <w:rPr>
          <w:spacing w:val="-2"/>
        </w:rPr>
        <w:t> </w:t>
      </w:r>
      <w:r>
        <w:rPr/>
        <w:t>been</w:t>
      </w:r>
      <w:r>
        <w:rPr>
          <w:spacing w:val="-2"/>
        </w:rPr>
        <w:t> </w:t>
      </w:r>
      <w:r>
        <w:rPr/>
        <w:t>consistent. The many studies have indicated either a small increase or no effect of postmenopausal HT on the risk of stroke or a reduction in risk associated with estrogen or estrogen-progestin use.</w:t>
      </w:r>
      <w:r>
        <w:rPr>
          <w:vertAlign w:val="superscript"/>
        </w:rPr>
        <w:t>711,713,719,725,736-745</w:t>
      </w:r>
      <w:r>
        <w:rPr>
          <w:vertAlign w:val="baseline"/>
        </w:rPr>
        <w:t> A prospective cohort study in Denmark recorded an increase in ischemic strokes, but </w:t>
      </w:r>
      <w:r>
        <w:rPr>
          <w:i/>
          <w:vertAlign w:val="baseline"/>
        </w:rPr>
        <w:t>only</w:t>
      </w:r>
      <w:r>
        <w:rPr>
          <w:i/>
          <w:vertAlign w:val="baseline"/>
        </w:rPr>
        <w:t> </w:t>
      </w:r>
      <w:r>
        <w:rPr>
          <w:vertAlign w:val="baseline"/>
        </w:rPr>
        <w:t>among women with hypertension, and a large cohort study from Sweden found no link between stroke and HT.</w:t>
      </w:r>
      <w:r>
        <w:rPr>
          <w:vertAlign w:val="superscript"/>
        </w:rPr>
        <w:t>746,747</w:t>
      </w:r>
    </w:p>
    <w:p>
      <w:pPr>
        <w:pStyle w:val="BodyText"/>
        <w:spacing w:line="249" w:lineRule="auto" w:before="11"/>
        <w:ind w:right="97" w:firstLine="450"/>
      </w:pPr>
      <w:r>
        <w:rPr/>
        <w:t>Within this confusing mixture of results on stroke, there was one consistent observation. The cohort studies (with a sufficient number of cases) that have assessed the impact of hormone use on the risk of death from stroke have all indicated a beneficial impact. For example, the NHANES recruited a very large cohort of women in 1971 to 1975 for epidemiologic analysis. The follow-up longitudinal study of this </w:t>
      </w:r>
      <w:r>
        <w:rPr/>
        <w:t>cohort yielded a US national sample of 1,910 White postmenopausal women. Postmenopausal hormone use in this cohort provided a 31% reduction in stroke incidence and a strongly significant 63% reduction in stroke mortality.</w:t>
      </w:r>
      <w:r>
        <w:rPr>
          <w:vertAlign w:val="superscript"/>
        </w:rPr>
        <w:t>740</w:t>
      </w:r>
      <w:r>
        <w:rPr>
          <w:vertAlign w:val="baseline"/>
        </w:rPr>
        <w:t> These RRs were present even after adjusting for age, hypertension, diabetes, body weight, smoking, socioeconomic status, and previous CVD. This study specifically addressed the criticism that one should</w:t>
      </w:r>
      <w:r>
        <w:rPr>
          <w:spacing w:val="68"/>
          <w:vertAlign w:val="baseline"/>
        </w:rPr>
        <w:t> </w:t>
      </w:r>
      <w:r>
        <w:rPr>
          <w:vertAlign w:val="baseline"/>
        </w:rPr>
        <w:t>expect</w:t>
      </w:r>
      <w:r>
        <w:rPr>
          <w:spacing w:val="70"/>
          <w:vertAlign w:val="baseline"/>
        </w:rPr>
        <w:t> </w:t>
      </w:r>
      <w:r>
        <w:rPr>
          <w:vertAlign w:val="baseline"/>
        </w:rPr>
        <w:t>less</w:t>
      </w:r>
      <w:r>
        <w:rPr>
          <w:spacing w:val="70"/>
          <w:vertAlign w:val="baseline"/>
        </w:rPr>
        <w:t> </w:t>
      </w:r>
      <w:r>
        <w:rPr>
          <w:vertAlign w:val="baseline"/>
        </w:rPr>
        <w:t>disease</w:t>
      </w:r>
      <w:r>
        <w:rPr>
          <w:spacing w:val="70"/>
          <w:vertAlign w:val="baseline"/>
        </w:rPr>
        <w:t> </w:t>
      </w:r>
      <w:r>
        <w:rPr>
          <w:vertAlign w:val="baseline"/>
        </w:rPr>
        <w:t>in</w:t>
      </w:r>
      <w:r>
        <w:rPr>
          <w:spacing w:val="70"/>
          <w:vertAlign w:val="baseline"/>
        </w:rPr>
        <w:t> </w:t>
      </w:r>
      <w:r>
        <w:rPr>
          <w:vertAlign w:val="baseline"/>
        </w:rPr>
        <w:t>estrogen</w:t>
      </w:r>
      <w:r>
        <w:rPr>
          <w:spacing w:val="70"/>
          <w:vertAlign w:val="baseline"/>
        </w:rPr>
        <w:t> </w:t>
      </w:r>
      <w:r>
        <w:rPr>
          <w:vertAlign w:val="baseline"/>
        </w:rPr>
        <w:t>users</w:t>
      </w:r>
      <w:r>
        <w:rPr>
          <w:spacing w:val="70"/>
          <w:vertAlign w:val="baseline"/>
        </w:rPr>
        <w:t> </w:t>
      </w:r>
      <w:r>
        <w:rPr>
          <w:vertAlign w:val="baseline"/>
        </w:rPr>
        <w:t>because</w:t>
      </w:r>
      <w:r>
        <w:rPr>
          <w:spacing w:val="70"/>
          <w:vertAlign w:val="baseline"/>
        </w:rPr>
        <w:t> </w:t>
      </w:r>
      <w:r>
        <w:rPr>
          <w:vertAlign w:val="baseline"/>
        </w:rPr>
        <w:t>they</w:t>
      </w:r>
      <w:r>
        <w:rPr>
          <w:spacing w:val="70"/>
          <w:vertAlign w:val="baseline"/>
        </w:rPr>
        <w:t> </w:t>
      </w:r>
      <w:r>
        <w:rPr>
          <w:vertAlign w:val="baseline"/>
        </w:rPr>
        <w:t>are</w:t>
      </w:r>
      <w:r>
        <w:rPr>
          <w:spacing w:val="70"/>
          <w:vertAlign w:val="baseline"/>
        </w:rPr>
        <w:t> </w:t>
      </w:r>
      <w:r>
        <w:rPr>
          <w:spacing w:val="-2"/>
          <w:vertAlign w:val="baseline"/>
        </w:rPr>
        <w:t>healthier.</w:t>
      </w:r>
    </w:p>
    <w:p>
      <w:pPr>
        <w:pStyle w:val="BodyText"/>
        <w:spacing w:after="0" w:line="249" w:lineRule="auto"/>
        <w:sectPr>
          <w:pgSz w:w="12240" w:h="15840"/>
          <w:pgMar w:top="1380" w:bottom="280" w:left="1440" w:right="1440"/>
        </w:sectPr>
      </w:pPr>
    </w:p>
    <w:p>
      <w:pPr>
        <w:pStyle w:val="BodyText"/>
        <w:spacing w:line="249" w:lineRule="auto"/>
        <w:ind w:right="107"/>
      </w:pPr>
      <w:r>
        <w:rPr/>
        <w:t>After adjusting for physical activity as a marker of general health status, the risk estimates remained identical.</w:t>
      </w:r>
    </w:p>
    <w:p>
      <w:pPr>
        <w:spacing w:line="249" w:lineRule="auto" w:before="2"/>
        <w:ind w:left="99" w:right="97" w:firstLine="450"/>
        <w:jc w:val="both"/>
        <w:rPr>
          <w:b/>
          <w:sz w:val="30"/>
        </w:rPr>
      </w:pPr>
      <w:r>
        <w:rPr>
          <w:sz w:val="30"/>
        </w:rPr>
        <w:t>Hypertension is both a risk factor for cardiovascular mortality and a common problem in older people. Studies have either shown no effect or </w:t>
      </w:r>
      <w:r>
        <w:rPr>
          <w:sz w:val="30"/>
        </w:rPr>
        <w:t>a small, but statistically significant, decrease in blood pressure due to</w:t>
      </w:r>
      <w:r>
        <w:rPr>
          <w:spacing w:val="40"/>
          <w:sz w:val="30"/>
        </w:rPr>
        <w:t> </w:t>
      </w:r>
      <w:r>
        <w:rPr>
          <w:sz w:val="30"/>
        </w:rPr>
        <w:t>estrogen treatment.</w:t>
      </w:r>
      <w:r>
        <w:rPr>
          <w:sz w:val="30"/>
          <w:vertAlign w:val="superscript"/>
        </w:rPr>
        <w:t>748-753</w:t>
      </w:r>
      <w:r>
        <w:rPr>
          <w:sz w:val="30"/>
          <w:vertAlign w:val="baseline"/>
        </w:rPr>
        <w:t> This has been the case in both women who are normotensive and hypertensive.</w:t>
      </w:r>
      <w:r>
        <w:rPr>
          <w:sz w:val="30"/>
          <w:vertAlign w:val="superscript"/>
        </w:rPr>
        <w:t>754-759</w:t>
      </w:r>
      <w:r>
        <w:rPr>
          <w:sz w:val="30"/>
          <w:vertAlign w:val="baseline"/>
        </w:rPr>
        <w:t> The addition of a progestin did not affect this response.</w:t>
      </w:r>
      <w:r>
        <w:rPr>
          <w:sz w:val="30"/>
          <w:vertAlign w:val="superscript"/>
        </w:rPr>
        <w:t>111,760</w:t>
      </w:r>
      <w:r>
        <w:rPr>
          <w:sz w:val="30"/>
          <w:vertAlign w:val="baseline"/>
        </w:rPr>
        <w:t> Discontinuing HT in women with hypertension does not result in a decrease in blood pressure (an expected response if the treatment were raising blood pressure), and in some patients, discontinuation is followed by an increase in blood pressure.</w:t>
      </w:r>
      <w:r>
        <w:rPr>
          <w:sz w:val="30"/>
          <w:vertAlign w:val="superscript"/>
        </w:rPr>
        <w:t>761</w:t>
      </w:r>
      <w:r>
        <w:rPr>
          <w:sz w:val="30"/>
          <w:vertAlign w:val="baseline"/>
        </w:rPr>
        <w:t> The acute administration of estrogen to women with hypertension is followed by decreases in blood pressure, pulse rate, and circulating levels of norepinephrine.</w:t>
      </w:r>
      <w:r>
        <w:rPr>
          <w:sz w:val="30"/>
          <w:vertAlign w:val="superscript"/>
        </w:rPr>
        <w:t>762</w:t>
      </w:r>
      <w:r>
        <w:rPr>
          <w:spacing w:val="-8"/>
          <w:sz w:val="30"/>
          <w:vertAlign w:val="baseline"/>
        </w:rPr>
        <w:t> </w:t>
      </w:r>
      <w:r>
        <w:rPr>
          <w:b/>
          <w:sz w:val="30"/>
          <w:vertAlign w:val="baseline"/>
        </w:rPr>
        <w:t>The</w:t>
      </w:r>
      <w:r>
        <w:rPr>
          <w:b/>
          <w:spacing w:val="-7"/>
          <w:sz w:val="30"/>
          <w:vertAlign w:val="baseline"/>
        </w:rPr>
        <w:t> </w:t>
      </w:r>
      <w:r>
        <w:rPr>
          <w:b/>
          <w:sz w:val="30"/>
          <w:vertAlign w:val="baseline"/>
        </w:rPr>
        <w:t>very</w:t>
      </w:r>
      <w:r>
        <w:rPr>
          <w:b/>
          <w:spacing w:val="-7"/>
          <w:sz w:val="30"/>
          <w:vertAlign w:val="baseline"/>
        </w:rPr>
        <w:t> </w:t>
      </w:r>
      <w:r>
        <w:rPr>
          <w:b/>
          <w:sz w:val="30"/>
          <w:vertAlign w:val="baseline"/>
        </w:rPr>
        <w:t>rare</w:t>
      </w:r>
      <w:r>
        <w:rPr>
          <w:b/>
          <w:spacing w:val="-7"/>
          <w:sz w:val="30"/>
          <w:vertAlign w:val="baseline"/>
        </w:rPr>
        <w:t> </w:t>
      </w:r>
      <w:r>
        <w:rPr>
          <w:b/>
          <w:sz w:val="30"/>
          <w:vertAlign w:val="baseline"/>
        </w:rPr>
        <w:t>cases</w:t>
      </w:r>
      <w:r>
        <w:rPr>
          <w:b/>
          <w:spacing w:val="-7"/>
          <w:sz w:val="30"/>
          <w:vertAlign w:val="baseline"/>
        </w:rPr>
        <w:t> </w:t>
      </w:r>
      <w:r>
        <w:rPr>
          <w:b/>
          <w:sz w:val="30"/>
          <w:vertAlign w:val="baseline"/>
        </w:rPr>
        <w:t>of</w:t>
      </w:r>
      <w:r>
        <w:rPr>
          <w:b/>
          <w:spacing w:val="-7"/>
          <w:sz w:val="30"/>
          <w:vertAlign w:val="baseline"/>
        </w:rPr>
        <w:t> </w:t>
      </w:r>
      <w:r>
        <w:rPr>
          <w:b/>
          <w:sz w:val="30"/>
          <w:vertAlign w:val="baseline"/>
        </w:rPr>
        <w:t>increased</w:t>
      </w:r>
      <w:r>
        <w:rPr>
          <w:b/>
          <w:spacing w:val="-7"/>
          <w:sz w:val="30"/>
          <w:vertAlign w:val="baseline"/>
        </w:rPr>
        <w:t> </w:t>
      </w:r>
      <w:r>
        <w:rPr>
          <w:b/>
          <w:sz w:val="30"/>
          <w:vertAlign w:val="baseline"/>
        </w:rPr>
        <w:t>blood</w:t>
      </w:r>
      <w:r>
        <w:rPr>
          <w:b/>
          <w:spacing w:val="-7"/>
          <w:sz w:val="30"/>
          <w:vertAlign w:val="baseline"/>
        </w:rPr>
        <w:t> </w:t>
      </w:r>
      <w:r>
        <w:rPr>
          <w:b/>
          <w:sz w:val="30"/>
          <w:vertAlign w:val="baseline"/>
        </w:rPr>
        <w:t>pressure</w:t>
      </w:r>
      <w:r>
        <w:rPr>
          <w:b/>
          <w:spacing w:val="-7"/>
          <w:sz w:val="30"/>
          <w:vertAlign w:val="baseline"/>
        </w:rPr>
        <w:t> </w:t>
      </w:r>
      <w:r>
        <w:rPr>
          <w:b/>
          <w:sz w:val="30"/>
          <w:vertAlign w:val="baseline"/>
        </w:rPr>
        <w:t>due</w:t>
      </w:r>
      <w:r>
        <w:rPr>
          <w:b/>
          <w:spacing w:val="-7"/>
          <w:sz w:val="30"/>
          <w:vertAlign w:val="baseline"/>
        </w:rPr>
        <w:t> </w:t>
      </w:r>
      <w:r>
        <w:rPr>
          <w:b/>
          <w:sz w:val="30"/>
          <w:vertAlign w:val="baseline"/>
        </w:rPr>
        <w:t>to oral ET truly represent idiosyncratic reactions. Blood pressure should be assessed every 6 months in women with hypertension being treated with postmenopausal hormones, and if the blood pressure is labile, blood pressure should be measured every 3 months.</w:t>
      </w:r>
    </w:p>
    <w:p>
      <w:pPr>
        <w:pStyle w:val="BodyText"/>
        <w:spacing w:line="249" w:lineRule="auto" w:before="20"/>
        <w:ind w:right="105" w:firstLine="450"/>
      </w:pPr>
      <w:r>
        <w:rPr/>
        <w:t>Observational studies have also reported that hormone users have </w:t>
      </w:r>
      <w:r>
        <w:rPr/>
        <w:t>a decreased risk of developing venous leg ulcers or pressure ulcers.</w:t>
      </w:r>
      <w:r>
        <w:rPr>
          <w:vertAlign w:val="superscript"/>
        </w:rPr>
        <w:t>763,764</w:t>
      </w:r>
    </w:p>
    <w:p>
      <w:pPr>
        <w:pStyle w:val="BodyText"/>
        <w:spacing w:before="46"/>
        <w:ind w:left="0"/>
        <w:jc w:val="left"/>
      </w:pPr>
    </w:p>
    <w:p>
      <w:pPr>
        <w:spacing w:line="249" w:lineRule="auto" w:before="0"/>
        <w:ind w:left="99" w:right="255" w:firstLine="0"/>
        <w:jc w:val="left"/>
        <w:rPr>
          <w:rFonts w:ascii="Arial"/>
          <w:b/>
          <w:sz w:val="30"/>
        </w:rPr>
      </w:pPr>
      <w:r>
        <w:rPr>
          <w:rFonts w:ascii="Arial"/>
          <w:b/>
          <w:color w:val="2674AE"/>
          <w:sz w:val="30"/>
        </w:rPr>
        <w:t>Menopausal</w:t>
      </w:r>
      <w:r>
        <w:rPr>
          <w:rFonts w:ascii="Arial"/>
          <w:b/>
          <w:color w:val="2674AE"/>
          <w:spacing w:val="-8"/>
          <w:sz w:val="30"/>
        </w:rPr>
        <w:t> </w:t>
      </w:r>
      <w:r>
        <w:rPr>
          <w:rFonts w:ascii="Arial"/>
          <w:b/>
          <w:color w:val="2674AE"/>
          <w:sz w:val="30"/>
        </w:rPr>
        <w:t>Hormone</w:t>
      </w:r>
      <w:r>
        <w:rPr>
          <w:rFonts w:ascii="Arial"/>
          <w:b/>
          <w:color w:val="2674AE"/>
          <w:spacing w:val="-8"/>
          <w:sz w:val="30"/>
        </w:rPr>
        <w:t> </w:t>
      </w:r>
      <w:r>
        <w:rPr>
          <w:rFonts w:ascii="Arial"/>
          <w:b/>
          <w:color w:val="2674AE"/>
          <w:sz w:val="30"/>
        </w:rPr>
        <w:t>Use</w:t>
      </w:r>
      <w:r>
        <w:rPr>
          <w:rFonts w:ascii="Arial"/>
          <w:b/>
          <w:color w:val="2674AE"/>
          <w:spacing w:val="-8"/>
          <w:sz w:val="30"/>
        </w:rPr>
        <w:t> </w:t>
      </w:r>
      <w:r>
        <w:rPr>
          <w:rFonts w:ascii="Arial"/>
          <w:b/>
          <w:color w:val="2674AE"/>
          <w:sz w:val="30"/>
        </w:rPr>
        <w:t>and</w:t>
      </w:r>
      <w:r>
        <w:rPr>
          <w:rFonts w:ascii="Arial"/>
          <w:b/>
          <w:color w:val="2674AE"/>
          <w:spacing w:val="-8"/>
          <w:sz w:val="30"/>
        </w:rPr>
        <w:t> </w:t>
      </w:r>
      <w:r>
        <w:rPr>
          <w:rFonts w:ascii="Arial"/>
          <w:b/>
          <w:color w:val="2674AE"/>
          <w:sz w:val="30"/>
        </w:rPr>
        <w:t>Cardiovascular</w:t>
      </w:r>
      <w:r>
        <w:rPr>
          <w:rFonts w:ascii="Arial"/>
          <w:b/>
          <w:color w:val="2674AE"/>
          <w:spacing w:val="-8"/>
          <w:sz w:val="30"/>
        </w:rPr>
        <w:t> </w:t>
      </w:r>
      <w:r>
        <w:rPr>
          <w:rFonts w:ascii="Arial"/>
          <w:b/>
          <w:color w:val="2674AE"/>
          <w:sz w:val="30"/>
        </w:rPr>
        <w:t>Disease: Evidence From Clinical Trials</w:t>
      </w:r>
    </w:p>
    <w:p>
      <w:pPr>
        <w:spacing w:before="153"/>
        <w:ind w:left="99" w:right="0" w:firstLine="0"/>
        <w:jc w:val="left"/>
        <w:rPr>
          <w:rFonts w:ascii="Arial" w:hAnsi="Arial"/>
          <w:b/>
          <w:i/>
          <w:sz w:val="22"/>
        </w:rPr>
      </w:pPr>
      <w:r>
        <w:rPr>
          <w:rFonts w:ascii="Arial" w:hAnsi="Arial"/>
          <w:b/>
          <w:i/>
          <w:color w:val="A0234E"/>
          <w:sz w:val="22"/>
        </w:rPr>
        <w:t>The</w:t>
      </w:r>
      <w:r>
        <w:rPr>
          <w:rFonts w:ascii="Arial" w:hAnsi="Arial"/>
          <w:b/>
          <w:i/>
          <w:color w:val="A0234E"/>
          <w:spacing w:val="11"/>
          <w:sz w:val="22"/>
        </w:rPr>
        <w:t> </w:t>
      </w:r>
      <w:r>
        <w:rPr>
          <w:rFonts w:ascii="Arial" w:hAnsi="Arial"/>
          <w:b/>
          <w:i/>
          <w:color w:val="A0234E"/>
          <w:sz w:val="22"/>
        </w:rPr>
        <w:t>Women’s</w:t>
      </w:r>
      <w:r>
        <w:rPr>
          <w:rFonts w:ascii="Arial" w:hAnsi="Arial"/>
          <w:b/>
          <w:i/>
          <w:color w:val="A0234E"/>
          <w:spacing w:val="11"/>
          <w:sz w:val="22"/>
        </w:rPr>
        <w:t> </w:t>
      </w:r>
      <w:r>
        <w:rPr>
          <w:rFonts w:ascii="Arial" w:hAnsi="Arial"/>
          <w:b/>
          <w:i/>
          <w:color w:val="A0234E"/>
          <w:sz w:val="22"/>
        </w:rPr>
        <w:t>Health</w:t>
      </w:r>
      <w:r>
        <w:rPr>
          <w:rFonts w:ascii="Arial" w:hAnsi="Arial"/>
          <w:b/>
          <w:i/>
          <w:color w:val="A0234E"/>
          <w:spacing w:val="11"/>
          <w:sz w:val="22"/>
        </w:rPr>
        <w:t> </w:t>
      </w:r>
      <w:r>
        <w:rPr>
          <w:rFonts w:ascii="Arial" w:hAnsi="Arial"/>
          <w:b/>
          <w:i/>
          <w:color w:val="A0234E"/>
          <w:spacing w:val="-2"/>
          <w:sz w:val="22"/>
        </w:rPr>
        <w:t>Initiative</w:t>
      </w:r>
    </w:p>
    <w:p>
      <w:pPr>
        <w:pStyle w:val="BodyText"/>
        <w:spacing w:line="249" w:lineRule="auto" w:before="138"/>
        <w:ind w:right="99"/>
      </w:pPr>
      <w:r>
        <w:rPr/>
        <w:t>The WHI was organized by the NIH in 1992 to study the health of postmenopausal women and was scheduled to be completed in </w:t>
      </w:r>
      <w:r>
        <w:rPr/>
        <w:t>2007.</w:t>
      </w:r>
      <w:r>
        <w:rPr>
          <w:vertAlign w:val="superscript"/>
        </w:rPr>
        <w:t>765</w:t>
      </w:r>
      <w:r>
        <w:rPr>
          <w:vertAlign w:val="baseline"/>
        </w:rPr>
        <w:t> From 1993 to 1998, the WHI enrolled 161,809 women aged 50 to 79 years in 40 clinical centers. The major components of the WHI were (1) two randomized</w:t>
      </w:r>
      <w:r>
        <w:rPr>
          <w:spacing w:val="-1"/>
          <w:vertAlign w:val="baseline"/>
        </w:rPr>
        <w:t> </w:t>
      </w:r>
      <w:r>
        <w:rPr>
          <w:vertAlign w:val="baseline"/>
        </w:rPr>
        <w:t>trials</w:t>
      </w:r>
      <w:r>
        <w:rPr>
          <w:spacing w:val="-1"/>
          <w:vertAlign w:val="baseline"/>
        </w:rPr>
        <w:t> </w:t>
      </w:r>
      <w:r>
        <w:rPr>
          <w:vertAlign w:val="baseline"/>
        </w:rPr>
        <w:t>of</w:t>
      </w:r>
      <w:r>
        <w:rPr>
          <w:spacing w:val="-1"/>
          <w:vertAlign w:val="baseline"/>
        </w:rPr>
        <w:t> </w:t>
      </w:r>
      <w:r>
        <w:rPr>
          <w:vertAlign w:val="baseline"/>
        </w:rPr>
        <w:t>postmenopausal</w:t>
      </w:r>
      <w:r>
        <w:rPr>
          <w:spacing w:val="-1"/>
          <w:vertAlign w:val="baseline"/>
        </w:rPr>
        <w:t> </w:t>
      </w:r>
      <w:r>
        <w:rPr>
          <w:vertAlign w:val="baseline"/>
        </w:rPr>
        <w:t>HT</w:t>
      </w:r>
      <w:r>
        <w:rPr>
          <w:spacing w:val="-1"/>
          <w:vertAlign w:val="baseline"/>
        </w:rPr>
        <w:t> </w:t>
      </w:r>
      <w:r>
        <w:rPr>
          <w:vertAlign w:val="baseline"/>
        </w:rPr>
        <w:t>scheduled</w:t>
      </w:r>
      <w:r>
        <w:rPr>
          <w:spacing w:val="-1"/>
          <w:vertAlign w:val="baseline"/>
        </w:rPr>
        <w:t> </w:t>
      </w:r>
      <w:r>
        <w:rPr>
          <w:vertAlign w:val="baseline"/>
        </w:rPr>
        <w:t>to</w:t>
      </w:r>
      <w:r>
        <w:rPr>
          <w:spacing w:val="-1"/>
          <w:vertAlign w:val="baseline"/>
        </w:rPr>
        <w:t> </w:t>
      </w:r>
      <w:r>
        <w:rPr>
          <w:vertAlign w:val="baseline"/>
        </w:rPr>
        <w:t>conclude</w:t>
      </w:r>
      <w:r>
        <w:rPr>
          <w:spacing w:val="-1"/>
          <w:vertAlign w:val="baseline"/>
        </w:rPr>
        <w:t> </w:t>
      </w:r>
      <w:r>
        <w:rPr>
          <w:vertAlign w:val="baseline"/>
        </w:rPr>
        <w:t>in</w:t>
      </w:r>
      <w:r>
        <w:rPr>
          <w:spacing w:val="-1"/>
          <w:vertAlign w:val="baseline"/>
        </w:rPr>
        <w:t> </w:t>
      </w:r>
      <w:r>
        <w:rPr>
          <w:vertAlign w:val="baseline"/>
        </w:rPr>
        <w:t>2005,</w:t>
      </w:r>
      <w:r>
        <w:rPr>
          <w:spacing w:val="-1"/>
          <w:vertAlign w:val="baseline"/>
        </w:rPr>
        <w:t> </w:t>
      </w:r>
      <w:r>
        <w:rPr>
          <w:vertAlign w:val="baseline"/>
        </w:rPr>
        <w:t>(2) a dietary modification trial that randomized 48,000 women to either a sustained low-fat or a self-determined diet, (3) a calcium/vitamin D supplementation trial, and (4) an observational study. One of the randomized trials of postmenopausal HT, the combined estrogen-progestin arm (daily 0.625-mg conjugated estrogens and 2.5-mg MPA), randomized 16,608</w:t>
      </w:r>
      <w:r>
        <w:rPr>
          <w:spacing w:val="30"/>
          <w:vertAlign w:val="baseline"/>
        </w:rPr>
        <w:t> </w:t>
      </w:r>
      <w:r>
        <w:rPr>
          <w:vertAlign w:val="baseline"/>
        </w:rPr>
        <w:t>women</w:t>
      </w:r>
      <w:r>
        <w:rPr>
          <w:spacing w:val="30"/>
          <w:vertAlign w:val="baseline"/>
        </w:rPr>
        <w:t> </w:t>
      </w:r>
      <w:r>
        <w:rPr>
          <w:vertAlign w:val="baseline"/>
        </w:rPr>
        <w:t>to</w:t>
      </w:r>
      <w:r>
        <w:rPr>
          <w:spacing w:val="30"/>
          <w:vertAlign w:val="baseline"/>
        </w:rPr>
        <w:t> </w:t>
      </w:r>
      <w:r>
        <w:rPr>
          <w:vertAlign w:val="baseline"/>
        </w:rPr>
        <w:t>either</w:t>
      </w:r>
      <w:r>
        <w:rPr>
          <w:spacing w:val="30"/>
          <w:vertAlign w:val="baseline"/>
        </w:rPr>
        <w:t> </w:t>
      </w:r>
      <w:r>
        <w:rPr>
          <w:vertAlign w:val="baseline"/>
        </w:rPr>
        <w:t>treatment</w:t>
      </w:r>
      <w:r>
        <w:rPr>
          <w:spacing w:val="30"/>
          <w:vertAlign w:val="baseline"/>
        </w:rPr>
        <w:t> </w:t>
      </w:r>
      <w:r>
        <w:rPr>
          <w:vertAlign w:val="baseline"/>
        </w:rPr>
        <w:t>or</w:t>
      </w:r>
      <w:r>
        <w:rPr>
          <w:spacing w:val="30"/>
          <w:vertAlign w:val="baseline"/>
        </w:rPr>
        <w:t> </w:t>
      </w:r>
      <w:r>
        <w:rPr>
          <w:vertAlign w:val="baseline"/>
        </w:rPr>
        <w:t>placebo.</w:t>
      </w:r>
      <w:r>
        <w:rPr>
          <w:spacing w:val="29"/>
          <w:vertAlign w:val="baseline"/>
        </w:rPr>
        <w:t> </w:t>
      </w:r>
      <w:r>
        <w:rPr>
          <w:vertAlign w:val="baseline"/>
        </w:rPr>
        <w:t>The</w:t>
      </w:r>
      <w:r>
        <w:rPr>
          <w:spacing w:val="30"/>
          <w:vertAlign w:val="baseline"/>
        </w:rPr>
        <w:t> </w:t>
      </w:r>
      <w:r>
        <w:rPr>
          <w:vertAlign w:val="baseline"/>
        </w:rPr>
        <w:t>other</w:t>
      </w:r>
      <w:r>
        <w:rPr>
          <w:spacing w:val="30"/>
          <w:vertAlign w:val="baseline"/>
        </w:rPr>
        <w:t> </w:t>
      </w:r>
      <w:r>
        <w:rPr>
          <w:vertAlign w:val="baseline"/>
        </w:rPr>
        <w:t>hormone</w:t>
      </w:r>
      <w:r>
        <w:rPr>
          <w:spacing w:val="30"/>
          <w:vertAlign w:val="baseline"/>
        </w:rPr>
        <w:t> </w:t>
      </w:r>
      <w:r>
        <w:rPr>
          <w:vertAlign w:val="baseline"/>
        </w:rPr>
        <w:t>trial,</w:t>
      </w:r>
      <w:r>
        <w:rPr>
          <w:spacing w:val="30"/>
          <w:vertAlign w:val="baseline"/>
        </w:rPr>
        <w:t> </w:t>
      </w:r>
      <w:r>
        <w:rPr>
          <w:spacing w:val="-5"/>
          <w:vertAlign w:val="baseline"/>
        </w:rPr>
        <w:t>an</w:t>
      </w:r>
    </w:p>
    <w:p>
      <w:pPr>
        <w:pStyle w:val="BodyText"/>
        <w:spacing w:after="0" w:line="249" w:lineRule="auto"/>
        <w:sectPr>
          <w:pgSz w:w="12240" w:h="15840"/>
          <w:pgMar w:top="1380" w:bottom="280" w:left="1440" w:right="1440"/>
        </w:sectPr>
      </w:pPr>
    </w:p>
    <w:p>
      <w:pPr>
        <w:pStyle w:val="BodyText"/>
        <w:spacing w:line="249" w:lineRule="auto"/>
        <w:ind w:right="98"/>
      </w:pPr>
      <w:r>
        <w:rPr/>
        <w:t>estrogen-only arm (daily 0.625 mg conjugated estrogens), </w:t>
      </w:r>
      <w:r>
        <w:rPr/>
        <w:t>randomized 10,739 hysterectomized women to treatment or placebo.</w:t>
      </w:r>
    </w:p>
    <w:p>
      <w:pPr>
        <w:pStyle w:val="BodyText"/>
        <w:spacing w:line="249" w:lineRule="auto" w:before="2"/>
        <w:ind w:right="98" w:firstLine="450"/>
      </w:pPr>
      <w:r>
        <w:rPr/>
        <w:t>On May 31, 2002, the Data and Safety Monitoring Board (DSMB)</w:t>
      </w:r>
      <w:r>
        <w:rPr>
          <w:spacing w:val="40"/>
        </w:rPr>
        <w:t> </w:t>
      </w:r>
      <w:r>
        <w:rPr/>
        <w:t>made its periodic review of the data accumulated by the WHI. The DSMB made two recommendations that were announced on July 9, 2002: (1) to discontinue the trial arm administering daily estrogen-progestin and (2) to continue the trial arm with daily unopposed estrogen in hysterectomized women. The combined estrogen-progestin arm was discontinued after</w:t>
      </w:r>
      <w:r>
        <w:rPr>
          <w:spacing w:val="80"/>
          <w:w w:val="150"/>
        </w:rPr>
        <w:t> </w:t>
      </w:r>
      <w:r>
        <w:rPr/>
        <w:t>about 5 years of follow-up because of a statistically significant increase in invasive breast cancer and an increase in cardiovascular events.</w:t>
      </w:r>
      <w:r>
        <w:rPr>
          <w:vertAlign w:val="superscript"/>
        </w:rPr>
        <w:t>766</w:t>
      </w:r>
      <w:r>
        <w:rPr>
          <w:vertAlign w:val="baseline"/>
        </w:rPr>
        <w:t> </w:t>
      </w:r>
      <w:r>
        <w:rPr>
          <w:vertAlign w:val="baseline"/>
        </w:rPr>
        <w:t>The statistical parameters for benefit or harm were established in 1997, early in the study. When the increase in breast cancer exceeded the predetermined boundary, the DSMB was obligated to recommend discontinuation of this arm of the trial.</w:t>
      </w:r>
    </w:p>
    <w:p>
      <w:pPr>
        <w:pStyle w:val="BodyText"/>
        <w:spacing w:line="249" w:lineRule="auto" w:before="15"/>
        <w:ind w:right="98" w:firstLine="450"/>
      </w:pPr>
      <w:r>
        <w:rPr/>
        <w:t>On March 2, 2004, the National Heart, Lung, and Blood Institute of the NIH canceled the estrogen-only arm of the WHI. This arm of the WHI included 10,739 hysterectomized, postmenopausal women who had completed an average of 6.8 years of follow-up. The WHI DSMB made their last periodic review of the study data in December 2003. The DSMB was not unanimous in its decision; some members wanted to stop the study, and others wanted the study to continue after sending a letter to the participants describing the findings. Even though none of the findings </w:t>
      </w:r>
      <w:r>
        <w:rPr/>
        <w:t>had crossed the predefined boundaries, the NIH made the decision to stop the study on February 2, 2004. The decision was based on the following </w:t>
      </w:r>
      <w:r>
        <w:rPr>
          <w:spacing w:val="-2"/>
        </w:rPr>
        <w:t>results</w:t>
      </w:r>
      <w:r>
        <w:rPr>
          <w:spacing w:val="-2"/>
          <w:vertAlign w:val="superscript"/>
        </w:rPr>
        <w:t>767</w:t>
      </w:r>
      <w:r>
        <w:rPr>
          <w:spacing w:val="-2"/>
          <w:vertAlign w:val="baseline"/>
        </w:rPr>
        <w:t>:</w:t>
      </w:r>
    </w:p>
    <w:p>
      <w:pPr>
        <w:pStyle w:val="ListParagraph"/>
        <w:numPr>
          <w:ilvl w:val="0"/>
          <w:numId w:val="12"/>
        </w:numPr>
        <w:tabs>
          <w:tab w:pos="399" w:val="left" w:leader="none"/>
        </w:tabs>
        <w:spacing w:line="280" w:lineRule="auto" w:before="268" w:after="0"/>
        <w:ind w:left="399" w:right="105" w:hanging="280"/>
        <w:jc w:val="left"/>
        <w:rPr>
          <w:sz w:val="30"/>
        </w:rPr>
      </w:pPr>
      <w:r>
        <w:rPr>
          <w:sz w:val="30"/>
        </w:rPr>
        <w:t>An</w:t>
      </w:r>
      <w:r>
        <w:rPr>
          <w:spacing w:val="80"/>
          <w:sz w:val="30"/>
        </w:rPr>
        <w:t> </w:t>
      </w:r>
      <w:r>
        <w:rPr>
          <w:sz w:val="30"/>
        </w:rPr>
        <w:t>increased</w:t>
      </w:r>
      <w:r>
        <w:rPr>
          <w:spacing w:val="80"/>
          <w:sz w:val="30"/>
        </w:rPr>
        <w:t> </w:t>
      </w:r>
      <w:r>
        <w:rPr>
          <w:sz w:val="30"/>
        </w:rPr>
        <w:t>risk</w:t>
      </w:r>
      <w:r>
        <w:rPr>
          <w:spacing w:val="80"/>
          <w:sz w:val="30"/>
        </w:rPr>
        <w:t> </w:t>
      </w:r>
      <w:r>
        <w:rPr>
          <w:sz w:val="30"/>
        </w:rPr>
        <w:t>of</w:t>
      </w:r>
      <w:r>
        <w:rPr>
          <w:spacing w:val="80"/>
          <w:sz w:val="30"/>
        </w:rPr>
        <w:t> </w:t>
      </w:r>
      <w:r>
        <w:rPr>
          <w:sz w:val="30"/>
        </w:rPr>
        <w:t>stroke</w:t>
      </w:r>
      <w:r>
        <w:rPr>
          <w:spacing w:val="80"/>
          <w:sz w:val="30"/>
        </w:rPr>
        <w:t> </w:t>
      </w:r>
      <w:r>
        <w:rPr>
          <w:sz w:val="30"/>
        </w:rPr>
        <w:t>similar</w:t>
      </w:r>
      <w:r>
        <w:rPr>
          <w:spacing w:val="80"/>
          <w:sz w:val="30"/>
        </w:rPr>
        <w:t> </w:t>
      </w:r>
      <w:r>
        <w:rPr>
          <w:sz w:val="30"/>
        </w:rPr>
        <w:t>to</w:t>
      </w:r>
      <w:r>
        <w:rPr>
          <w:spacing w:val="80"/>
          <w:sz w:val="30"/>
        </w:rPr>
        <w:t> </w:t>
      </w:r>
      <w:r>
        <w:rPr>
          <w:sz w:val="30"/>
        </w:rPr>
        <w:t>that</w:t>
      </w:r>
      <w:r>
        <w:rPr>
          <w:spacing w:val="80"/>
          <w:sz w:val="30"/>
        </w:rPr>
        <w:t> </w:t>
      </w:r>
      <w:r>
        <w:rPr>
          <w:sz w:val="30"/>
        </w:rPr>
        <w:t>reported</w:t>
      </w:r>
      <w:r>
        <w:rPr>
          <w:spacing w:val="80"/>
          <w:sz w:val="30"/>
        </w:rPr>
        <w:t> </w:t>
      </w:r>
      <w:r>
        <w:rPr>
          <w:sz w:val="30"/>
        </w:rPr>
        <w:t>in</w:t>
      </w:r>
      <w:r>
        <w:rPr>
          <w:spacing w:val="80"/>
          <w:sz w:val="30"/>
        </w:rPr>
        <w:t> </w:t>
      </w:r>
      <w:r>
        <w:rPr>
          <w:sz w:val="30"/>
        </w:rPr>
        <w:t>the</w:t>
      </w:r>
      <w:r>
        <w:rPr>
          <w:spacing w:val="80"/>
          <w:sz w:val="30"/>
        </w:rPr>
        <w:t> </w:t>
      </w:r>
      <w:r>
        <w:rPr>
          <w:sz w:val="30"/>
        </w:rPr>
        <w:t>canceled estrogen-progestin arm of the WHI</w:t>
      </w:r>
    </w:p>
    <w:p>
      <w:pPr>
        <w:pStyle w:val="ListParagraph"/>
        <w:numPr>
          <w:ilvl w:val="0"/>
          <w:numId w:val="12"/>
        </w:numPr>
        <w:tabs>
          <w:tab w:pos="398" w:val="left" w:leader="none"/>
        </w:tabs>
        <w:spacing w:line="240" w:lineRule="auto" w:before="3" w:after="0"/>
        <w:ind w:left="398" w:right="0" w:hanging="279"/>
        <w:jc w:val="left"/>
        <w:rPr>
          <w:sz w:val="30"/>
        </w:rPr>
      </w:pPr>
      <w:r>
        <w:rPr>
          <w:sz w:val="30"/>
        </w:rPr>
        <w:t>No increase or decrease in </w:t>
      </w:r>
      <w:r>
        <w:rPr>
          <w:spacing w:val="-5"/>
          <w:sz w:val="30"/>
        </w:rPr>
        <w:t>CHD</w:t>
      </w:r>
    </w:p>
    <w:p>
      <w:pPr>
        <w:pStyle w:val="ListParagraph"/>
        <w:numPr>
          <w:ilvl w:val="0"/>
          <w:numId w:val="12"/>
        </w:numPr>
        <w:tabs>
          <w:tab w:pos="399" w:val="left" w:leader="none"/>
        </w:tabs>
        <w:spacing w:line="280" w:lineRule="auto" w:before="105" w:after="0"/>
        <w:ind w:left="399" w:right="105" w:hanging="280"/>
        <w:jc w:val="left"/>
        <w:rPr>
          <w:sz w:val="30"/>
        </w:rPr>
      </w:pPr>
      <w:r>
        <w:rPr>
          <w:sz w:val="30"/>
        </w:rPr>
        <w:t>A</w:t>
      </w:r>
      <w:r>
        <w:rPr>
          <w:spacing w:val="80"/>
          <w:sz w:val="30"/>
        </w:rPr>
        <w:t> </w:t>
      </w:r>
      <w:r>
        <w:rPr>
          <w:sz w:val="30"/>
        </w:rPr>
        <w:t>trend</w:t>
      </w:r>
      <w:r>
        <w:rPr>
          <w:spacing w:val="80"/>
          <w:sz w:val="30"/>
        </w:rPr>
        <w:t> </w:t>
      </w:r>
      <w:r>
        <w:rPr>
          <w:sz w:val="30"/>
        </w:rPr>
        <w:t>toward</w:t>
      </w:r>
      <w:r>
        <w:rPr>
          <w:spacing w:val="80"/>
          <w:sz w:val="30"/>
        </w:rPr>
        <w:t> </w:t>
      </w:r>
      <w:r>
        <w:rPr>
          <w:sz w:val="30"/>
        </w:rPr>
        <w:t>an</w:t>
      </w:r>
      <w:r>
        <w:rPr>
          <w:spacing w:val="80"/>
          <w:sz w:val="30"/>
        </w:rPr>
        <w:t> </w:t>
      </w:r>
      <w:r>
        <w:rPr>
          <w:sz w:val="30"/>
        </w:rPr>
        <w:t>increased</w:t>
      </w:r>
      <w:r>
        <w:rPr>
          <w:spacing w:val="80"/>
          <w:sz w:val="30"/>
        </w:rPr>
        <w:t> </w:t>
      </w:r>
      <w:r>
        <w:rPr>
          <w:sz w:val="30"/>
        </w:rPr>
        <w:t>risk</w:t>
      </w:r>
      <w:r>
        <w:rPr>
          <w:spacing w:val="80"/>
          <w:sz w:val="30"/>
        </w:rPr>
        <w:t> </w:t>
      </w:r>
      <w:r>
        <w:rPr>
          <w:sz w:val="30"/>
        </w:rPr>
        <w:t>of</w:t>
      </w:r>
      <w:r>
        <w:rPr>
          <w:spacing w:val="80"/>
          <w:sz w:val="30"/>
        </w:rPr>
        <w:t> </w:t>
      </w:r>
      <w:r>
        <w:rPr>
          <w:sz w:val="30"/>
        </w:rPr>
        <w:t>probable</w:t>
      </w:r>
      <w:r>
        <w:rPr>
          <w:spacing w:val="80"/>
          <w:sz w:val="30"/>
        </w:rPr>
        <w:t> </w:t>
      </w:r>
      <w:r>
        <w:rPr>
          <w:sz w:val="30"/>
        </w:rPr>
        <w:t>dementia</w:t>
      </w:r>
      <w:r>
        <w:rPr>
          <w:spacing w:val="80"/>
          <w:sz w:val="30"/>
        </w:rPr>
        <w:t> </w:t>
      </w:r>
      <w:r>
        <w:rPr>
          <w:sz w:val="30"/>
        </w:rPr>
        <w:t>and/or</w:t>
      </w:r>
      <w:r>
        <w:rPr>
          <w:spacing w:val="80"/>
          <w:sz w:val="30"/>
        </w:rPr>
        <w:t> </w:t>
      </w:r>
      <w:r>
        <w:rPr>
          <w:sz w:val="30"/>
        </w:rPr>
        <w:t>mild cognitive impairment</w:t>
      </w:r>
    </w:p>
    <w:p>
      <w:pPr>
        <w:pStyle w:val="ListParagraph"/>
        <w:numPr>
          <w:ilvl w:val="0"/>
          <w:numId w:val="12"/>
        </w:numPr>
        <w:tabs>
          <w:tab w:pos="398" w:val="left" w:leader="none"/>
        </w:tabs>
        <w:spacing w:line="240" w:lineRule="auto" w:before="3" w:after="0"/>
        <w:ind w:left="398" w:right="0" w:hanging="279"/>
        <w:jc w:val="left"/>
        <w:rPr>
          <w:sz w:val="30"/>
        </w:rPr>
      </w:pPr>
      <w:r>
        <w:rPr>
          <w:sz w:val="30"/>
        </w:rPr>
        <w:t>A reduction in hip </w:t>
      </w:r>
      <w:r>
        <w:rPr>
          <w:spacing w:val="-2"/>
          <w:sz w:val="30"/>
        </w:rPr>
        <w:t>fractures</w:t>
      </w:r>
    </w:p>
    <w:p>
      <w:pPr>
        <w:pStyle w:val="ListParagraph"/>
        <w:numPr>
          <w:ilvl w:val="0"/>
          <w:numId w:val="12"/>
        </w:numPr>
        <w:tabs>
          <w:tab w:pos="398" w:val="left" w:leader="none"/>
        </w:tabs>
        <w:spacing w:line="240" w:lineRule="auto" w:before="105" w:after="0"/>
        <w:ind w:left="398" w:right="0" w:hanging="279"/>
        <w:jc w:val="left"/>
        <w:rPr>
          <w:sz w:val="30"/>
        </w:rPr>
      </w:pPr>
      <w:r>
        <w:rPr>
          <w:sz w:val="30"/>
        </w:rPr>
        <w:t>No increase in breast </w:t>
      </w:r>
      <w:r>
        <w:rPr>
          <w:spacing w:val="-2"/>
          <w:sz w:val="30"/>
        </w:rPr>
        <w:t>cancer</w:t>
      </w:r>
    </w:p>
    <w:p>
      <w:pPr>
        <w:pStyle w:val="ListParagraph"/>
        <w:spacing w:after="0" w:line="240" w:lineRule="auto"/>
        <w:jc w:val="left"/>
        <w:rPr>
          <w:sz w:val="30"/>
        </w:rPr>
        <w:sectPr>
          <w:pgSz w:w="12240" w:h="15840"/>
          <w:pgMar w:top="1380" w:bottom="280" w:left="1440" w:right="1440"/>
        </w:sectPr>
      </w:pPr>
    </w:p>
    <w:p>
      <w:pPr>
        <w:spacing w:line="249" w:lineRule="auto" w:before="65"/>
        <w:ind w:left="99" w:right="98" w:firstLine="450"/>
        <w:jc w:val="both"/>
        <w:rPr>
          <w:b/>
          <w:sz w:val="30"/>
        </w:rPr>
      </w:pPr>
      <w:r>
        <w:rPr>
          <w:b/>
          <w:sz w:val="30"/>
        </w:rPr>
        <w:t>With the exception of breast cancer and CHD, the results in the estrogen-only arm were essentially identical to those in the estrogen-progestin arm of the study. </w:t>
      </w:r>
      <w:r>
        <w:rPr>
          <w:sz w:val="30"/>
        </w:rPr>
        <w:t>However, keep in mind that the populations in the two clinical, randomized trial arms of the WHI were not </w:t>
      </w:r>
      <w:r>
        <w:rPr>
          <w:sz w:val="30"/>
        </w:rPr>
        <w:t>identical.</w:t>
      </w:r>
      <w:r>
        <w:rPr>
          <w:sz w:val="30"/>
          <w:vertAlign w:val="superscript"/>
        </w:rPr>
        <w:t>768</w:t>
      </w:r>
      <w:r>
        <w:rPr>
          <w:sz w:val="30"/>
          <w:vertAlign w:val="baseline"/>
        </w:rPr>
        <w:t> Considering risk factors for CVD, the women in the estrogen-only arm</w:t>
      </w:r>
      <w:r>
        <w:rPr>
          <w:spacing w:val="40"/>
          <w:sz w:val="30"/>
          <w:vertAlign w:val="baseline"/>
        </w:rPr>
        <w:t> </w:t>
      </w:r>
      <w:r>
        <w:rPr>
          <w:sz w:val="30"/>
          <w:vertAlign w:val="baseline"/>
        </w:rPr>
        <w:t>were more obese, were less active, and had more preexisting CVD. The estrogen-only arm also differed in regard to risk factors for breast cancer: more early births and bilateral oophorectomy and more and longer duration of previous HT. </w:t>
      </w:r>
      <w:r>
        <w:rPr>
          <w:b/>
          <w:sz w:val="30"/>
          <w:vertAlign w:val="baseline"/>
        </w:rPr>
        <w:t>Therefore, these were two different trials with two different populations and treatments, making direct comparisons </w:t>
      </w:r>
      <w:r>
        <w:rPr>
          <w:b/>
          <w:spacing w:val="-2"/>
          <w:sz w:val="30"/>
          <w:vertAlign w:val="baseline"/>
        </w:rPr>
        <w:t>inappropriate.</w:t>
      </w:r>
    </w:p>
    <w:p>
      <w:pPr>
        <w:spacing w:line="249" w:lineRule="auto" w:before="13"/>
        <w:ind w:left="99" w:right="98" w:firstLine="450"/>
        <w:jc w:val="both"/>
        <w:rPr>
          <w:sz w:val="30"/>
        </w:rPr>
      </w:pPr>
      <w:r>
        <w:rPr>
          <w:b/>
          <w:sz w:val="30"/>
        </w:rPr>
        <w:t>The published results of the WHI trial agree with more than 30 years of case-control and cohort data with the exception </w:t>
      </w:r>
      <w:r>
        <w:rPr>
          <w:sz w:val="30"/>
        </w:rPr>
        <w:t>(</w:t>
      </w:r>
      <w:r>
        <w:rPr>
          <w:b/>
          <w:sz w:val="30"/>
        </w:rPr>
        <w:t>as </w:t>
      </w:r>
      <w:r>
        <w:rPr>
          <w:b/>
          <w:sz w:val="30"/>
        </w:rPr>
        <w:t>first presented</w:t>
      </w:r>
      <w:r>
        <w:rPr>
          <w:b/>
          <w:spacing w:val="-5"/>
          <w:sz w:val="30"/>
        </w:rPr>
        <w:t> </w:t>
      </w:r>
      <w:r>
        <w:rPr>
          <w:b/>
          <w:sz w:val="30"/>
        </w:rPr>
        <w:t>by</w:t>
      </w:r>
      <w:r>
        <w:rPr>
          <w:b/>
          <w:spacing w:val="-5"/>
          <w:sz w:val="30"/>
        </w:rPr>
        <w:t> </w:t>
      </w:r>
      <w:r>
        <w:rPr>
          <w:b/>
          <w:sz w:val="30"/>
        </w:rPr>
        <w:t>the</w:t>
      </w:r>
      <w:r>
        <w:rPr>
          <w:b/>
          <w:spacing w:val="-5"/>
          <w:sz w:val="30"/>
        </w:rPr>
        <w:t> </w:t>
      </w:r>
      <w:r>
        <w:rPr>
          <w:b/>
          <w:sz w:val="30"/>
        </w:rPr>
        <w:t>WHI</w:t>
      </w:r>
      <w:r>
        <w:rPr>
          <w:sz w:val="30"/>
        </w:rPr>
        <w:t>)</w:t>
      </w:r>
      <w:r>
        <w:rPr>
          <w:spacing w:val="-2"/>
          <w:sz w:val="30"/>
        </w:rPr>
        <w:t> </w:t>
      </w:r>
      <w:r>
        <w:rPr>
          <w:b/>
          <w:sz w:val="30"/>
        </w:rPr>
        <w:t>of</w:t>
      </w:r>
      <w:r>
        <w:rPr>
          <w:b/>
          <w:spacing w:val="-2"/>
          <w:sz w:val="30"/>
        </w:rPr>
        <w:t> </w:t>
      </w:r>
      <w:r>
        <w:rPr>
          <w:b/>
          <w:sz w:val="30"/>
        </w:rPr>
        <w:t>the</w:t>
      </w:r>
      <w:r>
        <w:rPr>
          <w:b/>
          <w:spacing w:val="-2"/>
          <w:sz w:val="30"/>
        </w:rPr>
        <w:t> </w:t>
      </w:r>
      <w:r>
        <w:rPr>
          <w:b/>
          <w:sz w:val="30"/>
        </w:rPr>
        <w:t>cardiovascular</w:t>
      </w:r>
      <w:r>
        <w:rPr>
          <w:b/>
          <w:spacing w:val="-2"/>
          <w:sz w:val="30"/>
        </w:rPr>
        <w:t> </w:t>
      </w:r>
      <w:r>
        <w:rPr>
          <w:b/>
          <w:sz w:val="30"/>
        </w:rPr>
        <w:t>results.</w:t>
      </w:r>
      <w:r>
        <w:rPr>
          <w:b/>
          <w:spacing w:val="-1"/>
          <w:sz w:val="30"/>
        </w:rPr>
        <w:t> </w:t>
      </w:r>
      <w:r>
        <w:rPr>
          <w:sz w:val="30"/>
        </w:rPr>
        <w:t>The updated results on the risk of CHD from the canceled estrogen-progestin arm of the WHI reflected central adjudication of the cardiac diagnoses in contrast to the initial report that relied on local diagnoses.</w:t>
      </w:r>
      <w:r>
        <w:rPr>
          <w:sz w:val="30"/>
          <w:vertAlign w:val="superscript"/>
        </w:rPr>
        <w:t>769</w:t>
      </w:r>
      <w:r>
        <w:rPr>
          <w:sz w:val="30"/>
          <w:vertAlign w:val="baseline"/>
        </w:rPr>
        <w:t> The final report covered an average of 5.6 years of follow-up, compared with 5.2 years in the initial report.</w:t>
      </w:r>
      <w:r>
        <w:rPr>
          <w:spacing w:val="-3"/>
          <w:sz w:val="30"/>
          <w:vertAlign w:val="baseline"/>
        </w:rPr>
        <w:t> </w:t>
      </w:r>
      <w:r>
        <w:rPr>
          <w:sz w:val="30"/>
          <w:vertAlign w:val="baseline"/>
        </w:rPr>
        <w:t>Based on these data, there would be an increase of six cases of CHD per 10,000 women per year in the treated group.</w:t>
      </w:r>
    </w:p>
    <w:p>
      <w:pPr>
        <w:pStyle w:val="BodyText"/>
        <w:spacing w:line="249" w:lineRule="auto" w:before="11"/>
        <w:ind w:right="98" w:firstLine="450"/>
      </w:pPr>
      <w:r>
        <w:rPr/>
        <w:t>Central adjudication disagreed with 10% of the diagnoses for myocardial infarction and 3% for death due to CHD. This small degree </w:t>
      </w:r>
      <w:r>
        <w:rPr/>
        <w:t>of disagreement changed the strength of the conclusions comparing the initial report</w:t>
      </w:r>
      <w:r>
        <w:rPr>
          <w:vertAlign w:val="superscript"/>
        </w:rPr>
        <w:t>766</w:t>
      </w:r>
      <w:r>
        <w:rPr>
          <w:vertAlign w:val="baseline"/>
        </w:rPr>
        <w:t> with the updated report. Indeed, the overall results by definition</w:t>
      </w:r>
      <w:r>
        <w:rPr>
          <w:spacing w:val="40"/>
          <w:vertAlign w:val="baseline"/>
        </w:rPr>
        <w:t> </w:t>
      </w:r>
      <w:r>
        <w:rPr>
          <w:vertAlign w:val="baseline"/>
        </w:rPr>
        <w:t>did not achieve statistical significance in the follow-up report, and only the first-year results were statistically significant in the year-by-year analysis, a conclusion</w:t>
      </w:r>
      <w:r>
        <w:rPr>
          <w:spacing w:val="-3"/>
          <w:vertAlign w:val="baseline"/>
        </w:rPr>
        <w:t> </w:t>
      </w:r>
      <w:r>
        <w:rPr>
          <w:vertAlign w:val="baseline"/>
        </w:rPr>
        <w:t>based</w:t>
      </w:r>
      <w:r>
        <w:rPr>
          <w:spacing w:val="-3"/>
          <w:vertAlign w:val="baseline"/>
        </w:rPr>
        <w:t> </w:t>
      </w:r>
      <w:r>
        <w:rPr>
          <w:vertAlign w:val="baseline"/>
        </w:rPr>
        <w:t>on</w:t>
      </w:r>
      <w:r>
        <w:rPr>
          <w:spacing w:val="-3"/>
          <w:vertAlign w:val="baseline"/>
        </w:rPr>
        <w:t> </w:t>
      </w:r>
      <w:r>
        <w:rPr>
          <w:vertAlign w:val="baseline"/>
        </w:rPr>
        <w:t>a</w:t>
      </w:r>
      <w:r>
        <w:rPr>
          <w:spacing w:val="-3"/>
          <w:vertAlign w:val="baseline"/>
        </w:rPr>
        <w:t> </w:t>
      </w:r>
      <w:r>
        <w:rPr>
          <w:vertAlign w:val="baseline"/>
        </w:rPr>
        <w:t>difference</w:t>
      </w:r>
      <w:r>
        <w:rPr>
          <w:spacing w:val="-3"/>
          <w:vertAlign w:val="baseline"/>
        </w:rPr>
        <w:t> </w:t>
      </w:r>
      <w:r>
        <w:rPr>
          <w:vertAlign w:val="baseline"/>
        </w:rPr>
        <w:t>of</w:t>
      </w:r>
      <w:r>
        <w:rPr>
          <w:spacing w:val="-3"/>
          <w:vertAlign w:val="baseline"/>
        </w:rPr>
        <w:t> </w:t>
      </w:r>
      <w:r>
        <w:rPr>
          <w:vertAlign w:val="baseline"/>
        </w:rPr>
        <w:t>only</w:t>
      </w:r>
      <w:r>
        <w:rPr>
          <w:spacing w:val="-3"/>
          <w:vertAlign w:val="baseline"/>
        </w:rPr>
        <w:t> </w:t>
      </w:r>
      <w:r>
        <w:rPr>
          <w:vertAlign w:val="baseline"/>
        </w:rPr>
        <w:t>19</w:t>
      </w:r>
      <w:r>
        <w:rPr>
          <w:spacing w:val="-3"/>
          <w:vertAlign w:val="baseline"/>
        </w:rPr>
        <w:t> </w:t>
      </w:r>
      <w:r>
        <w:rPr>
          <w:vertAlign w:val="baseline"/>
        </w:rPr>
        <w:t>cases.</w:t>
      </w:r>
      <w:r>
        <w:rPr>
          <w:spacing w:val="-4"/>
          <w:vertAlign w:val="baseline"/>
        </w:rPr>
        <w:t> </w:t>
      </w:r>
      <w:r>
        <w:rPr>
          <w:vertAlign w:val="baseline"/>
        </w:rPr>
        <w:t>In all of the WHI reports, the intent-to-treat analyses were adjusted for multiple outcomes, by the Bonferroni</w:t>
      </w:r>
      <w:r>
        <w:rPr>
          <w:spacing w:val="-4"/>
          <w:vertAlign w:val="baseline"/>
        </w:rPr>
        <w:t> </w:t>
      </w:r>
      <w:r>
        <w:rPr>
          <w:vertAlign w:val="baseline"/>
        </w:rPr>
        <w:t>adjustment.</w:t>
      </w:r>
      <w:r>
        <w:rPr>
          <w:spacing w:val="-4"/>
          <w:vertAlign w:val="baseline"/>
        </w:rPr>
        <w:t> </w:t>
      </w:r>
      <w:r>
        <w:rPr>
          <w:vertAlign w:val="baseline"/>
        </w:rPr>
        <w:t>All</w:t>
      </w:r>
      <w:r>
        <w:rPr>
          <w:spacing w:val="-4"/>
          <w:vertAlign w:val="baseline"/>
        </w:rPr>
        <w:t> </w:t>
      </w:r>
      <w:r>
        <w:rPr>
          <w:vertAlign w:val="baseline"/>
        </w:rPr>
        <w:t>adjusted</w:t>
      </w:r>
      <w:r>
        <w:rPr>
          <w:spacing w:val="-4"/>
          <w:vertAlign w:val="baseline"/>
        </w:rPr>
        <w:t> </w:t>
      </w:r>
      <w:r>
        <w:rPr>
          <w:vertAlign w:val="baseline"/>
        </w:rPr>
        <w:t>results</w:t>
      </w:r>
      <w:r>
        <w:rPr>
          <w:spacing w:val="-4"/>
          <w:vertAlign w:val="baseline"/>
        </w:rPr>
        <w:t> </w:t>
      </w:r>
      <w:r>
        <w:rPr>
          <w:vertAlign w:val="baseline"/>
        </w:rPr>
        <w:t>were</w:t>
      </w:r>
      <w:r>
        <w:rPr>
          <w:spacing w:val="-4"/>
          <w:vertAlign w:val="baseline"/>
        </w:rPr>
        <w:t> </w:t>
      </w:r>
      <w:r>
        <w:rPr>
          <w:vertAlign w:val="baseline"/>
        </w:rPr>
        <w:t>not</w:t>
      </w:r>
      <w:r>
        <w:rPr>
          <w:spacing w:val="-4"/>
          <w:vertAlign w:val="baseline"/>
        </w:rPr>
        <w:t> </w:t>
      </w:r>
      <w:r>
        <w:rPr>
          <w:vertAlign w:val="baseline"/>
        </w:rPr>
        <w:t>statistically</w:t>
      </w:r>
      <w:r>
        <w:rPr>
          <w:spacing w:val="-4"/>
          <w:vertAlign w:val="baseline"/>
        </w:rPr>
        <w:t> </w:t>
      </w:r>
      <w:r>
        <w:rPr>
          <w:vertAlign w:val="baseline"/>
        </w:rPr>
        <w:t>significant. It is difficult to understand the clinical meaning of this manipulation, but most believe that this indicates a slightly lower mathematical conclusion than presented in the nonadjusted data. This, of course, would further weaken the power of the reported results.</w:t>
      </w:r>
    </w:p>
    <w:p>
      <w:pPr>
        <w:pStyle w:val="BodyText"/>
        <w:spacing w:line="249" w:lineRule="auto" w:before="16"/>
        <w:ind w:right="97" w:firstLine="450"/>
      </w:pPr>
      <w:r>
        <w:rPr/>
        <w:t>Consider also the possibility of diagnostic bias. In all, 40.5% of </w:t>
      </w:r>
      <w:r>
        <w:rPr/>
        <w:t>the estrogen-progestin group in the WHI (nearly 5,000/8,500 in the treated group),</w:t>
      </w:r>
      <w:r>
        <w:rPr>
          <w:spacing w:val="2"/>
        </w:rPr>
        <w:t> </w:t>
      </w:r>
      <w:r>
        <w:rPr/>
        <w:t>in</w:t>
      </w:r>
      <w:r>
        <w:rPr>
          <w:spacing w:val="2"/>
        </w:rPr>
        <w:t> </w:t>
      </w:r>
      <w:r>
        <w:rPr/>
        <w:t>contrast</w:t>
      </w:r>
      <w:r>
        <w:rPr>
          <w:spacing w:val="2"/>
        </w:rPr>
        <w:t> </w:t>
      </w:r>
      <w:r>
        <w:rPr/>
        <w:t>to</w:t>
      </w:r>
      <w:r>
        <w:rPr>
          <w:spacing w:val="2"/>
        </w:rPr>
        <w:t> </w:t>
      </w:r>
      <w:r>
        <w:rPr/>
        <w:t>6.8%</w:t>
      </w:r>
      <w:r>
        <w:rPr>
          <w:spacing w:val="2"/>
        </w:rPr>
        <w:t> </w:t>
      </w:r>
      <w:r>
        <w:rPr/>
        <w:t>of</w:t>
      </w:r>
      <w:r>
        <w:rPr>
          <w:spacing w:val="2"/>
        </w:rPr>
        <w:t> </w:t>
      </w:r>
      <w:r>
        <w:rPr/>
        <w:t>the</w:t>
      </w:r>
      <w:r>
        <w:rPr>
          <w:spacing w:val="2"/>
        </w:rPr>
        <w:t> </w:t>
      </w:r>
      <w:r>
        <w:rPr/>
        <w:t>placebo</w:t>
      </w:r>
      <w:r>
        <w:rPr>
          <w:spacing w:val="2"/>
        </w:rPr>
        <w:t> </w:t>
      </w:r>
      <w:r>
        <w:rPr/>
        <w:t>group,</w:t>
      </w:r>
      <w:r>
        <w:rPr>
          <w:spacing w:val="2"/>
        </w:rPr>
        <w:t> </w:t>
      </w:r>
      <w:r>
        <w:rPr/>
        <w:t>were</w:t>
      </w:r>
      <w:r>
        <w:rPr>
          <w:spacing w:val="2"/>
        </w:rPr>
        <w:t> </w:t>
      </w:r>
      <w:r>
        <w:rPr/>
        <w:t>unblinded</w:t>
      </w:r>
      <w:r>
        <w:rPr>
          <w:spacing w:val="2"/>
        </w:rPr>
        <w:t> </w:t>
      </w:r>
      <w:r>
        <w:rPr/>
        <w:t>because</w:t>
      </w:r>
      <w:r>
        <w:rPr>
          <w:spacing w:val="2"/>
        </w:rPr>
        <w:t> </w:t>
      </w:r>
      <w:r>
        <w:rPr>
          <w:spacing w:val="-5"/>
        </w:rPr>
        <w:t>of</w:t>
      </w:r>
    </w:p>
    <w:p>
      <w:pPr>
        <w:pStyle w:val="BodyText"/>
        <w:spacing w:after="0" w:line="249" w:lineRule="auto"/>
        <w:sectPr>
          <w:pgSz w:w="12240" w:h="15840"/>
          <w:pgMar w:top="1380" w:bottom="280" w:left="1440" w:right="1440"/>
        </w:sectPr>
      </w:pPr>
    </w:p>
    <w:p>
      <w:pPr>
        <w:pStyle w:val="BodyText"/>
        <w:spacing w:line="249" w:lineRule="auto"/>
        <w:ind w:right="98"/>
      </w:pPr>
      <w:r>
        <w:rPr/>
        <w:t>vaginal bleeding. What was the impact on the clinicians’ final </w:t>
      </w:r>
      <w:r>
        <w:rPr/>
        <w:t>management and diagnosis when told that the patient is in the WHI study and experiencing vaginal bleeding? This problem affects the data not only in regard to CVD but also for breast cancer. Unblinding was not a problem in the estrogen-only arm of the WHI and no increase in CHD was recorded—was this because of an absence of diagnostic bias in the estrogen-only arm?</w:t>
      </w:r>
    </w:p>
    <w:p>
      <w:pPr>
        <w:pStyle w:val="BodyText"/>
        <w:spacing w:line="249" w:lineRule="auto" w:before="7"/>
        <w:ind w:right="103" w:firstLine="450"/>
      </w:pPr>
      <w:r>
        <w:rPr/>
        <w:t>The</w:t>
      </w:r>
      <w:r>
        <w:rPr>
          <w:spacing w:val="-4"/>
        </w:rPr>
        <w:t> </w:t>
      </w:r>
      <w:r>
        <w:rPr/>
        <w:t>characteristics</w:t>
      </w:r>
      <w:r>
        <w:rPr>
          <w:spacing w:val="-4"/>
        </w:rPr>
        <w:t> </w:t>
      </w:r>
      <w:r>
        <w:rPr/>
        <w:t>of</w:t>
      </w:r>
      <w:r>
        <w:rPr>
          <w:spacing w:val="-4"/>
        </w:rPr>
        <w:t> </w:t>
      </w:r>
      <w:r>
        <w:rPr/>
        <w:t>the</w:t>
      </w:r>
      <w:r>
        <w:rPr>
          <w:spacing w:val="-4"/>
        </w:rPr>
        <w:t> </w:t>
      </w:r>
      <w:r>
        <w:rPr/>
        <w:t>participants</w:t>
      </w:r>
      <w:r>
        <w:rPr>
          <w:spacing w:val="-4"/>
        </w:rPr>
        <w:t> </w:t>
      </w:r>
      <w:r>
        <w:rPr/>
        <w:t>in</w:t>
      </w:r>
      <w:r>
        <w:rPr>
          <w:spacing w:val="-4"/>
        </w:rPr>
        <w:t> </w:t>
      </w:r>
      <w:r>
        <w:rPr/>
        <w:t>the</w:t>
      </w:r>
      <w:r>
        <w:rPr>
          <w:spacing w:val="-4"/>
        </w:rPr>
        <w:t> </w:t>
      </w:r>
      <w:r>
        <w:rPr/>
        <w:t>two</w:t>
      </w:r>
      <w:r>
        <w:rPr>
          <w:spacing w:val="-4"/>
        </w:rPr>
        <w:t> </w:t>
      </w:r>
      <w:r>
        <w:rPr/>
        <w:t>WHI</w:t>
      </w:r>
      <w:r>
        <w:rPr>
          <w:spacing w:val="-4"/>
        </w:rPr>
        <w:t> </w:t>
      </w:r>
      <w:r>
        <w:rPr/>
        <w:t>hormone</w:t>
      </w:r>
      <w:r>
        <w:rPr>
          <w:spacing w:val="-4"/>
        </w:rPr>
        <w:t> </w:t>
      </w:r>
      <w:r>
        <w:rPr/>
        <w:t>trials</w:t>
      </w:r>
      <w:r>
        <w:rPr>
          <w:spacing w:val="-4"/>
        </w:rPr>
        <w:t> </w:t>
      </w:r>
      <w:r>
        <w:rPr/>
        <w:t>are noted in </w:t>
      </w:r>
      <w:r>
        <w:rPr>
          <w:b/>
          <w:color w:val="256E60"/>
        </w:rPr>
        <w:t>Table 22.6</w:t>
      </w:r>
      <w:r>
        <w:rPr/>
        <w:t>.</w:t>
      </w:r>
    </w:p>
    <w:p>
      <w:pPr>
        <w:pStyle w:val="BodyText"/>
        <w:spacing w:before="0"/>
        <w:ind w:left="0"/>
        <w:jc w:val="left"/>
        <w:rPr>
          <w:sz w:val="20"/>
        </w:rPr>
      </w:pPr>
    </w:p>
    <w:p>
      <w:pPr>
        <w:pStyle w:val="BodyText"/>
        <w:spacing w:before="137" w:after="1"/>
        <w:ind w:left="0"/>
        <w:jc w:val="left"/>
        <w:rPr>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9"/>
        <w:gridCol w:w="3190"/>
        <w:gridCol w:w="2491"/>
      </w:tblGrid>
      <w:tr>
        <w:trPr>
          <w:trHeight w:val="449" w:hRule="atLeast"/>
        </w:trPr>
        <w:tc>
          <w:tcPr>
            <w:tcW w:w="9150" w:type="dxa"/>
            <w:gridSpan w:val="3"/>
            <w:shd w:val="clear" w:color="auto" w:fill="256E60"/>
          </w:tcPr>
          <w:p>
            <w:pPr>
              <w:pStyle w:val="TableParagraph"/>
              <w:tabs>
                <w:tab w:pos="1605" w:val="left" w:leader="none"/>
              </w:tabs>
              <w:spacing w:before="93"/>
              <w:rPr>
                <w:rFonts w:ascii="Arial"/>
                <w:sz w:val="22"/>
              </w:rPr>
            </w:pPr>
            <w:r>
              <w:rPr>
                <w:rFonts w:ascii="Arial"/>
                <w:b/>
                <w:color w:val="FFFFFF"/>
                <w:sz w:val="22"/>
              </w:rPr>
              <w:t>TABLE</w:t>
            </w:r>
            <w:r>
              <w:rPr>
                <w:rFonts w:ascii="Arial"/>
                <w:b/>
                <w:color w:val="FFFFFF"/>
                <w:spacing w:val="-2"/>
                <w:sz w:val="22"/>
              </w:rPr>
              <w:t> </w:t>
            </w:r>
            <w:r>
              <w:rPr>
                <w:rFonts w:ascii="Arial"/>
                <w:b/>
                <w:color w:val="FFFFFF"/>
                <w:spacing w:val="-4"/>
                <w:sz w:val="22"/>
              </w:rPr>
              <w:t>22.6</w:t>
            </w:r>
            <w:r>
              <w:rPr>
                <w:rFonts w:ascii="Arial"/>
                <w:b/>
                <w:color w:val="FFFFFF"/>
                <w:sz w:val="22"/>
              </w:rPr>
              <w:tab/>
            </w:r>
            <w:r>
              <w:rPr>
                <w:rFonts w:ascii="Arial"/>
                <w:color w:val="FFFFFF"/>
                <w:sz w:val="22"/>
              </w:rPr>
              <w:t>WHI</w:t>
            </w:r>
            <w:r>
              <w:rPr>
                <w:rFonts w:ascii="Arial"/>
                <w:color w:val="FFFFFF"/>
                <w:spacing w:val="14"/>
                <w:sz w:val="22"/>
              </w:rPr>
              <w:t> </w:t>
            </w:r>
            <w:r>
              <w:rPr>
                <w:rFonts w:ascii="Arial"/>
                <w:color w:val="FFFFFF"/>
                <w:sz w:val="22"/>
              </w:rPr>
              <w:t>Hormone</w:t>
            </w:r>
            <w:r>
              <w:rPr>
                <w:rFonts w:ascii="Arial"/>
                <w:color w:val="FFFFFF"/>
                <w:spacing w:val="14"/>
                <w:sz w:val="22"/>
              </w:rPr>
              <w:t> </w:t>
            </w:r>
            <w:r>
              <w:rPr>
                <w:rFonts w:ascii="Arial"/>
                <w:color w:val="FFFFFF"/>
                <w:spacing w:val="-2"/>
                <w:sz w:val="22"/>
              </w:rPr>
              <w:t>Trials</w:t>
            </w:r>
          </w:p>
        </w:tc>
      </w:tr>
      <w:tr>
        <w:trPr>
          <w:trHeight w:val="539" w:hRule="atLeast"/>
        </w:trPr>
        <w:tc>
          <w:tcPr>
            <w:tcW w:w="3469" w:type="dxa"/>
            <w:tcBorders>
              <w:bottom w:val="single" w:sz="6" w:space="0" w:color="256E60"/>
            </w:tcBorders>
            <w:shd w:val="clear" w:color="auto" w:fill="DDE6E3"/>
          </w:tcPr>
          <w:p>
            <w:pPr>
              <w:pStyle w:val="TableParagraph"/>
              <w:spacing w:before="0"/>
              <w:ind w:left="0"/>
              <w:rPr>
                <w:sz w:val="28"/>
              </w:rPr>
            </w:pPr>
          </w:p>
        </w:tc>
        <w:tc>
          <w:tcPr>
            <w:tcW w:w="3190" w:type="dxa"/>
            <w:tcBorders>
              <w:bottom w:val="single" w:sz="6" w:space="0" w:color="256E60"/>
            </w:tcBorders>
            <w:shd w:val="clear" w:color="auto" w:fill="DDE6E3"/>
          </w:tcPr>
          <w:p>
            <w:pPr>
              <w:pStyle w:val="TableParagraph"/>
              <w:spacing w:before="138"/>
              <w:ind w:left="219" w:right="113"/>
              <w:jc w:val="center"/>
              <w:rPr>
                <w:rFonts w:ascii="Arial"/>
                <w:b/>
                <w:sz w:val="22"/>
              </w:rPr>
            </w:pPr>
            <w:r>
              <w:rPr>
                <w:rFonts w:ascii="Arial"/>
                <w:b/>
                <w:color w:val="1C5349"/>
                <w:spacing w:val="2"/>
                <w:sz w:val="22"/>
              </w:rPr>
              <w:t>Estrogen-Progestin</w:t>
            </w:r>
            <w:r>
              <w:rPr>
                <w:rFonts w:ascii="Arial"/>
                <w:b/>
                <w:color w:val="1C5349"/>
                <w:spacing w:val="46"/>
                <w:sz w:val="22"/>
              </w:rPr>
              <w:t> </w:t>
            </w:r>
            <w:r>
              <w:rPr>
                <w:rFonts w:ascii="Arial"/>
                <w:b/>
                <w:color w:val="1C5349"/>
                <w:spacing w:val="-5"/>
                <w:sz w:val="22"/>
              </w:rPr>
              <w:t>Arm</w:t>
            </w:r>
          </w:p>
        </w:tc>
        <w:tc>
          <w:tcPr>
            <w:tcW w:w="2491" w:type="dxa"/>
            <w:tcBorders>
              <w:bottom w:val="single" w:sz="6" w:space="0" w:color="256E60"/>
            </w:tcBorders>
            <w:shd w:val="clear" w:color="auto" w:fill="DDE6E3"/>
          </w:tcPr>
          <w:p>
            <w:pPr>
              <w:pStyle w:val="TableParagraph"/>
              <w:spacing w:before="138"/>
              <w:ind w:left="118" w:right="113"/>
              <w:jc w:val="center"/>
              <w:rPr>
                <w:rFonts w:ascii="Arial"/>
                <w:b/>
                <w:sz w:val="22"/>
              </w:rPr>
            </w:pPr>
            <w:r>
              <w:rPr>
                <w:rFonts w:ascii="Arial"/>
                <w:b/>
                <w:color w:val="1C5349"/>
                <w:sz w:val="22"/>
              </w:rPr>
              <w:t>Estrogen-Only</w:t>
            </w:r>
            <w:r>
              <w:rPr>
                <w:rFonts w:ascii="Arial"/>
                <w:b/>
                <w:color w:val="1C5349"/>
                <w:spacing w:val="31"/>
                <w:sz w:val="22"/>
              </w:rPr>
              <w:t> </w:t>
            </w:r>
            <w:r>
              <w:rPr>
                <w:rFonts w:ascii="Arial"/>
                <w:b/>
                <w:color w:val="1C5349"/>
                <w:spacing w:val="-5"/>
                <w:sz w:val="22"/>
              </w:rPr>
              <w:t>Arm</w:t>
            </w:r>
          </w:p>
        </w:tc>
      </w:tr>
      <w:tr>
        <w:trPr>
          <w:trHeight w:val="554" w:hRule="atLeast"/>
        </w:trPr>
        <w:tc>
          <w:tcPr>
            <w:tcW w:w="3469" w:type="dxa"/>
            <w:tcBorders>
              <w:top w:val="single" w:sz="6" w:space="0" w:color="256E60"/>
              <w:bottom w:val="single" w:sz="6" w:space="0" w:color="1C5349"/>
            </w:tcBorders>
          </w:tcPr>
          <w:p>
            <w:pPr>
              <w:pStyle w:val="TableParagraph"/>
              <w:rPr>
                <w:sz w:val="22"/>
              </w:rPr>
            </w:pPr>
            <w:r>
              <w:rPr>
                <w:sz w:val="22"/>
              </w:rPr>
              <w:t>Average</w:t>
            </w:r>
            <w:r>
              <w:rPr>
                <w:spacing w:val="-2"/>
                <w:sz w:val="22"/>
              </w:rPr>
              <w:t> </w:t>
            </w:r>
            <w:r>
              <w:rPr>
                <w:spacing w:val="-5"/>
                <w:sz w:val="22"/>
              </w:rPr>
              <w:t>age</w:t>
            </w:r>
          </w:p>
        </w:tc>
        <w:tc>
          <w:tcPr>
            <w:tcW w:w="3190" w:type="dxa"/>
            <w:tcBorders>
              <w:top w:val="single" w:sz="6" w:space="0" w:color="256E60"/>
              <w:bottom w:val="single" w:sz="6" w:space="0" w:color="1C5349"/>
            </w:tcBorders>
          </w:tcPr>
          <w:p>
            <w:pPr>
              <w:pStyle w:val="TableParagraph"/>
              <w:ind w:left="1423"/>
              <w:rPr>
                <w:sz w:val="22"/>
              </w:rPr>
            </w:pPr>
            <w:r>
              <w:rPr>
                <w:sz w:val="22"/>
              </w:rPr>
              <w:t>63.3</w:t>
            </w:r>
            <w:r>
              <w:rPr>
                <w:spacing w:val="8"/>
                <w:sz w:val="22"/>
              </w:rPr>
              <w:t> </w:t>
            </w:r>
            <w:r>
              <w:rPr>
                <w:spacing w:val="-10"/>
                <w:sz w:val="22"/>
              </w:rPr>
              <w:t>y</w:t>
            </w:r>
          </w:p>
        </w:tc>
        <w:tc>
          <w:tcPr>
            <w:tcW w:w="2491" w:type="dxa"/>
            <w:tcBorders>
              <w:top w:val="single" w:sz="6" w:space="0" w:color="256E60"/>
              <w:bottom w:val="single" w:sz="6" w:space="0" w:color="1C5349"/>
            </w:tcBorders>
          </w:tcPr>
          <w:p>
            <w:pPr>
              <w:pStyle w:val="TableParagraph"/>
              <w:ind w:left="1023"/>
              <w:rPr>
                <w:sz w:val="22"/>
              </w:rPr>
            </w:pPr>
            <w:r>
              <w:rPr>
                <w:sz w:val="22"/>
              </w:rPr>
              <w:t>63.6</w:t>
            </w:r>
            <w:r>
              <w:rPr>
                <w:spacing w:val="8"/>
                <w:sz w:val="22"/>
              </w:rPr>
              <w:t> </w:t>
            </w:r>
            <w:r>
              <w:rPr>
                <w:spacing w:val="-10"/>
                <w:sz w:val="22"/>
              </w:rPr>
              <w:t>y</w:t>
            </w:r>
          </w:p>
        </w:tc>
      </w:tr>
      <w:tr>
        <w:trPr>
          <w:trHeight w:val="554" w:hRule="atLeast"/>
        </w:trPr>
        <w:tc>
          <w:tcPr>
            <w:tcW w:w="3469" w:type="dxa"/>
            <w:tcBorders>
              <w:top w:val="single" w:sz="6" w:space="0" w:color="1C5349"/>
              <w:bottom w:val="single" w:sz="6" w:space="0" w:color="1C5349"/>
            </w:tcBorders>
          </w:tcPr>
          <w:p>
            <w:pPr>
              <w:pStyle w:val="TableParagraph"/>
              <w:rPr>
                <w:sz w:val="22"/>
              </w:rPr>
            </w:pPr>
            <w:r>
              <w:rPr>
                <w:sz w:val="22"/>
              </w:rPr>
              <w:t>Drop-out</w:t>
            </w:r>
            <w:r>
              <w:rPr>
                <w:spacing w:val="17"/>
                <w:sz w:val="22"/>
              </w:rPr>
              <w:t> </w:t>
            </w:r>
            <w:r>
              <w:rPr>
                <w:spacing w:val="-4"/>
                <w:sz w:val="22"/>
              </w:rPr>
              <w:t>rate</w:t>
            </w:r>
          </w:p>
        </w:tc>
        <w:tc>
          <w:tcPr>
            <w:tcW w:w="3190" w:type="dxa"/>
            <w:tcBorders>
              <w:top w:val="single" w:sz="6" w:space="0" w:color="1C5349"/>
              <w:bottom w:val="single" w:sz="6" w:space="0" w:color="1C5349"/>
            </w:tcBorders>
          </w:tcPr>
          <w:p>
            <w:pPr>
              <w:pStyle w:val="TableParagraph"/>
              <w:ind w:left="219"/>
              <w:jc w:val="center"/>
              <w:rPr>
                <w:sz w:val="22"/>
              </w:rPr>
            </w:pPr>
            <w:r>
              <w:rPr>
                <w:spacing w:val="-5"/>
                <w:sz w:val="22"/>
              </w:rPr>
              <w:t>42%</w:t>
            </w:r>
          </w:p>
        </w:tc>
        <w:tc>
          <w:tcPr>
            <w:tcW w:w="2491" w:type="dxa"/>
            <w:tcBorders>
              <w:top w:val="single" w:sz="6" w:space="0" w:color="1C5349"/>
              <w:bottom w:val="single" w:sz="6" w:space="0" w:color="1C5349"/>
            </w:tcBorders>
          </w:tcPr>
          <w:p>
            <w:pPr>
              <w:pStyle w:val="TableParagraph"/>
              <w:ind w:left="118"/>
              <w:jc w:val="center"/>
              <w:rPr>
                <w:sz w:val="22"/>
              </w:rPr>
            </w:pPr>
            <w:r>
              <w:rPr>
                <w:spacing w:val="-2"/>
                <w:sz w:val="22"/>
              </w:rPr>
              <w:t>53.8%</w:t>
            </w:r>
          </w:p>
        </w:tc>
      </w:tr>
      <w:tr>
        <w:trPr>
          <w:trHeight w:val="554" w:hRule="atLeast"/>
        </w:trPr>
        <w:tc>
          <w:tcPr>
            <w:tcW w:w="3469" w:type="dxa"/>
            <w:tcBorders>
              <w:top w:val="single" w:sz="6" w:space="0" w:color="1C5349"/>
              <w:bottom w:val="single" w:sz="6" w:space="0" w:color="1C5349"/>
            </w:tcBorders>
          </w:tcPr>
          <w:p>
            <w:pPr>
              <w:pStyle w:val="TableParagraph"/>
              <w:rPr>
                <w:sz w:val="22"/>
              </w:rPr>
            </w:pPr>
            <w:r>
              <w:rPr>
                <w:sz w:val="22"/>
              </w:rPr>
              <w:t>Drop-in</w:t>
            </w:r>
            <w:r>
              <w:rPr>
                <w:spacing w:val="13"/>
                <w:sz w:val="22"/>
              </w:rPr>
              <w:t> </w:t>
            </w:r>
            <w:r>
              <w:rPr>
                <w:sz w:val="22"/>
              </w:rPr>
              <w:t>rate</w:t>
            </w:r>
            <w:r>
              <w:rPr>
                <w:spacing w:val="13"/>
                <w:sz w:val="22"/>
              </w:rPr>
              <w:t> </w:t>
            </w:r>
            <w:r>
              <w:rPr>
                <w:sz w:val="22"/>
              </w:rPr>
              <w:t>(began</w:t>
            </w:r>
            <w:r>
              <w:rPr>
                <w:spacing w:val="13"/>
                <w:sz w:val="22"/>
              </w:rPr>
              <w:t> </w:t>
            </w:r>
            <w:r>
              <w:rPr>
                <w:sz w:val="22"/>
              </w:rPr>
              <w:t>hormone</w:t>
            </w:r>
            <w:r>
              <w:rPr>
                <w:spacing w:val="13"/>
                <w:sz w:val="22"/>
              </w:rPr>
              <w:t> </w:t>
            </w:r>
            <w:r>
              <w:rPr>
                <w:spacing w:val="-4"/>
                <w:sz w:val="22"/>
              </w:rPr>
              <w:t>use)</w:t>
            </w:r>
          </w:p>
        </w:tc>
        <w:tc>
          <w:tcPr>
            <w:tcW w:w="3190" w:type="dxa"/>
            <w:tcBorders>
              <w:top w:val="single" w:sz="6" w:space="0" w:color="1C5349"/>
              <w:bottom w:val="single" w:sz="6" w:space="0" w:color="1C5349"/>
            </w:tcBorders>
          </w:tcPr>
          <w:p>
            <w:pPr>
              <w:pStyle w:val="TableParagraph"/>
              <w:ind w:left="219"/>
              <w:jc w:val="center"/>
              <w:rPr>
                <w:sz w:val="22"/>
              </w:rPr>
            </w:pPr>
            <w:r>
              <w:rPr>
                <w:spacing w:val="-4"/>
                <w:sz w:val="22"/>
              </w:rPr>
              <w:t>6.2%</w:t>
            </w:r>
          </w:p>
        </w:tc>
        <w:tc>
          <w:tcPr>
            <w:tcW w:w="2491" w:type="dxa"/>
            <w:tcBorders>
              <w:top w:val="single" w:sz="6" w:space="0" w:color="1C5349"/>
              <w:bottom w:val="single" w:sz="6" w:space="0" w:color="1C5349"/>
            </w:tcBorders>
          </w:tcPr>
          <w:p>
            <w:pPr>
              <w:pStyle w:val="TableParagraph"/>
              <w:ind w:left="118"/>
              <w:jc w:val="center"/>
              <w:rPr>
                <w:sz w:val="22"/>
              </w:rPr>
            </w:pPr>
            <w:r>
              <w:rPr>
                <w:spacing w:val="-4"/>
                <w:sz w:val="22"/>
              </w:rPr>
              <w:t>5.7%</w:t>
            </w:r>
          </w:p>
        </w:tc>
      </w:tr>
    </w:tbl>
    <w:p>
      <w:pPr>
        <w:spacing w:before="159"/>
        <w:ind w:left="99" w:right="0" w:firstLine="0"/>
        <w:jc w:val="left"/>
        <w:rPr>
          <w:sz w:val="22"/>
        </w:rPr>
      </w:pPr>
      <w:r>
        <w:rPr>
          <w:sz w:val="22"/>
        </w:rPr>
        <w:t>WHI,</w:t>
      </w:r>
      <w:r>
        <w:rPr>
          <w:spacing w:val="3"/>
          <w:sz w:val="22"/>
        </w:rPr>
        <w:t> </w:t>
      </w:r>
      <w:r>
        <w:rPr>
          <w:sz w:val="22"/>
        </w:rPr>
        <w:t>Women’s</w:t>
      </w:r>
      <w:r>
        <w:rPr>
          <w:spacing w:val="3"/>
          <w:sz w:val="22"/>
        </w:rPr>
        <w:t> </w:t>
      </w:r>
      <w:r>
        <w:rPr>
          <w:sz w:val="22"/>
        </w:rPr>
        <w:t>Health</w:t>
      </w:r>
      <w:r>
        <w:rPr>
          <w:spacing w:val="3"/>
          <w:sz w:val="22"/>
        </w:rPr>
        <w:t> </w:t>
      </w:r>
      <w:r>
        <w:rPr>
          <w:spacing w:val="-2"/>
          <w:sz w:val="22"/>
        </w:rPr>
        <w:t>Initiative.</w:t>
      </w:r>
    </w:p>
    <w:p>
      <w:pPr>
        <w:pStyle w:val="BodyText"/>
        <w:spacing w:before="215"/>
        <w:ind w:left="0"/>
        <w:jc w:val="left"/>
        <w:rPr>
          <w:sz w:val="22"/>
        </w:rPr>
      </w:pPr>
    </w:p>
    <w:p>
      <w:pPr>
        <w:spacing w:line="249" w:lineRule="auto" w:before="0"/>
        <w:ind w:left="99" w:right="97" w:firstLine="450"/>
        <w:jc w:val="both"/>
        <w:rPr>
          <w:sz w:val="30"/>
        </w:rPr>
      </w:pPr>
      <w:r>
        <w:rPr>
          <w:b/>
          <w:sz w:val="30"/>
        </w:rPr>
        <w:t>The women in the estrogen-progestin arm were an average of slightly more than 12 years distant from menopause.</w:t>
      </w:r>
      <w:r>
        <w:rPr>
          <w:sz w:val="30"/>
          <w:vertAlign w:val="superscript"/>
        </w:rPr>
        <w:t>767</w:t>
      </w:r>
      <w:r>
        <w:rPr>
          <w:sz w:val="30"/>
          <w:vertAlign w:val="baseline"/>
        </w:rPr>
        <w:t> </w:t>
      </w:r>
      <w:r>
        <w:rPr>
          <w:b/>
          <w:sz w:val="30"/>
          <w:vertAlign w:val="baseline"/>
        </w:rPr>
        <w:t>Most had been without HT for more than a decade. In the estrogen-only arm, the published results do not specify the number of years distant from menopause, but this duration may have been even greater, </w:t>
      </w:r>
      <w:r>
        <w:rPr>
          <w:b/>
          <w:sz w:val="30"/>
          <w:vertAlign w:val="baseline"/>
        </w:rPr>
        <w:t>influenced by the age of subjects at the time of bilateral salpingo-oophorectomy. </w:t>
      </w:r>
      <w:r>
        <w:rPr>
          <w:sz w:val="30"/>
          <w:vertAlign w:val="baseline"/>
        </w:rPr>
        <w:t>Women with significant menopausal symptoms were excluded from the study to avoid an exceedingly high drop-out rate in the placebo group. Women who had been on HT (about 25% of the participants in the</w:t>
      </w:r>
      <w:r>
        <w:rPr>
          <w:spacing w:val="40"/>
          <w:sz w:val="30"/>
          <w:vertAlign w:val="baseline"/>
        </w:rPr>
        <w:t> </w:t>
      </w:r>
      <w:r>
        <w:rPr>
          <w:sz w:val="30"/>
          <w:vertAlign w:val="baseline"/>
        </w:rPr>
        <w:t>estrogen-progestin arm and 35% in the estrogen-only arm) and then underwent a 3-month “washout” period and experienced menopausal symptoms were discouraged from participation. (~12.5% of the participants in the estrogen-progestin arm reported VMS on entry but were willing to be assigned to placebo, and, therefore, their symptoms were unlikely to have had a major disturbing effect.) This exclusion means that only a small number of women in the WHI were close to their age of menopause.</w:t>
      </w:r>
      <w:r>
        <w:rPr>
          <w:spacing w:val="-1"/>
          <w:sz w:val="30"/>
          <w:vertAlign w:val="baseline"/>
        </w:rPr>
        <w:t> </w:t>
      </w:r>
      <w:r>
        <w:rPr>
          <w:spacing w:val="-2"/>
          <w:sz w:val="30"/>
          <w:vertAlign w:val="baseline"/>
        </w:rPr>
        <w:t>(About</w:t>
      </w:r>
    </w:p>
    <w:p>
      <w:pPr>
        <w:spacing w:after="0" w:line="249" w:lineRule="auto"/>
        <w:jc w:val="both"/>
        <w:rPr>
          <w:sz w:val="30"/>
        </w:rPr>
        <w:sectPr>
          <w:pgSz w:w="12240" w:h="15840"/>
          <w:pgMar w:top="1380" w:bottom="280" w:left="1440" w:right="1440"/>
        </w:sectPr>
      </w:pPr>
    </w:p>
    <w:p>
      <w:pPr>
        <w:pStyle w:val="BodyText"/>
        <w:spacing w:line="249" w:lineRule="auto"/>
        <w:ind w:right="105"/>
      </w:pPr>
      <w:r>
        <w:rPr/>
        <w:t>16.5% of the participants in the estrogen-progestin arm were &lt;5 years since their menopause.) For example, there was only a total of 574 women </w:t>
      </w:r>
      <w:r>
        <w:rPr/>
        <w:t>aged 50 to 54 years in the estrogen-progestin arm.</w:t>
      </w:r>
      <w:r>
        <w:rPr>
          <w:vertAlign w:val="superscript"/>
        </w:rPr>
        <w:t>770</w:t>
      </w:r>
    </w:p>
    <w:p>
      <w:pPr>
        <w:pStyle w:val="BodyText"/>
        <w:spacing w:line="249" w:lineRule="auto" w:before="3"/>
        <w:ind w:right="97" w:firstLine="450"/>
      </w:pPr>
      <w:r>
        <w:rPr/>
        <w:t>Over the time of the studies, the participants discontinued their medication</w:t>
      </w:r>
      <w:r>
        <w:rPr>
          <w:spacing w:val="-3"/>
        </w:rPr>
        <w:t> </w:t>
      </w:r>
      <w:r>
        <w:rPr/>
        <w:t>at</w:t>
      </w:r>
      <w:r>
        <w:rPr>
          <w:spacing w:val="-3"/>
        </w:rPr>
        <w:t> </w:t>
      </w:r>
      <w:r>
        <w:rPr/>
        <w:t>a</w:t>
      </w:r>
      <w:r>
        <w:rPr>
          <w:spacing w:val="-3"/>
        </w:rPr>
        <w:t> </w:t>
      </w:r>
      <w:r>
        <w:rPr/>
        <w:t>consistently</w:t>
      </w:r>
      <w:r>
        <w:rPr>
          <w:spacing w:val="-3"/>
        </w:rPr>
        <w:t> </w:t>
      </w:r>
      <w:r>
        <w:rPr/>
        <w:t>increasing</w:t>
      </w:r>
      <w:r>
        <w:rPr>
          <w:spacing w:val="-3"/>
        </w:rPr>
        <w:t> </w:t>
      </w:r>
      <w:r>
        <w:rPr/>
        <w:t>rate</w:t>
      </w:r>
      <w:r>
        <w:rPr>
          <w:spacing w:val="-3"/>
        </w:rPr>
        <w:t> </w:t>
      </w:r>
      <w:r>
        <w:rPr/>
        <w:t>so</w:t>
      </w:r>
      <w:r>
        <w:rPr>
          <w:spacing w:val="-3"/>
        </w:rPr>
        <w:t> </w:t>
      </w:r>
      <w:r>
        <w:rPr/>
        <w:t>that</w:t>
      </w:r>
      <w:r>
        <w:rPr>
          <w:spacing w:val="-3"/>
        </w:rPr>
        <w:t> </w:t>
      </w:r>
      <w:r>
        <w:rPr/>
        <w:t>at</w:t>
      </w:r>
      <w:r>
        <w:rPr>
          <w:spacing w:val="-3"/>
        </w:rPr>
        <w:t> </w:t>
      </w:r>
      <w:r>
        <w:rPr/>
        <w:t>termination,</w:t>
      </w:r>
      <w:r>
        <w:rPr>
          <w:spacing w:val="-3"/>
        </w:rPr>
        <w:t> </w:t>
      </w:r>
      <w:r>
        <w:rPr/>
        <w:t>about</w:t>
      </w:r>
      <w:r>
        <w:rPr>
          <w:spacing w:val="-3"/>
        </w:rPr>
        <w:t> </w:t>
      </w:r>
      <w:r>
        <w:rPr/>
        <w:t>half were no longer adhering to treatment. The WHI investigators argued that</w:t>
      </w:r>
      <w:r>
        <w:rPr>
          <w:spacing w:val="40"/>
        </w:rPr>
        <w:t> </w:t>
      </w:r>
      <w:r>
        <w:rPr/>
        <w:t>the high drop-out rate could lead to an underestimation of adverse effects; however, this would not be the case if longer duration of treatment exerts a beneficial effect. For example, a case-control study in the United Kingdom found a significant reduction in the risk of myocardial infarction only with the use of HT for more than 5 years.</w:t>
      </w:r>
      <w:r>
        <w:rPr>
          <w:vertAlign w:val="superscript"/>
        </w:rPr>
        <w:t>771</w:t>
      </w:r>
      <w:r>
        <w:rPr>
          <w:vertAlign w:val="baseline"/>
        </w:rPr>
        <w:t> Indeed, a trend for an </w:t>
      </w:r>
      <w:r>
        <w:rPr>
          <w:vertAlign w:val="baseline"/>
        </w:rPr>
        <w:t>emerging protection against CHD was observed in both arms of the WHI with increasing duration of treatment. Analysis of subsamples in the WHI revealed that the treated group had greater reductions in total cholesterol, LDL cholesterol, glucose, and insulin levels and greater increases in HDL cholesterol and triglyceride levels. It is tempting to link these findings with the test for trend that revealed a favorable, decreasing RR of CHD over time, which was statistically significant. However, this analysis was hampered by decreasing numbers over time, and the conclusion was not a strong one.</w:t>
      </w:r>
    </w:p>
    <w:p>
      <w:pPr>
        <w:spacing w:line="249" w:lineRule="auto" w:before="21"/>
        <w:ind w:left="99" w:right="97" w:firstLine="450"/>
        <w:jc w:val="both"/>
        <w:rPr>
          <w:sz w:val="30"/>
        </w:rPr>
      </w:pPr>
      <w:r>
        <w:rPr>
          <w:b/>
          <w:sz w:val="30"/>
        </w:rPr>
        <w:t>In subgroup analyses, only the women in the estrogen-progestin</w:t>
      </w:r>
      <w:r>
        <w:rPr>
          <w:b/>
          <w:spacing w:val="40"/>
          <w:sz w:val="30"/>
        </w:rPr>
        <w:t> </w:t>
      </w:r>
      <w:r>
        <w:rPr>
          <w:b/>
          <w:sz w:val="30"/>
        </w:rPr>
        <w:t>arm who were 20 years or more distant from menopause had a statistically significant increased risk of CHD. Subtracting this group from the rest of the participants, CHD now was observed in </w:t>
      </w:r>
      <w:r>
        <w:rPr>
          <w:b/>
          <w:sz w:val="30"/>
        </w:rPr>
        <w:t>an</w:t>
      </w:r>
      <w:r>
        <w:rPr>
          <w:b/>
          <w:spacing w:val="40"/>
          <w:sz w:val="30"/>
        </w:rPr>
        <w:t> </w:t>
      </w:r>
      <w:r>
        <w:rPr>
          <w:b/>
          <w:sz w:val="30"/>
        </w:rPr>
        <w:t>identical prevalence comparing the treated and placebo groups. It is</w:t>
      </w:r>
      <w:r>
        <w:rPr>
          <w:b/>
          <w:spacing w:val="40"/>
          <w:sz w:val="30"/>
        </w:rPr>
        <w:t> </w:t>
      </w:r>
      <w:r>
        <w:rPr>
          <w:b/>
          <w:sz w:val="30"/>
        </w:rPr>
        <w:t>not appropriate to conclude, based on the WHI, that HT increases the risk of coronary clinical events in all postmenopausal women; this conclusion can only be applied to a specific older group of women. Indeed,</w:t>
      </w:r>
      <w:r>
        <w:rPr>
          <w:b/>
          <w:spacing w:val="-2"/>
          <w:sz w:val="30"/>
        </w:rPr>
        <w:t> </w:t>
      </w:r>
      <w:r>
        <w:rPr>
          <w:b/>
          <w:sz w:val="30"/>
        </w:rPr>
        <w:t>as</w:t>
      </w:r>
      <w:r>
        <w:rPr>
          <w:b/>
          <w:spacing w:val="-2"/>
          <w:sz w:val="30"/>
        </w:rPr>
        <w:t> </w:t>
      </w:r>
      <w:r>
        <w:rPr>
          <w:b/>
          <w:sz w:val="30"/>
        </w:rPr>
        <w:t>early</w:t>
      </w:r>
      <w:r>
        <w:rPr>
          <w:b/>
          <w:spacing w:val="-2"/>
          <w:sz w:val="30"/>
        </w:rPr>
        <w:t> </w:t>
      </w:r>
      <w:r>
        <w:rPr>
          <w:b/>
          <w:sz w:val="30"/>
        </w:rPr>
        <w:t>as</w:t>
      </w:r>
      <w:r>
        <w:rPr>
          <w:b/>
          <w:spacing w:val="-2"/>
          <w:sz w:val="30"/>
        </w:rPr>
        <w:t> </w:t>
      </w:r>
      <w:r>
        <w:rPr>
          <w:b/>
          <w:sz w:val="30"/>
        </w:rPr>
        <w:t>2004,</w:t>
      </w:r>
      <w:r>
        <w:rPr>
          <w:b/>
          <w:spacing w:val="-2"/>
          <w:sz w:val="30"/>
        </w:rPr>
        <w:t> </w:t>
      </w:r>
      <w:r>
        <w:rPr>
          <w:b/>
          <w:sz w:val="30"/>
        </w:rPr>
        <w:t>the</w:t>
      </w:r>
      <w:r>
        <w:rPr>
          <w:b/>
          <w:spacing w:val="-2"/>
          <w:sz w:val="30"/>
        </w:rPr>
        <w:t> </w:t>
      </w:r>
      <w:r>
        <w:rPr>
          <w:b/>
          <w:sz w:val="30"/>
        </w:rPr>
        <w:t>data</w:t>
      </w:r>
      <w:r>
        <w:rPr>
          <w:b/>
          <w:spacing w:val="-2"/>
          <w:sz w:val="30"/>
        </w:rPr>
        <w:t> </w:t>
      </w:r>
      <w:r>
        <w:rPr>
          <w:b/>
          <w:sz w:val="30"/>
        </w:rPr>
        <w:t>from</w:t>
      </w:r>
      <w:r>
        <w:rPr>
          <w:b/>
          <w:spacing w:val="-2"/>
          <w:sz w:val="30"/>
        </w:rPr>
        <w:t> </w:t>
      </w:r>
      <w:r>
        <w:rPr>
          <w:b/>
          <w:sz w:val="30"/>
        </w:rPr>
        <w:t>the</w:t>
      </w:r>
      <w:r>
        <w:rPr>
          <w:b/>
          <w:spacing w:val="-2"/>
          <w:sz w:val="30"/>
        </w:rPr>
        <w:t> </w:t>
      </w:r>
      <w:r>
        <w:rPr>
          <w:b/>
          <w:sz w:val="30"/>
        </w:rPr>
        <w:t>estrogen-only</w:t>
      </w:r>
      <w:r>
        <w:rPr>
          <w:b/>
          <w:spacing w:val="-2"/>
          <w:sz w:val="30"/>
        </w:rPr>
        <w:t> </w:t>
      </w:r>
      <w:r>
        <w:rPr>
          <w:b/>
          <w:sz w:val="30"/>
        </w:rPr>
        <w:t>arm</w:t>
      </w:r>
      <w:r>
        <w:rPr>
          <w:b/>
          <w:spacing w:val="-2"/>
          <w:sz w:val="30"/>
        </w:rPr>
        <w:t> </w:t>
      </w:r>
      <w:r>
        <w:rPr>
          <w:b/>
          <w:sz w:val="30"/>
        </w:rPr>
        <w:t>suggested that younger women experienced a reduced risk of CHD with estrogen </w:t>
      </w:r>
      <w:r>
        <w:rPr>
          <w:b/>
          <w:spacing w:val="-2"/>
          <w:sz w:val="30"/>
        </w:rPr>
        <w:t>treatment.</w:t>
      </w:r>
      <w:r>
        <w:rPr>
          <w:spacing w:val="-2"/>
          <w:sz w:val="30"/>
          <w:vertAlign w:val="superscript"/>
        </w:rPr>
        <w:t>767</w:t>
      </w:r>
    </w:p>
    <w:p>
      <w:pPr>
        <w:pStyle w:val="BodyText"/>
        <w:spacing w:line="249" w:lineRule="auto" w:before="14"/>
        <w:ind w:right="98" w:firstLine="450"/>
      </w:pPr>
      <w:r>
        <w:rPr/>
        <w:t>A reanalysis of the CHD data in the canceled estrogen-progestin arm of the WHI, published 7 years after the initial report, contributed nothing new, confirming that a statistically significant increase in coronary heart events occurred only in those women who were 10 years or more distant from onset</w:t>
      </w:r>
      <w:r>
        <w:rPr>
          <w:spacing w:val="57"/>
          <w:w w:val="150"/>
        </w:rPr>
        <w:t> </w:t>
      </w:r>
      <w:r>
        <w:rPr/>
        <w:t>of</w:t>
      </w:r>
      <w:r>
        <w:rPr>
          <w:spacing w:val="57"/>
          <w:w w:val="150"/>
        </w:rPr>
        <w:t> </w:t>
      </w:r>
      <w:r>
        <w:rPr/>
        <w:t>menopause.</w:t>
      </w:r>
      <w:r>
        <w:rPr>
          <w:vertAlign w:val="superscript"/>
        </w:rPr>
        <w:t>772</w:t>
      </w:r>
      <w:r>
        <w:rPr>
          <w:spacing w:val="58"/>
          <w:w w:val="150"/>
          <w:vertAlign w:val="baseline"/>
        </w:rPr>
        <w:t> </w:t>
      </w:r>
      <w:r>
        <w:rPr>
          <w:vertAlign w:val="baseline"/>
        </w:rPr>
        <w:t>An</w:t>
      </w:r>
      <w:r>
        <w:rPr>
          <w:spacing w:val="57"/>
          <w:w w:val="150"/>
          <w:vertAlign w:val="baseline"/>
        </w:rPr>
        <w:t> </w:t>
      </w:r>
      <w:r>
        <w:rPr>
          <w:vertAlign w:val="baseline"/>
        </w:rPr>
        <w:t>excellent</w:t>
      </w:r>
      <w:r>
        <w:rPr>
          <w:spacing w:val="58"/>
          <w:w w:val="150"/>
          <w:vertAlign w:val="baseline"/>
        </w:rPr>
        <w:t> </w:t>
      </w:r>
      <w:r>
        <w:rPr>
          <w:vertAlign w:val="baseline"/>
        </w:rPr>
        <w:t>review</w:t>
      </w:r>
      <w:r>
        <w:rPr>
          <w:spacing w:val="57"/>
          <w:w w:val="150"/>
          <w:vertAlign w:val="baseline"/>
        </w:rPr>
        <w:t> </w:t>
      </w:r>
      <w:r>
        <w:rPr>
          <w:vertAlign w:val="baseline"/>
        </w:rPr>
        <w:t>from</w:t>
      </w:r>
      <w:r>
        <w:rPr>
          <w:spacing w:val="58"/>
          <w:w w:val="150"/>
          <w:vertAlign w:val="baseline"/>
        </w:rPr>
        <w:t> </w:t>
      </w:r>
      <w:r>
        <w:rPr>
          <w:vertAlign w:val="baseline"/>
        </w:rPr>
        <w:t>2022</w:t>
      </w:r>
      <w:r>
        <w:rPr>
          <w:spacing w:val="57"/>
          <w:w w:val="150"/>
          <w:vertAlign w:val="baseline"/>
        </w:rPr>
        <w:t> </w:t>
      </w:r>
      <w:r>
        <w:rPr>
          <w:vertAlign w:val="baseline"/>
        </w:rPr>
        <w:t>has</w:t>
      </w:r>
      <w:r>
        <w:rPr>
          <w:spacing w:val="58"/>
          <w:w w:val="150"/>
          <w:vertAlign w:val="baseline"/>
        </w:rPr>
        <w:t> </w:t>
      </w:r>
      <w:r>
        <w:rPr>
          <w:vertAlign w:val="baseline"/>
        </w:rPr>
        <w:t>placed</w:t>
      </w:r>
      <w:r>
        <w:rPr>
          <w:spacing w:val="57"/>
          <w:w w:val="150"/>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100"/>
      </w:pPr>
      <w:r>
        <w:rPr/>
        <w:t>perspective the lessons learned from and since the WHI hormone trials and offers reassurance toward safety of HT for chronologically </w:t>
      </w:r>
      <w:r>
        <w:rPr/>
        <w:t>younger population of otherwise healthy perimenopausal and early menopausal </w:t>
      </w:r>
      <w:r>
        <w:rPr>
          <w:spacing w:val="-2"/>
        </w:rPr>
        <w:t>women.</w:t>
      </w:r>
      <w:r>
        <w:rPr>
          <w:spacing w:val="-2"/>
          <w:vertAlign w:val="superscript"/>
        </w:rPr>
        <w:t>773</w:t>
      </w:r>
    </w:p>
    <w:p>
      <w:pPr>
        <w:pStyle w:val="BodyText"/>
        <w:spacing w:line="249" w:lineRule="auto" w:before="5"/>
        <w:ind w:right="100" w:firstLine="450"/>
      </w:pPr>
      <w:r>
        <w:rPr/>
        <w:t>One</w:t>
      </w:r>
      <w:r>
        <w:rPr>
          <w:spacing w:val="-3"/>
        </w:rPr>
        <w:t> </w:t>
      </w:r>
      <w:r>
        <w:rPr/>
        <w:t>response</w:t>
      </w:r>
      <w:r>
        <w:rPr>
          <w:spacing w:val="-3"/>
        </w:rPr>
        <w:t> </w:t>
      </w:r>
      <w:r>
        <w:rPr/>
        <w:t>to</w:t>
      </w:r>
      <w:r>
        <w:rPr>
          <w:spacing w:val="-3"/>
        </w:rPr>
        <w:t> </w:t>
      </w:r>
      <w:r>
        <w:rPr/>
        <w:t>the</w:t>
      </w:r>
      <w:r>
        <w:rPr>
          <w:spacing w:val="-3"/>
        </w:rPr>
        <w:t> </w:t>
      </w:r>
      <w:r>
        <w:rPr/>
        <w:t>publications</w:t>
      </w:r>
      <w:r>
        <w:rPr>
          <w:spacing w:val="-3"/>
        </w:rPr>
        <w:t> </w:t>
      </w:r>
      <w:r>
        <w:rPr/>
        <w:t>from</w:t>
      </w:r>
      <w:r>
        <w:rPr>
          <w:spacing w:val="-3"/>
        </w:rPr>
        <w:t> </w:t>
      </w:r>
      <w:r>
        <w:rPr/>
        <w:t>the</w:t>
      </w:r>
      <w:r>
        <w:rPr>
          <w:spacing w:val="-3"/>
        </w:rPr>
        <w:t> </w:t>
      </w:r>
      <w:r>
        <w:rPr/>
        <w:t>WHI</w:t>
      </w:r>
      <w:r>
        <w:rPr>
          <w:spacing w:val="-3"/>
        </w:rPr>
        <w:t> </w:t>
      </w:r>
      <w:r>
        <w:rPr/>
        <w:t>has</w:t>
      </w:r>
      <w:r>
        <w:rPr>
          <w:spacing w:val="-3"/>
        </w:rPr>
        <w:t> </w:t>
      </w:r>
      <w:r>
        <w:rPr/>
        <w:t>been</w:t>
      </w:r>
      <w:r>
        <w:rPr>
          <w:spacing w:val="-3"/>
        </w:rPr>
        <w:t> </w:t>
      </w:r>
      <w:r>
        <w:rPr/>
        <w:t>a</w:t>
      </w:r>
      <w:r>
        <w:rPr>
          <w:spacing w:val="-3"/>
        </w:rPr>
        <w:t> </w:t>
      </w:r>
      <w:r>
        <w:rPr/>
        <w:t>scientific</w:t>
      </w:r>
      <w:r>
        <w:rPr>
          <w:spacing w:val="-3"/>
        </w:rPr>
        <w:t> </w:t>
      </w:r>
      <w:r>
        <w:rPr/>
        <w:t>and clinical effort to assess and use lower doses of estrogen. Half of the</w:t>
      </w:r>
      <w:r>
        <w:rPr>
          <w:spacing w:val="40"/>
        </w:rPr>
        <w:t> </w:t>
      </w:r>
      <w:r>
        <w:rPr/>
        <w:t>standard dose of CEEs has been demonstrated to effectively treat menopausal symptoms and to prevent bone loss. It is reasonable to </w:t>
      </w:r>
      <w:r>
        <w:rPr/>
        <w:t>ask whether symptoms and bone are especially sensitive to the effects of estrogen and whether lower doses of estrogen will beneficially impact other target tissues. The cardiovascular system is of obvious concern because it was already apparent that lower doses of estrogen do have a lesser effect on circulating lipids and lipoproteins.</w:t>
      </w:r>
    </w:p>
    <w:p>
      <w:pPr>
        <w:pStyle w:val="BodyText"/>
        <w:spacing w:line="249" w:lineRule="auto" w:before="11"/>
        <w:ind w:right="98" w:firstLine="450"/>
      </w:pPr>
      <w:r>
        <w:rPr/>
        <w:t>Clarkson and his colleagues studied the effects of a lower dose </w:t>
      </w:r>
      <w:r>
        <w:rPr/>
        <w:t>estrogen trial in a monkey model of coronary atherosclerosis.</w:t>
      </w:r>
      <w:r>
        <w:rPr>
          <w:vertAlign w:val="superscript"/>
        </w:rPr>
        <w:t>774</w:t>
      </w:r>
      <w:r>
        <w:rPr>
          <w:vertAlign w:val="baseline"/>
        </w:rPr>
        <w:t> The animals were fed an atherogenic diet for 10 months, calculated to induce atherosclerosis comparable to that observed in early postmenopausal women. After oophorectomy, the animals were randomized to treatment for 2 years with a placebo or a dose of CEEs equivalent to 0.3 mg/d in women. This dose had no effect on circulating lipid levels; nevertheless, the treated animals had an average of 52% reduction in coronary atherosclerosis. This degree of protection was similar to studies in this model using a dose of conjugated estrogens equivalent to 0.625 mg/d.</w:t>
      </w:r>
    </w:p>
    <w:p>
      <w:pPr>
        <w:pStyle w:val="BodyText"/>
        <w:spacing w:line="249" w:lineRule="auto" w:before="12"/>
        <w:ind w:right="98" w:firstLine="450"/>
      </w:pPr>
      <w:r>
        <w:rPr/>
        <w:t>The reliability and value of results obtained in Clarkson et al’s monkey model have stood the test of time. Repeatedly, the results from this </w:t>
      </w:r>
      <w:r>
        <w:rPr/>
        <w:t>model proved to be predictive of hormonal effects in women. Therefore, this experiment using a lower dose of estrogen is important, providing information regarding the effect of a lower dose on coronary atherosclerosis. Consistent with some reports in women, the lower dose of estrogen had no effect on levels of LDL cholesterol, HDL cholesterol, or triglycerides. However, the treatment markedly reduced the extent of coronary artery atherosclerosis, a further indication that estrogen-induced inhibition of atherosclerosis occurs to a large extent independently of changes in lipids and lipoproteins. In the dose-response clinical trial that</w:t>
      </w:r>
      <w:r>
        <w:rPr>
          <w:spacing w:val="80"/>
        </w:rPr>
        <w:t> </w:t>
      </w:r>
      <w:r>
        <w:rPr/>
        <w:t>led</w:t>
      </w:r>
      <w:r>
        <w:rPr>
          <w:spacing w:val="59"/>
          <w:w w:val="150"/>
        </w:rPr>
        <w:t> </w:t>
      </w:r>
      <w:r>
        <w:rPr/>
        <w:t>to</w:t>
      </w:r>
      <w:r>
        <w:rPr>
          <w:spacing w:val="60"/>
          <w:w w:val="150"/>
        </w:rPr>
        <w:t> </w:t>
      </w:r>
      <w:r>
        <w:rPr/>
        <w:t>FDA</w:t>
      </w:r>
      <w:r>
        <w:rPr>
          <w:spacing w:val="59"/>
          <w:w w:val="150"/>
        </w:rPr>
        <w:t> </w:t>
      </w:r>
      <w:r>
        <w:rPr/>
        <w:t>approval</w:t>
      </w:r>
      <w:r>
        <w:rPr>
          <w:spacing w:val="60"/>
          <w:w w:val="150"/>
        </w:rPr>
        <w:t> </w:t>
      </w:r>
      <w:r>
        <w:rPr/>
        <w:t>of</w:t>
      </w:r>
      <w:r>
        <w:rPr>
          <w:spacing w:val="59"/>
          <w:w w:val="150"/>
        </w:rPr>
        <w:t> </w:t>
      </w:r>
      <w:r>
        <w:rPr/>
        <w:t>lower</w:t>
      </w:r>
      <w:r>
        <w:rPr>
          <w:spacing w:val="60"/>
          <w:w w:val="150"/>
        </w:rPr>
        <w:t> </w:t>
      </w:r>
      <w:r>
        <w:rPr/>
        <w:t>doses</w:t>
      </w:r>
      <w:r>
        <w:rPr>
          <w:spacing w:val="59"/>
          <w:w w:val="150"/>
        </w:rPr>
        <w:t> </w:t>
      </w:r>
      <w:r>
        <w:rPr/>
        <w:t>of</w:t>
      </w:r>
      <w:r>
        <w:rPr>
          <w:spacing w:val="60"/>
          <w:w w:val="150"/>
        </w:rPr>
        <w:t> </w:t>
      </w:r>
      <w:r>
        <w:rPr/>
        <w:t>CEEs,</w:t>
      </w:r>
      <w:r>
        <w:rPr>
          <w:spacing w:val="59"/>
          <w:w w:val="150"/>
        </w:rPr>
        <w:t> </w:t>
      </w:r>
      <w:r>
        <w:rPr/>
        <w:t>the</w:t>
      </w:r>
      <w:r>
        <w:rPr>
          <w:spacing w:val="60"/>
          <w:w w:val="150"/>
        </w:rPr>
        <w:t> </w:t>
      </w:r>
      <w:r>
        <w:rPr/>
        <w:t>0.3-mg</w:t>
      </w:r>
      <w:r>
        <w:rPr>
          <w:spacing w:val="59"/>
          <w:w w:val="150"/>
        </w:rPr>
        <w:t> </w:t>
      </w:r>
      <w:r>
        <w:rPr/>
        <w:t>dose</w:t>
      </w:r>
      <w:r>
        <w:rPr>
          <w:spacing w:val="60"/>
          <w:w w:val="150"/>
        </w:rPr>
        <w:t> </w:t>
      </w:r>
      <w:r>
        <w:rPr>
          <w:spacing w:val="-2"/>
        </w:rPr>
        <w:t>still</w:t>
      </w:r>
    </w:p>
    <w:p>
      <w:pPr>
        <w:pStyle w:val="BodyText"/>
        <w:spacing w:after="0" w:line="249" w:lineRule="auto"/>
        <w:sectPr>
          <w:pgSz w:w="12240" w:h="15840"/>
          <w:pgMar w:top="1380" w:bottom="280" w:left="1440" w:right="1440"/>
        </w:sectPr>
      </w:pPr>
    </w:p>
    <w:p>
      <w:pPr>
        <w:pStyle w:val="BodyText"/>
        <w:spacing w:line="249" w:lineRule="auto"/>
        <w:ind w:right="107"/>
      </w:pPr>
      <w:r>
        <w:rPr/>
        <w:t>produced statistically significant beneficial changes in lipids </w:t>
      </w:r>
      <w:r>
        <w:rPr/>
        <w:t>and lipoproteins, and this dose prevented bone loss.</w:t>
      </w:r>
      <w:r>
        <w:rPr>
          <w:vertAlign w:val="superscript"/>
        </w:rPr>
        <w:t>119,125</w:t>
      </w:r>
    </w:p>
    <w:p>
      <w:pPr>
        <w:spacing w:before="301"/>
        <w:ind w:left="99" w:right="0" w:firstLine="0"/>
        <w:jc w:val="both"/>
        <w:rPr>
          <w:rFonts w:ascii="Arial" w:hAnsi="Arial"/>
          <w:b/>
          <w:i/>
          <w:sz w:val="22"/>
        </w:rPr>
      </w:pPr>
      <w:r>
        <w:rPr>
          <w:rFonts w:ascii="Arial" w:hAnsi="Arial"/>
          <w:b/>
          <w:i/>
          <w:color w:val="A0234E"/>
          <w:sz w:val="22"/>
        </w:rPr>
        <w:t>The</w:t>
      </w:r>
      <w:r>
        <w:rPr>
          <w:rFonts w:ascii="Arial" w:hAnsi="Arial"/>
          <w:b/>
          <w:i/>
          <w:color w:val="A0234E"/>
          <w:spacing w:val="12"/>
          <w:sz w:val="22"/>
        </w:rPr>
        <w:t> </w:t>
      </w:r>
      <w:r>
        <w:rPr>
          <w:rFonts w:ascii="Arial" w:hAnsi="Arial"/>
          <w:b/>
          <w:i/>
          <w:color w:val="A0234E"/>
          <w:sz w:val="22"/>
        </w:rPr>
        <w:t>Women’s</w:t>
      </w:r>
      <w:r>
        <w:rPr>
          <w:rFonts w:ascii="Arial" w:hAnsi="Arial"/>
          <w:b/>
          <w:i/>
          <w:color w:val="A0234E"/>
          <w:spacing w:val="12"/>
          <w:sz w:val="22"/>
        </w:rPr>
        <w:t> </w:t>
      </w:r>
      <w:r>
        <w:rPr>
          <w:rFonts w:ascii="Arial" w:hAnsi="Arial"/>
          <w:b/>
          <w:i/>
          <w:color w:val="A0234E"/>
          <w:sz w:val="22"/>
        </w:rPr>
        <w:t>Health</w:t>
      </w:r>
      <w:r>
        <w:rPr>
          <w:rFonts w:ascii="Arial" w:hAnsi="Arial"/>
          <w:b/>
          <w:i/>
          <w:color w:val="A0234E"/>
          <w:spacing w:val="12"/>
          <w:sz w:val="22"/>
        </w:rPr>
        <w:t> </w:t>
      </w:r>
      <w:r>
        <w:rPr>
          <w:rFonts w:ascii="Arial" w:hAnsi="Arial"/>
          <w:b/>
          <w:i/>
          <w:color w:val="A0234E"/>
          <w:sz w:val="22"/>
        </w:rPr>
        <w:t>Initiative</w:t>
      </w:r>
      <w:r>
        <w:rPr>
          <w:rFonts w:ascii="Arial" w:hAnsi="Arial"/>
          <w:b/>
          <w:i/>
          <w:color w:val="A0234E"/>
          <w:spacing w:val="13"/>
          <w:sz w:val="22"/>
        </w:rPr>
        <w:t> </w:t>
      </w:r>
      <w:r>
        <w:rPr>
          <w:rFonts w:ascii="Arial" w:hAnsi="Arial"/>
          <w:b/>
          <w:i/>
          <w:color w:val="A0234E"/>
          <w:sz w:val="22"/>
        </w:rPr>
        <w:t>and</w:t>
      </w:r>
      <w:r>
        <w:rPr>
          <w:rFonts w:ascii="Arial" w:hAnsi="Arial"/>
          <w:b/>
          <w:i/>
          <w:color w:val="A0234E"/>
          <w:spacing w:val="12"/>
          <w:sz w:val="22"/>
        </w:rPr>
        <w:t> </w:t>
      </w:r>
      <w:r>
        <w:rPr>
          <w:rFonts w:ascii="Arial" w:hAnsi="Arial"/>
          <w:b/>
          <w:i/>
          <w:color w:val="A0234E"/>
          <w:spacing w:val="-2"/>
          <w:sz w:val="22"/>
        </w:rPr>
        <w:t>Stroke</w:t>
      </w:r>
    </w:p>
    <w:p>
      <w:pPr>
        <w:pStyle w:val="BodyText"/>
        <w:spacing w:line="249" w:lineRule="auto" w:before="123"/>
        <w:ind w:right="99"/>
      </w:pPr>
      <w:r>
        <w:rPr/>
        <w:t>The WHI reported an overall increase in the estrogen-progestin arm </w:t>
      </w:r>
      <w:r>
        <w:rPr/>
        <w:t>of ischemic stroke, but no increase in fatal strokes.</w:t>
      </w:r>
      <w:r>
        <w:rPr>
          <w:vertAlign w:val="superscript"/>
        </w:rPr>
        <w:t>766,775</w:t>
      </w:r>
      <w:r>
        <w:rPr>
          <w:vertAlign w:val="baseline"/>
        </w:rPr>
        <w:t> The increase in nonfatal ischemic stroke in the estrogen-only arm of the WHI was of</w:t>
      </w:r>
      <w:r>
        <w:rPr>
          <w:spacing w:val="40"/>
          <w:vertAlign w:val="baseline"/>
        </w:rPr>
        <w:t> </w:t>
      </w:r>
      <w:r>
        <w:rPr>
          <w:vertAlign w:val="baseline"/>
        </w:rPr>
        <w:t>similar magnitude.</w:t>
      </w:r>
      <w:r>
        <w:rPr>
          <w:vertAlign w:val="superscript"/>
        </w:rPr>
        <w:t>747,776</w:t>
      </w:r>
      <w:r>
        <w:rPr>
          <w:vertAlign w:val="baseline"/>
        </w:rPr>
        <w:t> A randomized, double-blind, placebo-controlled secondary prevention trial (the WEST trial) of daily 1 mg estradiol therapy was conducted in postmenopausal women after a recent (within 90 days) ischemic stroke or transient ischemic attack (25% of the women).</w:t>
      </w:r>
      <w:r>
        <w:rPr>
          <w:vertAlign w:val="superscript"/>
        </w:rPr>
        <w:t>777</w:t>
      </w:r>
      <w:r>
        <w:rPr>
          <w:vertAlign w:val="baseline"/>
        </w:rPr>
        <w:t> After an average of 2.8 years of follow-up (range 16-50 months), there were no significant overall differences comparing the treatment and placebo groups in any of the assessed outcomes, including nonfatal stroke, fatal stroke, coronary death, nonfatal myocardial infarction, or transient ischemic attack. The WEST trial retrospectively analyzed the time course of cerebrovascular events and found a significantly increased risk of stroke only at 6 months based on 21 strokes in the estradiol group and 9 strokes in the placebo </w:t>
      </w:r>
      <w:r>
        <w:rPr>
          <w:spacing w:val="-2"/>
          <w:vertAlign w:val="baseline"/>
        </w:rPr>
        <w:t>group.</w:t>
      </w:r>
    </w:p>
    <w:p>
      <w:pPr>
        <w:spacing w:line="249" w:lineRule="auto" w:before="19"/>
        <w:ind w:left="99" w:right="98" w:firstLine="450"/>
        <w:jc w:val="both"/>
        <w:rPr>
          <w:b/>
          <w:sz w:val="30"/>
        </w:rPr>
      </w:pPr>
      <w:r>
        <w:rPr>
          <w:sz w:val="30"/>
        </w:rPr>
        <w:t>A</w:t>
      </w:r>
      <w:r>
        <w:rPr>
          <w:spacing w:val="-2"/>
          <w:sz w:val="30"/>
        </w:rPr>
        <w:t> </w:t>
      </w:r>
      <w:r>
        <w:rPr>
          <w:sz w:val="30"/>
        </w:rPr>
        <w:t>major</w:t>
      </w:r>
      <w:r>
        <w:rPr>
          <w:spacing w:val="-2"/>
          <w:sz w:val="30"/>
        </w:rPr>
        <w:t> </w:t>
      </w:r>
      <w:r>
        <w:rPr>
          <w:sz w:val="30"/>
        </w:rPr>
        <w:t>limitation</w:t>
      </w:r>
      <w:r>
        <w:rPr>
          <w:spacing w:val="-2"/>
          <w:sz w:val="30"/>
        </w:rPr>
        <w:t> </w:t>
      </w:r>
      <w:r>
        <w:rPr>
          <w:sz w:val="30"/>
        </w:rPr>
        <w:t>of</w:t>
      </w:r>
      <w:r>
        <w:rPr>
          <w:spacing w:val="-2"/>
          <w:sz w:val="30"/>
        </w:rPr>
        <w:t> </w:t>
      </w:r>
      <w:r>
        <w:rPr>
          <w:sz w:val="30"/>
        </w:rPr>
        <w:t>the</w:t>
      </w:r>
      <w:r>
        <w:rPr>
          <w:spacing w:val="-2"/>
          <w:sz w:val="30"/>
        </w:rPr>
        <w:t> </w:t>
      </w:r>
      <w:r>
        <w:rPr>
          <w:sz w:val="30"/>
        </w:rPr>
        <w:t>WEST</w:t>
      </w:r>
      <w:r>
        <w:rPr>
          <w:spacing w:val="-2"/>
          <w:sz w:val="30"/>
        </w:rPr>
        <w:t> </w:t>
      </w:r>
      <w:r>
        <w:rPr>
          <w:sz w:val="30"/>
        </w:rPr>
        <w:t>study</w:t>
      </w:r>
      <w:r>
        <w:rPr>
          <w:spacing w:val="-2"/>
          <w:sz w:val="30"/>
        </w:rPr>
        <w:t> </w:t>
      </w:r>
      <w:r>
        <w:rPr>
          <w:sz w:val="30"/>
        </w:rPr>
        <w:t>was</w:t>
      </w:r>
      <w:r>
        <w:rPr>
          <w:spacing w:val="-2"/>
          <w:sz w:val="30"/>
        </w:rPr>
        <w:t> </w:t>
      </w:r>
      <w:r>
        <w:rPr>
          <w:sz w:val="30"/>
        </w:rPr>
        <w:t>the</w:t>
      </w:r>
      <w:r>
        <w:rPr>
          <w:spacing w:val="-2"/>
          <w:sz w:val="30"/>
        </w:rPr>
        <w:t> </w:t>
      </w:r>
      <w:r>
        <w:rPr>
          <w:sz w:val="30"/>
        </w:rPr>
        <w:t>reduced</w:t>
      </w:r>
      <w:r>
        <w:rPr>
          <w:spacing w:val="-2"/>
          <w:sz w:val="30"/>
        </w:rPr>
        <w:t> </w:t>
      </w:r>
      <w:r>
        <w:rPr>
          <w:sz w:val="30"/>
        </w:rPr>
        <w:t>compliance</w:t>
      </w:r>
      <w:r>
        <w:rPr>
          <w:spacing w:val="-2"/>
          <w:sz w:val="30"/>
        </w:rPr>
        <w:t> </w:t>
      </w:r>
      <w:r>
        <w:rPr>
          <w:sz w:val="30"/>
        </w:rPr>
        <w:t>with treatment because of the problems associated with unopposed </w:t>
      </w:r>
      <w:r>
        <w:rPr>
          <w:sz w:val="30"/>
        </w:rPr>
        <w:t>estrogen treatment. Over a 3-year period, 116 women in the estradiol group discontinued treatment (34%) compared with 79 in the placebo group (24%). </w:t>
      </w:r>
      <w:r>
        <w:rPr>
          <w:b/>
          <w:sz w:val="30"/>
        </w:rPr>
        <w:t>Nevertheless, the clinical meaning is straightforward: Patients should not be given estrogen treatment after a vascular event in the expectation that recurrent vascular events would be prevented by the initiation of estrogen treatment. However, this recommendation is specifically targeted to women with existing vascular disease.</w:t>
      </w:r>
    </w:p>
    <w:p>
      <w:pPr>
        <w:pStyle w:val="BodyText"/>
        <w:spacing w:line="249" w:lineRule="auto" w:before="11"/>
        <w:ind w:right="101" w:firstLine="450"/>
      </w:pPr>
      <w:r>
        <w:rPr/>
        <w:t>The Nurses’ Health Study reported an update of its data on the use of HT and stroke, focusing on the timing of initiation of treatment and </w:t>
      </w:r>
      <w:r>
        <w:rPr/>
        <w:t>the effect of estrogen doses.</w:t>
      </w:r>
      <w:r>
        <w:rPr>
          <w:vertAlign w:val="superscript"/>
        </w:rPr>
        <w:t>778</w:t>
      </w:r>
      <w:r>
        <w:rPr>
          <w:vertAlign w:val="baseline"/>
        </w:rPr>
        <w:t> In the analyses adjusted for age, BMI, cholesterol levels, diabetes, hypertension, smoking, and family history of early CHD, the following RRs were observed for ischemic stroke (there</w:t>
      </w:r>
      <w:r>
        <w:rPr>
          <w:spacing w:val="40"/>
          <w:vertAlign w:val="baseline"/>
        </w:rPr>
        <w:t> </w:t>
      </w:r>
      <w:r>
        <w:rPr>
          <w:vertAlign w:val="baseline"/>
        </w:rPr>
        <w:t>was no significant increase in hemorrhagic stroke):</w:t>
      </w:r>
    </w:p>
    <w:p>
      <w:pPr>
        <w:spacing w:before="157"/>
        <w:ind w:left="1037" w:right="0" w:firstLine="0"/>
        <w:jc w:val="both"/>
        <w:rPr>
          <w:sz w:val="30"/>
        </w:rPr>
      </w:pPr>
      <w:r>
        <w:rPr>
          <w:b/>
          <w:sz w:val="30"/>
        </w:rPr>
        <w:t>Current</w:t>
      </w:r>
      <w:r>
        <w:rPr>
          <w:b/>
          <w:spacing w:val="-1"/>
          <w:sz w:val="30"/>
        </w:rPr>
        <w:t> </w:t>
      </w:r>
      <w:r>
        <w:rPr>
          <w:b/>
          <w:sz w:val="30"/>
        </w:rPr>
        <w:t>use</w:t>
      </w:r>
      <w:r>
        <w:rPr>
          <w:b/>
          <w:spacing w:val="1"/>
          <w:sz w:val="30"/>
        </w:rPr>
        <w:t> </w:t>
      </w:r>
      <w:r>
        <w:rPr>
          <w:b/>
          <w:sz w:val="30"/>
        </w:rPr>
        <w:t>of</w:t>
      </w:r>
      <w:r>
        <w:rPr>
          <w:b/>
          <w:spacing w:val="1"/>
          <w:sz w:val="30"/>
        </w:rPr>
        <w:t> </w:t>
      </w:r>
      <w:r>
        <w:rPr>
          <w:b/>
          <w:sz w:val="30"/>
        </w:rPr>
        <w:t>estrogen</w:t>
      </w:r>
      <w:r>
        <w:rPr>
          <w:b/>
          <w:spacing w:val="2"/>
          <w:sz w:val="30"/>
        </w:rPr>
        <w:t> </w:t>
      </w:r>
      <w:r>
        <w:rPr>
          <w:b/>
          <w:sz w:val="30"/>
        </w:rPr>
        <w:t>alone: </w:t>
      </w:r>
      <w:r>
        <w:rPr>
          <w:sz w:val="30"/>
        </w:rPr>
        <w:t>RR</w:t>
      </w:r>
      <w:r>
        <w:rPr>
          <w:spacing w:val="1"/>
          <w:sz w:val="30"/>
        </w:rPr>
        <w:t> </w:t>
      </w:r>
      <w:r>
        <w:rPr>
          <w:sz w:val="30"/>
        </w:rPr>
        <w:t>=</w:t>
      </w:r>
      <w:r>
        <w:rPr>
          <w:spacing w:val="2"/>
          <w:sz w:val="30"/>
        </w:rPr>
        <w:t> </w:t>
      </w:r>
      <w:r>
        <w:rPr>
          <w:sz w:val="30"/>
        </w:rPr>
        <w:t>1.43</w:t>
      </w:r>
      <w:r>
        <w:rPr>
          <w:spacing w:val="1"/>
          <w:sz w:val="30"/>
        </w:rPr>
        <w:t> </w:t>
      </w:r>
      <w:r>
        <w:rPr>
          <w:sz w:val="30"/>
        </w:rPr>
        <w:t>(CI</w:t>
      </w:r>
      <w:r>
        <w:rPr>
          <w:spacing w:val="1"/>
          <w:sz w:val="30"/>
        </w:rPr>
        <w:t> </w:t>
      </w:r>
      <w:r>
        <w:rPr>
          <w:sz w:val="30"/>
        </w:rPr>
        <w:t>=</w:t>
      </w:r>
      <w:r>
        <w:rPr>
          <w:spacing w:val="2"/>
          <w:sz w:val="30"/>
        </w:rPr>
        <w:t> </w:t>
      </w:r>
      <w:r>
        <w:rPr>
          <w:sz w:val="30"/>
        </w:rPr>
        <w:t>1.17-</w:t>
      </w:r>
      <w:r>
        <w:rPr>
          <w:spacing w:val="-2"/>
          <w:sz w:val="30"/>
        </w:rPr>
        <w:t>1.74)</w:t>
      </w:r>
    </w:p>
    <w:p>
      <w:pPr>
        <w:spacing w:after="0"/>
        <w:jc w:val="both"/>
        <w:rPr>
          <w:sz w:val="30"/>
        </w:rPr>
        <w:sectPr>
          <w:pgSz w:w="12240" w:h="15840"/>
          <w:pgMar w:top="1380" w:bottom="280" w:left="1440" w:right="1440"/>
        </w:sectPr>
      </w:pPr>
    </w:p>
    <w:p>
      <w:pPr>
        <w:spacing w:before="65"/>
        <w:ind w:left="744" w:right="0" w:firstLine="0"/>
        <w:jc w:val="left"/>
        <w:rPr>
          <w:sz w:val="30"/>
        </w:rPr>
      </w:pPr>
      <w:r>
        <w:rPr>
          <w:b/>
          <w:sz w:val="30"/>
        </w:rPr>
        <w:t>Current</w:t>
      </w:r>
      <w:r>
        <w:rPr>
          <w:b/>
          <w:spacing w:val="4"/>
          <w:sz w:val="30"/>
        </w:rPr>
        <w:t> </w:t>
      </w:r>
      <w:r>
        <w:rPr>
          <w:b/>
          <w:sz w:val="30"/>
        </w:rPr>
        <w:t>use</w:t>
      </w:r>
      <w:r>
        <w:rPr>
          <w:b/>
          <w:spacing w:val="6"/>
          <w:sz w:val="30"/>
        </w:rPr>
        <w:t> </w:t>
      </w:r>
      <w:r>
        <w:rPr>
          <w:b/>
          <w:sz w:val="30"/>
        </w:rPr>
        <w:t>of</w:t>
      </w:r>
      <w:r>
        <w:rPr>
          <w:b/>
          <w:spacing w:val="7"/>
          <w:sz w:val="30"/>
        </w:rPr>
        <w:t> </w:t>
      </w:r>
      <w:r>
        <w:rPr>
          <w:b/>
          <w:sz w:val="30"/>
        </w:rPr>
        <w:t>estrogen-progestin:</w:t>
      </w:r>
      <w:r>
        <w:rPr>
          <w:b/>
          <w:spacing w:val="5"/>
          <w:sz w:val="30"/>
        </w:rPr>
        <w:t> </w:t>
      </w:r>
      <w:r>
        <w:rPr>
          <w:sz w:val="30"/>
        </w:rPr>
        <w:t>RR</w:t>
      </w:r>
      <w:r>
        <w:rPr>
          <w:spacing w:val="6"/>
          <w:sz w:val="30"/>
        </w:rPr>
        <w:t> </w:t>
      </w:r>
      <w:r>
        <w:rPr>
          <w:sz w:val="30"/>
        </w:rPr>
        <w:t>=</w:t>
      </w:r>
      <w:r>
        <w:rPr>
          <w:spacing w:val="6"/>
          <w:sz w:val="30"/>
        </w:rPr>
        <w:t> </w:t>
      </w:r>
      <w:r>
        <w:rPr>
          <w:sz w:val="30"/>
        </w:rPr>
        <w:t>1.53</w:t>
      </w:r>
      <w:r>
        <w:rPr>
          <w:spacing w:val="7"/>
          <w:sz w:val="30"/>
        </w:rPr>
        <w:t> </w:t>
      </w:r>
      <w:r>
        <w:rPr>
          <w:sz w:val="30"/>
        </w:rPr>
        <w:t>(CI</w:t>
      </w:r>
      <w:r>
        <w:rPr>
          <w:spacing w:val="6"/>
          <w:sz w:val="30"/>
        </w:rPr>
        <w:t> </w:t>
      </w:r>
      <w:r>
        <w:rPr>
          <w:sz w:val="30"/>
        </w:rPr>
        <w:t>=</w:t>
      </w:r>
      <w:r>
        <w:rPr>
          <w:spacing w:val="7"/>
          <w:sz w:val="30"/>
        </w:rPr>
        <w:t> </w:t>
      </w:r>
      <w:r>
        <w:rPr>
          <w:sz w:val="30"/>
        </w:rPr>
        <w:t>1.21-</w:t>
      </w:r>
      <w:r>
        <w:rPr>
          <w:spacing w:val="-2"/>
          <w:sz w:val="30"/>
        </w:rPr>
        <w:t>1.95)</w:t>
      </w:r>
    </w:p>
    <w:p>
      <w:pPr>
        <w:pStyle w:val="BodyText"/>
        <w:spacing w:line="249" w:lineRule="auto" w:before="315"/>
        <w:ind w:right="103" w:firstLine="450"/>
      </w:pPr>
      <w:r>
        <w:rPr/>
        <w:t>Comparing the initiation of HT near menopause with initiation 10 </w:t>
      </w:r>
      <w:r>
        <w:rPr/>
        <w:t>years or more after menopause, there was no major difference.</w:t>
      </w:r>
    </w:p>
    <w:p>
      <w:pPr>
        <w:pStyle w:val="BodyText"/>
        <w:spacing w:line="249" w:lineRule="auto" w:before="2"/>
        <w:ind w:right="103" w:firstLine="450"/>
      </w:pPr>
      <w:r>
        <w:rPr/>
        <w:t>The</w:t>
      </w:r>
      <w:r>
        <w:rPr>
          <w:spacing w:val="-2"/>
        </w:rPr>
        <w:t> </w:t>
      </w:r>
      <w:r>
        <w:rPr/>
        <w:t>Nurses’</w:t>
      </w:r>
      <w:r>
        <w:rPr>
          <w:spacing w:val="-2"/>
        </w:rPr>
        <w:t> </w:t>
      </w:r>
      <w:r>
        <w:rPr/>
        <w:t>Health</w:t>
      </w:r>
      <w:r>
        <w:rPr>
          <w:spacing w:val="-2"/>
        </w:rPr>
        <w:t> </w:t>
      </w:r>
      <w:r>
        <w:rPr/>
        <w:t>Study</w:t>
      </w:r>
      <w:r>
        <w:rPr>
          <w:spacing w:val="-2"/>
        </w:rPr>
        <w:t> </w:t>
      </w:r>
      <w:r>
        <w:rPr/>
        <w:t>also</w:t>
      </w:r>
      <w:r>
        <w:rPr>
          <w:spacing w:val="-2"/>
        </w:rPr>
        <w:t> </w:t>
      </w:r>
      <w:r>
        <w:rPr/>
        <w:t>reported</w:t>
      </w:r>
      <w:r>
        <w:rPr>
          <w:spacing w:val="-2"/>
        </w:rPr>
        <w:t> </w:t>
      </w:r>
      <w:r>
        <w:rPr/>
        <w:t>an</w:t>
      </w:r>
      <w:r>
        <w:rPr>
          <w:spacing w:val="-2"/>
        </w:rPr>
        <w:t> </w:t>
      </w:r>
      <w:r>
        <w:rPr/>
        <w:t>increasing</w:t>
      </w:r>
      <w:r>
        <w:rPr>
          <w:spacing w:val="-2"/>
        </w:rPr>
        <w:t> </w:t>
      </w:r>
      <w:r>
        <w:rPr/>
        <w:t>risk</w:t>
      </w:r>
      <w:r>
        <w:rPr>
          <w:spacing w:val="-2"/>
        </w:rPr>
        <w:t> </w:t>
      </w:r>
      <w:r>
        <w:rPr/>
        <w:t>of</w:t>
      </w:r>
      <w:r>
        <w:rPr>
          <w:spacing w:val="-2"/>
        </w:rPr>
        <w:t> </w:t>
      </w:r>
      <w:r>
        <w:rPr/>
        <w:t>stroke</w:t>
      </w:r>
      <w:r>
        <w:rPr>
          <w:spacing w:val="-2"/>
        </w:rPr>
        <w:t> </w:t>
      </w:r>
      <w:r>
        <w:rPr/>
        <w:t>with an increasing dose of estrogen (</w:t>
      </w:r>
      <w:r>
        <w:rPr>
          <w:b/>
          <w:color w:val="256E60"/>
        </w:rPr>
        <w:t>Table 22.7</w:t>
      </w:r>
      <w:r>
        <w:rPr/>
        <w:t>).</w:t>
      </w:r>
    </w:p>
    <w:p>
      <w:pPr>
        <w:spacing w:line="249" w:lineRule="auto" w:before="3"/>
        <w:ind w:left="99" w:right="101" w:firstLine="450"/>
        <w:jc w:val="both"/>
        <w:rPr>
          <w:b/>
          <w:sz w:val="30"/>
        </w:rPr>
      </w:pPr>
      <w:r>
        <w:rPr>
          <w:b/>
          <w:sz w:val="30"/>
        </w:rPr>
        <w:t>It is not easy to derive a take-home message from the Nurses’ Health Study report. The authors stated that their findings are “virtually identical to those of the WHI trials.” However, in the last report</w:t>
      </w:r>
      <w:r>
        <w:rPr>
          <w:b/>
          <w:spacing w:val="-4"/>
          <w:sz w:val="30"/>
        </w:rPr>
        <w:t> </w:t>
      </w:r>
      <w:r>
        <w:rPr>
          <w:b/>
          <w:sz w:val="30"/>
        </w:rPr>
        <w:t>from</w:t>
      </w:r>
      <w:r>
        <w:rPr>
          <w:b/>
          <w:spacing w:val="-4"/>
          <w:sz w:val="30"/>
        </w:rPr>
        <w:t> </w:t>
      </w:r>
      <w:r>
        <w:rPr>
          <w:b/>
          <w:sz w:val="30"/>
        </w:rPr>
        <w:t>the</w:t>
      </w:r>
      <w:r>
        <w:rPr>
          <w:b/>
          <w:spacing w:val="-4"/>
          <w:sz w:val="30"/>
        </w:rPr>
        <w:t> </w:t>
      </w:r>
      <w:r>
        <w:rPr>
          <w:b/>
          <w:sz w:val="30"/>
        </w:rPr>
        <w:t>WHI,</w:t>
      </w:r>
      <w:r>
        <w:rPr>
          <w:b/>
          <w:spacing w:val="-4"/>
          <w:sz w:val="30"/>
        </w:rPr>
        <w:t> </w:t>
      </w:r>
      <w:r>
        <w:rPr>
          <w:b/>
          <w:sz w:val="30"/>
        </w:rPr>
        <w:t>when</w:t>
      </w:r>
      <w:r>
        <w:rPr>
          <w:b/>
          <w:spacing w:val="-4"/>
          <w:sz w:val="30"/>
        </w:rPr>
        <w:t> </w:t>
      </w:r>
      <w:r>
        <w:rPr>
          <w:b/>
          <w:sz w:val="30"/>
        </w:rPr>
        <w:t>women</w:t>
      </w:r>
      <w:r>
        <w:rPr>
          <w:b/>
          <w:spacing w:val="-4"/>
          <w:sz w:val="30"/>
        </w:rPr>
        <w:t> </w:t>
      </w:r>
      <w:r>
        <w:rPr>
          <w:b/>
          <w:sz w:val="30"/>
        </w:rPr>
        <w:t>with</w:t>
      </w:r>
      <w:r>
        <w:rPr>
          <w:b/>
          <w:spacing w:val="-4"/>
          <w:sz w:val="30"/>
        </w:rPr>
        <w:t> </w:t>
      </w:r>
      <w:r>
        <w:rPr>
          <w:b/>
          <w:sz w:val="30"/>
        </w:rPr>
        <w:t>prior</w:t>
      </w:r>
      <w:r>
        <w:rPr>
          <w:b/>
          <w:spacing w:val="-4"/>
          <w:sz w:val="30"/>
        </w:rPr>
        <w:t> </w:t>
      </w:r>
      <w:r>
        <w:rPr>
          <w:b/>
          <w:sz w:val="30"/>
        </w:rPr>
        <w:t>CVD</w:t>
      </w:r>
      <w:r>
        <w:rPr>
          <w:b/>
          <w:spacing w:val="-4"/>
          <w:sz w:val="30"/>
        </w:rPr>
        <w:t> </w:t>
      </w:r>
      <w:r>
        <w:rPr>
          <w:b/>
          <w:sz w:val="30"/>
        </w:rPr>
        <w:t>or</w:t>
      </w:r>
      <w:r>
        <w:rPr>
          <w:b/>
          <w:spacing w:val="-4"/>
          <w:sz w:val="30"/>
        </w:rPr>
        <w:t> </w:t>
      </w:r>
      <w:r>
        <w:rPr>
          <w:b/>
          <w:sz w:val="30"/>
        </w:rPr>
        <w:t>those</w:t>
      </w:r>
      <w:r>
        <w:rPr>
          <w:b/>
          <w:spacing w:val="-4"/>
          <w:sz w:val="30"/>
        </w:rPr>
        <w:t> </w:t>
      </w:r>
      <w:r>
        <w:rPr>
          <w:b/>
          <w:sz w:val="30"/>
        </w:rPr>
        <w:t>older</w:t>
      </w:r>
      <w:r>
        <w:rPr>
          <w:b/>
          <w:spacing w:val="-4"/>
          <w:sz w:val="30"/>
        </w:rPr>
        <w:t> </w:t>
      </w:r>
      <w:r>
        <w:rPr>
          <w:b/>
          <w:sz w:val="30"/>
        </w:rPr>
        <w:t>than 60 years were excluded, the risk of stroke with hormone use in women less than 10 years since their menopause was not significantly increased.</w:t>
      </w:r>
      <w:r>
        <w:rPr>
          <w:sz w:val="30"/>
          <w:vertAlign w:val="superscript"/>
        </w:rPr>
        <w:t>779</w:t>
      </w:r>
      <w:r>
        <w:rPr>
          <w:sz w:val="30"/>
          <w:vertAlign w:val="baseline"/>
        </w:rPr>
        <w:t> </w:t>
      </w:r>
      <w:r>
        <w:rPr>
          <w:b/>
          <w:sz w:val="30"/>
          <w:vertAlign w:val="baseline"/>
        </w:rPr>
        <w:t>Therefore, there is disagreement.</w:t>
      </w:r>
    </w:p>
    <w:p>
      <w:pPr>
        <w:pStyle w:val="BodyText"/>
        <w:spacing w:before="0"/>
        <w:ind w:left="0"/>
        <w:jc w:val="left"/>
        <w:rPr>
          <w:b/>
          <w:sz w:val="20"/>
        </w:rPr>
      </w:pPr>
    </w:p>
    <w:p>
      <w:pPr>
        <w:pStyle w:val="BodyText"/>
        <w:spacing w:before="143"/>
        <w:ind w:left="0"/>
        <w:jc w:val="left"/>
        <w:rPr>
          <w:b/>
          <w:sz w:val="20"/>
        </w:rPr>
      </w:pPr>
    </w:p>
    <w:tbl>
      <w:tblPr>
        <w:tblW w:w="0" w:type="auto"/>
        <w:jc w:val="left"/>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1"/>
        <w:gridCol w:w="1940"/>
        <w:gridCol w:w="4778"/>
      </w:tblGrid>
      <w:tr>
        <w:trPr>
          <w:trHeight w:val="449" w:hRule="atLeast"/>
        </w:trPr>
        <w:tc>
          <w:tcPr>
            <w:tcW w:w="9149" w:type="dxa"/>
            <w:gridSpan w:val="3"/>
            <w:shd w:val="clear" w:color="auto" w:fill="256E60"/>
          </w:tcPr>
          <w:p>
            <w:pPr>
              <w:pStyle w:val="TableParagraph"/>
              <w:tabs>
                <w:tab w:pos="1605" w:val="left" w:leader="none"/>
              </w:tabs>
              <w:spacing w:before="93"/>
              <w:rPr>
                <w:rFonts w:ascii="Arial"/>
                <w:sz w:val="22"/>
              </w:rPr>
            </w:pPr>
            <w:r>
              <w:rPr>
                <w:rFonts w:ascii="Arial"/>
                <w:b/>
                <w:color w:val="FFFFFF"/>
                <w:sz w:val="22"/>
              </w:rPr>
              <w:t>TABLE</w:t>
            </w:r>
            <w:r>
              <w:rPr>
                <w:rFonts w:ascii="Arial"/>
                <w:b/>
                <w:color w:val="FFFFFF"/>
                <w:spacing w:val="-2"/>
                <w:sz w:val="22"/>
              </w:rPr>
              <w:t> </w:t>
            </w:r>
            <w:r>
              <w:rPr>
                <w:rFonts w:ascii="Arial"/>
                <w:b/>
                <w:color w:val="FFFFFF"/>
                <w:spacing w:val="-4"/>
                <w:sz w:val="22"/>
              </w:rPr>
              <w:t>22.7</w:t>
            </w:r>
            <w:r>
              <w:rPr>
                <w:rFonts w:ascii="Arial"/>
                <w:b/>
                <w:color w:val="FFFFFF"/>
                <w:sz w:val="22"/>
              </w:rPr>
              <w:tab/>
            </w:r>
            <w:r>
              <w:rPr>
                <w:rFonts w:ascii="Arial"/>
                <w:color w:val="FFFFFF"/>
                <w:sz w:val="22"/>
              </w:rPr>
              <w:t>Estrogen</w:t>
            </w:r>
            <w:r>
              <w:rPr>
                <w:rFonts w:ascii="Arial"/>
                <w:color w:val="FFFFFF"/>
                <w:spacing w:val="12"/>
                <w:sz w:val="22"/>
              </w:rPr>
              <w:t> </w:t>
            </w:r>
            <w:r>
              <w:rPr>
                <w:rFonts w:ascii="Arial"/>
                <w:color w:val="FFFFFF"/>
                <w:sz w:val="22"/>
              </w:rPr>
              <w:t>Dose</w:t>
            </w:r>
            <w:r>
              <w:rPr>
                <w:rFonts w:ascii="Arial"/>
                <w:color w:val="FFFFFF"/>
                <w:spacing w:val="13"/>
                <w:sz w:val="22"/>
              </w:rPr>
              <w:t> </w:t>
            </w:r>
            <w:r>
              <w:rPr>
                <w:rFonts w:ascii="Arial"/>
                <w:color w:val="FFFFFF"/>
                <w:sz w:val="22"/>
              </w:rPr>
              <w:t>and</w:t>
            </w:r>
            <w:r>
              <w:rPr>
                <w:rFonts w:ascii="Arial"/>
                <w:color w:val="FFFFFF"/>
                <w:spacing w:val="13"/>
                <w:sz w:val="22"/>
              </w:rPr>
              <w:t> </w:t>
            </w:r>
            <w:r>
              <w:rPr>
                <w:rFonts w:ascii="Arial"/>
                <w:color w:val="FFFFFF"/>
                <w:sz w:val="22"/>
              </w:rPr>
              <w:t>Stroke</w:t>
            </w:r>
            <w:r>
              <w:rPr>
                <w:rFonts w:ascii="Arial"/>
                <w:color w:val="FFFFFF"/>
                <w:spacing w:val="13"/>
                <w:sz w:val="22"/>
              </w:rPr>
              <w:t> </w:t>
            </w:r>
            <w:r>
              <w:rPr>
                <w:rFonts w:ascii="Arial"/>
                <w:color w:val="FFFFFF"/>
                <w:spacing w:val="-4"/>
                <w:sz w:val="22"/>
              </w:rPr>
              <w:t>Risk</w:t>
            </w:r>
          </w:p>
        </w:tc>
      </w:tr>
      <w:tr>
        <w:trPr>
          <w:trHeight w:val="539" w:hRule="atLeast"/>
        </w:trPr>
        <w:tc>
          <w:tcPr>
            <w:tcW w:w="2431" w:type="dxa"/>
            <w:tcBorders>
              <w:bottom w:val="single" w:sz="6" w:space="0" w:color="256E60"/>
            </w:tcBorders>
            <w:shd w:val="clear" w:color="auto" w:fill="DDE6E3"/>
          </w:tcPr>
          <w:p>
            <w:pPr>
              <w:pStyle w:val="TableParagraph"/>
              <w:spacing w:before="138"/>
              <w:rPr>
                <w:rFonts w:ascii="Arial"/>
                <w:b/>
                <w:sz w:val="22"/>
              </w:rPr>
            </w:pPr>
            <w:r>
              <w:rPr>
                <w:rFonts w:ascii="Arial"/>
                <w:b/>
                <w:color w:val="1C5349"/>
                <w:sz w:val="22"/>
              </w:rPr>
              <w:t>0.3-mg</w:t>
            </w:r>
            <w:r>
              <w:rPr>
                <w:rFonts w:ascii="Arial"/>
                <w:b/>
                <w:color w:val="1C5349"/>
                <w:spacing w:val="15"/>
                <w:sz w:val="22"/>
              </w:rPr>
              <w:t> </w:t>
            </w:r>
            <w:r>
              <w:rPr>
                <w:rFonts w:ascii="Arial"/>
                <w:b/>
                <w:color w:val="1C5349"/>
                <w:spacing w:val="-2"/>
                <w:sz w:val="22"/>
              </w:rPr>
              <w:t>estrogen</w:t>
            </w:r>
          </w:p>
        </w:tc>
        <w:tc>
          <w:tcPr>
            <w:tcW w:w="1940" w:type="dxa"/>
            <w:tcBorders>
              <w:bottom w:val="single" w:sz="6" w:space="0" w:color="256E60"/>
            </w:tcBorders>
            <w:shd w:val="clear" w:color="auto" w:fill="DDE6E3"/>
          </w:tcPr>
          <w:p>
            <w:pPr>
              <w:pStyle w:val="TableParagraph"/>
              <w:spacing w:before="138"/>
              <w:ind w:left="608"/>
              <w:rPr>
                <w:rFonts w:ascii="Arial"/>
                <w:b/>
                <w:sz w:val="22"/>
              </w:rPr>
            </w:pPr>
            <w:r>
              <w:rPr>
                <w:rFonts w:ascii="Arial"/>
                <w:b/>
                <w:color w:val="1C5349"/>
                <w:sz w:val="22"/>
              </w:rPr>
              <w:t>25</w:t>
            </w:r>
            <w:r>
              <w:rPr>
                <w:rFonts w:ascii="Arial"/>
                <w:b/>
                <w:color w:val="1C5349"/>
                <w:spacing w:val="5"/>
                <w:sz w:val="22"/>
              </w:rPr>
              <w:t> </w:t>
            </w:r>
            <w:r>
              <w:rPr>
                <w:rFonts w:ascii="Arial"/>
                <w:b/>
                <w:color w:val="1C5349"/>
                <w:spacing w:val="-2"/>
                <w:sz w:val="22"/>
              </w:rPr>
              <w:t>cases</w:t>
            </w:r>
          </w:p>
        </w:tc>
        <w:tc>
          <w:tcPr>
            <w:tcW w:w="4778" w:type="dxa"/>
            <w:tcBorders>
              <w:bottom w:val="single" w:sz="6" w:space="0" w:color="256E60"/>
            </w:tcBorders>
            <w:shd w:val="clear" w:color="auto" w:fill="DDE6E3"/>
          </w:tcPr>
          <w:p>
            <w:pPr>
              <w:pStyle w:val="TableParagraph"/>
              <w:spacing w:before="138"/>
              <w:ind w:left="393"/>
              <w:rPr>
                <w:rFonts w:ascii="Arial"/>
                <w:b/>
                <w:sz w:val="22"/>
              </w:rPr>
            </w:pPr>
            <w:r>
              <w:rPr>
                <w:rFonts w:ascii="Arial"/>
                <w:b/>
                <w:color w:val="1C5349"/>
                <w:w w:val="105"/>
                <w:sz w:val="22"/>
              </w:rPr>
              <w:t>RR</w:t>
            </w:r>
            <w:r>
              <w:rPr>
                <w:rFonts w:ascii="Arial"/>
                <w:b/>
                <w:color w:val="1C5349"/>
                <w:spacing w:val="-8"/>
                <w:w w:val="105"/>
                <w:sz w:val="22"/>
              </w:rPr>
              <w:t> </w:t>
            </w:r>
            <w:r>
              <w:rPr>
                <w:rFonts w:ascii="Arial"/>
                <w:b/>
                <w:color w:val="1C5349"/>
                <w:w w:val="105"/>
                <w:sz w:val="22"/>
              </w:rPr>
              <w:t>=</w:t>
            </w:r>
            <w:r>
              <w:rPr>
                <w:rFonts w:ascii="Arial"/>
                <w:b/>
                <w:color w:val="1C5349"/>
                <w:spacing w:val="-8"/>
                <w:w w:val="105"/>
                <w:sz w:val="22"/>
              </w:rPr>
              <w:t> </w:t>
            </w:r>
            <w:r>
              <w:rPr>
                <w:rFonts w:ascii="Arial"/>
                <w:b/>
                <w:color w:val="1C5349"/>
                <w:w w:val="105"/>
                <w:sz w:val="22"/>
              </w:rPr>
              <w:t>0.93</w:t>
            </w:r>
            <w:r>
              <w:rPr>
                <w:rFonts w:ascii="Arial"/>
                <w:b/>
                <w:color w:val="1C5349"/>
                <w:spacing w:val="-8"/>
                <w:w w:val="105"/>
                <w:sz w:val="22"/>
              </w:rPr>
              <w:t> </w:t>
            </w:r>
            <w:r>
              <w:rPr>
                <w:rFonts w:ascii="Arial"/>
                <w:b/>
                <w:color w:val="1C5349"/>
                <w:w w:val="105"/>
                <w:sz w:val="22"/>
              </w:rPr>
              <w:t>(CI</w:t>
            </w:r>
            <w:r>
              <w:rPr>
                <w:rFonts w:ascii="Arial"/>
                <w:b/>
                <w:color w:val="1C5349"/>
                <w:spacing w:val="-8"/>
                <w:w w:val="105"/>
                <w:sz w:val="22"/>
              </w:rPr>
              <w:t> </w:t>
            </w:r>
            <w:r>
              <w:rPr>
                <w:rFonts w:ascii="Arial"/>
                <w:b/>
                <w:color w:val="1C5349"/>
                <w:w w:val="105"/>
                <w:sz w:val="22"/>
              </w:rPr>
              <w:t>=</w:t>
            </w:r>
            <w:r>
              <w:rPr>
                <w:rFonts w:ascii="Arial"/>
                <w:b/>
                <w:color w:val="1C5349"/>
                <w:spacing w:val="-8"/>
                <w:w w:val="105"/>
                <w:sz w:val="22"/>
              </w:rPr>
              <w:t> </w:t>
            </w:r>
            <w:r>
              <w:rPr>
                <w:rFonts w:ascii="Arial"/>
                <w:b/>
                <w:color w:val="1C5349"/>
                <w:w w:val="105"/>
                <w:sz w:val="22"/>
              </w:rPr>
              <w:t>0.62-</w:t>
            </w:r>
            <w:r>
              <w:rPr>
                <w:rFonts w:ascii="Arial"/>
                <w:b/>
                <w:color w:val="1C5349"/>
                <w:spacing w:val="-2"/>
                <w:w w:val="105"/>
                <w:sz w:val="22"/>
              </w:rPr>
              <w:t>1.40)</w:t>
            </w:r>
          </w:p>
        </w:tc>
      </w:tr>
      <w:tr>
        <w:trPr>
          <w:trHeight w:val="554" w:hRule="atLeast"/>
        </w:trPr>
        <w:tc>
          <w:tcPr>
            <w:tcW w:w="2431" w:type="dxa"/>
            <w:tcBorders>
              <w:top w:val="single" w:sz="6" w:space="0" w:color="256E60"/>
              <w:bottom w:val="single" w:sz="6" w:space="0" w:color="1C5349"/>
            </w:tcBorders>
          </w:tcPr>
          <w:p>
            <w:pPr>
              <w:pStyle w:val="TableParagraph"/>
              <w:rPr>
                <w:sz w:val="22"/>
              </w:rPr>
            </w:pPr>
            <w:r>
              <w:rPr>
                <w:sz w:val="22"/>
              </w:rPr>
              <w:t>0.625</w:t>
            </w:r>
            <w:r>
              <w:rPr>
                <w:spacing w:val="10"/>
                <w:sz w:val="22"/>
              </w:rPr>
              <w:t> </w:t>
            </w:r>
            <w:r>
              <w:rPr>
                <w:spacing w:val="-5"/>
                <w:sz w:val="22"/>
              </w:rPr>
              <w:t>mg</w:t>
            </w:r>
          </w:p>
        </w:tc>
        <w:tc>
          <w:tcPr>
            <w:tcW w:w="1940" w:type="dxa"/>
            <w:tcBorders>
              <w:top w:val="single" w:sz="6" w:space="0" w:color="256E60"/>
              <w:bottom w:val="single" w:sz="6" w:space="0" w:color="1C5349"/>
            </w:tcBorders>
          </w:tcPr>
          <w:p>
            <w:pPr>
              <w:pStyle w:val="TableParagraph"/>
              <w:ind w:left="608"/>
              <w:rPr>
                <w:sz w:val="22"/>
              </w:rPr>
            </w:pPr>
            <w:r>
              <w:rPr>
                <w:sz w:val="22"/>
              </w:rPr>
              <w:t>268</w:t>
            </w:r>
            <w:r>
              <w:rPr>
                <w:spacing w:val="7"/>
                <w:sz w:val="22"/>
              </w:rPr>
              <w:t> </w:t>
            </w:r>
            <w:r>
              <w:rPr>
                <w:spacing w:val="-2"/>
                <w:sz w:val="22"/>
              </w:rPr>
              <w:t>cases</w:t>
            </w:r>
          </w:p>
        </w:tc>
        <w:tc>
          <w:tcPr>
            <w:tcW w:w="4778" w:type="dxa"/>
            <w:tcBorders>
              <w:top w:val="single" w:sz="6" w:space="0" w:color="256E60"/>
              <w:bottom w:val="single" w:sz="6" w:space="0" w:color="1C5349"/>
            </w:tcBorders>
          </w:tcPr>
          <w:p>
            <w:pPr>
              <w:pStyle w:val="TableParagraph"/>
              <w:ind w:left="393"/>
              <w:rPr>
                <w:sz w:val="22"/>
              </w:rPr>
            </w:pPr>
            <w:r>
              <w:rPr>
                <w:w w:val="105"/>
                <w:sz w:val="22"/>
              </w:rPr>
              <w:t>RR</w:t>
            </w:r>
            <w:r>
              <w:rPr>
                <w:spacing w:val="-9"/>
                <w:w w:val="105"/>
                <w:sz w:val="22"/>
              </w:rPr>
              <w:t> </w:t>
            </w:r>
            <w:r>
              <w:rPr>
                <w:w w:val="105"/>
                <w:sz w:val="22"/>
              </w:rPr>
              <w:t>=</w:t>
            </w:r>
            <w:r>
              <w:rPr>
                <w:spacing w:val="-8"/>
                <w:w w:val="105"/>
                <w:sz w:val="22"/>
              </w:rPr>
              <w:t> </w:t>
            </w:r>
            <w:r>
              <w:rPr>
                <w:w w:val="105"/>
                <w:sz w:val="22"/>
              </w:rPr>
              <w:t>1.54</w:t>
            </w:r>
            <w:r>
              <w:rPr>
                <w:spacing w:val="-8"/>
                <w:w w:val="105"/>
                <w:sz w:val="22"/>
              </w:rPr>
              <w:t> </w:t>
            </w:r>
            <w:r>
              <w:rPr>
                <w:w w:val="105"/>
                <w:sz w:val="22"/>
              </w:rPr>
              <w:t>(CI</w:t>
            </w:r>
            <w:r>
              <w:rPr>
                <w:spacing w:val="-8"/>
                <w:w w:val="105"/>
                <w:sz w:val="22"/>
              </w:rPr>
              <w:t> </w:t>
            </w:r>
            <w:r>
              <w:rPr>
                <w:w w:val="105"/>
                <w:sz w:val="22"/>
              </w:rPr>
              <w:t>=</w:t>
            </w:r>
            <w:r>
              <w:rPr>
                <w:spacing w:val="-8"/>
                <w:w w:val="105"/>
                <w:sz w:val="22"/>
              </w:rPr>
              <w:t> </w:t>
            </w:r>
            <w:r>
              <w:rPr>
                <w:w w:val="105"/>
                <w:sz w:val="22"/>
              </w:rPr>
              <w:t>1.31-</w:t>
            </w:r>
            <w:r>
              <w:rPr>
                <w:spacing w:val="-2"/>
                <w:w w:val="105"/>
                <w:sz w:val="22"/>
              </w:rPr>
              <w:t>1.81)</w:t>
            </w:r>
          </w:p>
        </w:tc>
      </w:tr>
      <w:tr>
        <w:trPr>
          <w:trHeight w:val="554" w:hRule="atLeast"/>
        </w:trPr>
        <w:tc>
          <w:tcPr>
            <w:tcW w:w="2431" w:type="dxa"/>
            <w:tcBorders>
              <w:top w:val="single" w:sz="6" w:space="0" w:color="1C5349"/>
              <w:bottom w:val="single" w:sz="6" w:space="0" w:color="1C5349"/>
            </w:tcBorders>
          </w:tcPr>
          <w:p>
            <w:pPr>
              <w:pStyle w:val="TableParagraph"/>
              <w:rPr>
                <w:sz w:val="22"/>
              </w:rPr>
            </w:pPr>
            <w:r>
              <w:rPr>
                <w:sz w:val="22"/>
              </w:rPr>
              <w:t>1.25</w:t>
            </w:r>
            <w:r>
              <w:rPr>
                <w:spacing w:val="8"/>
                <w:sz w:val="22"/>
              </w:rPr>
              <w:t> </w:t>
            </w:r>
            <w:r>
              <w:rPr>
                <w:spacing w:val="-5"/>
                <w:sz w:val="22"/>
              </w:rPr>
              <w:t>mg</w:t>
            </w:r>
          </w:p>
        </w:tc>
        <w:tc>
          <w:tcPr>
            <w:tcW w:w="1940" w:type="dxa"/>
            <w:tcBorders>
              <w:top w:val="single" w:sz="6" w:space="0" w:color="1C5349"/>
              <w:bottom w:val="single" w:sz="6" w:space="0" w:color="1C5349"/>
            </w:tcBorders>
          </w:tcPr>
          <w:p>
            <w:pPr>
              <w:pStyle w:val="TableParagraph"/>
              <w:ind w:left="608"/>
              <w:rPr>
                <w:sz w:val="22"/>
              </w:rPr>
            </w:pPr>
            <w:r>
              <w:rPr>
                <w:sz w:val="22"/>
              </w:rPr>
              <w:t>60</w:t>
            </w:r>
            <w:r>
              <w:rPr>
                <w:spacing w:val="5"/>
                <w:sz w:val="22"/>
              </w:rPr>
              <w:t> </w:t>
            </w:r>
            <w:r>
              <w:rPr>
                <w:spacing w:val="-2"/>
                <w:sz w:val="22"/>
              </w:rPr>
              <w:t>cases</w:t>
            </w:r>
          </w:p>
        </w:tc>
        <w:tc>
          <w:tcPr>
            <w:tcW w:w="4778" w:type="dxa"/>
            <w:tcBorders>
              <w:top w:val="single" w:sz="6" w:space="0" w:color="1C5349"/>
              <w:bottom w:val="single" w:sz="6" w:space="0" w:color="1C5349"/>
            </w:tcBorders>
          </w:tcPr>
          <w:p>
            <w:pPr>
              <w:pStyle w:val="TableParagraph"/>
              <w:ind w:left="393"/>
              <w:rPr>
                <w:sz w:val="22"/>
              </w:rPr>
            </w:pPr>
            <w:r>
              <w:rPr>
                <w:w w:val="105"/>
                <w:sz w:val="22"/>
              </w:rPr>
              <w:t>RR</w:t>
            </w:r>
            <w:r>
              <w:rPr>
                <w:spacing w:val="-9"/>
                <w:w w:val="105"/>
                <w:sz w:val="22"/>
              </w:rPr>
              <w:t> </w:t>
            </w:r>
            <w:r>
              <w:rPr>
                <w:w w:val="105"/>
                <w:sz w:val="22"/>
              </w:rPr>
              <w:t>=</w:t>
            </w:r>
            <w:r>
              <w:rPr>
                <w:spacing w:val="-8"/>
                <w:w w:val="105"/>
                <w:sz w:val="22"/>
              </w:rPr>
              <w:t> </w:t>
            </w:r>
            <w:r>
              <w:rPr>
                <w:w w:val="105"/>
                <w:sz w:val="22"/>
              </w:rPr>
              <w:t>1.62</w:t>
            </w:r>
            <w:r>
              <w:rPr>
                <w:spacing w:val="-8"/>
                <w:w w:val="105"/>
                <w:sz w:val="22"/>
              </w:rPr>
              <w:t> </w:t>
            </w:r>
            <w:r>
              <w:rPr>
                <w:w w:val="105"/>
                <w:sz w:val="22"/>
              </w:rPr>
              <w:t>(CI</w:t>
            </w:r>
            <w:r>
              <w:rPr>
                <w:spacing w:val="-8"/>
                <w:w w:val="105"/>
                <w:sz w:val="22"/>
              </w:rPr>
              <w:t> </w:t>
            </w:r>
            <w:r>
              <w:rPr>
                <w:w w:val="105"/>
                <w:sz w:val="22"/>
              </w:rPr>
              <w:t>=</w:t>
            </w:r>
            <w:r>
              <w:rPr>
                <w:spacing w:val="-8"/>
                <w:w w:val="105"/>
                <w:sz w:val="22"/>
              </w:rPr>
              <w:t> </w:t>
            </w:r>
            <w:r>
              <w:rPr>
                <w:w w:val="105"/>
                <w:sz w:val="22"/>
              </w:rPr>
              <w:t>1.23-</w:t>
            </w:r>
            <w:r>
              <w:rPr>
                <w:spacing w:val="-2"/>
                <w:w w:val="105"/>
                <w:sz w:val="22"/>
              </w:rPr>
              <w:t>2.14)</w:t>
            </w:r>
          </w:p>
        </w:tc>
      </w:tr>
    </w:tbl>
    <w:p>
      <w:pPr>
        <w:spacing w:before="158"/>
        <w:ind w:left="99" w:right="0" w:firstLine="0"/>
        <w:jc w:val="left"/>
        <w:rPr>
          <w:sz w:val="22"/>
        </w:rPr>
      </w:pPr>
      <w:r>
        <w:rPr>
          <w:sz w:val="22"/>
        </w:rPr>
        <w:t>CI,</w:t>
      </w:r>
      <w:r>
        <w:rPr>
          <w:spacing w:val="12"/>
          <w:sz w:val="22"/>
        </w:rPr>
        <w:t> </w:t>
      </w:r>
      <w:r>
        <w:rPr>
          <w:sz w:val="22"/>
        </w:rPr>
        <w:t>confidence</w:t>
      </w:r>
      <w:r>
        <w:rPr>
          <w:spacing w:val="13"/>
          <w:sz w:val="22"/>
        </w:rPr>
        <w:t> </w:t>
      </w:r>
      <w:r>
        <w:rPr>
          <w:sz w:val="22"/>
        </w:rPr>
        <w:t>interval;</w:t>
      </w:r>
      <w:r>
        <w:rPr>
          <w:spacing w:val="13"/>
          <w:sz w:val="22"/>
        </w:rPr>
        <w:t> </w:t>
      </w:r>
      <w:r>
        <w:rPr>
          <w:sz w:val="22"/>
        </w:rPr>
        <w:t>RR,</w:t>
      </w:r>
      <w:r>
        <w:rPr>
          <w:spacing w:val="13"/>
          <w:sz w:val="22"/>
        </w:rPr>
        <w:t> </w:t>
      </w:r>
      <w:r>
        <w:rPr>
          <w:sz w:val="22"/>
        </w:rPr>
        <w:t>relative</w:t>
      </w:r>
      <w:r>
        <w:rPr>
          <w:spacing w:val="13"/>
          <w:sz w:val="22"/>
        </w:rPr>
        <w:t> </w:t>
      </w:r>
      <w:r>
        <w:rPr>
          <w:spacing w:val="-2"/>
          <w:sz w:val="22"/>
        </w:rPr>
        <w:t>risk.</w:t>
      </w:r>
    </w:p>
    <w:p>
      <w:pPr>
        <w:pStyle w:val="BodyText"/>
        <w:spacing w:before="215"/>
        <w:ind w:left="0"/>
        <w:jc w:val="left"/>
        <w:rPr>
          <w:sz w:val="22"/>
        </w:rPr>
      </w:pPr>
    </w:p>
    <w:p>
      <w:pPr>
        <w:spacing w:line="249" w:lineRule="auto" w:before="0"/>
        <w:ind w:left="99" w:right="98" w:firstLine="450"/>
        <w:jc w:val="both"/>
        <w:rPr>
          <w:b/>
          <w:sz w:val="30"/>
        </w:rPr>
      </w:pPr>
      <w:r>
        <w:rPr>
          <w:b/>
          <w:sz w:val="30"/>
        </w:rPr>
        <w:t>In women with risk factors for stroke, it is prudent to use low doses of estrogen and to vigorously address the risk factors, such as effective treatment of hypertension. Would the transdermal route of hormone administration be safer? This is an important question that cannot be categorically answered because of the lack of high-quality prospective data. However, as has been discussed earlier in this chapter, it is quite plausible that transdermal HT confers a lower risk of thrombosis compared to oral formulations. Therefore, it seems wise to preferentially recommend transdermal route of HT for older postmenopausal hormone users.</w:t>
      </w:r>
    </w:p>
    <w:p>
      <w:pPr>
        <w:pStyle w:val="BodyText"/>
        <w:spacing w:before="56"/>
        <w:ind w:left="0"/>
        <w:jc w:val="left"/>
        <w:rPr>
          <w:b/>
        </w:rPr>
      </w:pPr>
    </w:p>
    <w:p>
      <w:pPr>
        <w:spacing w:before="0"/>
        <w:ind w:left="99" w:right="0" w:firstLine="0"/>
        <w:jc w:val="left"/>
        <w:rPr>
          <w:rFonts w:ascii="Arial"/>
          <w:b/>
          <w:sz w:val="30"/>
        </w:rPr>
      </w:pPr>
      <w:r>
        <w:rPr>
          <w:rFonts w:ascii="Arial"/>
          <w:b/>
          <w:color w:val="2674AE"/>
          <w:sz w:val="30"/>
        </w:rPr>
        <w:t>Secondary Prevention Randomized Clinical </w:t>
      </w:r>
      <w:r>
        <w:rPr>
          <w:rFonts w:ascii="Arial"/>
          <w:b/>
          <w:color w:val="2674AE"/>
          <w:spacing w:val="-2"/>
          <w:sz w:val="30"/>
        </w:rPr>
        <w:t>Trials</w:t>
      </w:r>
    </w:p>
    <w:p>
      <w:pPr>
        <w:spacing w:after="0"/>
        <w:jc w:val="left"/>
        <w:rPr>
          <w:rFonts w:ascii="Arial"/>
          <w:b/>
          <w:sz w:val="30"/>
        </w:rPr>
        <w:sectPr>
          <w:pgSz w:w="12240" w:h="15840"/>
          <w:pgMar w:top="1380" w:bottom="280" w:left="1440" w:right="1440"/>
        </w:sectPr>
      </w:pPr>
    </w:p>
    <w:p>
      <w:pPr>
        <w:spacing w:before="83"/>
        <w:ind w:left="99" w:right="0" w:firstLine="0"/>
        <w:jc w:val="both"/>
        <w:rPr>
          <w:rFonts w:ascii="Arial"/>
          <w:b/>
          <w:i/>
          <w:sz w:val="22"/>
        </w:rPr>
      </w:pPr>
      <w:r>
        <w:rPr>
          <w:rFonts w:ascii="Arial"/>
          <w:b/>
          <w:i/>
          <w:color w:val="A0234E"/>
          <w:sz w:val="22"/>
        </w:rPr>
        <w:t>The</w:t>
      </w:r>
      <w:r>
        <w:rPr>
          <w:rFonts w:ascii="Arial"/>
          <w:b/>
          <w:i/>
          <w:color w:val="A0234E"/>
          <w:spacing w:val="28"/>
          <w:sz w:val="22"/>
        </w:rPr>
        <w:t> </w:t>
      </w:r>
      <w:r>
        <w:rPr>
          <w:rFonts w:ascii="Arial"/>
          <w:b/>
          <w:i/>
          <w:color w:val="A0234E"/>
          <w:sz w:val="22"/>
        </w:rPr>
        <w:t>Heart</w:t>
      </w:r>
      <w:r>
        <w:rPr>
          <w:rFonts w:ascii="Arial"/>
          <w:b/>
          <w:i/>
          <w:color w:val="A0234E"/>
          <w:spacing w:val="28"/>
          <w:sz w:val="22"/>
        </w:rPr>
        <w:t> </w:t>
      </w:r>
      <w:r>
        <w:rPr>
          <w:rFonts w:ascii="Arial"/>
          <w:b/>
          <w:i/>
          <w:color w:val="A0234E"/>
          <w:sz w:val="22"/>
        </w:rPr>
        <w:t>and</w:t>
      </w:r>
      <w:r>
        <w:rPr>
          <w:rFonts w:ascii="Arial"/>
          <w:b/>
          <w:i/>
          <w:color w:val="A0234E"/>
          <w:spacing w:val="28"/>
          <w:sz w:val="22"/>
        </w:rPr>
        <w:t> </w:t>
      </w:r>
      <w:r>
        <w:rPr>
          <w:rFonts w:ascii="Arial"/>
          <w:b/>
          <w:i/>
          <w:color w:val="A0234E"/>
          <w:sz w:val="22"/>
        </w:rPr>
        <w:t>Estrogen-Progestin</w:t>
      </w:r>
      <w:r>
        <w:rPr>
          <w:rFonts w:ascii="Arial"/>
          <w:b/>
          <w:i/>
          <w:color w:val="A0234E"/>
          <w:spacing w:val="28"/>
          <w:sz w:val="22"/>
        </w:rPr>
        <w:t> </w:t>
      </w:r>
      <w:r>
        <w:rPr>
          <w:rFonts w:ascii="Arial"/>
          <w:b/>
          <w:i/>
          <w:color w:val="A0234E"/>
          <w:sz w:val="22"/>
        </w:rPr>
        <w:t>Replacement</w:t>
      </w:r>
      <w:r>
        <w:rPr>
          <w:rFonts w:ascii="Arial"/>
          <w:b/>
          <w:i/>
          <w:color w:val="A0234E"/>
          <w:spacing w:val="28"/>
          <w:sz w:val="22"/>
        </w:rPr>
        <w:t> </w:t>
      </w:r>
      <w:r>
        <w:rPr>
          <w:rFonts w:ascii="Arial"/>
          <w:b/>
          <w:i/>
          <w:color w:val="A0234E"/>
          <w:spacing w:val="-2"/>
          <w:sz w:val="22"/>
        </w:rPr>
        <w:t>Study</w:t>
      </w:r>
    </w:p>
    <w:p>
      <w:pPr>
        <w:pStyle w:val="BodyText"/>
        <w:spacing w:line="249" w:lineRule="auto" w:before="139"/>
        <w:ind w:right="97"/>
      </w:pPr>
      <w:r>
        <w:rPr/>
        <w:t>HERS was a randomized, double-blind, placebo-controlled clinical trial designed to determine whether daily treatment with 0.625-mg conjugated estrogens and 2.5-mg MPA would reduce CHD events in women with preexisting coronary disease.</w:t>
      </w:r>
      <w:r>
        <w:rPr>
          <w:vertAlign w:val="superscript"/>
        </w:rPr>
        <w:t>780-782</w:t>
      </w:r>
      <w:r>
        <w:rPr>
          <w:vertAlign w:val="baseline"/>
        </w:rPr>
        <w:t> In this trial, 2,763 women (average </w:t>
      </w:r>
      <w:r>
        <w:rPr>
          <w:vertAlign w:val="baseline"/>
        </w:rPr>
        <w:t>age 66.7 years) were enrolled in 20 US clinical centers and randomized to treatment and placebo beginning in February 1993 and ending in July 1998. Overall, there were 172 myocardial infarctions and coronary deaths in the hormone group and 176 in the placebo group—no difference.</w:t>
      </w:r>
    </w:p>
    <w:p>
      <w:pPr>
        <w:pStyle w:val="BodyText"/>
        <w:spacing w:line="249" w:lineRule="auto" w:before="9"/>
        <w:ind w:right="97" w:firstLine="450"/>
      </w:pPr>
      <w:r>
        <w:rPr/>
        <w:t>At baseline, the use of statins and aspirin was essentially equally prevalent in the treated and placebo groups (about 40% of the subjects used statins and 80% used aspirin). However, more women in the placebo </w:t>
      </w:r>
      <w:r>
        <w:rPr/>
        <w:t>group began treatment with statins so that by the end of the follow-up period, the 69% versus 65% difference comparing placebo with treatment was statistically significant. The authors addressed this potential confounder by adjusting for the difference in statin use (as well as other confounders) and concluded that the adjusted analyses were essentially identical to the original analyses. However, no mention is made of the fact that the percentage use of statin use is impressively high. What if any beneficial effect of estrogen is lost because of the impact of statin therapy? Indeed, in a primary prevention trial, inhibition of atherosclerosis with estrogen treatment was observed only in women </w:t>
      </w:r>
      <w:r>
        <w:rPr>
          <w:i/>
        </w:rPr>
        <w:t>not </w:t>
      </w:r>
      <w:r>
        <w:rPr/>
        <w:t>receiving statins.</w:t>
      </w:r>
      <w:r>
        <w:rPr>
          <w:vertAlign w:val="superscript"/>
        </w:rPr>
        <w:t>783</w:t>
      </w:r>
      <w:r>
        <w:rPr>
          <w:vertAlign w:val="baseline"/>
        </w:rPr>
        <w:t> The HERS investigators compared CHD events in the hormone group with the placebo group in women not using statins or aspirin and found no difference, but</w:t>
      </w:r>
      <w:r>
        <w:rPr>
          <w:spacing w:val="40"/>
          <w:vertAlign w:val="baseline"/>
        </w:rPr>
        <w:t> </w:t>
      </w:r>
      <w:r>
        <w:rPr>
          <w:vertAlign w:val="baseline"/>
        </w:rPr>
        <w:t>this</w:t>
      </w:r>
      <w:r>
        <w:rPr>
          <w:spacing w:val="-1"/>
          <w:vertAlign w:val="baseline"/>
        </w:rPr>
        <w:t> </w:t>
      </w:r>
      <w:r>
        <w:rPr>
          <w:vertAlign w:val="baseline"/>
        </w:rPr>
        <w:t>very</w:t>
      </w:r>
      <w:r>
        <w:rPr>
          <w:spacing w:val="-1"/>
          <w:vertAlign w:val="baseline"/>
        </w:rPr>
        <w:t> </w:t>
      </w:r>
      <w:r>
        <w:rPr>
          <w:vertAlign w:val="baseline"/>
        </w:rPr>
        <w:t>important</w:t>
      </w:r>
      <w:r>
        <w:rPr>
          <w:spacing w:val="-1"/>
          <w:vertAlign w:val="baseline"/>
        </w:rPr>
        <w:t> </w:t>
      </w:r>
      <w:r>
        <w:rPr>
          <w:vertAlign w:val="baseline"/>
        </w:rPr>
        <w:t>possible</w:t>
      </w:r>
      <w:r>
        <w:rPr>
          <w:spacing w:val="-1"/>
          <w:vertAlign w:val="baseline"/>
        </w:rPr>
        <w:t> </w:t>
      </w:r>
      <w:r>
        <w:rPr>
          <w:vertAlign w:val="baseline"/>
        </w:rPr>
        <w:t>explanation</w:t>
      </w:r>
      <w:r>
        <w:rPr>
          <w:spacing w:val="-1"/>
          <w:vertAlign w:val="baseline"/>
        </w:rPr>
        <w:t> </w:t>
      </w:r>
      <w:r>
        <w:rPr>
          <w:vertAlign w:val="baseline"/>
        </w:rPr>
        <w:t>for</w:t>
      </w:r>
      <w:r>
        <w:rPr>
          <w:spacing w:val="-1"/>
          <w:vertAlign w:val="baseline"/>
        </w:rPr>
        <w:t> </w:t>
      </w:r>
      <w:r>
        <w:rPr>
          <w:vertAlign w:val="baseline"/>
        </w:rPr>
        <w:t>the</w:t>
      </w:r>
      <w:r>
        <w:rPr>
          <w:spacing w:val="-1"/>
          <w:vertAlign w:val="baseline"/>
        </w:rPr>
        <w:t> </w:t>
      </w:r>
      <w:r>
        <w:rPr>
          <w:vertAlign w:val="baseline"/>
        </w:rPr>
        <w:t>lack</w:t>
      </w:r>
      <w:r>
        <w:rPr>
          <w:spacing w:val="-1"/>
          <w:vertAlign w:val="baseline"/>
        </w:rPr>
        <w:t> </w:t>
      </w:r>
      <w:r>
        <w:rPr>
          <w:vertAlign w:val="baseline"/>
        </w:rPr>
        <w:t>of</w:t>
      </w:r>
      <w:r>
        <w:rPr>
          <w:spacing w:val="-1"/>
          <w:vertAlign w:val="baseline"/>
        </w:rPr>
        <w:t> </w:t>
      </w:r>
      <w:r>
        <w:rPr>
          <w:vertAlign w:val="baseline"/>
        </w:rPr>
        <w:t>a</w:t>
      </w:r>
      <w:r>
        <w:rPr>
          <w:spacing w:val="-1"/>
          <w:vertAlign w:val="baseline"/>
        </w:rPr>
        <w:t> </w:t>
      </w:r>
      <w:r>
        <w:rPr>
          <w:vertAlign w:val="baseline"/>
        </w:rPr>
        <w:t>beneficial</w:t>
      </w:r>
      <w:r>
        <w:rPr>
          <w:spacing w:val="-1"/>
          <w:vertAlign w:val="baseline"/>
        </w:rPr>
        <w:t> </w:t>
      </w:r>
      <w:r>
        <w:rPr>
          <w:vertAlign w:val="baseline"/>
        </w:rPr>
        <w:t>effect</w:t>
      </w:r>
      <w:r>
        <w:rPr>
          <w:spacing w:val="-1"/>
          <w:vertAlign w:val="baseline"/>
        </w:rPr>
        <w:t> </w:t>
      </w:r>
      <w:r>
        <w:rPr>
          <w:vertAlign w:val="baseline"/>
        </w:rPr>
        <w:t>of estrogen in HERS cannot be answered by the analysis of the HERS data because statin and aspirin treatments were not randomized and the number of events in women not on statins or aspirin was very small.</w:t>
      </w:r>
    </w:p>
    <w:p>
      <w:pPr>
        <w:pStyle w:val="BodyText"/>
        <w:spacing w:line="249" w:lineRule="auto" w:before="24"/>
        <w:ind w:right="99" w:firstLine="450"/>
      </w:pPr>
      <w:r>
        <w:rPr/>
        <w:t>Of the 2,763 postmenopausal women in the HERS trial, 2,321 </w:t>
      </w:r>
      <w:r>
        <w:rPr/>
        <w:t>(93%) agreed to be involved in additional follow-up evaluation, HERS II. The original study</w:t>
      </w:r>
      <w:r>
        <w:rPr>
          <w:vertAlign w:val="superscript"/>
        </w:rPr>
        <w:t>780</w:t>
      </w:r>
      <w:r>
        <w:rPr>
          <w:vertAlign w:val="baseline"/>
        </w:rPr>
        <w:t> lasted 4.1 years, and the average extended follow-up equaled 2.7 years, for a mean total of 6.8 years. At the beginning of the follow-up period, the average age of the participants was 71 (67 at baseline and 74 at closure). The investigators could detect no significant differences in</w:t>
      </w:r>
      <w:r>
        <w:rPr>
          <w:spacing w:val="31"/>
          <w:vertAlign w:val="baseline"/>
        </w:rPr>
        <w:t>  </w:t>
      </w:r>
      <w:r>
        <w:rPr>
          <w:vertAlign w:val="baseline"/>
        </w:rPr>
        <w:t>the</w:t>
      </w:r>
      <w:r>
        <w:rPr>
          <w:spacing w:val="32"/>
          <w:vertAlign w:val="baseline"/>
        </w:rPr>
        <w:t>  </w:t>
      </w:r>
      <w:r>
        <w:rPr>
          <w:vertAlign w:val="baseline"/>
        </w:rPr>
        <w:t>rates</w:t>
      </w:r>
      <w:r>
        <w:rPr>
          <w:spacing w:val="31"/>
          <w:vertAlign w:val="baseline"/>
        </w:rPr>
        <w:t>  </w:t>
      </w:r>
      <w:r>
        <w:rPr>
          <w:vertAlign w:val="baseline"/>
        </w:rPr>
        <w:t>of</w:t>
      </w:r>
      <w:r>
        <w:rPr>
          <w:spacing w:val="32"/>
          <w:vertAlign w:val="baseline"/>
        </w:rPr>
        <w:t>  </w:t>
      </w:r>
      <w:r>
        <w:rPr>
          <w:vertAlign w:val="baseline"/>
        </w:rPr>
        <w:t>coronary</w:t>
      </w:r>
      <w:r>
        <w:rPr>
          <w:spacing w:val="31"/>
          <w:vertAlign w:val="baseline"/>
        </w:rPr>
        <w:t>  </w:t>
      </w:r>
      <w:r>
        <w:rPr>
          <w:vertAlign w:val="baseline"/>
        </w:rPr>
        <w:t>events</w:t>
      </w:r>
      <w:r>
        <w:rPr>
          <w:spacing w:val="32"/>
          <w:vertAlign w:val="baseline"/>
        </w:rPr>
        <w:t>  </w:t>
      </w:r>
      <w:r>
        <w:rPr>
          <w:vertAlign w:val="baseline"/>
        </w:rPr>
        <w:t>or</w:t>
      </w:r>
      <w:r>
        <w:rPr>
          <w:spacing w:val="31"/>
          <w:vertAlign w:val="baseline"/>
        </w:rPr>
        <w:t>  </w:t>
      </w:r>
      <w:r>
        <w:rPr>
          <w:vertAlign w:val="baseline"/>
        </w:rPr>
        <w:t>secondary</w:t>
      </w:r>
      <w:r>
        <w:rPr>
          <w:spacing w:val="32"/>
          <w:vertAlign w:val="baseline"/>
        </w:rPr>
        <w:t>  </w:t>
      </w:r>
      <w:r>
        <w:rPr>
          <w:vertAlign w:val="baseline"/>
        </w:rPr>
        <w:t>cardiovascular</w:t>
      </w:r>
      <w:r>
        <w:rPr>
          <w:spacing w:val="31"/>
          <w:vertAlign w:val="baseline"/>
        </w:rPr>
        <w:t>  </w:t>
      </w:r>
      <w:r>
        <w:rPr>
          <w:spacing w:val="-2"/>
          <w:vertAlign w:val="baseline"/>
        </w:rPr>
        <w:t>events</w:t>
      </w:r>
    </w:p>
    <w:p>
      <w:pPr>
        <w:pStyle w:val="BodyText"/>
        <w:spacing w:after="0" w:line="249" w:lineRule="auto"/>
        <w:sectPr>
          <w:pgSz w:w="12240" w:h="15840"/>
          <w:pgMar w:top="1360" w:bottom="280" w:left="1440" w:right="1440"/>
        </w:sectPr>
      </w:pPr>
    </w:p>
    <w:p>
      <w:pPr>
        <w:pStyle w:val="BodyText"/>
        <w:spacing w:line="249" w:lineRule="auto"/>
        <w:ind w:right="99"/>
      </w:pPr>
      <w:r>
        <w:rPr/>
        <w:t>comparing the treated group with the placebo group. There was </w:t>
      </w:r>
      <w:r>
        <w:rPr/>
        <w:t>no</w:t>
      </w:r>
      <w:r>
        <w:rPr>
          <w:spacing w:val="40"/>
        </w:rPr>
        <w:t> </w:t>
      </w:r>
      <w:r>
        <w:rPr/>
        <w:t>statistical trend for a beneficial effect of HT with longer duration of treatment. Because of the absence of a difference, the follow-up period, scheduled to last 4 years, was terminated early.</w:t>
      </w:r>
    </w:p>
    <w:p>
      <w:pPr>
        <w:pStyle w:val="BodyText"/>
        <w:spacing w:line="249" w:lineRule="auto" w:before="5"/>
        <w:ind w:right="98" w:firstLine="450"/>
      </w:pPr>
      <w:r>
        <w:rPr/>
        <w:t>The additional follow-up period was unblinded; patients and physicians could choose to continue, discontinue, or initiate HT or other therapy. Hormone use in the original treated group in HERS declined from 81%</w:t>
      </w:r>
      <w:r>
        <w:rPr>
          <w:spacing w:val="40"/>
        </w:rPr>
        <w:t> </w:t>
      </w:r>
      <w:r>
        <w:rPr/>
        <w:t>after 1 year to 45% during the sixth year (and 11% were using preparations other than the original 0.625-mg conjugated estrogens and 2.5-mg MPA). During the sixth year, 8% of the placebo group were now receiving HT. Raloxifene or tamoxifen had even been initiated, 3% in the hormone group and 4% in the placebo group. The investigators recognized this problem conceding</w:t>
      </w:r>
      <w:r>
        <w:rPr>
          <w:spacing w:val="-1"/>
        </w:rPr>
        <w:t> </w:t>
      </w:r>
      <w:r>
        <w:rPr/>
        <w:t>that</w:t>
      </w:r>
      <w:r>
        <w:rPr>
          <w:spacing w:val="-1"/>
        </w:rPr>
        <w:t> </w:t>
      </w:r>
      <w:r>
        <w:rPr/>
        <w:t>their</w:t>
      </w:r>
      <w:r>
        <w:rPr>
          <w:spacing w:val="-1"/>
        </w:rPr>
        <w:t> </w:t>
      </w:r>
      <w:r>
        <w:rPr/>
        <w:t>power</w:t>
      </w:r>
      <w:r>
        <w:rPr>
          <w:spacing w:val="-1"/>
        </w:rPr>
        <w:t> </w:t>
      </w:r>
      <w:r>
        <w:rPr/>
        <w:t>to</w:t>
      </w:r>
      <w:r>
        <w:rPr>
          <w:spacing w:val="-1"/>
        </w:rPr>
        <w:t> </w:t>
      </w:r>
      <w:r>
        <w:rPr/>
        <w:t>detect</w:t>
      </w:r>
      <w:r>
        <w:rPr>
          <w:spacing w:val="-1"/>
        </w:rPr>
        <w:t> </w:t>
      </w:r>
      <w:r>
        <w:rPr/>
        <w:t>an</w:t>
      </w:r>
      <w:r>
        <w:rPr>
          <w:spacing w:val="-1"/>
        </w:rPr>
        <w:t> </w:t>
      </w:r>
      <w:r>
        <w:rPr/>
        <w:t>increasing</w:t>
      </w:r>
      <w:r>
        <w:rPr>
          <w:spacing w:val="-1"/>
        </w:rPr>
        <w:t> </w:t>
      </w:r>
      <w:r>
        <w:rPr/>
        <w:t>benefit</w:t>
      </w:r>
      <w:r>
        <w:rPr>
          <w:spacing w:val="-1"/>
        </w:rPr>
        <w:t> </w:t>
      </w:r>
      <w:r>
        <w:rPr/>
        <w:t>was</w:t>
      </w:r>
      <w:r>
        <w:rPr>
          <w:spacing w:val="-1"/>
        </w:rPr>
        <w:t> </w:t>
      </w:r>
      <w:r>
        <w:rPr/>
        <w:t>eroded</w:t>
      </w:r>
      <w:r>
        <w:rPr>
          <w:spacing w:val="-1"/>
        </w:rPr>
        <w:t> </w:t>
      </w:r>
      <w:r>
        <w:rPr/>
        <w:t>by</w:t>
      </w:r>
      <w:r>
        <w:rPr>
          <w:spacing w:val="-1"/>
        </w:rPr>
        <w:t> </w:t>
      </w:r>
      <w:r>
        <w:rPr/>
        <w:t>the changing treatments; however, their analysis indicated an ability to detect at least an 18% reduction in cardiac risk.</w:t>
      </w:r>
    </w:p>
    <w:p>
      <w:pPr>
        <w:pStyle w:val="BodyText"/>
        <w:spacing w:line="249" w:lineRule="auto" w:before="13"/>
        <w:ind w:right="97" w:firstLine="450"/>
      </w:pPr>
      <w:r>
        <w:rPr/>
        <w:t>The original HERS report indicated a 2- to 3-fold increase in deep </w:t>
      </w:r>
      <w:r>
        <w:rPr/>
        <w:t>vein thrombosis and pulmonary embolism in the hormone-treated group. In the follow-up period, there was no longer a statistically significant increase in deep vein thrombosis. There was no reduction in pulmonary embolism, but the number of events was too small to provide accurate assessment. The event rates for venous thrombosis were 5.9 per 1,000 women per year of treatment and 2.8 in the placebo group. Overall, there was a 48% increase</w:t>
      </w:r>
      <w:r>
        <w:rPr>
          <w:spacing w:val="80"/>
        </w:rPr>
        <w:t> </w:t>
      </w:r>
      <w:r>
        <w:rPr/>
        <w:t>in risk for biliary tract surgery in the treated group, 6 more cases per 1,000 women per year compared with placebo.</w:t>
      </w:r>
    </w:p>
    <w:p>
      <w:pPr>
        <w:pStyle w:val="BodyText"/>
        <w:spacing w:line="249" w:lineRule="auto" w:before="11"/>
        <w:ind w:right="97" w:firstLine="450"/>
      </w:pPr>
      <w:r>
        <w:rPr/>
        <w:t>Intention-to-treat analysis compares all individuals in the treated </w:t>
      </w:r>
      <w:r>
        <w:rPr/>
        <w:t>group to all in the placebo group, regardless of individual compliance or completion of the study. Proponents argue that this is the best method of analysis for clinical trials because it reflects the full impact of randomization. Opponents contend that this method is intuitively wrong; how can the long-term benefit of a treatment be assessed if subjects receiving treatment for only a short period of time are included? HERS II performed an “as-treated” analysis, focusing on women with 80% or more compliance, and found relative hazards (RHs) (like RR) similar to those in the intent-to-treat analysis. However, the RH in the as-treated analysis for primary CHD events in HERS II was reduced, although not statistically significant</w:t>
      </w:r>
      <w:r>
        <w:rPr>
          <w:spacing w:val="3"/>
        </w:rPr>
        <w:t> </w:t>
      </w:r>
      <w:r>
        <w:rPr/>
        <w:t>(RH</w:t>
      </w:r>
      <w:r>
        <w:rPr>
          <w:spacing w:val="3"/>
        </w:rPr>
        <w:t> </w:t>
      </w:r>
      <w:r>
        <w:rPr/>
        <w:t>=</w:t>
      </w:r>
      <w:r>
        <w:rPr>
          <w:spacing w:val="3"/>
        </w:rPr>
        <w:t> </w:t>
      </w:r>
      <w:r>
        <w:rPr/>
        <w:t>0.81;</w:t>
      </w:r>
      <w:r>
        <w:rPr>
          <w:spacing w:val="4"/>
        </w:rPr>
        <w:t> </w:t>
      </w:r>
      <w:r>
        <w:rPr/>
        <w:t>CI</w:t>
      </w:r>
      <w:r>
        <w:rPr>
          <w:spacing w:val="3"/>
        </w:rPr>
        <w:t> </w:t>
      </w:r>
      <w:r>
        <w:rPr/>
        <w:t>=</w:t>
      </w:r>
      <w:r>
        <w:rPr>
          <w:spacing w:val="3"/>
        </w:rPr>
        <w:t> </w:t>
      </w:r>
      <w:r>
        <w:rPr/>
        <w:t>0.52-1.32).</w:t>
      </w:r>
      <w:r>
        <w:rPr>
          <w:spacing w:val="3"/>
        </w:rPr>
        <w:t> </w:t>
      </w:r>
      <w:r>
        <w:rPr/>
        <w:t>Events</w:t>
      </w:r>
      <w:r>
        <w:rPr>
          <w:spacing w:val="3"/>
        </w:rPr>
        <w:t> </w:t>
      </w:r>
      <w:r>
        <w:rPr/>
        <w:t>were</w:t>
      </w:r>
      <w:r>
        <w:rPr>
          <w:spacing w:val="3"/>
        </w:rPr>
        <w:t> </w:t>
      </w:r>
      <w:r>
        <w:rPr/>
        <w:t>fewer</w:t>
      </w:r>
      <w:r>
        <w:rPr>
          <w:spacing w:val="4"/>
        </w:rPr>
        <w:t> </w:t>
      </w:r>
      <w:r>
        <w:rPr/>
        <w:t>in</w:t>
      </w:r>
      <w:r>
        <w:rPr>
          <w:spacing w:val="3"/>
        </w:rPr>
        <w:t> </w:t>
      </w:r>
      <w:r>
        <w:rPr/>
        <w:t>the</w:t>
      </w:r>
      <w:r>
        <w:rPr>
          <w:spacing w:val="3"/>
        </w:rPr>
        <w:t> </w:t>
      </w:r>
      <w:r>
        <w:rPr/>
        <w:t>as-</w:t>
      </w:r>
      <w:r>
        <w:rPr>
          <w:spacing w:val="-2"/>
        </w:rPr>
        <w:t>treated</w:t>
      </w:r>
    </w:p>
    <w:p>
      <w:pPr>
        <w:pStyle w:val="BodyText"/>
        <w:spacing w:after="0" w:line="249" w:lineRule="auto"/>
        <w:sectPr>
          <w:pgSz w:w="12240" w:h="15840"/>
          <w:pgMar w:top="1380" w:bottom="280" w:left="1440" w:right="1440"/>
        </w:sectPr>
      </w:pPr>
    </w:p>
    <w:p>
      <w:pPr>
        <w:pStyle w:val="BodyText"/>
        <w:spacing w:line="249" w:lineRule="auto"/>
        <w:ind w:right="98"/>
      </w:pPr>
      <w:r>
        <w:rPr/>
        <w:t>analyses because only 37% of the events qualified. Adjustment for </w:t>
      </w:r>
      <w:r>
        <w:rPr/>
        <w:t>statin</w:t>
      </w:r>
      <w:r>
        <w:rPr>
          <w:spacing w:val="40"/>
        </w:rPr>
        <w:t> </w:t>
      </w:r>
      <w:r>
        <w:rPr/>
        <w:t>use was performed only in the intent-to-treat analysis (“only a trivial effect on the findings”). The HERS clinical trial results that reflect intent-to-treat analyses are compromised by a difficulty in detecting a long-term effect, and the results that reflect the as-treated analysis are compromised by few events because of compliance and drop-out problems. Therefore, unanswered questions remain: whether reported increases in cardiovascular events early after the initiation of HT reflect a true risk of HT or the effect of reduced events in the placebo groups because of new-onset treatment with statins and aspirin, or an effect limited to women with significant preexisting coronary artery disease.</w:t>
      </w:r>
    </w:p>
    <w:p>
      <w:pPr>
        <w:spacing w:before="312"/>
        <w:ind w:left="99" w:right="0" w:firstLine="0"/>
        <w:jc w:val="both"/>
        <w:rPr>
          <w:rFonts w:ascii="Arial"/>
          <w:b/>
          <w:i/>
          <w:sz w:val="22"/>
        </w:rPr>
      </w:pPr>
      <w:r>
        <w:rPr>
          <w:rFonts w:ascii="Arial"/>
          <w:b/>
          <w:i/>
          <w:color w:val="A0234E"/>
          <w:sz w:val="22"/>
        </w:rPr>
        <w:t>Other</w:t>
      </w:r>
      <w:r>
        <w:rPr>
          <w:rFonts w:ascii="Arial"/>
          <w:b/>
          <w:i/>
          <w:color w:val="A0234E"/>
          <w:spacing w:val="20"/>
          <w:sz w:val="22"/>
        </w:rPr>
        <w:t> </w:t>
      </w:r>
      <w:r>
        <w:rPr>
          <w:rFonts w:ascii="Arial"/>
          <w:b/>
          <w:i/>
          <w:color w:val="A0234E"/>
          <w:sz w:val="22"/>
        </w:rPr>
        <w:t>Secondary</w:t>
      </w:r>
      <w:r>
        <w:rPr>
          <w:rFonts w:ascii="Arial"/>
          <w:b/>
          <w:i/>
          <w:color w:val="A0234E"/>
          <w:spacing w:val="19"/>
          <w:sz w:val="22"/>
        </w:rPr>
        <w:t> </w:t>
      </w:r>
      <w:r>
        <w:rPr>
          <w:rFonts w:ascii="Arial"/>
          <w:b/>
          <w:i/>
          <w:color w:val="A0234E"/>
          <w:sz w:val="22"/>
        </w:rPr>
        <w:t>Prevention</w:t>
      </w:r>
      <w:r>
        <w:rPr>
          <w:rFonts w:ascii="Arial"/>
          <w:b/>
          <w:i/>
          <w:color w:val="A0234E"/>
          <w:spacing w:val="20"/>
          <w:sz w:val="22"/>
        </w:rPr>
        <w:t> </w:t>
      </w:r>
      <w:r>
        <w:rPr>
          <w:rFonts w:ascii="Arial"/>
          <w:b/>
          <w:i/>
          <w:color w:val="A0234E"/>
          <w:spacing w:val="-2"/>
          <w:sz w:val="22"/>
        </w:rPr>
        <w:t>Trials</w:t>
      </w:r>
    </w:p>
    <w:p>
      <w:pPr>
        <w:pStyle w:val="BodyText"/>
        <w:spacing w:line="249" w:lineRule="auto" w:before="123"/>
        <w:ind w:right="99"/>
      </w:pPr>
      <w:r>
        <w:rPr/>
        <w:t>The results of a multicenter trial (the Estrogen Replacement </w:t>
      </w:r>
      <w:r>
        <w:rPr/>
        <w:t>and Atherosclerosis [ERA] trial) examined the effect of postmenopausal HT on the</w:t>
      </w:r>
      <w:r>
        <w:rPr>
          <w:spacing w:val="-7"/>
        </w:rPr>
        <w:t> </w:t>
      </w:r>
      <w:r>
        <w:rPr/>
        <w:t>progression</w:t>
      </w:r>
      <w:r>
        <w:rPr>
          <w:spacing w:val="-7"/>
        </w:rPr>
        <w:t> </w:t>
      </w:r>
      <w:r>
        <w:rPr/>
        <w:t>of</w:t>
      </w:r>
      <w:r>
        <w:rPr>
          <w:spacing w:val="-7"/>
        </w:rPr>
        <w:t> </w:t>
      </w:r>
      <w:r>
        <w:rPr/>
        <w:t>coronary</w:t>
      </w:r>
      <w:r>
        <w:rPr>
          <w:spacing w:val="-7"/>
        </w:rPr>
        <w:t> </w:t>
      </w:r>
      <w:r>
        <w:rPr/>
        <w:t>atherosclerosis</w:t>
      </w:r>
      <w:r>
        <w:rPr>
          <w:spacing w:val="-7"/>
        </w:rPr>
        <w:t> </w:t>
      </w:r>
      <w:r>
        <w:rPr/>
        <w:t>as</w:t>
      </w:r>
      <w:r>
        <w:rPr>
          <w:spacing w:val="-7"/>
        </w:rPr>
        <w:t> </w:t>
      </w:r>
      <w:r>
        <w:rPr/>
        <w:t>assessed</w:t>
      </w:r>
      <w:r>
        <w:rPr>
          <w:spacing w:val="-7"/>
        </w:rPr>
        <w:t> </w:t>
      </w:r>
      <w:r>
        <w:rPr/>
        <w:t>by</w:t>
      </w:r>
      <w:r>
        <w:rPr>
          <w:spacing w:val="-7"/>
        </w:rPr>
        <w:t> </w:t>
      </w:r>
      <w:r>
        <w:rPr/>
        <w:t>angiography.</w:t>
      </w:r>
      <w:r>
        <w:rPr>
          <w:vertAlign w:val="superscript"/>
        </w:rPr>
        <w:t>784</w:t>
      </w:r>
      <w:r>
        <w:rPr>
          <w:spacing w:val="-9"/>
          <w:vertAlign w:val="baseline"/>
        </w:rPr>
        <w:t> </w:t>
      </w:r>
      <w:r>
        <w:rPr>
          <w:vertAlign w:val="baseline"/>
        </w:rPr>
        <w:t>A total of 309 women were randomly assigned to receive either unopposed estrogen, 0.625-mg conjugated estrogens per day; a daily combination of estrogen and progestin, 0.625-mg conjugated estrogens and 2.5-mg MPA;</w:t>
      </w:r>
      <w:r>
        <w:rPr>
          <w:spacing w:val="40"/>
          <w:vertAlign w:val="baseline"/>
        </w:rPr>
        <w:t> </w:t>
      </w:r>
      <w:r>
        <w:rPr>
          <w:vertAlign w:val="baseline"/>
        </w:rPr>
        <w:t>or placebo. Over 3.5 years of treatment, angiography did not detect any differences in disease progression between any of the groups. The women</w:t>
      </w:r>
      <w:r>
        <w:rPr>
          <w:spacing w:val="40"/>
          <w:vertAlign w:val="baseline"/>
        </w:rPr>
        <w:t> </w:t>
      </w:r>
      <w:r>
        <w:rPr>
          <w:vertAlign w:val="baseline"/>
        </w:rPr>
        <w:t>in this study had documented heart disease on entry and were a relatively older group of women (mean age 65.8 years). Half had a previous myocardial</w:t>
      </w:r>
      <w:r>
        <w:rPr>
          <w:spacing w:val="-3"/>
          <w:vertAlign w:val="baseline"/>
        </w:rPr>
        <w:t> </w:t>
      </w:r>
      <w:r>
        <w:rPr>
          <w:vertAlign w:val="baseline"/>
        </w:rPr>
        <w:t>infarction.</w:t>
      </w:r>
      <w:r>
        <w:rPr>
          <w:spacing w:val="-4"/>
          <w:vertAlign w:val="baseline"/>
        </w:rPr>
        <w:t> </w:t>
      </w:r>
      <w:r>
        <w:rPr>
          <w:vertAlign w:val="baseline"/>
        </w:rPr>
        <w:t>There were no reported increases in cardiac events in any of the three treatment groups.</w:t>
      </w:r>
    </w:p>
    <w:p>
      <w:pPr>
        <w:spacing w:line="249" w:lineRule="auto" w:before="15"/>
        <w:ind w:left="99" w:right="97" w:firstLine="450"/>
        <w:jc w:val="both"/>
        <w:rPr>
          <w:b/>
          <w:sz w:val="30"/>
        </w:rPr>
      </w:pPr>
      <w:r>
        <w:rPr>
          <w:sz w:val="30"/>
        </w:rPr>
        <w:t>The ERA trial joins the HERS trial in demonstrating no secondary preventive effect of postmenopausal HT on older women with </w:t>
      </w:r>
      <w:r>
        <w:rPr>
          <w:sz w:val="30"/>
        </w:rPr>
        <w:t>significant CHD. However, in </w:t>
      </w:r>
      <w:r>
        <w:rPr>
          <w:b/>
          <w:sz w:val="30"/>
        </w:rPr>
        <w:t>comparing the two trials, there is an important observation. The ERA trial contained an estrogen-only arm, and the absence of a difference between the estrogen-only arm and the estrogen-progestin arm argues against a negative effect due to the daily administration of MPA.</w:t>
      </w:r>
    </w:p>
    <w:p>
      <w:pPr>
        <w:pStyle w:val="BodyText"/>
        <w:spacing w:line="249" w:lineRule="auto" w:before="9"/>
        <w:ind w:right="101" w:firstLine="450"/>
      </w:pPr>
      <w:r>
        <w:rPr/>
        <w:t>Another secondary prevention, 3-year trial (Women’s Estrogen-progestin Lipid-Lowering Hormone Atherosclerosis Regression </w:t>
      </w:r>
      <w:r>
        <w:rPr/>
        <w:t>Trial, WELL-HART) assessed whether unopposed estradiol or a sequential regimen</w:t>
      </w:r>
      <w:r>
        <w:rPr>
          <w:spacing w:val="66"/>
        </w:rPr>
        <w:t>  </w:t>
      </w:r>
      <w:r>
        <w:rPr/>
        <w:t>of</w:t>
      </w:r>
      <w:r>
        <w:rPr>
          <w:spacing w:val="66"/>
        </w:rPr>
        <w:t>  </w:t>
      </w:r>
      <w:r>
        <w:rPr/>
        <w:t>estradiol</w:t>
      </w:r>
      <w:r>
        <w:rPr>
          <w:spacing w:val="67"/>
        </w:rPr>
        <w:t>  </w:t>
      </w:r>
      <w:r>
        <w:rPr/>
        <w:t>and</w:t>
      </w:r>
      <w:r>
        <w:rPr>
          <w:spacing w:val="66"/>
        </w:rPr>
        <w:t>  </w:t>
      </w:r>
      <w:r>
        <w:rPr/>
        <w:t>MPA</w:t>
      </w:r>
      <w:r>
        <w:rPr>
          <w:spacing w:val="67"/>
        </w:rPr>
        <w:t>  </w:t>
      </w:r>
      <w:r>
        <w:rPr/>
        <w:t>could</w:t>
      </w:r>
      <w:r>
        <w:rPr>
          <w:spacing w:val="66"/>
        </w:rPr>
        <w:t>  </w:t>
      </w:r>
      <w:r>
        <w:rPr/>
        <w:t>slow</w:t>
      </w:r>
      <w:r>
        <w:rPr>
          <w:spacing w:val="67"/>
        </w:rPr>
        <w:t>  </w:t>
      </w:r>
      <w:r>
        <w:rPr/>
        <w:t>the</w:t>
      </w:r>
      <w:r>
        <w:rPr>
          <w:spacing w:val="66"/>
        </w:rPr>
        <w:t>  </w:t>
      </w:r>
      <w:r>
        <w:rPr/>
        <w:t>progression</w:t>
      </w:r>
      <w:r>
        <w:rPr>
          <w:spacing w:val="67"/>
        </w:rPr>
        <w:t>  </w:t>
      </w:r>
      <w:r>
        <w:rPr>
          <w:spacing w:val="-5"/>
        </w:rPr>
        <w:t>of</w:t>
      </w:r>
    </w:p>
    <w:p>
      <w:pPr>
        <w:pStyle w:val="BodyText"/>
        <w:spacing w:after="0" w:line="249" w:lineRule="auto"/>
        <w:sectPr>
          <w:pgSz w:w="12240" w:h="15840"/>
          <w:pgMar w:top="1380" w:bottom="280" w:left="1440" w:right="1440"/>
        </w:sectPr>
      </w:pPr>
    </w:p>
    <w:p>
      <w:pPr>
        <w:spacing w:line="249" w:lineRule="auto" w:before="65"/>
        <w:ind w:left="99" w:right="97" w:firstLine="0"/>
        <w:jc w:val="both"/>
        <w:rPr>
          <w:b/>
          <w:sz w:val="30"/>
        </w:rPr>
      </w:pPr>
      <w:r>
        <w:rPr>
          <w:sz w:val="30"/>
        </w:rPr>
        <w:t>atherosclerosis.</w:t>
      </w:r>
      <w:r>
        <w:rPr>
          <w:sz w:val="30"/>
          <w:vertAlign w:val="superscript"/>
        </w:rPr>
        <w:t>785</w:t>
      </w:r>
      <w:r>
        <w:rPr>
          <w:sz w:val="30"/>
          <w:vertAlign w:val="baseline"/>
        </w:rPr>
        <w:t> The double-blind, placebo-controlled trial involved 226 postmenopausal women with an average age of 63.5 years (range 48-</w:t>
      </w:r>
      <w:r>
        <w:rPr>
          <w:sz w:val="30"/>
          <w:vertAlign w:val="baseline"/>
        </w:rPr>
        <w:t>75), who already had at least one demonstrated coronary artery lesion. The results were based on follow-up angiograms in 59 women in the placebo group, 54 in the estradiol group, and 53 in the estradiol/MPA group. A reduction of LDL cholesterol to less than 130 mg/dL was achieved by dietary intervention, but coronary angiography to measure the change from baseline</w:t>
      </w:r>
      <w:r>
        <w:rPr>
          <w:spacing w:val="-3"/>
          <w:sz w:val="30"/>
          <w:vertAlign w:val="baseline"/>
        </w:rPr>
        <w:t> </w:t>
      </w:r>
      <w:r>
        <w:rPr>
          <w:sz w:val="30"/>
          <w:vertAlign w:val="baseline"/>
        </w:rPr>
        <w:t>in</w:t>
      </w:r>
      <w:r>
        <w:rPr>
          <w:spacing w:val="-3"/>
          <w:sz w:val="30"/>
          <w:vertAlign w:val="baseline"/>
        </w:rPr>
        <w:t> </w:t>
      </w:r>
      <w:r>
        <w:rPr>
          <w:sz w:val="30"/>
          <w:vertAlign w:val="baseline"/>
        </w:rPr>
        <w:t>the</w:t>
      </w:r>
      <w:r>
        <w:rPr>
          <w:spacing w:val="-3"/>
          <w:sz w:val="30"/>
          <w:vertAlign w:val="baseline"/>
        </w:rPr>
        <w:t> </w:t>
      </w:r>
      <w:r>
        <w:rPr>
          <w:sz w:val="30"/>
          <w:vertAlign w:val="baseline"/>
        </w:rPr>
        <w:t>percent</w:t>
      </w:r>
      <w:r>
        <w:rPr>
          <w:spacing w:val="-3"/>
          <w:sz w:val="30"/>
          <w:vertAlign w:val="baseline"/>
        </w:rPr>
        <w:t> </w:t>
      </w:r>
      <w:r>
        <w:rPr>
          <w:sz w:val="30"/>
          <w:vertAlign w:val="baseline"/>
        </w:rPr>
        <w:t>stenosis</w:t>
      </w:r>
      <w:r>
        <w:rPr>
          <w:spacing w:val="-3"/>
          <w:sz w:val="30"/>
          <w:vertAlign w:val="baseline"/>
        </w:rPr>
        <w:t> </w:t>
      </w:r>
      <w:r>
        <w:rPr>
          <w:sz w:val="30"/>
          <w:vertAlign w:val="baseline"/>
        </w:rPr>
        <w:t>failed</w:t>
      </w:r>
      <w:r>
        <w:rPr>
          <w:spacing w:val="-3"/>
          <w:sz w:val="30"/>
          <w:vertAlign w:val="baseline"/>
        </w:rPr>
        <w:t> </w:t>
      </w:r>
      <w:r>
        <w:rPr>
          <w:sz w:val="30"/>
          <w:vertAlign w:val="baseline"/>
        </w:rPr>
        <w:t>to</w:t>
      </w:r>
      <w:r>
        <w:rPr>
          <w:spacing w:val="-3"/>
          <w:sz w:val="30"/>
          <w:vertAlign w:val="baseline"/>
        </w:rPr>
        <w:t> </w:t>
      </w:r>
      <w:r>
        <w:rPr>
          <w:sz w:val="30"/>
          <w:vertAlign w:val="baseline"/>
        </w:rPr>
        <w:t>demonstrate</w:t>
      </w:r>
      <w:r>
        <w:rPr>
          <w:spacing w:val="-3"/>
          <w:sz w:val="30"/>
          <w:vertAlign w:val="baseline"/>
        </w:rPr>
        <w:t> </w:t>
      </w:r>
      <w:r>
        <w:rPr>
          <w:sz w:val="30"/>
          <w:vertAlign w:val="baseline"/>
        </w:rPr>
        <w:t>a</w:t>
      </w:r>
      <w:r>
        <w:rPr>
          <w:spacing w:val="-3"/>
          <w:sz w:val="30"/>
          <w:vertAlign w:val="baseline"/>
        </w:rPr>
        <w:t> </w:t>
      </w:r>
      <w:r>
        <w:rPr>
          <w:sz w:val="30"/>
          <w:vertAlign w:val="baseline"/>
        </w:rPr>
        <w:t>difference</w:t>
      </w:r>
      <w:r>
        <w:rPr>
          <w:spacing w:val="-3"/>
          <w:sz w:val="30"/>
          <w:vertAlign w:val="baseline"/>
        </w:rPr>
        <w:t> </w:t>
      </w:r>
      <w:r>
        <w:rPr>
          <w:sz w:val="30"/>
          <w:vertAlign w:val="baseline"/>
        </w:rPr>
        <w:t>among</w:t>
      </w:r>
      <w:r>
        <w:rPr>
          <w:spacing w:val="-3"/>
          <w:sz w:val="30"/>
          <w:vertAlign w:val="baseline"/>
        </w:rPr>
        <w:t> </w:t>
      </w:r>
      <w:r>
        <w:rPr>
          <w:sz w:val="30"/>
          <w:vertAlign w:val="baseline"/>
        </w:rPr>
        <w:t>the groups receiving placebo; unopposed, daily 1 mg estradiol; or daily 1 mg estradiol and 12 days each month of 5 mg MPA. </w:t>
      </w:r>
      <w:r>
        <w:rPr>
          <w:b/>
          <w:sz w:val="30"/>
          <w:vertAlign w:val="baseline"/>
        </w:rPr>
        <w:t>There were also no differences in cardiovascular events during treatment. The results indicated that MPA administered in a sequential regimen is not associated with an adverse cardiovascular effect.</w:t>
      </w:r>
    </w:p>
    <w:p>
      <w:pPr>
        <w:spacing w:line="249" w:lineRule="auto" w:before="16"/>
        <w:ind w:left="99" w:right="99" w:firstLine="450"/>
        <w:jc w:val="both"/>
        <w:rPr>
          <w:b/>
          <w:sz w:val="30"/>
        </w:rPr>
      </w:pPr>
      <w:r>
        <w:rPr>
          <w:sz w:val="30"/>
        </w:rPr>
        <w:t>At least three other secondary prevention trials in women with </w:t>
      </w:r>
      <w:r>
        <w:rPr>
          <w:sz w:val="30"/>
        </w:rPr>
        <w:t>CHD failed to demonstrate a beneficial impact of HT.</w:t>
      </w:r>
      <w:r>
        <w:rPr>
          <w:sz w:val="30"/>
          <w:vertAlign w:val="superscript"/>
        </w:rPr>
        <w:t>786-788</w:t>
      </w:r>
      <w:r>
        <w:rPr>
          <w:sz w:val="30"/>
          <w:vertAlign w:val="baseline"/>
        </w:rPr>
        <w:t> These various trials tested oral conjugated estrogens, oral estradiol valerate, and transdermal estradiol combined with either MPA or norethindrone. </w:t>
      </w:r>
      <w:r>
        <w:rPr>
          <w:b/>
          <w:sz w:val="30"/>
          <w:vertAlign w:val="baseline"/>
        </w:rPr>
        <w:t>The results of the secondary prevention trials in older women with established heart disease are uniformly consistent in finding no beneficial effects of HT, and the data indicate that different estrogens and different progestins behave similarly.</w:t>
      </w:r>
    </w:p>
    <w:p>
      <w:pPr>
        <w:pStyle w:val="BodyText"/>
        <w:spacing w:before="53"/>
        <w:ind w:left="0"/>
        <w:jc w:val="left"/>
        <w:rPr>
          <w:b/>
        </w:rPr>
      </w:pPr>
    </w:p>
    <w:p>
      <w:pPr>
        <w:spacing w:before="0"/>
        <w:ind w:left="99" w:right="0" w:firstLine="0"/>
        <w:jc w:val="both"/>
        <w:rPr>
          <w:rFonts w:ascii="Arial"/>
          <w:b/>
          <w:sz w:val="30"/>
        </w:rPr>
      </w:pPr>
      <w:r>
        <w:rPr>
          <w:rFonts w:ascii="Arial"/>
          <w:b/>
          <w:color w:val="2674AE"/>
          <w:sz w:val="30"/>
        </w:rPr>
        <w:t>The</w:t>
      </w:r>
      <w:r>
        <w:rPr>
          <w:rFonts w:ascii="Arial"/>
          <w:b/>
          <w:color w:val="2674AE"/>
          <w:spacing w:val="-3"/>
          <w:sz w:val="30"/>
        </w:rPr>
        <w:t> </w:t>
      </w:r>
      <w:r>
        <w:rPr>
          <w:rFonts w:ascii="Arial"/>
          <w:b/>
          <w:color w:val="2674AE"/>
          <w:sz w:val="30"/>
        </w:rPr>
        <w:t>Timing</w:t>
      </w:r>
      <w:r>
        <w:rPr>
          <w:rFonts w:ascii="Arial"/>
          <w:b/>
          <w:color w:val="2674AE"/>
          <w:spacing w:val="-3"/>
          <w:sz w:val="30"/>
        </w:rPr>
        <w:t> </w:t>
      </w:r>
      <w:r>
        <w:rPr>
          <w:rFonts w:ascii="Arial"/>
          <w:b/>
          <w:color w:val="2674AE"/>
          <w:spacing w:val="-2"/>
          <w:sz w:val="30"/>
        </w:rPr>
        <w:t>Hypothesis</w:t>
      </w:r>
    </w:p>
    <w:p>
      <w:pPr>
        <w:pStyle w:val="BodyText"/>
        <w:spacing w:line="249" w:lineRule="auto" w:before="167"/>
        <w:ind w:right="100"/>
      </w:pPr>
      <w:r>
        <w:rPr/>
        <w:t>The timing hypothesis argues that estrogen can reduce the risk of CHD when administered to relatively young postmenopausal women </w:t>
      </w:r>
      <w:r>
        <w:rPr/>
        <w:t>before atherosclerosis has developed to the stage of unstable plaques (plaques with necrosis and inflammation).</w:t>
      </w:r>
    </w:p>
    <w:p>
      <w:pPr>
        <w:spacing w:line="249" w:lineRule="auto" w:before="4"/>
        <w:ind w:left="99" w:right="100" w:firstLine="450"/>
        <w:jc w:val="both"/>
        <w:rPr>
          <w:b/>
          <w:sz w:val="30"/>
        </w:rPr>
      </w:pPr>
      <w:r>
        <w:rPr>
          <w:sz w:val="30"/>
        </w:rPr>
        <w:t>The WHI investigators conducted a secondary analysis of the two canceled clinical hormone trial arms.</w:t>
      </w:r>
      <w:r>
        <w:rPr>
          <w:sz w:val="30"/>
          <w:vertAlign w:val="superscript"/>
        </w:rPr>
        <w:t>779</w:t>
      </w:r>
      <w:r>
        <w:rPr>
          <w:sz w:val="30"/>
          <w:vertAlign w:val="baseline"/>
        </w:rPr>
        <w:t> The results in the estrogen-only arm, in the combined estrogen-progestin arm, and with the participants combined were separated into age groups at randomization (50-59, 60-</w:t>
      </w:r>
      <w:r>
        <w:rPr>
          <w:sz w:val="30"/>
          <w:vertAlign w:val="baseline"/>
        </w:rPr>
        <w:t>69, and 70-79) and according to years since menopause (&lt;10, 10-19, and ≥20). </w:t>
      </w:r>
      <w:r>
        <w:rPr>
          <w:b/>
          <w:sz w:val="30"/>
          <w:vertAlign w:val="baseline"/>
        </w:rPr>
        <w:t>An increased risk for CHD was present only in the oldest women in the trials. There were no increases for CHD, stroke, or total mortality in women</w:t>
      </w:r>
      <w:r>
        <w:rPr>
          <w:b/>
          <w:spacing w:val="9"/>
          <w:sz w:val="30"/>
          <w:vertAlign w:val="baseline"/>
        </w:rPr>
        <w:t> </w:t>
      </w:r>
      <w:r>
        <w:rPr>
          <w:b/>
          <w:sz w:val="30"/>
          <w:vertAlign w:val="baseline"/>
        </w:rPr>
        <w:t>aged</w:t>
      </w:r>
      <w:r>
        <w:rPr>
          <w:b/>
          <w:spacing w:val="12"/>
          <w:sz w:val="30"/>
          <w:vertAlign w:val="baseline"/>
        </w:rPr>
        <w:t> </w:t>
      </w:r>
      <w:r>
        <w:rPr>
          <w:b/>
          <w:sz w:val="30"/>
          <w:vertAlign w:val="baseline"/>
        </w:rPr>
        <w:t>50</w:t>
      </w:r>
      <w:r>
        <w:rPr>
          <w:b/>
          <w:spacing w:val="11"/>
          <w:sz w:val="30"/>
          <w:vertAlign w:val="baseline"/>
        </w:rPr>
        <w:t> </w:t>
      </w:r>
      <w:r>
        <w:rPr>
          <w:b/>
          <w:sz w:val="30"/>
          <w:vertAlign w:val="baseline"/>
        </w:rPr>
        <w:t>to</w:t>
      </w:r>
      <w:r>
        <w:rPr>
          <w:b/>
          <w:spacing w:val="12"/>
          <w:sz w:val="30"/>
          <w:vertAlign w:val="baseline"/>
        </w:rPr>
        <w:t> </w:t>
      </w:r>
      <w:r>
        <w:rPr>
          <w:b/>
          <w:sz w:val="30"/>
          <w:vertAlign w:val="baseline"/>
        </w:rPr>
        <w:t>59</w:t>
      </w:r>
      <w:r>
        <w:rPr>
          <w:b/>
          <w:spacing w:val="11"/>
          <w:sz w:val="30"/>
          <w:vertAlign w:val="baseline"/>
        </w:rPr>
        <w:t> </w:t>
      </w:r>
      <w:r>
        <w:rPr>
          <w:b/>
          <w:sz w:val="30"/>
          <w:vertAlign w:val="baseline"/>
        </w:rPr>
        <w:t>years.</w:t>
      </w:r>
      <w:r>
        <w:rPr>
          <w:b/>
          <w:spacing w:val="12"/>
          <w:sz w:val="30"/>
          <w:vertAlign w:val="baseline"/>
        </w:rPr>
        <w:t> </w:t>
      </w:r>
      <w:r>
        <w:rPr>
          <w:b/>
          <w:sz w:val="30"/>
          <w:vertAlign w:val="baseline"/>
        </w:rPr>
        <w:t>In</w:t>
      </w:r>
      <w:r>
        <w:rPr>
          <w:b/>
          <w:spacing w:val="13"/>
          <w:sz w:val="30"/>
          <w:vertAlign w:val="baseline"/>
        </w:rPr>
        <w:t> </w:t>
      </w:r>
      <w:r>
        <w:rPr>
          <w:b/>
          <w:sz w:val="30"/>
          <w:vertAlign w:val="baseline"/>
        </w:rPr>
        <w:t>fact,</w:t>
      </w:r>
      <w:r>
        <w:rPr>
          <w:b/>
          <w:spacing w:val="12"/>
          <w:sz w:val="30"/>
          <w:vertAlign w:val="baseline"/>
        </w:rPr>
        <w:t> </w:t>
      </w:r>
      <w:r>
        <w:rPr>
          <w:b/>
          <w:sz w:val="30"/>
          <w:vertAlign w:val="baseline"/>
        </w:rPr>
        <w:t>only</w:t>
      </w:r>
      <w:r>
        <w:rPr>
          <w:b/>
          <w:spacing w:val="13"/>
          <w:sz w:val="30"/>
          <w:vertAlign w:val="baseline"/>
        </w:rPr>
        <w:t> </w:t>
      </w:r>
      <w:r>
        <w:rPr>
          <w:b/>
          <w:sz w:val="30"/>
          <w:vertAlign w:val="baseline"/>
        </w:rPr>
        <w:t>the</w:t>
      </w:r>
      <w:r>
        <w:rPr>
          <w:b/>
          <w:spacing w:val="12"/>
          <w:sz w:val="30"/>
          <w:vertAlign w:val="baseline"/>
        </w:rPr>
        <w:t> </w:t>
      </w:r>
      <w:r>
        <w:rPr>
          <w:b/>
          <w:sz w:val="30"/>
          <w:vertAlign w:val="baseline"/>
        </w:rPr>
        <w:t>increase</w:t>
      </w:r>
      <w:r>
        <w:rPr>
          <w:b/>
          <w:spacing w:val="13"/>
          <w:sz w:val="30"/>
          <w:vertAlign w:val="baseline"/>
        </w:rPr>
        <w:t> </w:t>
      </w:r>
      <w:r>
        <w:rPr>
          <w:b/>
          <w:sz w:val="30"/>
          <w:vertAlign w:val="baseline"/>
        </w:rPr>
        <w:t>in</w:t>
      </w:r>
      <w:r>
        <w:rPr>
          <w:b/>
          <w:spacing w:val="12"/>
          <w:sz w:val="30"/>
          <w:vertAlign w:val="baseline"/>
        </w:rPr>
        <w:t> </w:t>
      </w:r>
      <w:r>
        <w:rPr>
          <w:b/>
          <w:sz w:val="30"/>
          <w:vertAlign w:val="baseline"/>
        </w:rPr>
        <w:t>CHD</w:t>
      </w:r>
      <w:r>
        <w:rPr>
          <w:b/>
          <w:spacing w:val="13"/>
          <w:sz w:val="30"/>
          <w:vertAlign w:val="baseline"/>
        </w:rPr>
        <w:t> </w:t>
      </w:r>
      <w:r>
        <w:rPr>
          <w:b/>
          <w:sz w:val="30"/>
          <w:vertAlign w:val="baseline"/>
        </w:rPr>
        <w:t>events</w:t>
      </w:r>
      <w:r>
        <w:rPr>
          <w:b/>
          <w:spacing w:val="13"/>
          <w:sz w:val="30"/>
          <w:vertAlign w:val="baseline"/>
        </w:rPr>
        <w:t> </w:t>
      </w:r>
      <w:r>
        <w:rPr>
          <w:b/>
          <w:spacing w:val="-5"/>
          <w:sz w:val="30"/>
          <w:vertAlign w:val="baseline"/>
        </w:rPr>
        <w:t>in</w:t>
      </w:r>
    </w:p>
    <w:p>
      <w:pPr>
        <w:spacing w:after="0" w:line="249" w:lineRule="auto"/>
        <w:jc w:val="both"/>
        <w:rPr>
          <w:b/>
          <w:sz w:val="30"/>
        </w:rPr>
        <w:sectPr>
          <w:pgSz w:w="12240" w:h="15840"/>
          <w:pgMar w:top="1380" w:bottom="280" w:left="1440" w:right="1440"/>
        </w:sectPr>
      </w:pPr>
    </w:p>
    <w:p>
      <w:pPr>
        <w:spacing w:line="249" w:lineRule="auto" w:before="65"/>
        <w:ind w:left="99" w:right="105" w:firstLine="0"/>
        <w:jc w:val="both"/>
        <w:rPr>
          <w:b/>
          <w:sz w:val="30"/>
        </w:rPr>
      </w:pPr>
      <w:r>
        <w:rPr>
          <w:b/>
          <w:sz w:val="30"/>
        </w:rPr>
        <w:t>women 20</w:t>
      </w:r>
      <w:r>
        <w:rPr>
          <w:sz w:val="30"/>
        </w:rPr>
        <w:t>+ </w:t>
      </w:r>
      <w:r>
        <w:rPr>
          <w:b/>
          <w:sz w:val="30"/>
        </w:rPr>
        <w:t>years since menopause reached statistical </w:t>
      </w:r>
      <w:r>
        <w:rPr>
          <w:b/>
          <w:sz w:val="30"/>
        </w:rPr>
        <w:t>significance. There was no apparent increase in CVD risk in treated women close to their menopause. Indeed, a statistically significant reduced risk was present for total mortality in women aged 50 to 59 years.</w:t>
      </w:r>
    </w:p>
    <w:p>
      <w:pPr>
        <w:pStyle w:val="BodyText"/>
        <w:spacing w:line="249" w:lineRule="auto" w:before="5"/>
        <w:ind w:right="98" w:firstLine="450"/>
        <w:jc w:val="right"/>
      </w:pPr>
      <w:r>
        <w:rPr/>
        <w:t>The</w:t>
      </w:r>
      <w:r>
        <w:rPr>
          <w:spacing w:val="-3"/>
        </w:rPr>
        <w:t> </w:t>
      </w:r>
      <w:r>
        <w:rPr/>
        <w:t>data</w:t>
      </w:r>
      <w:r>
        <w:rPr>
          <w:spacing w:val="-3"/>
        </w:rPr>
        <w:t> </w:t>
      </w:r>
      <w:r>
        <w:rPr/>
        <w:t>in</w:t>
      </w:r>
      <w:r>
        <w:rPr>
          <w:spacing w:val="-3"/>
        </w:rPr>
        <w:t> </w:t>
      </w:r>
      <w:r>
        <w:rPr/>
        <w:t>this</w:t>
      </w:r>
      <w:r>
        <w:rPr>
          <w:spacing w:val="-3"/>
        </w:rPr>
        <w:t> </w:t>
      </w:r>
      <w:r>
        <w:rPr/>
        <w:t>2007</w:t>
      </w:r>
      <w:r>
        <w:rPr>
          <w:spacing w:val="-3"/>
        </w:rPr>
        <w:t> </w:t>
      </w:r>
      <w:r>
        <w:rPr/>
        <w:t>WHI</w:t>
      </w:r>
      <w:r>
        <w:rPr>
          <w:spacing w:val="-3"/>
        </w:rPr>
        <w:t> </w:t>
      </w:r>
      <w:r>
        <w:rPr/>
        <w:t>report</w:t>
      </w:r>
      <w:r>
        <w:rPr>
          <w:spacing w:val="-3"/>
        </w:rPr>
        <w:t> </w:t>
      </w:r>
      <w:r>
        <w:rPr/>
        <w:t>were</w:t>
      </w:r>
      <w:r>
        <w:rPr>
          <w:spacing w:val="-3"/>
        </w:rPr>
        <w:t> </w:t>
      </w:r>
      <w:r>
        <w:rPr/>
        <w:t>not</w:t>
      </w:r>
      <w:r>
        <w:rPr>
          <w:spacing w:val="-3"/>
        </w:rPr>
        <w:t> </w:t>
      </w:r>
      <w:r>
        <w:rPr/>
        <w:t>new.</w:t>
      </w:r>
      <w:r>
        <w:rPr>
          <w:spacing w:val="-3"/>
        </w:rPr>
        <w:t> </w:t>
      </w:r>
      <w:r>
        <w:rPr/>
        <w:t>A</w:t>
      </w:r>
      <w:r>
        <w:rPr>
          <w:spacing w:val="-3"/>
        </w:rPr>
        <w:t> </w:t>
      </w:r>
      <w:r>
        <w:rPr/>
        <w:t>careful</w:t>
      </w:r>
      <w:r>
        <w:rPr>
          <w:spacing w:val="-3"/>
        </w:rPr>
        <w:t> </w:t>
      </w:r>
      <w:r>
        <w:rPr/>
        <w:t>reading</w:t>
      </w:r>
      <w:r>
        <w:rPr>
          <w:spacing w:val="-3"/>
        </w:rPr>
        <w:t> </w:t>
      </w:r>
      <w:r>
        <w:rPr/>
        <w:t>of</w:t>
      </w:r>
      <w:r>
        <w:rPr>
          <w:spacing w:val="-3"/>
        </w:rPr>
        <w:t> </w:t>
      </w:r>
      <w:r>
        <w:rPr/>
        <w:t>the initial adjudicated reports reveals that the risk of CHD was present only </w:t>
      </w:r>
      <w:r>
        <w:rPr/>
        <w:t>in the</w:t>
      </w:r>
      <w:r>
        <w:rPr>
          <w:spacing w:val="78"/>
          <w:w w:val="150"/>
        </w:rPr>
        <w:t> </w:t>
      </w:r>
      <w:r>
        <w:rPr/>
        <w:t>oldest</w:t>
      </w:r>
      <w:r>
        <w:rPr>
          <w:spacing w:val="78"/>
          <w:w w:val="150"/>
        </w:rPr>
        <w:t> </w:t>
      </w:r>
      <w:r>
        <w:rPr/>
        <w:t>women</w:t>
      </w:r>
      <w:r>
        <w:rPr>
          <w:spacing w:val="78"/>
          <w:w w:val="150"/>
        </w:rPr>
        <w:t> </w:t>
      </w:r>
      <w:r>
        <w:rPr/>
        <w:t>in</w:t>
      </w:r>
      <w:r>
        <w:rPr>
          <w:spacing w:val="78"/>
          <w:w w:val="150"/>
        </w:rPr>
        <w:t> </w:t>
      </w:r>
      <w:r>
        <w:rPr/>
        <w:t>the</w:t>
      </w:r>
      <w:r>
        <w:rPr>
          <w:spacing w:val="78"/>
          <w:w w:val="150"/>
        </w:rPr>
        <w:t> </w:t>
      </w:r>
      <w:r>
        <w:rPr/>
        <w:t>trials.</w:t>
      </w:r>
      <w:r>
        <w:rPr>
          <w:vertAlign w:val="superscript"/>
        </w:rPr>
        <w:t>769,789</w:t>
      </w:r>
      <w:r>
        <w:rPr>
          <w:spacing w:val="77"/>
          <w:w w:val="150"/>
          <w:vertAlign w:val="baseline"/>
        </w:rPr>
        <w:t> </w:t>
      </w:r>
      <w:r>
        <w:rPr>
          <w:vertAlign w:val="baseline"/>
        </w:rPr>
        <w:t>In</w:t>
      </w:r>
      <w:r>
        <w:rPr>
          <w:spacing w:val="78"/>
          <w:w w:val="150"/>
          <w:vertAlign w:val="baseline"/>
        </w:rPr>
        <w:t> </w:t>
      </w:r>
      <w:r>
        <w:rPr>
          <w:vertAlign w:val="baseline"/>
        </w:rPr>
        <w:t>subgroup</w:t>
      </w:r>
      <w:r>
        <w:rPr>
          <w:spacing w:val="78"/>
          <w:w w:val="150"/>
          <w:vertAlign w:val="baseline"/>
        </w:rPr>
        <w:t> </w:t>
      </w:r>
      <w:r>
        <w:rPr>
          <w:vertAlign w:val="baseline"/>
        </w:rPr>
        <w:t>analyses,</w:t>
      </w:r>
      <w:r>
        <w:rPr>
          <w:spacing w:val="78"/>
          <w:w w:val="150"/>
          <w:vertAlign w:val="baseline"/>
        </w:rPr>
        <w:t> </w:t>
      </w:r>
      <w:r>
        <w:rPr>
          <w:vertAlign w:val="baseline"/>
        </w:rPr>
        <w:t>the</w:t>
      </w:r>
      <w:r>
        <w:rPr>
          <w:spacing w:val="78"/>
          <w:w w:val="150"/>
          <w:vertAlign w:val="baseline"/>
        </w:rPr>
        <w:t> </w:t>
      </w:r>
      <w:r>
        <w:rPr>
          <w:vertAlign w:val="baseline"/>
        </w:rPr>
        <w:t>only significant increase in stroke occurred in the estrogen-only arm in women</w:t>
      </w:r>
      <w:r>
        <w:rPr>
          <w:spacing w:val="80"/>
          <w:vertAlign w:val="baseline"/>
        </w:rPr>
        <w:t> </w:t>
      </w:r>
      <w:r>
        <w:rPr>
          <w:vertAlign w:val="baseline"/>
        </w:rPr>
        <w:t>aged 60 to 69 years. However, as noted previously, when women with prior CVD</w:t>
      </w:r>
      <w:r>
        <w:rPr>
          <w:spacing w:val="40"/>
          <w:vertAlign w:val="baseline"/>
        </w:rPr>
        <w:t> </w:t>
      </w:r>
      <w:r>
        <w:rPr>
          <w:vertAlign w:val="baseline"/>
        </w:rPr>
        <w:t>or</w:t>
      </w:r>
      <w:r>
        <w:rPr>
          <w:spacing w:val="40"/>
          <w:vertAlign w:val="baseline"/>
        </w:rPr>
        <w:t> </w:t>
      </w:r>
      <w:r>
        <w:rPr>
          <w:vertAlign w:val="baseline"/>
        </w:rPr>
        <w:t>those</w:t>
      </w:r>
      <w:r>
        <w:rPr>
          <w:spacing w:val="40"/>
          <w:vertAlign w:val="baseline"/>
        </w:rPr>
        <w:t> </w:t>
      </w:r>
      <w:r>
        <w:rPr>
          <w:vertAlign w:val="baseline"/>
        </w:rPr>
        <w:t>older</w:t>
      </w:r>
      <w:r>
        <w:rPr>
          <w:spacing w:val="40"/>
          <w:vertAlign w:val="baseline"/>
        </w:rPr>
        <w:t> </w:t>
      </w:r>
      <w:r>
        <w:rPr>
          <w:vertAlign w:val="baseline"/>
        </w:rPr>
        <w:t>than</w:t>
      </w:r>
      <w:r>
        <w:rPr>
          <w:spacing w:val="40"/>
          <w:vertAlign w:val="baseline"/>
        </w:rPr>
        <w:t> </w:t>
      </w:r>
      <w:r>
        <w:rPr>
          <w:vertAlign w:val="baseline"/>
        </w:rPr>
        <w:t>60</w:t>
      </w:r>
      <w:r>
        <w:rPr>
          <w:spacing w:val="40"/>
          <w:vertAlign w:val="baseline"/>
        </w:rPr>
        <w:t> </w:t>
      </w:r>
      <w:r>
        <w:rPr>
          <w:vertAlign w:val="baseline"/>
        </w:rPr>
        <w:t>years</w:t>
      </w:r>
      <w:r>
        <w:rPr>
          <w:spacing w:val="40"/>
          <w:vertAlign w:val="baseline"/>
        </w:rPr>
        <w:t> </w:t>
      </w:r>
      <w:r>
        <w:rPr>
          <w:vertAlign w:val="baseline"/>
        </w:rPr>
        <w:t>were</w:t>
      </w:r>
      <w:r>
        <w:rPr>
          <w:spacing w:val="40"/>
          <w:vertAlign w:val="baseline"/>
        </w:rPr>
        <w:t> </w:t>
      </w:r>
      <w:r>
        <w:rPr>
          <w:vertAlign w:val="baseline"/>
        </w:rPr>
        <w:t>excluded,</w:t>
      </w:r>
      <w:r>
        <w:rPr>
          <w:spacing w:val="40"/>
          <w:vertAlign w:val="baseline"/>
        </w:rPr>
        <w:t> </w:t>
      </w:r>
      <w:r>
        <w:rPr>
          <w:vertAlign w:val="baseline"/>
        </w:rPr>
        <w:t>the</w:t>
      </w:r>
      <w:r>
        <w:rPr>
          <w:spacing w:val="40"/>
          <w:vertAlign w:val="baseline"/>
        </w:rPr>
        <w:t> </w:t>
      </w:r>
      <w:r>
        <w:rPr>
          <w:vertAlign w:val="baseline"/>
        </w:rPr>
        <w:t>risk</w:t>
      </w:r>
      <w:r>
        <w:rPr>
          <w:spacing w:val="40"/>
          <w:vertAlign w:val="baseline"/>
        </w:rPr>
        <w:t> </w:t>
      </w:r>
      <w:r>
        <w:rPr>
          <w:vertAlign w:val="baseline"/>
        </w:rPr>
        <w:t>of</w:t>
      </w:r>
      <w:r>
        <w:rPr>
          <w:spacing w:val="40"/>
          <w:vertAlign w:val="baseline"/>
        </w:rPr>
        <w:t> </w:t>
      </w:r>
      <w:r>
        <w:rPr>
          <w:vertAlign w:val="baseline"/>
        </w:rPr>
        <w:t>stroke</w:t>
      </w:r>
      <w:r>
        <w:rPr>
          <w:spacing w:val="40"/>
          <w:vertAlign w:val="baseline"/>
        </w:rPr>
        <w:t> </w:t>
      </w:r>
      <w:r>
        <w:rPr>
          <w:vertAlign w:val="baseline"/>
        </w:rPr>
        <w:t>in</w:t>
      </w:r>
      <w:r>
        <w:rPr>
          <w:spacing w:val="80"/>
          <w:vertAlign w:val="baseline"/>
        </w:rPr>
        <w:t> </w:t>
      </w:r>
      <w:r>
        <w:rPr>
          <w:vertAlign w:val="baseline"/>
        </w:rPr>
        <w:t>women</w:t>
      </w:r>
      <w:r>
        <w:rPr>
          <w:spacing w:val="40"/>
          <w:vertAlign w:val="baseline"/>
        </w:rPr>
        <w:t> </w:t>
      </w:r>
      <w:r>
        <w:rPr>
          <w:vertAlign w:val="baseline"/>
        </w:rPr>
        <w:t>less</w:t>
      </w:r>
      <w:r>
        <w:rPr>
          <w:spacing w:val="40"/>
          <w:vertAlign w:val="baseline"/>
        </w:rPr>
        <w:t> </w:t>
      </w:r>
      <w:r>
        <w:rPr>
          <w:vertAlign w:val="baseline"/>
        </w:rPr>
        <w:t>than</w:t>
      </w:r>
      <w:r>
        <w:rPr>
          <w:spacing w:val="40"/>
          <w:vertAlign w:val="baseline"/>
        </w:rPr>
        <w:t> </w:t>
      </w:r>
      <w:r>
        <w:rPr>
          <w:vertAlign w:val="baseline"/>
        </w:rPr>
        <w:t>10</w:t>
      </w:r>
      <w:r>
        <w:rPr>
          <w:spacing w:val="40"/>
          <w:vertAlign w:val="baseline"/>
        </w:rPr>
        <w:t> </w:t>
      </w:r>
      <w:r>
        <w:rPr>
          <w:vertAlign w:val="baseline"/>
        </w:rPr>
        <w:t>years</w:t>
      </w:r>
      <w:r>
        <w:rPr>
          <w:spacing w:val="40"/>
          <w:vertAlign w:val="baseline"/>
        </w:rPr>
        <w:t> </w:t>
      </w:r>
      <w:r>
        <w:rPr>
          <w:vertAlign w:val="baseline"/>
        </w:rPr>
        <w:t>since</w:t>
      </w:r>
      <w:r>
        <w:rPr>
          <w:spacing w:val="40"/>
          <w:vertAlign w:val="baseline"/>
        </w:rPr>
        <w:t> </w:t>
      </w:r>
      <w:r>
        <w:rPr>
          <w:vertAlign w:val="baseline"/>
        </w:rPr>
        <w:t>their</w:t>
      </w:r>
      <w:r>
        <w:rPr>
          <w:spacing w:val="40"/>
          <w:vertAlign w:val="baseline"/>
        </w:rPr>
        <w:t> </w:t>
      </w:r>
      <w:r>
        <w:rPr>
          <w:vertAlign w:val="baseline"/>
        </w:rPr>
        <w:t>menopause</w:t>
      </w:r>
      <w:r>
        <w:rPr>
          <w:spacing w:val="40"/>
          <w:vertAlign w:val="baseline"/>
        </w:rPr>
        <w:t> </w:t>
      </w:r>
      <w:r>
        <w:rPr>
          <w:vertAlign w:val="baseline"/>
        </w:rPr>
        <w:t>was</w:t>
      </w:r>
      <w:r>
        <w:rPr>
          <w:spacing w:val="40"/>
          <w:vertAlign w:val="baseline"/>
        </w:rPr>
        <w:t> </w:t>
      </w:r>
      <w:r>
        <w:rPr>
          <w:vertAlign w:val="baseline"/>
        </w:rPr>
        <w:t>not</w:t>
      </w:r>
      <w:r>
        <w:rPr>
          <w:spacing w:val="40"/>
          <w:vertAlign w:val="baseline"/>
        </w:rPr>
        <w:t> </w:t>
      </w:r>
      <w:r>
        <w:rPr>
          <w:vertAlign w:val="baseline"/>
        </w:rPr>
        <w:t>significantly</w:t>
      </w:r>
      <w:r>
        <w:rPr>
          <w:spacing w:val="80"/>
          <w:w w:val="150"/>
          <w:vertAlign w:val="baseline"/>
        </w:rPr>
        <w:t> </w:t>
      </w:r>
      <w:r>
        <w:rPr>
          <w:vertAlign w:val="baseline"/>
        </w:rPr>
        <w:t>increased.</w:t>
      </w:r>
      <w:r>
        <w:rPr>
          <w:spacing w:val="-6"/>
          <w:vertAlign w:val="baseline"/>
        </w:rPr>
        <w:t> </w:t>
      </w:r>
      <w:r>
        <w:rPr>
          <w:vertAlign w:val="baseline"/>
        </w:rPr>
        <w:t>In a meta-analysis of RCTs examining CHD outcomes when HT was</w:t>
      </w:r>
      <w:r>
        <w:rPr>
          <w:spacing w:val="40"/>
          <w:vertAlign w:val="baseline"/>
        </w:rPr>
        <w:t> </w:t>
      </w:r>
      <w:r>
        <w:rPr>
          <w:vertAlign w:val="baseline"/>
        </w:rPr>
        <w:t>used</w:t>
      </w:r>
      <w:r>
        <w:rPr>
          <w:spacing w:val="40"/>
          <w:vertAlign w:val="baseline"/>
        </w:rPr>
        <w:t> </w:t>
      </w:r>
      <w:r>
        <w:rPr>
          <w:vertAlign w:val="baseline"/>
        </w:rPr>
        <w:t>in</w:t>
      </w:r>
      <w:r>
        <w:rPr>
          <w:spacing w:val="40"/>
          <w:vertAlign w:val="baseline"/>
        </w:rPr>
        <w:t> </w:t>
      </w:r>
      <w:r>
        <w:rPr>
          <w:vertAlign w:val="baseline"/>
        </w:rPr>
        <w:t>younger</w:t>
      </w:r>
      <w:r>
        <w:rPr>
          <w:spacing w:val="40"/>
          <w:vertAlign w:val="baseline"/>
        </w:rPr>
        <w:t> </w:t>
      </w:r>
      <w:r>
        <w:rPr>
          <w:vertAlign w:val="baseline"/>
        </w:rPr>
        <w:t>versus</w:t>
      </w:r>
      <w:r>
        <w:rPr>
          <w:spacing w:val="40"/>
          <w:vertAlign w:val="baseline"/>
        </w:rPr>
        <w:t> </w:t>
      </w:r>
      <w:r>
        <w:rPr>
          <w:vertAlign w:val="baseline"/>
        </w:rPr>
        <w:t>older</w:t>
      </w:r>
      <w:r>
        <w:rPr>
          <w:spacing w:val="40"/>
          <w:vertAlign w:val="baseline"/>
        </w:rPr>
        <w:t> </w:t>
      </w:r>
      <w:r>
        <w:rPr>
          <w:vertAlign w:val="baseline"/>
        </w:rPr>
        <w:t>women,</w:t>
      </w:r>
      <w:r>
        <w:rPr>
          <w:spacing w:val="40"/>
          <w:vertAlign w:val="baseline"/>
        </w:rPr>
        <w:t> </w:t>
      </w:r>
      <w:r>
        <w:rPr>
          <w:vertAlign w:val="baseline"/>
        </w:rPr>
        <w:t>lower</w:t>
      </w:r>
      <w:r>
        <w:rPr>
          <w:spacing w:val="40"/>
          <w:vertAlign w:val="baseline"/>
        </w:rPr>
        <w:t> </w:t>
      </w:r>
      <w:r>
        <w:rPr>
          <w:vertAlign w:val="baseline"/>
        </w:rPr>
        <w:t>CHD</w:t>
      </w:r>
      <w:r>
        <w:rPr>
          <w:spacing w:val="40"/>
          <w:vertAlign w:val="baseline"/>
        </w:rPr>
        <w:t> </w:t>
      </w:r>
      <w:r>
        <w:rPr>
          <w:vertAlign w:val="baseline"/>
        </w:rPr>
        <w:t>was</w:t>
      </w:r>
      <w:r>
        <w:rPr>
          <w:spacing w:val="40"/>
          <w:vertAlign w:val="baseline"/>
        </w:rPr>
        <w:t> </w:t>
      </w:r>
      <w:r>
        <w:rPr>
          <w:vertAlign w:val="baseline"/>
        </w:rPr>
        <w:t>noted</w:t>
      </w:r>
      <w:r>
        <w:rPr>
          <w:spacing w:val="40"/>
          <w:vertAlign w:val="baseline"/>
        </w:rPr>
        <w:t> </w:t>
      </w:r>
      <w:r>
        <w:rPr>
          <w:vertAlign w:val="baseline"/>
        </w:rPr>
        <w:t>in</w:t>
      </w:r>
      <w:r>
        <w:rPr>
          <w:spacing w:val="40"/>
          <w:vertAlign w:val="baseline"/>
        </w:rPr>
        <w:t> </w:t>
      </w:r>
      <w:r>
        <w:rPr>
          <w:vertAlign w:val="baseline"/>
        </w:rPr>
        <w:t>the younger</w:t>
      </w:r>
      <w:r>
        <w:rPr>
          <w:spacing w:val="37"/>
          <w:vertAlign w:val="baseline"/>
        </w:rPr>
        <w:t> </w:t>
      </w:r>
      <w:r>
        <w:rPr>
          <w:vertAlign w:val="baseline"/>
        </w:rPr>
        <w:t>group.</w:t>
      </w:r>
      <w:r>
        <w:rPr>
          <w:vertAlign w:val="superscript"/>
        </w:rPr>
        <w:t>790</w:t>
      </w:r>
      <w:r>
        <w:rPr>
          <w:spacing w:val="36"/>
          <w:vertAlign w:val="baseline"/>
        </w:rPr>
        <w:t> </w:t>
      </w:r>
      <w:r>
        <w:rPr>
          <w:vertAlign w:val="baseline"/>
        </w:rPr>
        <w:t>To</w:t>
      </w:r>
      <w:r>
        <w:rPr>
          <w:spacing w:val="37"/>
          <w:vertAlign w:val="baseline"/>
        </w:rPr>
        <w:t> </w:t>
      </w:r>
      <w:r>
        <w:rPr>
          <w:vertAlign w:val="baseline"/>
        </w:rPr>
        <w:t>further</w:t>
      </w:r>
      <w:r>
        <w:rPr>
          <w:spacing w:val="37"/>
          <w:vertAlign w:val="baseline"/>
        </w:rPr>
        <w:t> </w:t>
      </w:r>
      <w:r>
        <w:rPr>
          <w:vertAlign w:val="baseline"/>
        </w:rPr>
        <w:t>assess</w:t>
      </w:r>
      <w:r>
        <w:rPr>
          <w:spacing w:val="37"/>
          <w:vertAlign w:val="baseline"/>
        </w:rPr>
        <w:t> </w:t>
      </w:r>
      <w:r>
        <w:rPr>
          <w:vertAlign w:val="baseline"/>
        </w:rPr>
        <w:t>the</w:t>
      </w:r>
      <w:r>
        <w:rPr>
          <w:spacing w:val="37"/>
          <w:vertAlign w:val="baseline"/>
        </w:rPr>
        <w:t> </w:t>
      </w:r>
      <w:r>
        <w:rPr>
          <w:vertAlign w:val="baseline"/>
        </w:rPr>
        <w:t>effects</w:t>
      </w:r>
      <w:r>
        <w:rPr>
          <w:spacing w:val="37"/>
          <w:vertAlign w:val="baseline"/>
        </w:rPr>
        <w:t> </w:t>
      </w:r>
      <w:r>
        <w:rPr>
          <w:vertAlign w:val="baseline"/>
        </w:rPr>
        <w:t>of</w:t>
      </w:r>
      <w:r>
        <w:rPr>
          <w:spacing w:val="37"/>
          <w:vertAlign w:val="baseline"/>
        </w:rPr>
        <w:t> </w:t>
      </w:r>
      <w:r>
        <w:rPr>
          <w:vertAlign w:val="baseline"/>
        </w:rPr>
        <w:t>ET</w:t>
      </w:r>
      <w:r>
        <w:rPr>
          <w:spacing w:val="37"/>
          <w:vertAlign w:val="baseline"/>
        </w:rPr>
        <w:t> </w:t>
      </w:r>
      <w:r>
        <w:rPr>
          <w:vertAlign w:val="baseline"/>
        </w:rPr>
        <w:t>on</w:t>
      </w:r>
      <w:r>
        <w:rPr>
          <w:spacing w:val="37"/>
          <w:vertAlign w:val="baseline"/>
        </w:rPr>
        <w:t> </w:t>
      </w:r>
      <w:r>
        <w:rPr>
          <w:vertAlign w:val="baseline"/>
        </w:rPr>
        <w:t>coronary</w:t>
      </w:r>
      <w:r>
        <w:rPr>
          <w:spacing w:val="37"/>
          <w:vertAlign w:val="baseline"/>
        </w:rPr>
        <w:t> </w:t>
      </w:r>
      <w:r>
        <w:rPr>
          <w:vertAlign w:val="baseline"/>
        </w:rPr>
        <w:t>health, CAC</w:t>
      </w:r>
      <w:r>
        <w:rPr>
          <w:spacing w:val="80"/>
          <w:vertAlign w:val="baseline"/>
        </w:rPr>
        <w:t> </w:t>
      </w:r>
      <w:r>
        <w:rPr>
          <w:vertAlign w:val="baseline"/>
        </w:rPr>
        <w:t>was</w:t>
      </w:r>
      <w:r>
        <w:rPr>
          <w:spacing w:val="80"/>
          <w:vertAlign w:val="baseline"/>
        </w:rPr>
        <w:t> </w:t>
      </w:r>
      <w:r>
        <w:rPr>
          <w:vertAlign w:val="baseline"/>
        </w:rPr>
        <w:t>measured</w:t>
      </w:r>
      <w:r>
        <w:rPr>
          <w:spacing w:val="80"/>
          <w:vertAlign w:val="baseline"/>
        </w:rPr>
        <w:t> </w:t>
      </w:r>
      <w:r>
        <w:rPr>
          <w:vertAlign w:val="baseline"/>
        </w:rPr>
        <w:t>in</w:t>
      </w:r>
      <w:r>
        <w:rPr>
          <w:spacing w:val="80"/>
          <w:vertAlign w:val="baseline"/>
        </w:rPr>
        <w:t> </w:t>
      </w:r>
      <w:r>
        <w:rPr>
          <w:vertAlign w:val="baseline"/>
        </w:rPr>
        <w:t>women</w:t>
      </w:r>
      <w:r>
        <w:rPr>
          <w:spacing w:val="80"/>
          <w:vertAlign w:val="baseline"/>
        </w:rPr>
        <w:t> </w:t>
      </w:r>
      <w:r>
        <w:rPr>
          <w:vertAlign w:val="baseline"/>
        </w:rPr>
        <w:t>aged</w:t>
      </w:r>
      <w:r>
        <w:rPr>
          <w:spacing w:val="80"/>
          <w:vertAlign w:val="baseline"/>
        </w:rPr>
        <w:t> </w:t>
      </w:r>
      <w:r>
        <w:rPr>
          <w:vertAlign w:val="baseline"/>
        </w:rPr>
        <w:t>50</w:t>
      </w:r>
      <w:r>
        <w:rPr>
          <w:spacing w:val="80"/>
          <w:vertAlign w:val="baseline"/>
        </w:rPr>
        <w:t> </w:t>
      </w:r>
      <w:r>
        <w:rPr>
          <w:vertAlign w:val="baseline"/>
        </w:rPr>
        <w:t>to</w:t>
      </w:r>
      <w:r>
        <w:rPr>
          <w:spacing w:val="80"/>
          <w:vertAlign w:val="baseline"/>
        </w:rPr>
        <w:t> </w:t>
      </w:r>
      <w:r>
        <w:rPr>
          <w:vertAlign w:val="baseline"/>
        </w:rPr>
        <w:t>59</w:t>
      </w:r>
      <w:r>
        <w:rPr>
          <w:spacing w:val="80"/>
          <w:vertAlign w:val="baseline"/>
        </w:rPr>
        <w:t> </w:t>
      </w:r>
      <w:r>
        <w:rPr>
          <w:vertAlign w:val="baseline"/>
        </w:rPr>
        <w:t>years</w:t>
      </w:r>
      <w:r>
        <w:rPr>
          <w:spacing w:val="80"/>
          <w:vertAlign w:val="baseline"/>
        </w:rPr>
        <w:t> </w:t>
      </w:r>
      <w:r>
        <w:rPr>
          <w:vertAlign w:val="baseline"/>
        </w:rPr>
        <w:t>by</w:t>
      </w:r>
      <w:r>
        <w:rPr>
          <w:spacing w:val="80"/>
          <w:vertAlign w:val="baseline"/>
        </w:rPr>
        <w:t> </w:t>
      </w:r>
      <w:r>
        <w:rPr>
          <w:vertAlign w:val="baseline"/>
        </w:rPr>
        <w:t>CT.</w:t>
      </w:r>
      <w:r>
        <w:rPr>
          <w:spacing w:val="80"/>
          <w:vertAlign w:val="baseline"/>
        </w:rPr>
        <w:t> </w:t>
      </w:r>
      <w:r>
        <w:rPr>
          <w:vertAlign w:val="baseline"/>
        </w:rPr>
        <w:t>Calcium atheromas</w:t>
      </w:r>
      <w:r>
        <w:rPr>
          <w:spacing w:val="40"/>
          <w:vertAlign w:val="baseline"/>
        </w:rPr>
        <w:t> </w:t>
      </w:r>
      <w:r>
        <w:rPr>
          <w:vertAlign w:val="baseline"/>
        </w:rPr>
        <w:t>are</w:t>
      </w:r>
      <w:r>
        <w:rPr>
          <w:spacing w:val="40"/>
          <w:vertAlign w:val="baseline"/>
        </w:rPr>
        <w:t> </w:t>
      </w:r>
      <w:r>
        <w:rPr>
          <w:vertAlign w:val="baseline"/>
        </w:rPr>
        <w:t>indicative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chronic</w:t>
      </w:r>
      <w:r>
        <w:rPr>
          <w:spacing w:val="40"/>
          <w:vertAlign w:val="baseline"/>
        </w:rPr>
        <w:t> </w:t>
      </w:r>
      <w:r>
        <w:rPr>
          <w:vertAlign w:val="baseline"/>
        </w:rPr>
        <w:t>inflammatory</w:t>
      </w:r>
      <w:r>
        <w:rPr>
          <w:spacing w:val="40"/>
          <w:vertAlign w:val="baseline"/>
        </w:rPr>
        <w:t> </w:t>
      </w:r>
      <w:r>
        <w:rPr>
          <w:vertAlign w:val="baseline"/>
        </w:rPr>
        <w:t>process</w:t>
      </w:r>
      <w:r>
        <w:rPr>
          <w:spacing w:val="40"/>
          <w:vertAlign w:val="baseline"/>
        </w:rPr>
        <w:t> </w:t>
      </w:r>
      <w:r>
        <w:rPr>
          <w:vertAlign w:val="baseline"/>
        </w:rPr>
        <w:t>associated with</w:t>
      </w:r>
      <w:r>
        <w:rPr>
          <w:spacing w:val="40"/>
          <w:vertAlign w:val="baseline"/>
        </w:rPr>
        <w:t> </w:t>
      </w:r>
      <w:r>
        <w:rPr>
          <w:vertAlign w:val="baseline"/>
        </w:rPr>
        <w:t>atherosclerosis</w:t>
      </w:r>
      <w:r>
        <w:rPr>
          <w:spacing w:val="40"/>
          <w:vertAlign w:val="baseline"/>
        </w:rPr>
        <w:t> </w:t>
      </w:r>
      <w:r>
        <w:rPr>
          <w:vertAlign w:val="baseline"/>
        </w:rPr>
        <w:t>and</w:t>
      </w:r>
      <w:r>
        <w:rPr>
          <w:spacing w:val="40"/>
          <w:vertAlign w:val="baseline"/>
        </w:rPr>
        <w:t> </w:t>
      </w:r>
      <w:r>
        <w:rPr>
          <w:vertAlign w:val="baseline"/>
        </w:rPr>
        <w:t>are</w:t>
      </w:r>
      <w:r>
        <w:rPr>
          <w:spacing w:val="40"/>
          <w:vertAlign w:val="baseline"/>
        </w:rPr>
        <w:t> </w:t>
      </w:r>
      <w:r>
        <w:rPr>
          <w:vertAlign w:val="baseline"/>
        </w:rPr>
        <w:t>the</w:t>
      </w:r>
      <w:r>
        <w:rPr>
          <w:spacing w:val="40"/>
          <w:vertAlign w:val="baseline"/>
        </w:rPr>
        <w:t> </w:t>
      </w:r>
      <w:r>
        <w:rPr>
          <w:vertAlign w:val="baseline"/>
        </w:rPr>
        <w:t>best</w:t>
      </w:r>
      <w:r>
        <w:rPr>
          <w:spacing w:val="40"/>
          <w:vertAlign w:val="baseline"/>
        </w:rPr>
        <w:t> </w:t>
      </w:r>
      <w:r>
        <w:rPr>
          <w:vertAlign w:val="baseline"/>
        </w:rPr>
        <w:t>known</w:t>
      </w:r>
      <w:r>
        <w:rPr>
          <w:spacing w:val="40"/>
          <w:vertAlign w:val="baseline"/>
        </w:rPr>
        <w:t> </w:t>
      </w:r>
      <w:r>
        <w:rPr>
          <w:vertAlign w:val="baseline"/>
        </w:rPr>
        <w:t>predictors</w:t>
      </w:r>
      <w:r>
        <w:rPr>
          <w:spacing w:val="40"/>
          <w:vertAlign w:val="baseline"/>
        </w:rPr>
        <w:t> </w:t>
      </w:r>
      <w:r>
        <w:rPr>
          <w:vertAlign w:val="baseline"/>
        </w:rPr>
        <w:t>of</w:t>
      </w:r>
      <w:r>
        <w:rPr>
          <w:spacing w:val="40"/>
          <w:vertAlign w:val="baseline"/>
        </w:rPr>
        <w:t> </w:t>
      </w:r>
      <w:r>
        <w:rPr>
          <w:vertAlign w:val="baseline"/>
        </w:rPr>
        <w:t>clinical</w:t>
      </w:r>
      <w:r>
        <w:rPr>
          <w:spacing w:val="40"/>
          <w:vertAlign w:val="baseline"/>
        </w:rPr>
        <w:t> </w:t>
      </w:r>
      <w:r>
        <w:rPr>
          <w:vertAlign w:val="baseline"/>
        </w:rPr>
        <w:t>heart</w:t>
      </w:r>
      <w:r>
        <w:rPr>
          <w:spacing w:val="80"/>
          <w:vertAlign w:val="baseline"/>
        </w:rPr>
        <w:t> </w:t>
      </w:r>
      <w:r>
        <w:rPr>
          <w:vertAlign w:val="baseline"/>
        </w:rPr>
        <w:t>disease.</w:t>
      </w:r>
      <w:r>
        <w:rPr>
          <w:spacing w:val="70"/>
          <w:vertAlign w:val="baseline"/>
        </w:rPr>
        <w:t> </w:t>
      </w:r>
      <w:r>
        <w:rPr>
          <w:vertAlign w:val="baseline"/>
        </w:rPr>
        <w:t>As</w:t>
      </w:r>
      <w:r>
        <w:rPr>
          <w:spacing w:val="80"/>
          <w:vertAlign w:val="baseline"/>
        </w:rPr>
        <w:t> </w:t>
      </w:r>
      <w:r>
        <w:rPr>
          <w:vertAlign w:val="baseline"/>
        </w:rPr>
        <w:t>such,</w:t>
      </w:r>
      <w:r>
        <w:rPr>
          <w:spacing w:val="80"/>
          <w:vertAlign w:val="baseline"/>
        </w:rPr>
        <w:t> </w:t>
      </w:r>
      <w:r>
        <w:rPr>
          <w:vertAlign w:val="baseline"/>
        </w:rPr>
        <w:t>calcium</w:t>
      </w:r>
      <w:r>
        <w:rPr>
          <w:spacing w:val="80"/>
          <w:vertAlign w:val="baseline"/>
        </w:rPr>
        <w:t> </w:t>
      </w:r>
      <w:r>
        <w:rPr>
          <w:vertAlign w:val="baseline"/>
        </w:rPr>
        <w:t>atheroma</w:t>
      </w:r>
      <w:r>
        <w:rPr>
          <w:spacing w:val="80"/>
          <w:vertAlign w:val="baseline"/>
        </w:rPr>
        <w:t> </w:t>
      </w:r>
      <w:r>
        <w:rPr>
          <w:vertAlign w:val="baseline"/>
        </w:rPr>
        <w:t>scores</w:t>
      </w:r>
      <w:r>
        <w:rPr>
          <w:spacing w:val="80"/>
          <w:vertAlign w:val="baseline"/>
        </w:rPr>
        <w:t> </w:t>
      </w:r>
      <w:r>
        <w:rPr>
          <w:vertAlign w:val="baseline"/>
        </w:rPr>
        <w:t>were</w:t>
      </w:r>
      <w:r>
        <w:rPr>
          <w:spacing w:val="80"/>
          <w:vertAlign w:val="baseline"/>
        </w:rPr>
        <w:t> </w:t>
      </w:r>
      <w:r>
        <w:rPr>
          <w:vertAlign w:val="baseline"/>
        </w:rPr>
        <w:t>used</w:t>
      </w:r>
      <w:r>
        <w:rPr>
          <w:spacing w:val="80"/>
          <w:vertAlign w:val="baseline"/>
        </w:rPr>
        <w:t> </w:t>
      </w:r>
      <w:r>
        <w:rPr>
          <w:vertAlign w:val="baseline"/>
        </w:rPr>
        <w:t>to</w:t>
      </w:r>
      <w:r>
        <w:rPr>
          <w:spacing w:val="80"/>
          <w:vertAlign w:val="baseline"/>
        </w:rPr>
        <w:t> </w:t>
      </w:r>
      <w:r>
        <w:rPr>
          <w:vertAlign w:val="baseline"/>
        </w:rPr>
        <w:t>assess</w:t>
      </w:r>
      <w:r>
        <w:rPr>
          <w:spacing w:val="80"/>
          <w:vertAlign w:val="baseline"/>
        </w:rPr>
        <w:t> </w:t>
      </w:r>
      <w:r>
        <w:rPr>
          <w:vertAlign w:val="baseline"/>
        </w:rPr>
        <w:t>CVD. Women</w:t>
      </w:r>
      <w:r>
        <w:rPr>
          <w:spacing w:val="80"/>
          <w:vertAlign w:val="baseline"/>
        </w:rPr>
        <w:t> </w:t>
      </w:r>
      <w:r>
        <w:rPr>
          <w:vertAlign w:val="baseline"/>
        </w:rPr>
        <w:t>in</w:t>
      </w:r>
      <w:r>
        <w:rPr>
          <w:spacing w:val="80"/>
          <w:vertAlign w:val="baseline"/>
        </w:rPr>
        <w:t> </w:t>
      </w:r>
      <w:r>
        <w:rPr>
          <w:vertAlign w:val="baseline"/>
        </w:rPr>
        <w:t>the</w:t>
      </w:r>
      <w:r>
        <w:rPr>
          <w:spacing w:val="80"/>
          <w:vertAlign w:val="baseline"/>
        </w:rPr>
        <w:t> </w:t>
      </w:r>
      <w:r>
        <w:rPr>
          <w:vertAlign w:val="baseline"/>
        </w:rPr>
        <w:t>ET</w:t>
      </w:r>
      <w:r>
        <w:rPr>
          <w:spacing w:val="80"/>
          <w:vertAlign w:val="baseline"/>
        </w:rPr>
        <w:t> </w:t>
      </w:r>
      <w:r>
        <w:rPr>
          <w:vertAlign w:val="baseline"/>
        </w:rPr>
        <w:t>group</w:t>
      </w:r>
      <w:r>
        <w:rPr>
          <w:spacing w:val="80"/>
          <w:vertAlign w:val="baseline"/>
        </w:rPr>
        <w:t> </w:t>
      </w:r>
      <w:r>
        <w:rPr>
          <w:vertAlign w:val="baseline"/>
        </w:rPr>
        <w:t>had</w:t>
      </w:r>
      <w:r>
        <w:rPr>
          <w:spacing w:val="80"/>
          <w:vertAlign w:val="baseline"/>
        </w:rPr>
        <w:t> </w:t>
      </w:r>
      <w:r>
        <w:rPr>
          <w:vertAlign w:val="baseline"/>
        </w:rPr>
        <w:t>a</w:t>
      </w:r>
      <w:r>
        <w:rPr>
          <w:spacing w:val="80"/>
          <w:vertAlign w:val="baseline"/>
        </w:rPr>
        <w:t> </w:t>
      </w:r>
      <w:r>
        <w:rPr>
          <w:vertAlign w:val="baseline"/>
        </w:rPr>
        <w:t>statistically</w:t>
      </w:r>
      <w:r>
        <w:rPr>
          <w:spacing w:val="80"/>
          <w:vertAlign w:val="baseline"/>
        </w:rPr>
        <w:t> </w:t>
      </w:r>
      <w:r>
        <w:rPr>
          <w:vertAlign w:val="baseline"/>
        </w:rPr>
        <w:t>significant</w:t>
      </w:r>
      <w:r>
        <w:rPr>
          <w:spacing w:val="80"/>
          <w:vertAlign w:val="baseline"/>
        </w:rPr>
        <w:t> </w:t>
      </w:r>
      <w:r>
        <w:rPr>
          <w:vertAlign w:val="baseline"/>
        </w:rPr>
        <w:t>lower</w:t>
      </w:r>
      <w:r>
        <w:rPr>
          <w:spacing w:val="80"/>
          <w:vertAlign w:val="baseline"/>
        </w:rPr>
        <w:t> </w:t>
      </w:r>
      <w:r>
        <w:rPr>
          <w:vertAlign w:val="baseline"/>
        </w:rPr>
        <w:t>calcium atheroma</w:t>
      </w:r>
      <w:r>
        <w:rPr>
          <w:spacing w:val="37"/>
          <w:vertAlign w:val="baseline"/>
        </w:rPr>
        <w:t> </w:t>
      </w:r>
      <w:r>
        <w:rPr>
          <w:vertAlign w:val="baseline"/>
        </w:rPr>
        <w:t>score</w:t>
      </w:r>
      <w:r>
        <w:rPr>
          <w:spacing w:val="37"/>
          <w:vertAlign w:val="baseline"/>
        </w:rPr>
        <w:t> </w:t>
      </w:r>
      <w:r>
        <w:rPr>
          <w:vertAlign w:val="baseline"/>
        </w:rPr>
        <w:t>than</w:t>
      </w:r>
      <w:r>
        <w:rPr>
          <w:spacing w:val="37"/>
          <w:vertAlign w:val="baseline"/>
        </w:rPr>
        <w:t> </w:t>
      </w:r>
      <w:r>
        <w:rPr>
          <w:vertAlign w:val="baseline"/>
        </w:rPr>
        <w:t>those</w:t>
      </w:r>
      <w:r>
        <w:rPr>
          <w:spacing w:val="37"/>
          <w:vertAlign w:val="baseline"/>
        </w:rPr>
        <w:t> </w:t>
      </w:r>
      <w:r>
        <w:rPr>
          <w:vertAlign w:val="baseline"/>
        </w:rPr>
        <w:t>in</w:t>
      </w:r>
      <w:r>
        <w:rPr>
          <w:spacing w:val="37"/>
          <w:vertAlign w:val="baseline"/>
        </w:rPr>
        <w:t> </w:t>
      </w:r>
      <w:r>
        <w:rPr>
          <w:vertAlign w:val="baseline"/>
        </w:rPr>
        <w:t>the</w:t>
      </w:r>
      <w:r>
        <w:rPr>
          <w:spacing w:val="37"/>
          <w:vertAlign w:val="baseline"/>
        </w:rPr>
        <w:t> </w:t>
      </w:r>
      <w:r>
        <w:rPr>
          <w:vertAlign w:val="baseline"/>
        </w:rPr>
        <w:t>placebo</w:t>
      </w:r>
      <w:r>
        <w:rPr>
          <w:spacing w:val="37"/>
          <w:vertAlign w:val="baseline"/>
        </w:rPr>
        <w:t> </w:t>
      </w:r>
      <w:r>
        <w:rPr>
          <w:vertAlign w:val="baseline"/>
        </w:rPr>
        <w:t>group</w:t>
      </w:r>
      <w:r>
        <w:rPr>
          <w:spacing w:val="37"/>
          <w:vertAlign w:val="baseline"/>
        </w:rPr>
        <w:t> </w:t>
      </w:r>
      <w:r>
        <w:rPr>
          <w:vertAlign w:val="baseline"/>
        </w:rPr>
        <w:t>(</w:t>
      </w:r>
      <w:r>
        <w:rPr>
          <w:i/>
          <w:vertAlign w:val="baseline"/>
        </w:rPr>
        <w:t>P</w:t>
      </w:r>
      <w:r>
        <w:rPr>
          <w:i/>
          <w:spacing w:val="35"/>
          <w:vertAlign w:val="baseline"/>
        </w:rPr>
        <w:t> </w:t>
      </w:r>
      <w:r>
        <w:rPr>
          <w:vertAlign w:val="baseline"/>
        </w:rPr>
        <w:t>=</w:t>
      </w:r>
      <w:r>
        <w:rPr>
          <w:spacing w:val="36"/>
          <w:vertAlign w:val="baseline"/>
        </w:rPr>
        <w:t> </w:t>
      </w:r>
      <w:r>
        <w:rPr>
          <w:vertAlign w:val="baseline"/>
        </w:rPr>
        <w:t>0.02).</w:t>
      </w:r>
      <w:r>
        <w:rPr>
          <w:spacing w:val="35"/>
          <w:vertAlign w:val="baseline"/>
        </w:rPr>
        <w:t> </w:t>
      </w:r>
      <w:r>
        <w:rPr>
          <w:vertAlign w:val="baseline"/>
        </w:rPr>
        <w:t>Moreover,</w:t>
      </w:r>
      <w:r>
        <w:rPr>
          <w:spacing w:val="40"/>
          <w:vertAlign w:val="baseline"/>
        </w:rPr>
        <w:t> </w:t>
      </w:r>
      <w:r>
        <w:rPr>
          <w:vertAlign w:val="baseline"/>
        </w:rPr>
        <w:t>in participants with greater than 80% adherence (to ET or placebo), there was a</w:t>
      </w:r>
      <w:r>
        <w:rPr>
          <w:spacing w:val="-2"/>
          <w:vertAlign w:val="baseline"/>
        </w:rPr>
        <w:t> </w:t>
      </w:r>
      <w:r>
        <w:rPr>
          <w:vertAlign w:val="baseline"/>
        </w:rPr>
        <w:t>61%</w:t>
      </w:r>
      <w:r>
        <w:rPr>
          <w:spacing w:val="-2"/>
          <w:vertAlign w:val="baseline"/>
        </w:rPr>
        <w:t> </w:t>
      </w:r>
      <w:r>
        <w:rPr>
          <w:vertAlign w:val="baseline"/>
        </w:rPr>
        <w:t>lower</w:t>
      </w:r>
      <w:r>
        <w:rPr>
          <w:spacing w:val="-2"/>
          <w:vertAlign w:val="baseline"/>
        </w:rPr>
        <w:t> </w:t>
      </w:r>
      <w:r>
        <w:rPr>
          <w:vertAlign w:val="baseline"/>
        </w:rPr>
        <w:t>risk</w:t>
      </w:r>
      <w:r>
        <w:rPr>
          <w:spacing w:val="-2"/>
          <w:vertAlign w:val="baseline"/>
        </w:rPr>
        <w:t> </w:t>
      </w:r>
      <w:r>
        <w:rPr>
          <w:vertAlign w:val="baseline"/>
        </w:rPr>
        <w:t>of</w:t>
      </w:r>
      <w:r>
        <w:rPr>
          <w:spacing w:val="-2"/>
          <w:vertAlign w:val="baseline"/>
        </w:rPr>
        <w:t> </w:t>
      </w:r>
      <w:r>
        <w:rPr>
          <w:vertAlign w:val="baseline"/>
        </w:rPr>
        <w:t>severe</w:t>
      </w:r>
      <w:r>
        <w:rPr>
          <w:spacing w:val="-2"/>
          <w:vertAlign w:val="baseline"/>
        </w:rPr>
        <w:t> </w:t>
      </w:r>
      <w:r>
        <w:rPr>
          <w:vertAlign w:val="baseline"/>
        </w:rPr>
        <w:t>coronary</w:t>
      </w:r>
      <w:r>
        <w:rPr>
          <w:spacing w:val="-2"/>
          <w:vertAlign w:val="baseline"/>
        </w:rPr>
        <w:t> </w:t>
      </w:r>
      <w:r>
        <w:rPr>
          <w:vertAlign w:val="baseline"/>
        </w:rPr>
        <w:t>calcium</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ET</w:t>
      </w:r>
      <w:r>
        <w:rPr>
          <w:spacing w:val="-2"/>
          <w:vertAlign w:val="baseline"/>
        </w:rPr>
        <w:t> </w:t>
      </w:r>
      <w:r>
        <w:rPr>
          <w:vertAlign w:val="baseline"/>
        </w:rPr>
        <w:t>group</w:t>
      </w:r>
      <w:r>
        <w:rPr>
          <w:spacing w:val="-2"/>
          <w:vertAlign w:val="baseline"/>
        </w:rPr>
        <w:t> </w:t>
      </w:r>
      <w:r>
        <w:rPr>
          <w:vertAlign w:val="baseline"/>
        </w:rPr>
        <w:t>(</w:t>
      </w:r>
      <w:r>
        <w:rPr>
          <w:i/>
          <w:vertAlign w:val="baseline"/>
        </w:rPr>
        <w:t>P</w:t>
      </w:r>
      <w:r>
        <w:rPr>
          <w:i/>
          <w:spacing w:val="-3"/>
          <w:vertAlign w:val="baseline"/>
        </w:rPr>
        <w:t> </w:t>
      </w:r>
      <w:r>
        <w:rPr>
          <w:vertAlign w:val="baseline"/>
        </w:rPr>
        <w:t>=</w:t>
      </w:r>
      <w:r>
        <w:rPr>
          <w:spacing w:val="-2"/>
          <w:vertAlign w:val="baseline"/>
        </w:rPr>
        <w:t> </w:t>
      </w:r>
      <w:r>
        <w:rPr>
          <w:vertAlign w:val="baseline"/>
        </w:rPr>
        <w:t>0.002).</w:t>
      </w:r>
      <w:r>
        <w:rPr>
          <w:vertAlign w:val="superscript"/>
        </w:rPr>
        <w:t>790</w:t>
      </w:r>
      <w:r>
        <w:rPr>
          <w:vertAlign w:val="baseline"/>
        </w:rPr>
        <w:t> Will</w:t>
      </w:r>
      <w:r>
        <w:rPr>
          <w:spacing w:val="40"/>
          <w:vertAlign w:val="baseline"/>
        </w:rPr>
        <w:t> </w:t>
      </w:r>
      <w:r>
        <w:rPr>
          <w:vertAlign w:val="baseline"/>
        </w:rPr>
        <w:t>postmenopausal</w:t>
      </w:r>
      <w:r>
        <w:rPr>
          <w:spacing w:val="40"/>
          <w:vertAlign w:val="baseline"/>
        </w:rPr>
        <w:t> </w:t>
      </w:r>
      <w:r>
        <w:rPr>
          <w:vertAlign w:val="baseline"/>
        </w:rPr>
        <w:t>HT</w:t>
      </w:r>
      <w:r>
        <w:rPr>
          <w:spacing w:val="40"/>
          <w:vertAlign w:val="baseline"/>
        </w:rPr>
        <w:t> </w:t>
      </w:r>
      <w:r>
        <w:rPr>
          <w:vertAlign w:val="baseline"/>
        </w:rPr>
        <w:t>begun</w:t>
      </w:r>
      <w:r>
        <w:rPr>
          <w:spacing w:val="40"/>
          <w:vertAlign w:val="baseline"/>
        </w:rPr>
        <w:t> </w:t>
      </w:r>
      <w:r>
        <w:rPr>
          <w:vertAlign w:val="baseline"/>
        </w:rPr>
        <w:t>at</w:t>
      </w:r>
      <w:r>
        <w:rPr>
          <w:spacing w:val="40"/>
          <w:vertAlign w:val="baseline"/>
        </w:rPr>
        <w:t> </w:t>
      </w:r>
      <w:r>
        <w:rPr>
          <w:vertAlign w:val="baseline"/>
        </w:rPr>
        <w:t>or</w:t>
      </w:r>
      <w:r>
        <w:rPr>
          <w:spacing w:val="40"/>
          <w:vertAlign w:val="baseline"/>
        </w:rPr>
        <w:t> </w:t>
      </w:r>
      <w:r>
        <w:rPr>
          <w:vertAlign w:val="baseline"/>
        </w:rPr>
        <w:t>near</w:t>
      </w:r>
      <w:r>
        <w:rPr>
          <w:spacing w:val="40"/>
          <w:vertAlign w:val="baseline"/>
        </w:rPr>
        <w:t> </w:t>
      </w:r>
      <w:r>
        <w:rPr>
          <w:vertAlign w:val="baseline"/>
        </w:rPr>
        <w:t>the</w:t>
      </w:r>
      <w:r>
        <w:rPr>
          <w:spacing w:val="40"/>
          <w:vertAlign w:val="baseline"/>
        </w:rPr>
        <w:t> </w:t>
      </w:r>
      <w:r>
        <w:rPr>
          <w:vertAlign w:val="baseline"/>
        </w:rPr>
        <w:t>time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menopause, and</w:t>
      </w:r>
      <w:r>
        <w:rPr>
          <w:spacing w:val="40"/>
          <w:vertAlign w:val="baseline"/>
        </w:rPr>
        <w:t> </w:t>
      </w:r>
      <w:r>
        <w:rPr>
          <w:vertAlign w:val="baseline"/>
        </w:rPr>
        <w:t>maintained</w:t>
      </w:r>
      <w:r>
        <w:rPr>
          <w:spacing w:val="40"/>
          <w:vertAlign w:val="baseline"/>
        </w:rPr>
        <w:t> </w:t>
      </w:r>
      <w:r>
        <w:rPr>
          <w:vertAlign w:val="baseline"/>
        </w:rPr>
        <w:t>for</w:t>
      </w:r>
      <w:r>
        <w:rPr>
          <w:spacing w:val="40"/>
          <w:vertAlign w:val="baseline"/>
        </w:rPr>
        <w:t> </w:t>
      </w:r>
      <w:r>
        <w:rPr>
          <w:vertAlign w:val="baseline"/>
        </w:rPr>
        <w:t>a</w:t>
      </w:r>
      <w:r>
        <w:rPr>
          <w:spacing w:val="40"/>
          <w:vertAlign w:val="baseline"/>
        </w:rPr>
        <w:t> </w:t>
      </w:r>
      <w:r>
        <w:rPr>
          <w:vertAlign w:val="baseline"/>
        </w:rPr>
        <w:t>relatively</w:t>
      </w:r>
      <w:r>
        <w:rPr>
          <w:spacing w:val="40"/>
          <w:vertAlign w:val="baseline"/>
        </w:rPr>
        <w:t> </w:t>
      </w:r>
      <w:r>
        <w:rPr>
          <w:vertAlign w:val="baseline"/>
        </w:rPr>
        <w:t>long</w:t>
      </w:r>
      <w:r>
        <w:rPr>
          <w:spacing w:val="40"/>
          <w:vertAlign w:val="baseline"/>
        </w:rPr>
        <w:t> </w:t>
      </w:r>
      <w:r>
        <w:rPr>
          <w:vertAlign w:val="baseline"/>
        </w:rPr>
        <w:t>duration</w:t>
      </w:r>
      <w:r>
        <w:rPr>
          <w:spacing w:val="40"/>
          <w:vertAlign w:val="baseline"/>
        </w:rPr>
        <w:t> </w:t>
      </w:r>
      <w:r>
        <w:rPr>
          <w:vertAlign w:val="baseline"/>
        </w:rPr>
        <w:t>of</w:t>
      </w:r>
      <w:r>
        <w:rPr>
          <w:spacing w:val="40"/>
          <w:vertAlign w:val="baseline"/>
        </w:rPr>
        <w:t> </w:t>
      </w:r>
      <w:r>
        <w:rPr>
          <w:vertAlign w:val="baseline"/>
        </w:rPr>
        <w:t>time,</w:t>
      </w:r>
      <w:r>
        <w:rPr>
          <w:spacing w:val="40"/>
          <w:vertAlign w:val="baseline"/>
        </w:rPr>
        <w:t> </w:t>
      </w:r>
      <w:r>
        <w:rPr>
          <w:vertAlign w:val="baseline"/>
        </w:rPr>
        <w:t>provide</w:t>
      </w:r>
      <w:r>
        <w:rPr>
          <w:spacing w:val="40"/>
          <w:vertAlign w:val="baseline"/>
        </w:rPr>
        <w:t> </w:t>
      </w:r>
      <w:r>
        <w:rPr>
          <w:vertAlign w:val="baseline"/>
        </w:rPr>
        <w:t>protection against</w:t>
      </w:r>
      <w:r>
        <w:rPr>
          <w:spacing w:val="40"/>
          <w:vertAlign w:val="baseline"/>
        </w:rPr>
        <w:t> </w:t>
      </w:r>
      <w:r>
        <w:rPr>
          <w:vertAlign w:val="baseline"/>
        </w:rPr>
        <w:t>coronary</w:t>
      </w:r>
      <w:r>
        <w:rPr>
          <w:spacing w:val="40"/>
          <w:vertAlign w:val="baseline"/>
        </w:rPr>
        <w:t> </w:t>
      </w:r>
      <w:r>
        <w:rPr>
          <w:vertAlign w:val="baseline"/>
        </w:rPr>
        <w:t>artery</w:t>
      </w:r>
      <w:r>
        <w:rPr>
          <w:spacing w:val="40"/>
          <w:vertAlign w:val="baseline"/>
        </w:rPr>
        <w:t> </w:t>
      </w:r>
      <w:r>
        <w:rPr>
          <w:vertAlign w:val="baseline"/>
        </w:rPr>
        <w:t>disease</w:t>
      </w:r>
      <w:r>
        <w:rPr>
          <w:spacing w:val="40"/>
          <w:vertAlign w:val="baseline"/>
        </w:rPr>
        <w:t> </w:t>
      </w:r>
      <w:r>
        <w:rPr>
          <w:vertAlign w:val="baseline"/>
        </w:rPr>
        <w:t>(primary</w:t>
      </w:r>
      <w:r>
        <w:rPr>
          <w:spacing w:val="40"/>
          <w:vertAlign w:val="baseline"/>
        </w:rPr>
        <w:t> </w:t>
      </w:r>
      <w:r>
        <w:rPr>
          <w:vertAlign w:val="baseline"/>
        </w:rPr>
        <w:t>prevention)?</w:t>
      </w:r>
      <w:r>
        <w:rPr>
          <w:spacing w:val="40"/>
          <w:vertAlign w:val="baseline"/>
        </w:rPr>
        <w:t> </w:t>
      </w:r>
      <w:r>
        <w:rPr>
          <w:vertAlign w:val="baseline"/>
        </w:rPr>
        <w:t>The</w:t>
      </w:r>
      <w:r>
        <w:rPr>
          <w:spacing w:val="40"/>
          <w:vertAlign w:val="baseline"/>
        </w:rPr>
        <w:t> </w:t>
      </w:r>
      <w:r>
        <w:rPr>
          <w:vertAlign w:val="baseline"/>
        </w:rPr>
        <w:t>design</w:t>
      </w:r>
      <w:r>
        <w:rPr>
          <w:spacing w:val="40"/>
          <w:vertAlign w:val="baseline"/>
        </w:rPr>
        <w:t> </w:t>
      </w:r>
      <w:r>
        <w:rPr>
          <w:vertAlign w:val="baseline"/>
        </w:rPr>
        <w:t>of</w:t>
      </w:r>
      <w:r>
        <w:rPr>
          <w:spacing w:val="40"/>
          <w:vertAlign w:val="baseline"/>
        </w:rPr>
        <w:t> </w:t>
      </w:r>
      <w:r>
        <w:rPr>
          <w:vertAlign w:val="baseline"/>
        </w:rPr>
        <w:t>the canceled</w:t>
      </w:r>
      <w:r>
        <w:rPr>
          <w:spacing w:val="40"/>
          <w:vertAlign w:val="baseline"/>
        </w:rPr>
        <w:t> </w:t>
      </w:r>
      <w:r>
        <w:rPr>
          <w:vertAlign w:val="baseline"/>
        </w:rPr>
        <w:t>arms</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WHI</w:t>
      </w:r>
      <w:r>
        <w:rPr>
          <w:spacing w:val="40"/>
          <w:vertAlign w:val="baseline"/>
        </w:rPr>
        <w:t> </w:t>
      </w:r>
      <w:r>
        <w:rPr>
          <w:vertAlign w:val="baseline"/>
        </w:rPr>
        <w:t>did</w:t>
      </w:r>
      <w:r>
        <w:rPr>
          <w:spacing w:val="40"/>
          <w:vertAlign w:val="baseline"/>
        </w:rPr>
        <w:t> </w:t>
      </w:r>
      <w:r>
        <w:rPr>
          <w:vertAlign w:val="baseline"/>
        </w:rPr>
        <w:t>not</w:t>
      </w:r>
      <w:r>
        <w:rPr>
          <w:spacing w:val="40"/>
          <w:vertAlign w:val="baseline"/>
        </w:rPr>
        <w:t> </w:t>
      </w:r>
      <w:r>
        <w:rPr>
          <w:vertAlign w:val="baseline"/>
        </w:rPr>
        <w:t>allow</w:t>
      </w:r>
      <w:r>
        <w:rPr>
          <w:spacing w:val="40"/>
          <w:vertAlign w:val="baseline"/>
        </w:rPr>
        <w:t> </w:t>
      </w:r>
      <w:r>
        <w:rPr>
          <w:vertAlign w:val="baseline"/>
        </w:rPr>
        <w:t>an</w:t>
      </w:r>
      <w:r>
        <w:rPr>
          <w:spacing w:val="40"/>
          <w:vertAlign w:val="baseline"/>
        </w:rPr>
        <w:t> </w:t>
      </w:r>
      <w:r>
        <w:rPr>
          <w:vertAlign w:val="baseline"/>
        </w:rPr>
        <w:t>answer</w:t>
      </w:r>
      <w:r>
        <w:rPr>
          <w:spacing w:val="40"/>
          <w:vertAlign w:val="baseline"/>
        </w:rPr>
        <w:t> </w:t>
      </w:r>
      <w:r>
        <w:rPr>
          <w:vertAlign w:val="baseline"/>
        </w:rPr>
        <w:t>to</w:t>
      </w:r>
      <w:r>
        <w:rPr>
          <w:spacing w:val="40"/>
          <w:vertAlign w:val="baseline"/>
        </w:rPr>
        <w:t> </w:t>
      </w:r>
      <w:r>
        <w:rPr>
          <w:vertAlign w:val="baseline"/>
        </w:rPr>
        <w:t>this</w:t>
      </w:r>
      <w:r>
        <w:rPr>
          <w:spacing w:val="40"/>
          <w:vertAlign w:val="baseline"/>
        </w:rPr>
        <w:t> </w:t>
      </w:r>
      <w:r>
        <w:rPr>
          <w:vertAlign w:val="baseline"/>
        </w:rPr>
        <w:t>question.</w:t>
      </w:r>
      <w:r>
        <w:rPr>
          <w:spacing w:val="40"/>
          <w:vertAlign w:val="baseline"/>
        </w:rPr>
        <w:t> </w:t>
      </w:r>
      <w:r>
        <w:rPr>
          <w:vertAlign w:val="baseline"/>
        </w:rPr>
        <w:t>As noted</w:t>
      </w:r>
      <w:r>
        <w:rPr>
          <w:spacing w:val="80"/>
          <w:vertAlign w:val="baseline"/>
        </w:rPr>
        <w:t> </w:t>
      </w:r>
      <w:r>
        <w:rPr>
          <w:vertAlign w:val="baseline"/>
        </w:rPr>
        <w:t>previously,</w:t>
      </w:r>
      <w:r>
        <w:rPr>
          <w:spacing w:val="80"/>
          <w:vertAlign w:val="baseline"/>
        </w:rPr>
        <w:t> </w:t>
      </w:r>
      <w:r>
        <w:rPr>
          <w:vertAlign w:val="baseline"/>
        </w:rPr>
        <w:t>women</w:t>
      </w:r>
      <w:r>
        <w:rPr>
          <w:spacing w:val="80"/>
          <w:vertAlign w:val="baseline"/>
        </w:rPr>
        <w:t> </w:t>
      </w:r>
      <w:r>
        <w:rPr>
          <w:vertAlign w:val="baseline"/>
        </w:rPr>
        <w:t>with</w:t>
      </w:r>
      <w:r>
        <w:rPr>
          <w:spacing w:val="80"/>
          <w:vertAlign w:val="baseline"/>
        </w:rPr>
        <w:t> </w:t>
      </w:r>
      <w:r>
        <w:rPr>
          <w:vertAlign w:val="baseline"/>
        </w:rPr>
        <w:t>significant</w:t>
      </w:r>
      <w:r>
        <w:rPr>
          <w:spacing w:val="80"/>
          <w:vertAlign w:val="baseline"/>
        </w:rPr>
        <w:t> </w:t>
      </w:r>
      <w:r>
        <w:rPr>
          <w:vertAlign w:val="baseline"/>
        </w:rPr>
        <w:t>menopausal</w:t>
      </w:r>
      <w:r>
        <w:rPr>
          <w:spacing w:val="80"/>
          <w:vertAlign w:val="baseline"/>
        </w:rPr>
        <w:t> </w:t>
      </w:r>
      <w:r>
        <w:rPr>
          <w:vertAlign w:val="baseline"/>
        </w:rPr>
        <w:t>symptoms</w:t>
      </w:r>
      <w:r>
        <w:rPr>
          <w:spacing w:val="80"/>
          <w:vertAlign w:val="baseline"/>
        </w:rPr>
        <w:t> </w:t>
      </w:r>
      <w:r>
        <w:rPr>
          <w:vertAlign w:val="baseline"/>
        </w:rPr>
        <w:t>were excluded from the study to avoid an exceedingly high drop-out rate in the</w:t>
      </w:r>
      <w:r>
        <w:rPr>
          <w:spacing w:val="80"/>
          <w:vertAlign w:val="baseline"/>
        </w:rPr>
        <w:t> </w:t>
      </w:r>
      <w:r>
        <w:rPr>
          <w:vertAlign w:val="baseline"/>
        </w:rPr>
        <w:t>placebo</w:t>
      </w:r>
      <w:r>
        <w:rPr>
          <w:spacing w:val="34"/>
          <w:vertAlign w:val="baseline"/>
        </w:rPr>
        <w:t> </w:t>
      </w:r>
      <w:r>
        <w:rPr>
          <w:vertAlign w:val="baseline"/>
        </w:rPr>
        <w:t>group.</w:t>
      </w:r>
      <w:r>
        <w:rPr>
          <w:spacing w:val="34"/>
          <w:vertAlign w:val="baseline"/>
        </w:rPr>
        <w:t> </w:t>
      </w:r>
      <w:r>
        <w:rPr>
          <w:vertAlign w:val="baseline"/>
        </w:rPr>
        <w:t>The</w:t>
      </w:r>
      <w:r>
        <w:rPr>
          <w:spacing w:val="37"/>
          <w:vertAlign w:val="baseline"/>
        </w:rPr>
        <w:t> </w:t>
      </w:r>
      <w:r>
        <w:rPr>
          <w:vertAlign w:val="baseline"/>
        </w:rPr>
        <w:t>WHI</w:t>
      </w:r>
      <w:r>
        <w:rPr>
          <w:spacing w:val="37"/>
          <w:vertAlign w:val="baseline"/>
        </w:rPr>
        <w:t> </w:t>
      </w:r>
      <w:r>
        <w:rPr>
          <w:vertAlign w:val="baseline"/>
        </w:rPr>
        <w:t>addressed</w:t>
      </w:r>
      <w:r>
        <w:rPr>
          <w:spacing w:val="37"/>
          <w:vertAlign w:val="baseline"/>
        </w:rPr>
        <w:t> </w:t>
      </w:r>
      <w:r>
        <w:rPr>
          <w:vertAlign w:val="baseline"/>
        </w:rPr>
        <w:t>this</w:t>
      </w:r>
      <w:r>
        <w:rPr>
          <w:spacing w:val="37"/>
          <w:vertAlign w:val="baseline"/>
        </w:rPr>
        <w:t> </w:t>
      </w:r>
      <w:r>
        <w:rPr>
          <w:vertAlign w:val="baseline"/>
        </w:rPr>
        <w:t>problem</w:t>
      </w:r>
      <w:r>
        <w:rPr>
          <w:spacing w:val="37"/>
          <w:vertAlign w:val="baseline"/>
        </w:rPr>
        <w:t> </w:t>
      </w:r>
      <w:r>
        <w:rPr>
          <w:vertAlign w:val="baseline"/>
        </w:rPr>
        <w:t>by</w:t>
      </w:r>
      <w:r>
        <w:rPr>
          <w:spacing w:val="37"/>
          <w:vertAlign w:val="baseline"/>
        </w:rPr>
        <w:t> </w:t>
      </w:r>
      <w:r>
        <w:rPr>
          <w:vertAlign w:val="baseline"/>
        </w:rPr>
        <w:t>pointing</w:t>
      </w:r>
      <w:r>
        <w:rPr>
          <w:spacing w:val="37"/>
          <w:vertAlign w:val="baseline"/>
        </w:rPr>
        <w:t> </w:t>
      </w:r>
      <w:r>
        <w:rPr>
          <w:vertAlign w:val="baseline"/>
        </w:rPr>
        <w:t>out</w:t>
      </w:r>
      <w:r>
        <w:rPr>
          <w:spacing w:val="37"/>
          <w:vertAlign w:val="baseline"/>
        </w:rPr>
        <w:t> </w:t>
      </w:r>
      <w:r>
        <w:rPr>
          <w:vertAlign w:val="baseline"/>
        </w:rPr>
        <w:t>that</w:t>
      </w:r>
      <w:r>
        <w:rPr>
          <w:spacing w:val="37"/>
          <w:vertAlign w:val="baseline"/>
        </w:rPr>
        <w:t> </w:t>
      </w:r>
      <w:r>
        <w:rPr>
          <w:vertAlign w:val="baseline"/>
        </w:rPr>
        <w:t>the ratios</w:t>
      </w:r>
      <w:r>
        <w:rPr>
          <w:spacing w:val="40"/>
          <w:vertAlign w:val="baseline"/>
        </w:rPr>
        <w:t> </w:t>
      </w:r>
      <w:r>
        <w:rPr>
          <w:vertAlign w:val="baseline"/>
        </w:rPr>
        <w:t>of</w:t>
      </w:r>
      <w:r>
        <w:rPr>
          <w:spacing w:val="40"/>
          <w:vertAlign w:val="baseline"/>
        </w:rPr>
        <w:t> </w:t>
      </w:r>
      <w:r>
        <w:rPr>
          <w:vertAlign w:val="baseline"/>
        </w:rPr>
        <w:t>cardiovascular</w:t>
      </w:r>
      <w:r>
        <w:rPr>
          <w:spacing w:val="40"/>
          <w:vertAlign w:val="baseline"/>
        </w:rPr>
        <w:t> </w:t>
      </w:r>
      <w:r>
        <w:rPr>
          <w:vertAlign w:val="baseline"/>
        </w:rPr>
        <w:t>events</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treated</w:t>
      </w:r>
      <w:r>
        <w:rPr>
          <w:spacing w:val="40"/>
          <w:vertAlign w:val="baseline"/>
        </w:rPr>
        <w:t> </w:t>
      </w:r>
      <w:r>
        <w:rPr>
          <w:vertAlign w:val="baseline"/>
        </w:rPr>
        <w:t>and</w:t>
      </w:r>
      <w:r>
        <w:rPr>
          <w:spacing w:val="40"/>
          <w:vertAlign w:val="baseline"/>
        </w:rPr>
        <w:t> </w:t>
      </w:r>
      <w:r>
        <w:rPr>
          <w:vertAlign w:val="baseline"/>
        </w:rPr>
        <w:t>placebo</w:t>
      </w:r>
      <w:r>
        <w:rPr>
          <w:spacing w:val="40"/>
          <w:vertAlign w:val="baseline"/>
        </w:rPr>
        <w:t> </w:t>
      </w:r>
      <w:r>
        <w:rPr>
          <w:vertAlign w:val="baseline"/>
        </w:rPr>
        <w:t>arms</w:t>
      </w:r>
      <w:r>
        <w:rPr>
          <w:spacing w:val="40"/>
          <w:vertAlign w:val="baseline"/>
        </w:rPr>
        <w:t> </w:t>
      </w:r>
      <w:r>
        <w:rPr>
          <w:vertAlign w:val="baseline"/>
        </w:rPr>
        <w:t>were</w:t>
      </w:r>
      <w:r>
        <w:rPr>
          <w:spacing w:val="40"/>
          <w:vertAlign w:val="baseline"/>
        </w:rPr>
        <w:t> </w:t>
      </w:r>
      <w:r>
        <w:rPr>
          <w:vertAlign w:val="baseline"/>
        </w:rPr>
        <w:t>the same</w:t>
      </w:r>
      <w:r>
        <w:rPr>
          <w:spacing w:val="35"/>
          <w:vertAlign w:val="baseline"/>
        </w:rPr>
        <w:t> </w:t>
      </w:r>
      <w:r>
        <w:rPr>
          <w:vertAlign w:val="baseline"/>
        </w:rPr>
        <w:t>when</w:t>
      </w:r>
      <w:r>
        <w:rPr>
          <w:spacing w:val="35"/>
          <w:vertAlign w:val="baseline"/>
        </w:rPr>
        <w:t> </w:t>
      </w:r>
      <w:r>
        <w:rPr>
          <w:vertAlign w:val="baseline"/>
        </w:rPr>
        <w:t>assessed</w:t>
      </w:r>
      <w:r>
        <w:rPr>
          <w:spacing w:val="35"/>
          <w:vertAlign w:val="baseline"/>
        </w:rPr>
        <w:t> </w:t>
      </w:r>
      <w:r>
        <w:rPr>
          <w:vertAlign w:val="baseline"/>
        </w:rPr>
        <w:t>by</w:t>
      </w:r>
      <w:r>
        <w:rPr>
          <w:spacing w:val="35"/>
          <w:vertAlign w:val="baseline"/>
        </w:rPr>
        <w:t> </w:t>
      </w:r>
      <w:r>
        <w:rPr>
          <w:vertAlign w:val="baseline"/>
        </w:rPr>
        <w:t>decades</w:t>
      </w:r>
      <w:r>
        <w:rPr>
          <w:spacing w:val="35"/>
          <w:vertAlign w:val="baseline"/>
        </w:rPr>
        <w:t> </w:t>
      </w:r>
      <w:r>
        <w:rPr>
          <w:vertAlign w:val="baseline"/>
        </w:rPr>
        <w:t>of</w:t>
      </w:r>
      <w:r>
        <w:rPr>
          <w:spacing w:val="35"/>
          <w:vertAlign w:val="baseline"/>
        </w:rPr>
        <w:t> </w:t>
      </w:r>
      <w:r>
        <w:rPr>
          <w:vertAlign w:val="baseline"/>
        </w:rPr>
        <w:t>age,</w:t>
      </w:r>
      <w:r>
        <w:rPr>
          <w:spacing w:val="35"/>
          <w:vertAlign w:val="baseline"/>
        </w:rPr>
        <w:t> </w:t>
      </w:r>
      <w:r>
        <w:rPr>
          <w:vertAlign w:val="baseline"/>
        </w:rPr>
        <w:t>50s,</w:t>
      </w:r>
      <w:r>
        <w:rPr>
          <w:spacing w:val="35"/>
          <w:vertAlign w:val="baseline"/>
        </w:rPr>
        <w:t> </w:t>
      </w:r>
      <w:r>
        <w:rPr>
          <w:vertAlign w:val="baseline"/>
        </w:rPr>
        <w:t>60s,</w:t>
      </w:r>
      <w:r>
        <w:rPr>
          <w:spacing w:val="35"/>
          <w:vertAlign w:val="baseline"/>
        </w:rPr>
        <w:t> </w:t>
      </w:r>
      <w:r>
        <w:rPr>
          <w:vertAlign w:val="baseline"/>
        </w:rPr>
        <w:t>and</w:t>
      </w:r>
      <w:r>
        <w:rPr>
          <w:spacing w:val="35"/>
          <w:vertAlign w:val="baseline"/>
        </w:rPr>
        <w:t> </w:t>
      </w:r>
      <w:r>
        <w:rPr>
          <w:vertAlign w:val="baseline"/>
        </w:rPr>
        <w:t>70s.</w:t>
      </w:r>
      <w:r>
        <w:rPr>
          <w:spacing w:val="35"/>
          <w:vertAlign w:val="baseline"/>
        </w:rPr>
        <w:t> </w:t>
      </w:r>
      <w:r>
        <w:rPr>
          <w:vertAlign w:val="baseline"/>
        </w:rPr>
        <w:t>However,</w:t>
      </w:r>
      <w:r>
        <w:rPr>
          <w:spacing w:val="40"/>
          <w:vertAlign w:val="baseline"/>
        </w:rPr>
        <w:t> </w:t>
      </w:r>
      <w:r>
        <w:rPr>
          <w:vertAlign w:val="baseline"/>
        </w:rPr>
        <w:t>this was</w:t>
      </w:r>
      <w:r>
        <w:rPr>
          <w:spacing w:val="40"/>
          <w:vertAlign w:val="baseline"/>
        </w:rPr>
        <w:t> </w:t>
      </w:r>
      <w:r>
        <w:rPr>
          <w:vertAlign w:val="baseline"/>
        </w:rPr>
        <w:t>not</w:t>
      </w:r>
      <w:r>
        <w:rPr>
          <w:spacing w:val="40"/>
          <w:vertAlign w:val="baseline"/>
        </w:rPr>
        <w:t> </w:t>
      </w:r>
      <w:r>
        <w:rPr>
          <w:vertAlign w:val="baseline"/>
        </w:rPr>
        <w:t>the</w:t>
      </w:r>
      <w:r>
        <w:rPr>
          <w:spacing w:val="40"/>
          <w:vertAlign w:val="baseline"/>
        </w:rPr>
        <w:t> </w:t>
      </w:r>
      <w:r>
        <w:rPr>
          <w:vertAlign w:val="baseline"/>
        </w:rPr>
        <w:t>critical</w:t>
      </w:r>
      <w:r>
        <w:rPr>
          <w:spacing w:val="40"/>
          <w:vertAlign w:val="baseline"/>
        </w:rPr>
        <w:t> </w:t>
      </w:r>
      <w:r>
        <w:rPr>
          <w:vertAlign w:val="baseline"/>
        </w:rPr>
        <w:t>analysis.</w:t>
      </w:r>
      <w:r>
        <w:rPr>
          <w:spacing w:val="40"/>
          <w:vertAlign w:val="baseline"/>
        </w:rPr>
        <w:t> </w:t>
      </w:r>
      <w:r>
        <w:rPr>
          <w:vertAlign w:val="baseline"/>
        </w:rPr>
        <w:t>It</w:t>
      </w:r>
      <w:r>
        <w:rPr>
          <w:spacing w:val="40"/>
          <w:vertAlign w:val="baseline"/>
        </w:rPr>
        <w:t> </w:t>
      </w:r>
      <w:r>
        <w:rPr>
          <w:vertAlign w:val="baseline"/>
        </w:rPr>
        <w:t>is</w:t>
      </w:r>
      <w:r>
        <w:rPr>
          <w:spacing w:val="40"/>
          <w:vertAlign w:val="baseline"/>
        </w:rPr>
        <w:t> </w:t>
      </w:r>
      <w:r>
        <w:rPr>
          <w:vertAlign w:val="baseline"/>
        </w:rPr>
        <w:t>very</w:t>
      </w:r>
      <w:r>
        <w:rPr>
          <w:spacing w:val="40"/>
          <w:vertAlign w:val="baseline"/>
        </w:rPr>
        <w:t> </w:t>
      </w:r>
      <w:r>
        <w:rPr>
          <w:vertAlign w:val="baseline"/>
        </w:rPr>
        <w:t>likely</w:t>
      </w:r>
      <w:r>
        <w:rPr>
          <w:spacing w:val="40"/>
          <w:vertAlign w:val="baseline"/>
        </w:rPr>
        <w:t> </w:t>
      </w:r>
      <w:r>
        <w:rPr>
          <w:vertAlign w:val="baseline"/>
        </w:rPr>
        <w:t>that</w:t>
      </w:r>
      <w:r>
        <w:rPr>
          <w:spacing w:val="40"/>
          <w:vertAlign w:val="baseline"/>
        </w:rPr>
        <w:t> </w:t>
      </w:r>
      <w:r>
        <w:rPr>
          <w:vertAlign w:val="baseline"/>
        </w:rPr>
        <w:t>a</w:t>
      </w:r>
      <w:r>
        <w:rPr>
          <w:spacing w:val="40"/>
          <w:vertAlign w:val="baseline"/>
        </w:rPr>
        <w:t> </w:t>
      </w:r>
      <w:r>
        <w:rPr>
          <w:vertAlign w:val="baseline"/>
        </w:rPr>
        <w:t>small</w:t>
      </w:r>
      <w:r>
        <w:rPr>
          <w:spacing w:val="40"/>
          <w:vertAlign w:val="baseline"/>
        </w:rPr>
        <w:t> </w:t>
      </w:r>
      <w:r>
        <w:rPr>
          <w:vertAlign w:val="baseline"/>
        </w:rPr>
        <w:t>number</w:t>
      </w:r>
      <w:r>
        <w:rPr>
          <w:spacing w:val="40"/>
          <w:vertAlign w:val="baseline"/>
        </w:rPr>
        <w:t> </w:t>
      </w:r>
      <w:r>
        <w:rPr>
          <w:vertAlign w:val="baseline"/>
        </w:rPr>
        <w:t>of</w:t>
      </w:r>
      <w:r>
        <w:rPr>
          <w:spacing w:val="40"/>
          <w:vertAlign w:val="baseline"/>
        </w:rPr>
        <w:t> </w:t>
      </w:r>
      <w:r>
        <w:rPr>
          <w:vertAlign w:val="baseline"/>
        </w:rPr>
        <w:t>the participants</w:t>
      </w:r>
      <w:r>
        <w:rPr>
          <w:spacing w:val="40"/>
          <w:vertAlign w:val="baseline"/>
        </w:rPr>
        <w:t> </w:t>
      </w:r>
      <w:r>
        <w:rPr>
          <w:vertAlign w:val="baseline"/>
        </w:rPr>
        <w:t>were</w:t>
      </w:r>
      <w:r>
        <w:rPr>
          <w:spacing w:val="40"/>
          <w:vertAlign w:val="baseline"/>
        </w:rPr>
        <w:t> </w:t>
      </w:r>
      <w:r>
        <w:rPr>
          <w:vertAlign w:val="baseline"/>
        </w:rPr>
        <w:t>close</w:t>
      </w:r>
      <w:r>
        <w:rPr>
          <w:spacing w:val="40"/>
          <w:vertAlign w:val="baseline"/>
        </w:rPr>
        <w:t> </w:t>
      </w:r>
      <w:r>
        <w:rPr>
          <w:vertAlign w:val="baseline"/>
        </w:rPr>
        <w:t>to</w:t>
      </w:r>
      <w:r>
        <w:rPr>
          <w:spacing w:val="40"/>
          <w:vertAlign w:val="baseline"/>
        </w:rPr>
        <w:t> </w:t>
      </w:r>
      <w:r>
        <w:rPr>
          <w:vertAlign w:val="baseline"/>
        </w:rPr>
        <w:t>their</w:t>
      </w:r>
      <w:r>
        <w:rPr>
          <w:spacing w:val="40"/>
          <w:vertAlign w:val="baseline"/>
        </w:rPr>
        <w:t> </w:t>
      </w:r>
      <w:r>
        <w:rPr>
          <w:vertAlign w:val="baseline"/>
        </w:rPr>
        <w:t>age</w:t>
      </w:r>
      <w:r>
        <w:rPr>
          <w:spacing w:val="40"/>
          <w:vertAlign w:val="baseline"/>
        </w:rPr>
        <w:t> </w:t>
      </w:r>
      <w:r>
        <w:rPr>
          <w:vertAlign w:val="baseline"/>
        </w:rPr>
        <w:t>of</w:t>
      </w:r>
      <w:r>
        <w:rPr>
          <w:spacing w:val="40"/>
          <w:vertAlign w:val="baseline"/>
        </w:rPr>
        <w:t> </w:t>
      </w:r>
      <w:r>
        <w:rPr>
          <w:vertAlign w:val="baseline"/>
        </w:rPr>
        <w:t>menopause.</w:t>
      </w:r>
      <w:r>
        <w:rPr>
          <w:spacing w:val="40"/>
          <w:vertAlign w:val="baseline"/>
        </w:rPr>
        <w:t> </w:t>
      </w:r>
      <w:r>
        <w:rPr>
          <w:vertAlign w:val="baseline"/>
        </w:rPr>
        <w:t>Only</w:t>
      </w:r>
      <w:r>
        <w:rPr>
          <w:spacing w:val="40"/>
          <w:vertAlign w:val="baseline"/>
        </w:rPr>
        <w:t> </w:t>
      </w:r>
      <w:r>
        <w:rPr>
          <w:vertAlign w:val="baseline"/>
        </w:rPr>
        <w:t>574</w:t>
      </w:r>
      <w:r>
        <w:rPr>
          <w:spacing w:val="40"/>
          <w:vertAlign w:val="baseline"/>
        </w:rPr>
        <w:t> </w:t>
      </w:r>
      <w:r>
        <w:rPr>
          <w:vertAlign w:val="baseline"/>
        </w:rPr>
        <w:t>in</w:t>
      </w:r>
      <w:r>
        <w:rPr>
          <w:spacing w:val="40"/>
          <w:vertAlign w:val="baseline"/>
        </w:rPr>
        <w:t> </w:t>
      </w:r>
      <w:r>
        <w:rPr>
          <w:vertAlign w:val="baseline"/>
        </w:rPr>
        <w:t>both</w:t>
      </w:r>
      <w:r>
        <w:rPr>
          <w:spacing w:val="40"/>
          <w:vertAlign w:val="baseline"/>
        </w:rPr>
        <w:t> </w:t>
      </w:r>
      <w:r>
        <w:rPr>
          <w:vertAlign w:val="baseline"/>
        </w:rPr>
        <w:t>the treated and placebo groups were age 50 to 54 in the estrogen-progestin arm, and it is likely that even some of these women were relatively distant from their</w:t>
      </w:r>
      <w:r>
        <w:rPr>
          <w:spacing w:val="67"/>
          <w:vertAlign w:val="baseline"/>
        </w:rPr>
        <w:t> </w:t>
      </w:r>
      <w:r>
        <w:rPr>
          <w:vertAlign w:val="baseline"/>
        </w:rPr>
        <w:t>menopause.</w:t>
      </w:r>
      <w:r>
        <w:rPr>
          <w:spacing w:val="67"/>
          <w:vertAlign w:val="baseline"/>
        </w:rPr>
        <w:t> </w:t>
      </w:r>
      <w:r>
        <w:rPr>
          <w:vertAlign w:val="baseline"/>
        </w:rPr>
        <w:t>Even</w:t>
      </w:r>
      <w:r>
        <w:rPr>
          <w:spacing w:val="66"/>
          <w:vertAlign w:val="baseline"/>
        </w:rPr>
        <w:t> </w:t>
      </w:r>
      <w:r>
        <w:rPr>
          <w:vertAlign w:val="baseline"/>
        </w:rPr>
        <w:t>with</w:t>
      </w:r>
      <w:r>
        <w:rPr>
          <w:spacing w:val="66"/>
          <w:vertAlign w:val="baseline"/>
        </w:rPr>
        <w:t> </w:t>
      </w:r>
      <w:r>
        <w:rPr>
          <w:vertAlign w:val="baseline"/>
        </w:rPr>
        <w:t>the</w:t>
      </w:r>
      <w:r>
        <w:rPr>
          <w:spacing w:val="66"/>
          <w:vertAlign w:val="baseline"/>
        </w:rPr>
        <w:t> </w:t>
      </w:r>
      <w:r>
        <w:rPr>
          <w:vertAlign w:val="baseline"/>
        </w:rPr>
        <w:t>appropriate</w:t>
      </w:r>
      <w:r>
        <w:rPr>
          <w:spacing w:val="66"/>
          <w:vertAlign w:val="baseline"/>
        </w:rPr>
        <w:t> </w:t>
      </w:r>
      <w:r>
        <w:rPr>
          <w:vertAlign w:val="baseline"/>
        </w:rPr>
        <w:t>analysis</w:t>
      </w:r>
      <w:r>
        <w:rPr>
          <w:spacing w:val="66"/>
          <w:vertAlign w:val="baseline"/>
        </w:rPr>
        <w:t> </w:t>
      </w:r>
      <w:r>
        <w:rPr>
          <w:vertAlign w:val="baseline"/>
        </w:rPr>
        <w:t>according</w:t>
      </w:r>
      <w:r>
        <w:rPr>
          <w:spacing w:val="66"/>
          <w:vertAlign w:val="baseline"/>
        </w:rPr>
        <w:t> </w:t>
      </w:r>
      <w:r>
        <w:rPr>
          <w:vertAlign w:val="baseline"/>
        </w:rPr>
        <w:t>to</w:t>
      </w:r>
      <w:r>
        <w:rPr>
          <w:spacing w:val="66"/>
          <w:vertAlign w:val="baseline"/>
        </w:rPr>
        <w:t> </w:t>
      </w:r>
      <w:r>
        <w:rPr>
          <w:spacing w:val="-2"/>
          <w:vertAlign w:val="baseline"/>
        </w:rPr>
        <w:t>years</w:t>
      </w:r>
    </w:p>
    <w:p>
      <w:pPr>
        <w:pStyle w:val="BodyText"/>
        <w:spacing w:after="0" w:line="249" w:lineRule="auto"/>
        <w:jc w:val="right"/>
        <w:sectPr>
          <w:pgSz w:w="12240" w:h="15840"/>
          <w:pgMar w:top="1380" w:bottom="280" w:left="1440" w:right="1440"/>
        </w:sectPr>
      </w:pPr>
    </w:p>
    <w:p>
      <w:pPr>
        <w:pStyle w:val="BodyText"/>
        <w:spacing w:line="249" w:lineRule="auto"/>
        <w:ind w:right="102"/>
      </w:pPr>
      <w:r>
        <w:rPr/>
        <w:t>from</w:t>
      </w:r>
      <w:r>
        <w:rPr>
          <w:spacing w:val="-4"/>
        </w:rPr>
        <w:t> </w:t>
      </w:r>
      <w:r>
        <w:rPr/>
        <w:t>menopause,</w:t>
      </w:r>
      <w:r>
        <w:rPr>
          <w:spacing w:val="-4"/>
        </w:rPr>
        <w:t> </w:t>
      </w:r>
      <w:r>
        <w:rPr/>
        <w:t>the</w:t>
      </w:r>
      <w:r>
        <w:rPr>
          <w:spacing w:val="-4"/>
        </w:rPr>
        <w:t> </w:t>
      </w:r>
      <w:r>
        <w:rPr/>
        <w:t>results</w:t>
      </w:r>
      <w:r>
        <w:rPr>
          <w:spacing w:val="-4"/>
        </w:rPr>
        <w:t> </w:t>
      </w:r>
      <w:r>
        <w:rPr/>
        <w:t>are</w:t>
      </w:r>
      <w:r>
        <w:rPr>
          <w:spacing w:val="-4"/>
        </w:rPr>
        <w:t> </w:t>
      </w:r>
      <w:r>
        <w:rPr/>
        <w:t>limited</w:t>
      </w:r>
      <w:r>
        <w:rPr>
          <w:spacing w:val="-4"/>
        </w:rPr>
        <w:t> </w:t>
      </w:r>
      <w:r>
        <w:rPr/>
        <w:t>by</w:t>
      </w:r>
      <w:r>
        <w:rPr>
          <w:spacing w:val="-4"/>
        </w:rPr>
        <w:t> </w:t>
      </w:r>
      <w:r>
        <w:rPr/>
        <w:t>very</w:t>
      </w:r>
      <w:r>
        <w:rPr>
          <w:spacing w:val="-4"/>
        </w:rPr>
        <w:t> </w:t>
      </w:r>
      <w:r>
        <w:rPr/>
        <w:t>small</w:t>
      </w:r>
      <w:r>
        <w:rPr>
          <w:spacing w:val="-4"/>
        </w:rPr>
        <w:t> </w:t>
      </w:r>
      <w:r>
        <w:rPr/>
        <w:t>numbers</w:t>
      </w:r>
      <w:r>
        <w:rPr>
          <w:spacing w:val="-4"/>
        </w:rPr>
        <w:t> </w:t>
      </w:r>
      <w:r>
        <w:rPr/>
        <w:t>of</w:t>
      </w:r>
      <w:r>
        <w:rPr>
          <w:spacing w:val="-4"/>
        </w:rPr>
        <w:t> </w:t>
      </w:r>
      <w:r>
        <w:rPr/>
        <w:t>women</w:t>
      </w:r>
      <w:r>
        <w:rPr>
          <w:spacing w:val="-4"/>
        </w:rPr>
        <w:t> </w:t>
      </w:r>
      <w:r>
        <w:rPr/>
        <w:t>in their early postmenopausal years. Furthermore, the high drop-out rates in these clinical trials erode the statistical power for assessing year-by-year new statin or aspirin treatment.</w:t>
      </w:r>
    </w:p>
    <w:p>
      <w:pPr>
        <w:pStyle w:val="BodyText"/>
        <w:spacing w:line="249" w:lineRule="auto" w:before="5"/>
        <w:ind w:right="98" w:firstLine="450"/>
      </w:pPr>
      <w:r>
        <w:rPr/>
        <w:t>There is a small primary prevention trial of 199 healthy </w:t>
      </w:r>
      <w:r>
        <w:rPr/>
        <w:t>postmenopausal women randomized to a daily dose of 1 mg estradiol or placebo and followed</w:t>
      </w:r>
      <w:r>
        <w:rPr>
          <w:spacing w:val="-6"/>
        </w:rPr>
        <w:t> </w:t>
      </w:r>
      <w:r>
        <w:rPr/>
        <w:t>for</w:t>
      </w:r>
      <w:r>
        <w:rPr>
          <w:spacing w:val="-6"/>
        </w:rPr>
        <w:t> </w:t>
      </w:r>
      <w:r>
        <w:rPr/>
        <w:t>2</w:t>
      </w:r>
      <w:r>
        <w:rPr>
          <w:spacing w:val="-6"/>
        </w:rPr>
        <w:t> </w:t>
      </w:r>
      <w:r>
        <w:rPr/>
        <w:t>years</w:t>
      </w:r>
      <w:r>
        <w:rPr>
          <w:spacing w:val="-6"/>
        </w:rPr>
        <w:t> </w:t>
      </w:r>
      <w:r>
        <w:rPr/>
        <w:t>measuring</w:t>
      </w:r>
      <w:r>
        <w:rPr>
          <w:spacing w:val="-6"/>
        </w:rPr>
        <w:t> </w:t>
      </w:r>
      <w:r>
        <w:rPr/>
        <w:t>with</w:t>
      </w:r>
      <w:r>
        <w:rPr>
          <w:spacing w:val="-6"/>
        </w:rPr>
        <w:t> </w:t>
      </w:r>
      <w:r>
        <w:rPr/>
        <w:t>ultrasonography</w:t>
      </w:r>
      <w:r>
        <w:rPr>
          <w:spacing w:val="-6"/>
        </w:rPr>
        <w:t> </w:t>
      </w:r>
      <w:r>
        <w:rPr/>
        <w:t>the</w:t>
      </w:r>
      <w:r>
        <w:rPr>
          <w:spacing w:val="-6"/>
        </w:rPr>
        <w:t> </w:t>
      </w:r>
      <w:r>
        <w:rPr/>
        <w:t>change</w:t>
      </w:r>
      <w:r>
        <w:rPr>
          <w:spacing w:val="-6"/>
        </w:rPr>
        <w:t> </w:t>
      </w:r>
      <w:r>
        <w:rPr/>
        <w:t>in</w:t>
      </w:r>
      <w:r>
        <w:rPr>
          <w:spacing w:val="-6"/>
        </w:rPr>
        <w:t> </w:t>
      </w:r>
      <w:r>
        <w:rPr/>
        <w:t>cIMT.</w:t>
      </w:r>
      <w:r>
        <w:rPr>
          <w:vertAlign w:val="superscript"/>
        </w:rPr>
        <w:t>783</w:t>
      </w:r>
      <w:r>
        <w:rPr>
          <w:vertAlign w:val="baseline"/>
        </w:rPr>
        <w:t> The women receiving estradiol had a small decrease in intimal-media thickness in contrast to a marked increase in the placebo group. Interestingly, in those participants taking lipid-lowering medications, there was no difference comparing estrogen treatment with placebo (both groups had a small decrease in thickness), indicating that lipid-lowering drugs and estrogen had similar beneficial effects on atherosclerosis that were not additive. There have been two other similar ultrasonography studies. A 2-year Dutch study did not achieve a significant difference comparing treatment with placebo, but the results were handicapped by a very high drop-out rate and problems with follow-up.</w:t>
      </w:r>
      <w:r>
        <w:rPr>
          <w:vertAlign w:val="superscript"/>
        </w:rPr>
        <w:t>791</w:t>
      </w:r>
      <w:r>
        <w:rPr>
          <w:vertAlign w:val="baseline"/>
        </w:rPr>
        <w:t> A German study that found no effect of HT enrolled women who already had increased intimal-media thickness, and the duration of the study was only 1 year.</w:t>
      </w:r>
      <w:r>
        <w:rPr>
          <w:vertAlign w:val="superscript"/>
        </w:rPr>
        <w:t>792</w:t>
      </w:r>
    </w:p>
    <w:p>
      <w:pPr>
        <w:pStyle w:val="BodyText"/>
        <w:spacing w:line="249" w:lineRule="auto" w:before="18"/>
        <w:ind w:right="100" w:firstLine="450"/>
      </w:pPr>
      <w:r>
        <w:rPr/>
        <w:t>A meta-analysis of 23 randomized HT trials concluded that treatment reduced the risk of CHD events by 32% in younger women compared with older women (≥10 years since menopause or &gt;60 years of age).</w:t>
      </w:r>
      <w:r>
        <w:rPr>
          <w:vertAlign w:val="superscript"/>
        </w:rPr>
        <w:t>793</w:t>
      </w:r>
      <w:r>
        <w:rPr>
          <w:vertAlign w:val="baseline"/>
        </w:rPr>
        <w:t> This is </w:t>
      </w:r>
      <w:r>
        <w:rPr>
          <w:vertAlign w:val="baseline"/>
        </w:rPr>
        <w:t>a conclusion that is less firm than at first apparent, because most of these trials</w:t>
      </w:r>
      <w:r>
        <w:rPr>
          <w:spacing w:val="-1"/>
          <w:vertAlign w:val="baseline"/>
        </w:rPr>
        <w:t> </w:t>
      </w:r>
      <w:r>
        <w:rPr>
          <w:vertAlign w:val="baseline"/>
        </w:rPr>
        <w:t>were</w:t>
      </w:r>
      <w:r>
        <w:rPr>
          <w:spacing w:val="-1"/>
          <w:vertAlign w:val="baseline"/>
        </w:rPr>
        <w:t> </w:t>
      </w:r>
      <w:r>
        <w:rPr>
          <w:vertAlign w:val="baseline"/>
        </w:rPr>
        <w:t>not</w:t>
      </w:r>
      <w:r>
        <w:rPr>
          <w:spacing w:val="-1"/>
          <w:vertAlign w:val="baseline"/>
        </w:rPr>
        <w:t> </w:t>
      </w:r>
      <w:r>
        <w:rPr>
          <w:vertAlign w:val="baseline"/>
        </w:rPr>
        <w:t>designed</w:t>
      </w:r>
      <w:r>
        <w:rPr>
          <w:spacing w:val="-1"/>
          <w:vertAlign w:val="baseline"/>
        </w:rPr>
        <w:t> </w:t>
      </w:r>
      <w:r>
        <w:rPr>
          <w:vertAlign w:val="baseline"/>
        </w:rPr>
        <w:t>to</w:t>
      </w:r>
      <w:r>
        <w:rPr>
          <w:spacing w:val="-1"/>
          <w:vertAlign w:val="baseline"/>
        </w:rPr>
        <w:t> </w:t>
      </w:r>
      <w:r>
        <w:rPr>
          <w:vertAlign w:val="baseline"/>
        </w:rPr>
        <w:t>measure</w:t>
      </w:r>
      <w:r>
        <w:rPr>
          <w:spacing w:val="-1"/>
          <w:vertAlign w:val="baseline"/>
        </w:rPr>
        <w:t> </w:t>
      </w:r>
      <w:r>
        <w:rPr>
          <w:vertAlign w:val="baseline"/>
        </w:rPr>
        <w:t>an</w:t>
      </w:r>
      <w:r>
        <w:rPr>
          <w:spacing w:val="-1"/>
          <w:vertAlign w:val="baseline"/>
        </w:rPr>
        <w:t> </w:t>
      </w:r>
      <w:r>
        <w:rPr>
          <w:vertAlign w:val="baseline"/>
        </w:rPr>
        <w:t>end</w:t>
      </w:r>
      <w:r>
        <w:rPr>
          <w:spacing w:val="-1"/>
          <w:vertAlign w:val="baseline"/>
        </w:rPr>
        <w:t> </w:t>
      </w:r>
      <w:r>
        <w:rPr>
          <w:vertAlign w:val="baseline"/>
        </w:rPr>
        <w:t>point</w:t>
      </w:r>
      <w:r>
        <w:rPr>
          <w:spacing w:val="-1"/>
          <w:vertAlign w:val="baseline"/>
        </w:rPr>
        <w:t> </w:t>
      </w:r>
      <w:r>
        <w:rPr>
          <w:vertAlign w:val="baseline"/>
        </w:rPr>
        <w:t>of</w:t>
      </w:r>
      <w:r>
        <w:rPr>
          <w:spacing w:val="-1"/>
          <w:vertAlign w:val="baseline"/>
        </w:rPr>
        <w:t> </w:t>
      </w:r>
      <w:r>
        <w:rPr>
          <w:vertAlign w:val="baseline"/>
        </w:rPr>
        <w:t>CVD.</w:t>
      </w:r>
      <w:r>
        <w:rPr>
          <w:spacing w:val="-1"/>
          <w:vertAlign w:val="baseline"/>
        </w:rPr>
        <w:t> </w:t>
      </w:r>
      <w:r>
        <w:rPr>
          <w:vertAlign w:val="baseline"/>
        </w:rPr>
        <w:t>However,</w:t>
      </w:r>
      <w:r>
        <w:rPr>
          <w:spacing w:val="-3"/>
          <w:vertAlign w:val="baseline"/>
        </w:rPr>
        <w:t> </w:t>
      </w:r>
      <w:r>
        <w:rPr>
          <w:vertAlign w:val="baseline"/>
        </w:rPr>
        <w:t>another meta-analysis by the same authors concluded that HT reduced overall mortality in women with an average age of less than 60.</w:t>
      </w:r>
      <w:r>
        <w:rPr>
          <w:vertAlign w:val="superscript"/>
        </w:rPr>
        <w:t>794</w:t>
      </w:r>
      <w:r>
        <w:rPr>
          <w:vertAlign w:val="baseline"/>
        </w:rPr>
        <w:t> There is a growing story that adequate estrogen exposure prior to the onset of clinical events provides protection against CVD.</w:t>
      </w:r>
    </w:p>
    <w:p>
      <w:pPr>
        <w:pStyle w:val="BodyText"/>
        <w:spacing w:line="249" w:lineRule="auto" w:before="11"/>
        <w:ind w:right="108" w:firstLine="450"/>
      </w:pPr>
      <w:r>
        <w:rPr/>
        <w:t>The timing hypothesis originated in the hormone trials conducted </w:t>
      </w:r>
      <w:r>
        <w:rPr/>
        <w:t>in monkeys by the Wake-Forest group headed by Tom Clarkson and provides some of the initial support of the timing hypothesis.</w:t>
      </w:r>
      <w:r>
        <w:rPr>
          <w:vertAlign w:val="superscript"/>
        </w:rPr>
        <w:t>795</w:t>
      </w:r>
    </w:p>
    <w:p>
      <w:pPr>
        <w:pStyle w:val="BodyText"/>
        <w:spacing w:before="0"/>
        <w:ind w:left="0"/>
        <w:jc w:val="left"/>
        <w:rPr>
          <w:sz w:val="20"/>
        </w:rPr>
      </w:pPr>
    </w:p>
    <w:p>
      <w:pPr>
        <w:pStyle w:val="BodyText"/>
        <w:spacing w:before="115"/>
        <w:ind w:left="0"/>
        <w:jc w:val="left"/>
        <w:rPr>
          <w:sz w:val="20"/>
        </w:rPr>
      </w:pPr>
      <w:r>
        <w:rPr>
          <w:sz w:val="20"/>
        </w:rPr>
        <mc:AlternateContent>
          <mc:Choice Requires="wps">
            <w:drawing>
              <wp:anchor distT="0" distB="0" distL="0" distR="0" allowOverlap="1" layoutInCell="1" locked="0" behindDoc="1" simplePos="0" relativeHeight="487646208">
                <wp:simplePos x="0" y="0"/>
                <wp:positionH relativeFrom="page">
                  <wp:posOffset>981074</wp:posOffset>
                </wp:positionH>
                <wp:positionV relativeFrom="paragraph">
                  <wp:posOffset>234384</wp:posOffset>
                </wp:positionV>
                <wp:extent cx="5810250" cy="762635"/>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5810250" cy="762635"/>
                          <a:chExt cx="5810250" cy="762635"/>
                        </a:xfrm>
                      </wpg:grpSpPr>
                      <wps:wsp>
                        <wps:cNvPr id="187" name="Graphic 187"/>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188" name="Graphic 188"/>
                        <wps:cNvSpPr/>
                        <wps:spPr>
                          <a:xfrm>
                            <a:off x="0" y="742949"/>
                            <a:ext cx="5810250" cy="19685"/>
                          </a:xfrm>
                          <a:custGeom>
                            <a:avLst/>
                            <a:gdLst/>
                            <a:ahLst/>
                            <a:cxnLst/>
                            <a:rect l="l" t="t" r="r" b="b"/>
                            <a:pathLst>
                              <a:path w="5810250" h="19685">
                                <a:moveTo>
                                  <a:pt x="0" y="19080"/>
                                </a:moveTo>
                                <a:lnTo>
                                  <a:pt x="5810249" y="19080"/>
                                </a:lnTo>
                                <a:lnTo>
                                  <a:pt x="5810249" y="0"/>
                                </a:lnTo>
                                <a:lnTo>
                                  <a:pt x="0" y="0"/>
                                </a:lnTo>
                                <a:lnTo>
                                  <a:pt x="0" y="19080"/>
                                </a:lnTo>
                                <a:close/>
                              </a:path>
                            </a:pathLst>
                          </a:custGeom>
                          <a:solidFill>
                            <a:srgbClr val="E9F1CD"/>
                          </a:solidFill>
                        </wps:spPr>
                        <wps:bodyPr wrap="square" lIns="0" tIns="0" rIns="0" bIns="0" rtlCol="0">
                          <a:prstTxWarp prst="textNoShape">
                            <a:avLst/>
                          </a:prstTxWarp>
                          <a:noAutofit/>
                        </wps:bodyPr>
                      </wps:wsp>
                      <wps:wsp>
                        <wps:cNvPr id="189" name="Graphic 189"/>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190" name="Graphic 190"/>
                        <wps:cNvSpPr/>
                        <wps:spPr>
                          <a:xfrm>
                            <a:off x="209550" y="228636"/>
                            <a:ext cx="371475" cy="57150"/>
                          </a:xfrm>
                          <a:custGeom>
                            <a:avLst/>
                            <a:gdLst/>
                            <a:ahLst/>
                            <a:cxnLst/>
                            <a:rect l="l" t="t" r="r" b="b"/>
                            <a:pathLst>
                              <a:path w="371475" h="57150">
                                <a:moveTo>
                                  <a:pt x="32364" y="57073"/>
                                </a:moveTo>
                                <a:lnTo>
                                  <a:pt x="24785" y="57073"/>
                                </a:lnTo>
                                <a:lnTo>
                                  <a:pt x="21140" y="56330"/>
                                </a:lnTo>
                                <a:lnTo>
                                  <a:pt x="0" y="32299"/>
                                </a:lnTo>
                                <a:lnTo>
                                  <a:pt x="0" y="24707"/>
                                </a:lnTo>
                                <a:lnTo>
                                  <a:pt x="725" y="21059"/>
                                </a:lnTo>
                                <a:lnTo>
                                  <a:pt x="3625" y="14068"/>
                                </a:lnTo>
                                <a:lnTo>
                                  <a:pt x="5689" y="11010"/>
                                </a:lnTo>
                                <a:lnTo>
                                  <a:pt x="8369" y="8410"/>
                                </a:lnTo>
                                <a:lnTo>
                                  <a:pt x="11048" y="5657"/>
                                </a:lnTo>
                                <a:lnTo>
                                  <a:pt x="14138" y="3571"/>
                                </a:lnTo>
                                <a:lnTo>
                                  <a:pt x="21329" y="666"/>
                                </a:lnTo>
                                <a:lnTo>
                                  <a:pt x="21514" y="666"/>
                                </a:lnTo>
                                <a:lnTo>
                                  <a:pt x="24785" y="0"/>
                                </a:lnTo>
                                <a:lnTo>
                                  <a:pt x="32364" y="0"/>
                                </a:lnTo>
                                <a:lnTo>
                                  <a:pt x="36009" y="666"/>
                                </a:lnTo>
                                <a:lnTo>
                                  <a:pt x="39510" y="2085"/>
                                </a:lnTo>
                                <a:lnTo>
                                  <a:pt x="43011" y="3571"/>
                                </a:lnTo>
                                <a:lnTo>
                                  <a:pt x="46101" y="5657"/>
                                </a:lnTo>
                                <a:lnTo>
                                  <a:pt x="48780" y="8410"/>
                                </a:lnTo>
                                <a:lnTo>
                                  <a:pt x="51459" y="11010"/>
                                </a:lnTo>
                                <a:lnTo>
                                  <a:pt x="53480" y="14068"/>
                                </a:lnTo>
                                <a:lnTo>
                                  <a:pt x="56424" y="21059"/>
                                </a:lnTo>
                                <a:lnTo>
                                  <a:pt x="57149" y="24707"/>
                                </a:lnTo>
                                <a:lnTo>
                                  <a:pt x="57149" y="32299"/>
                                </a:lnTo>
                                <a:lnTo>
                                  <a:pt x="36009" y="56330"/>
                                </a:lnTo>
                                <a:lnTo>
                                  <a:pt x="32364" y="57073"/>
                                </a:lnTo>
                                <a:close/>
                              </a:path>
                              <a:path w="371475" h="57150">
                                <a:moveTo>
                                  <a:pt x="137044" y="57073"/>
                                </a:moveTo>
                                <a:lnTo>
                                  <a:pt x="129465" y="57073"/>
                                </a:lnTo>
                                <a:lnTo>
                                  <a:pt x="125820" y="56330"/>
                                </a:lnTo>
                                <a:lnTo>
                                  <a:pt x="104679" y="32299"/>
                                </a:lnTo>
                                <a:lnTo>
                                  <a:pt x="104679" y="24707"/>
                                </a:lnTo>
                                <a:lnTo>
                                  <a:pt x="105404" y="21059"/>
                                </a:lnTo>
                                <a:lnTo>
                                  <a:pt x="108304" y="14068"/>
                                </a:lnTo>
                                <a:lnTo>
                                  <a:pt x="110369" y="11010"/>
                                </a:lnTo>
                                <a:lnTo>
                                  <a:pt x="113049" y="8410"/>
                                </a:lnTo>
                                <a:lnTo>
                                  <a:pt x="115728" y="5657"/>
                                </a:lnTo>
                                <a:lnTo>
                                  <a:pt x="118818" y="3571"/>
                                </a:lnTo>
                                <a:lnTo>
                                  <a:pt x="126008" y="666"/>
                                </a:lnTo>
                                <a:lnTo>
                                  <a:pt x="126194" y="666"/>
                                </a:lnTo>
                                <a:lnTo>
                                  <a:pt x="129465" y="0"/>
                                </a:lnTo>
                                <a:lnTo>
                                  <a:pt x="137044" y="0"/>
                                </a:lnTo>
                                <a:lnTo>
                                  <a:pt x="140689" y="666"/>
                                </a:lnTo>
                                <a:lnTo>
                                  <a:pt x="144189" y="2085"/>
                                </a:lnTo>
                                <a:lnTo>
                                  <a:pt x="147690" y="3571"/>
                                </a:lnTo>
                                <a:lnTo>
                                  <a:pt x="150780" y="5657"/>
                                </a:lnTo>
                                <a:lnTo>
                                  <a:pt x="153460" y="8410"/>
                                </a:lnTo>
                                <a:lnTo>
                                  <a:pt x="156139" y="11010"/>
                                </a:lnTo>
                                <a:lnTo>
                                  <a:pt x="158160" y="14068"/>
                                </a:lnTo>
                                <a:lnTo>
                                  <a:pt x="161104" y="21059"/>
                                </a:lnTo>
                                <a:lnTo>
                                  <a:pt x="161829" y="24707"/>
                                </a:lnTo>
                                <a:lnTo>
                                  <a:pt x="161829" y="32299"/>
                                </a:lnTo>
                                <a:lnTo>
                                  <a:pt x="140689" y="56330"/>
                                </a:lnTo>
                                <a:lnTo>
                                  <a:pt x="137044" y="57073"/>
                                </a:lnTo>
                                <a:close/>
                              </a:path>
                              <a:path w="371475" h="57150">
                                <a:moveTo>
                                  <a:pt x="241723" y="57073"/>
                                </a:moveTo>
                                <a:lnTo>
                                  <a:pt x="234145" y="57073"/>
                                </a:lnTo>
                                <a:lnTo>
                                  <a:pt x="230500" y="56330"/>
                                </a:lnTo>
                                <a:lnTo>
                                  <a:pt x="209359" y="32299"/>
                                </a:lnTo>
                                <a:lnTo>
                                  <a:pt x="209359" y="24707"/>
                                </a:lnTo>
                                <a:lnTo>
                                  <a:pt x="210084" y="21059"/>
                                </a:lnTo>
                                <a:lnTo>
                                  <a:pt x="212984" y="14068"/>
                                </a:lnTo>
                                <a:lnTo>
                                  <a:pt x="215049" y="11010"/>
                                </a:lnTo>
                                <a:lnTo>
                                  <a:pt x="217728" y="8410"/>
                                </a:lnTo>
                                <a:lnTo>
                                  <a:pt x="220408" y="5657"/>
                                </a:lnTo>
                                <a:lnTo>
                                  <a:pt x="223498" y="3571"/>
                                </a:lnTo>
                                <a:lnTo>
                                  <a:pt x="230688" y="666"/>
                                </a:lnTo>
                                <a:lnTo>
                                  <a:pt x="230874" y="666"/>
                                </a:lnTo>
                                <a:lnTo>
                                  <a:pt x="234145" y="0"/>
                                </a:lnTo>
                                <a:lnTo>
                                  <a:pt x="241723" y="0"/>
                                </a:lnTo>
                                <a:lnTo>
                                  <a:pt x="245368" y="666"/>
                                </a:lnTo>
                                <a:lnTo>
                                  <a:pt x="248869" y="2085"/>
                                </a:lnTo>
                                <a:lnTo>
                                  <a:pt x="252370" y="3571"/>
                                </a:lnTo>
                                <a:lnTo>
                                  <a:pt x="255460" y="5657"/>
                                </a:lnTo>
                                <a:lnTo>
                                  <a:pt x="258140" y="8410"/>
                                </a:lnTo>
                                <a:lnTo>
                                  <a:pt x="260819" y="11010"/>
                                </a:lnTo>
                                <a:lnTo>
                                  <a:pt x="262840" y="14068"/>
                                </a:lnTo>
                                <a:lnTo>
                                  <a:pt x="265784" y="21059"/>
                                </a:lnTo>
                                <a:lnTo>
                                  <a:pt x="266509" y="24707"/>
                                </a:lnTo>
                                <a:lnTo>
                                  <a:pt x="266509" y="32299"/>
                                </a:lnTo>
                                <a:lnTo>
                                  <a:pt x="245368" y="56330"/>
                                </a:lnTo>
                                <a:lnTo>
                                  <a:pt x="241723" y="57073"/>
                                </a:lnTo>
                                <a:close/>
                              </a:path>
                              <a:path w="371475" h="57150">
                                <a:moveTo>
                                  <a:pt x="346403" y="57073"/>
                                </a:moveTo>
                                <a:lnTo>
                                  <a:pt x="338824" y="57073"/>
                                </a:lnTo>
                                <a:lnTo>
                                  <a:pt x="335179" y="56330"/>
                                </a:lnTo>
                                <a:lnTo>
                                  <a:pt x="314039" y="32299"/>
                                </a:lnTo>
                                <a:lnTo>
                                  <a:pt x="314039" y="24707"/>
                                </a:lnTo>
                                <a:lnTo>
                                  <a:pt x="314764" y="21059"/>
                                </a:lnTo>
                                <a:lnTo>
                                  <a:pt x="317664" y="14068"/>
                                </a:lnTo>
                                <a:lnTo>
                                  <a:pt x="319729" y="11010"/>
                                </a:lnTo>
                                <a:lnTo>
                                  <a:pt x="322408" y="8410"/>
                                </a:lnTo>
                                <a:lnTo>
                                  <a:pt x="325088" y="5657"/>
                                </a:lnTo>
                                <a:lnTo>
                                  <a:pt x="328178" y="3571"/>
                                </a:lnTo>
                                <a:lnTo>
                                  <a:pt x="335368" y="666"/>
                                </a:lnTo>
                                <a:lnTo>
                                  <a:pt x="335553" y="666"/>
                                </a:lnTo>
                                <a:lnTo>
                                  <a:pt x="338824" y="0"/>
                                </a:lnTo>
                                <a:lnTo>
                                  <a:pt x="346403" y="0"/>
                                </a:lnTo>
                                <a:lnTo>
                                  <a:pt x="350048" y="666"/>
                                </a:lnTo>
                                <a:lnTo>
                                  <a:pt x="353549" y="2085"/>
                                </a:lnTo>
                                <a:lnTo>
                                  <a:pt x="357050" y="3571"/>
                                </a:lnTo>
                                <a:lnTo>
                                  <a:pt x="360140" y="5657"/>
                                </a:lnTo>
                                <a:lnTo>
                                  <a:pt x="362819" y="8410"/>
                                </a:lnTo>
                                <a:lnTo>
                                  <a:pt x="365499" y="11010"/>
                                </a:lnTo>
                                <a:lnTo>
                                  <a:pt x="367519" y="14068"/>
                                </a:lnTo>
                                <a:lnTo>
                                  <a:pt x="370464" y="21059"/>
                                </a:lnTo>
                                <a:lnTo>
                                  <a:pt x="371189" y="24707"/>
                                </a:lnTo>
                                <a:lnTo>
                                  <a:pt x="371189" y="32299"/>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191" name="Textbox 191"/>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4"/>
                                  <w:sz w:val="33"/>
                                </w:rPr>
                                <w:t> </w:t>
                              </w:r>
                              <w:r>
                                <w:rPr>
                                  <w:rFonts w:ascii="Arial"/>
                                  <w:color w:val="FFFFFF"/>
                                  <w:sz w:val="33"/>
                                </w:rPr>
                                <w:t>Points:</w:t>
                              </w:r>
                              <w:r>
                                <w:rPr>
                                  <w:rFonts w:ascii="Arial"/>
                                  <w:color w:val="FFFFFF"/>
                                  <w:spacing w:val="15"/>
                                  <w:sz w:val="33"/>
                                </w:rPr>
                                <w:t> </w:t>
                              </w:r>
                              <w:r>
                                <w:rPr>
                                  <w:rFonts w:ascii="Arial"/>
                                  <w:color w:val="FFFFFF"/>
                                  <w:sz w:val="33"/>
                                </w:rPr>
                                <w:t>Timing</w:t>
                              </w:r>
                              <w:r>
                                <w:rPr>
                                  <w:rFonts w:ascii="Arial"/>
                                  <w:color w:val="FFFFFF"/>
                                  <w:spacing w:val="15"/>
                                  <w:sz w:val="33"/>
                                </w:rPr>
                                <w:t> </w:t>
                              </w:r>
                              <w:r>
                                <w:rPr>
                                  <w:rFonts w:ascii="Arial"/>
                                  <w:color w:val="FFFFFF"/>
                                  <w:spacing w:val="-2"/>
                                  <w:sz w:val="33"/>
                                </w:rPr>
                                <w:t>Hypothesis</w:t>
                              </w:r>
                            </w:p>
                          </w:txbxContent>
                        </wps:txbx>
                        <wps:bodyPr wrap="square" lIns="0" tIns="0" rIns="0" bIns="0" rtlCol="0">
                          <a:noAutofit/>
                        </wps:bodyPr>
                      </wps:wsp>
                    </wpg:wgp>
                  </a:graphicData>
                </a:graphic>
              </wp:anchor>
            </w:drawing>
          </mc:Choice>
          <mc:Fallback>
            <w:pict>
              <v:group style="position:absolute;margin-left:77.249992pt;margin-top:18.455458pt;width:457.5pt;height:60.05pt;mso-position-horizontal-relative:page;mso-position-vertical-relative:paragraph;z-index:-15670272;mso-wrap-distance-left:0;mso-wrap-distance-right:0" id="docshapegroup164" coordorigin="1545,369" coordsize="9150,1201">
                <v:rect style="position:absolute;left:1545;top:369;width:9150;height:30" id="docshape165" filled="true" fillcolor="#d5e699" stroked="false">
                  <v:fill type="solid"/>
                </v:rect>
                <v:rect style="position:absolute;left:1545;top:1539;width:9150;height:31" id="docshape166" filled="true" fillcolor="#e9f1cd" stroked="false">
                  <v:fill type="solid"/>
                </v:rect>
                <v:rect style="position:absolute;left:1545;top:459;width:9150;height:1080" id="docshape167" filled="true" fillcolor="#2b816f" stroked="false">
                  <v:fill type="solid"/>
                </v:rect>
                <v:shape style="position:absolute;left:1875;top:729;width:585;height:90" id="docshape168" coordorigin="1875,729" coordsize="585,90" path="m1926,819l1914,819,1908,818,1903,816,1897,813,1892,810,1888,806,1884,802,1881,797,1878,791,1876,786,1875,780,1875,768,1876,762,1881,751,1884,747,1888,742,1892,738,1897,735,1909,730,1909,730,1914,729,1926,729,1932,730,1937,732,1943,735,1948,738,1952,742,1956,747,1959,751,1964,762,1965,768,1965,780,1964,786,1962,791,1959,797,1956,802,1952,806,1948,810,1943,813,1937,816,1932,818,1926,819xm2091,819l2079,819,2073,818,2068,816,2062,813,2057,810,2053,806,2049,802,2046,797,2043,791,2041,786,2040,780,2040,768,2041,762,2046,751,2049,747,2053,742,2057,738,2062,735,2073,730,2074,730,2079,729,2091,729,2097,730,2102,732,2108,735,2112,738,2117,742,2121,747,2124,751,2129,762,2130,768,2130,780,2129,786,2126,791,2124,797,2121,802,2117,806,2112,810,2108,813,2102,816,2097,818,2091,819xm2256,819l2244,819,2238,818,2232,816,2227,813,2222,810,2218,806,2214,802,2210,797,2208,791,2206,786,2205,780,2205,768,2206,762,2210,751,2214,747,2218,742,2222,738,2227,735,2238,730,2239,730,2244,729,2256,729,2261,730,2267,732,2272,735,2277,738,2282,742,2286,747,2289,751,2294,762,2295,768,2295,780,2294,786,2291,791,2289,797,2286,802,2282,806,2277,810,2272,813,2267,816,2261,818,2256,819xm2421,819l2409,819,2403,818,2397,816,2392,813,2387,810,2383,806,2379,802,2375,797,2373,791,2371,786,2370,780,2370,768,2371,762,2375,751,2379,747,2383,742,2387,738,2392,735,2403,730,2403,730,2409,729,2421,729,2426,730,2432,732,2437,735,2442,738,2446,742,2451,747,2454,751,2458,762,2460,768,2460,780,2458,786,2456,791,2454,797,2451,802,2446,806,2442,810,2437,813,2432,816,2426,818,2421,819xe" filled="true" fillcolor="#d0e399" stroked="false">
                  <v:path arrowok="t"/>
                  <v:fill type="solid"/>
                </v:shape>
                <v:shape style="position:absolute;left:1545;top:459;width:9150;height:1080" type="#_x0000_t202" id="docshape169"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4"/>
                            <w:sz w:val="33"/>
                          </w:rPr>
                          <w:t> </w:t>
                        </w:r>
                        <w:r>
                          <w:rPr>
                            <w:rFonts w:ascii="Arial"/>
                            <w:color w:val="FFFFFF"/>
                            <w:sz w:val="33"/>
                          </w:rPr>
                          <w:t>Points:</w:t>
                        </w:r>
                        <w:r>
                          <w:rPr>
                            <w:rFonts w:ascii="Arial"/>
                            <w:color w:val="FFFFFF"/>
                            <w:spacing w:val="15"/>
                            <w:sz w:val="33"/>
                          </w:rPr>
                          <w:t> </w:t>
                        </w:r>
                        <w:r>
                          <w:rPr>
                            <w:rFonts w:ascii="Arial"/>
                            <w:color w:val="FFFFFF"/>
                            <w:sz w:val="33"/>
                          </w:rPr>
                          <w:t>Timing</w:t>
                        </w:r>
                        <w:r>
                          <w:rPr>
                            <w:rFonts w:ascii="Arial"/>
                            <w:color w:val="FFFFFF"/>
                            <w:spacing w:val="15"/>
                            <w:sz w:val="33"/>
                          </w:rPr>
                          <w:t> </w:t>
                        </w:r>
                        <w:r>
                          <w:rPr>
                            <w:rFonts w:ascii="Arial"/>
                            <w:color w:val="FFFFFF"/>
                            <w:spacing w:val="-2"/>
                            <w:sz w:val="33"/>
                          </w:rPr>
                          <w:t>Hypothesis</w:t>
                        </w:r>
                      </w:p>
                    </w:txbxContent>
                  </v:textbox>
                  <w10:wrap type="none"/>
                </v:shape>
                <w10:wrap type="topAndBottom"/>
              </v:group>
            </w:pict>
          </mc:Fallback>
        </mc:AlternateContent>
      </w:r>
    </w:p>
    <w:p>
      <w:pPr>
        <w:pStyle w:val="BodyText"/>
        <w:spacing w:after="0"/>
        <w:jc w:val="left"/>
        <w:rPr>
          <w:sz w:val="20"/>
        </w:rPr>
        <w:sectPr>
          <w:pgSz w:w="12240" w:h="15840"/>
          <w:pgMar w:top="1380" w:bottom="280" w:left="1440" w:right="1440"/>
        </w:sectPr>
      </w:pPr>
    </w:p>
    <w:p>
      <w:pPr>
        <w:pStyle w:val="ListParagraph"/>
        <w:numPr>
          <w:ilvl w:val="0"/>
          <w:numId w:val="13"/>
        </w:numPr>
        <w:tabs>
          <w:tab w:pos="549" w:val="left" w:leader="none"/>
        </w:tabs>
        <w:spacing w:line="271" w:lineRule="auto" w:before="84" w:after="0"/>
        <w:ind w:left="549" w:right="855" w:hanging="235"/>
        <w:jc w:val="both"/>
        <w:rPr>
          <w:sz w:val="22"/>
        </w:rPr>
      </w:pPr>
      <w:r>
        <w:rPr>
          <w:sz w:val="22"/>
        </w:rPr>
        <mc:AlternateContent>
          <mc:Choice Requires="wps">
            <w:drawing>
              <wp:anchor distT="0" distB="0" distL="0" distR="0" allowOverlap="1" layoutInCell="1" locked="0" behindDoc="1" simplePos="0" relativeHeight="484573184">
                <wp:simplePos x="0" y="0"/>
                <wp:positionH relativeFrom="page">
                  <wp:posOffset>981074</wp:posOffset>
                </wp:positionH>
                <wp:positionV relativeFrom="page">
                  <wp:posOffset>914433</wp:posOffset>
                </wp:positionV>
                <wp:extent cx="5810250" cy="822960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5810250" cy="8229600"/>
                        </a:xfrm>
                        <a:custGeom>
                          <a:avLst/>
                          <a:gdLst/>
                          <a:ahLst/>
                          <a:cxnLst/>
                          <a:rect l="l" t="t" r="r" b="b"/>
                          <a:pathLst>
                            <a:path w="5810250" h="8229600">
                              <a:moveTo>
                                <a:pt x="0" y="0"/>
                              </a:moveTo>
                              <a:lnTo>
                                <a:pt x="5810249" y="0"/>
                              </a:lnTo>
                              <a:lnTo>
                                <a:pt x="5810249" y="8229599"/>
                              </a:lnTo>
                              <a:lnTo>
                                <a:pt x="0" y="8229599"/>
                              </a:lnTo>
                              <a:lnTo>
                                <a:pt x="0" y="0"/>
                              </a:lnTo>
                              <a:close/>
                            </a:path>
                          </a:pathLst>
                        </a:custGeom>
                        <a:solidFill>
                          <a:srgbClr val="E9F1CD"/>
                        </a:solidFill>
                      </wps:spPr>
                      <wps:bodyPr wrap="square" lIns="0" tIns="0" rIns="0" bIns="0" rtlCol="0">
                        <a:prstTxWarp prst="textNoShape">
                          <a:avLst/>
                        </a:prstTxWarp>
                        <a:noAutofit/>
                      </wps:bodyPr>
                    </wps:wsp>
                  </a:graphicData>
                </a:graphic>
              </wp:anchor>
            </w:drawing>
          </mc:Choice>
          <mc:Fallback>
            <w:pict>
              <v:rect style="position:absolute;margin-left:77.249992pt;margin-top:72.002602pt;width:457.499959pt;height:647.999979pt;mso-position-horizontal-relative:page;mso-position-vertical-relative:page;z-index:-18743296" id="docshape170" filled="true" fillcolor="#e9f1cd" stroked="false">
                <v:fill type="solid"/>
                <w10:wrap type="none"/>
              </v:rect>
            </w:pict>
          </mc:Fallback>
        </mc:AlternateContent>
      </w:r>
      <w:r>
        <w:rPr>
          <w:sz w:val="22"/>
        </w:rPr>
        <w:t>Estrogen treatment initiated immediately after menopause in monkeys inhibited progression of coronary artery atherosclerosis by about 70%. When treatment was</w:t>
      </w:r>
      <w:r>
        <w:rPr>
          <w:spacing w:val="40"/>
          <w:sz w:val="22"/>
        </w:rPr>
        <w:t> </w:t>
      </w:r>
      <w:r>
        <w:rPr>
          <w:sz w:val="22"/>
        </w:rPr>
        <w:t>delayed</w:t>
      </w:r>
      <w:r>
        <w:rPr>
          <w:spacing w:val="26"/>
          <w:sz w:val="22"/>
        </w:rPr>
        <w:t> </w:t>
      </w:r>
      <w:r>
        <w:rPr>
          <w:sz w:val="22"/>
        </w:rPr>
        <w:t>by</w:t>
      </w:r>
      <w:r>
        <w:rPr>
          <w:spacing w:val="26"/>
          <w:sz w:val="22"/>
        </w:rPr>
        <w:t> </w:t>
      </w:r>
      <w:r>
        <w:rPr>
          <w:sz w:val="22"/>
        </w:rPr>
        <w:t>2</w:t>
      </w:r>
      <w:r>
        <w:rPr>
          <w:spacing w:val="26"/>
          <w:sz w:val="22"/>
        </w:rPr>
        <w:t> </w:t>
      </w:r>
      <w:r>
        <w:rPr>
          <w:sz w:val="22"/>
        </w:rPr>
        <w:t>years</w:t>
      </w:r>
      <w:r>
        <w:rPr>
          <w:spacing w:val="26"/>
          <w:sz w:val="22"/>
        </w:rPr>
        <w:t> </w:t>
      </w:r>
      <w:r>
        <w:rPr>
          <w:sz w:val="22"/>
        </w:rPr>
        <w:t>(equivalent</w:t>
      </w:r>
      <w:r>
        <w:rPr>
          <w:spacing w:val="26"/>
          <w:sz w:val="22"/>
        </w:rPr>
        <w:t> </w:t>
      </w:r>
      <w:r>
        <w:rPr>
          <w:sz w:val="22"/>
        </w:rPr>
        <w:t>to</w:t>
      </w:r>
      <w:r>
        <w:rPr>
          <w:spacing w:val="26"/>
          <w:sz w:val="22"/>
        </w:rPr>
        <w:t> </w:t>
      </w:r>
      <w:r>
        <w:rPr>
          <w:sz w:val="22"/>
        </w:rPr>
        <w:t>about</w:t>
      </w:r>
      <w:r>
        <w:rPr>
          <w:spacing w:val="26"/>
          <w:sz w:val="22"/>
        </w:rPr>
        <w:t> </w:t>
      </w:r>
      <w:r>
        <w:rPr>
          <w:sz w:val="22"/>
        </w:rPr>
        <w:t>6</w:t>
      </w:r>
      <w:r>
        <w:rPr>
          <w:spacing w:val="26"/>
          <w:sz w:val="22"/>
        </w:rPr>
        <w:t> </w:t>
      </w:r>
      <w:r>
        <w:rPr>
          <w:sz w:val="22"/>
        </w:rPr>
        <w:t>years</w:t>
      </w:r>
      <w:r>
        <w:rPr>
          <w:spacing w:val="26"/>
          <w:sz w:val="22"/>
        </w:rPr>
        <w:t> </w:t>
      </w:r>
      <w:r>
        <w:rPr>
          <w:sz w:val="22"/>
        </w:rPr>
        <w:t>in</w:t>
      </w:r>
      <w:r>
        <w:rPr>
          <w:spacing w:val="26"/>
          <w:sz w:val="22"/>
        </w:rPr>
        <w:t> </w:t>
      </w:r>
      <w:r>
        <w:rPr>
          <w:sz w:val="22"/>
        </w:rPr>
        <w:t>women),</w:t>
      </w:r>
      <w:r>
        <w:rPr>
          <w:spacing w:val="26"/>
          <w:sz w:val="22"/>
        </w:rPr>
        <w:t> </w:t>
      </w:r>
      <w:r>
        <w:rPr>
          <w:sz w:val="22"/>
        </w:rPr>
        <w:t>there</w:t>
      </w:r>
      <w:r>
        <w:rPr>
          <w:spacing w:val="26"/>
          <w:sz w:val="22"/>
        </w:rPr>
        <w:t> </w:t>
      </w:r>
      <w:r>
        <w:rPr>
          <w:sz w:val="22"/>
        </w:rPr>
        <w:t>was</w:t>
      </w:r>
      <w:r>
        <w:rPr>
          <w:spacing w:val="26"/>
          <w:sz w:val="22"/>
        </w:rPr>
        <w:t> </w:t>
      </w:r>
      <w:r>
        <w:rPr>
          <w:sz w:val="22"/>
        </w:rPr>
        <w:t>no</w:t>
      </w:r>
      <w:r>
        <w:rPr>
          <w:spacing w:val="26"/>
          <w:sz w:val="22"/>
        </w:rPr>
        <w:t> </w:t>
      </w:r>
      <w:r>
        <w:rPr>
          <w:sz w:val="22"/>
        </w:rPr>
        <w:t>effect.</w:t>
      </w:r>
      <w:r>
        <w:rPr>
          <w:sz w:val="22"/>
          <w:vertAlign w:val="superscript"/>
        </w:rPr>
        <w:t>795</w:t>
      </w:r>
    </w:p>
    <w:p>
      <w:pPr>
        <w:pStyle w:val="ListParagraph"/>
        <w:numPr>
          <w:ilvl w:val="0"/>
          <w:numId w:val="13"/>
        </w:numPr>
        <w:tabs>
          <w:tab w:pos="548" w:val="left" w:leader="none"/>
        </w:tabs>
        <w:spacing w:line="235" w:lineRule="exact" w:before="0" w:after="0"/>
        <w:ind w:left="548" w:right="0" w:hanging="234"/>
        <w:jc w:val="both"/>
        <w:rPr>
          <w:sz w:val="22"/>
        </w:rPr>
      </w:pPr>
      <w:r>
        <w:rPr>
          <w:sz w:val="22"/>
        </w:rPr>
        <w:t>Next</w:t>
      </w:r>
      <w:r>
        <w:rPr>
          <w:spacing w:val="12"/>
          <w:sz w:val="22"/>
        </w:rPr>
        <w:t> </w:t>
      </w:r>
      <w:r>
        <w:rPr>
          <w:sz w:val="22"/>
        </w:rPr>
        <w:t>in</w:t>
      </w:r>
      <w:r>
        <w:rPr>
          <w:spacing w:val="12"/>
          <w:sz w:val="22"/>
        </w:rPr>
        <w:t> </w:t>
      </w:r>
      <w:r>
        <w:rPr>
          <w:sz w:val="22"/>
        </w:rPr>
        <w:t>line,</w:t>
      </w:r>
      <w:r>
        <w:rPr>
          <w:spacing w:val="13"/>
          <w:sz w:val="22"/>
        </w:rPr>
        <w:t> </w:t>
      </w:r>
      <w:r>
        <w:rPr>
          <w:sz w:val="22"/>
        </w:rPr>
        <w:t>according</w:t>
      </w:r>
      <w:r>
        <w:rPr>
          <w:spacing w:val="12"/>
          <w:sz w:val="22"/>
        </w:rPr>
        <w:t> </w:t>
      </w:r>
      <w:r>
        <w:rPr>
          <w:sz w:val="22"/>
        </w:rPr>
        <w:t>to</w:t>
      </w:r>
      <w:r>
        <w:rPr>
          <w:spacing w:val="12"/>
          <w:sz w:val="22"/>
        </w:rPr>
        <w:t> </w:t>
      </w:r>
      <w:r>
        <w:rPr>
          <w:sz w:val="22"/>
        </w:rPr>
        <w:t>strength</w:t>
      </w:r>
      <w:r>
        <w:rPr>
          <w:spacing w:val="13"/>
          <w:sz w:val="22"/>
        </w:rPr>
        <w:t> </w:t>
      </w:r>
      <w:r>
        <w:rPr>
          <w:sz w:val="22"/>
        </w:rPr>
        <w:t>of</w:t>
      </w:r>
      <w:r>
        <w:rPr>
          <w:spacing w:val="12"/>
          <w:sz w:val="22"/>
        </w:rPr>
        <w:t> </w:t>
      </w:r>
      <w:r>
        <w:rPr>
          <w:sz w:val="22"/>
        </w:rPr>
        <w:t>evidence</w:t>
      </w:r>
      <w:r>
        <w:rPr>
          <w:spacing w:val="13"/>
          <w:sz w:val="22"/>
        </w:rPr>
        <w:t> </w:t>
      </w:r>
      <w:r>
        <w:rPr>
          <w:sz w:val="22"/>
        </w:rPr>
        <w:t>in</w:t>
      </w:r>
      <w:r>
        <w:rPr>
          <w:spacing w:val="12"/>
          <w:sz w:val="22"/>
        </w:rPr>
        <w:t> </w:t>
      </w:r>
      <w:r>
        <w:rPr>
          <w:sz w:val="22"/>
        </w:rPr>
        <w:t>our</w:t>
      </w:r>
      <w:r>
        <w:rPr>
          <w:spacing w:val="12"/>
          <w:sz w:val="22"/>
        </w:rPr>
        <w:t> </w:t>
      </w:r>
      <w:r>
        <w:rPr>
          <w:sz w:val="22"/>
        </w:rPr>
        <w:t>view,</w:t>
      </w:r>
      <w:r>
        <w:rPr>
          <w:spacing w:val="13"/>
          <w:sz w:val="22"/>
        </w:rPr>
        <w:t> </w:t>
      </w:r>
      <w:r>
        <w:rPr>
          <w:sz w:val="22"/>
        </w:rPr>
        <w:t>would</w:t>
      </w:r>
      <w:r>
        <w:rPr>
          <w:spacing w:val="12"/>
          <w:sz w:val="22"/>
        </w:rPr>
        <w:t> </w:t>
      </w:r>
      <w:r>
        <w:rPr>
          <w:sz w:val="22"/>
        </w:rPr>
        <w:t>be</w:t>
      </w:r>
      <w:r>
        <w:rPr>
          <w:spacing w:val="13"/>
          <w:sz w:val="22"/>
        </w:rPr>
        <w:t> </w:t>
      </w:r>
      <w:r>
        <w:rPr>
          <w:sz w:val="22"/>
        </w:rPr>
        <w:t>he</w:t>
      </w:r>
      <w:r>
        <w:rPr>
          <w:spacing w:val="12"/>
          <w:sz w:val="22"/>
        </w:rPr>
        <w:t> </w:t>
      </w:r>
      <w:r>
        <w:rPr>
          <w:sz w:val="22"/>
        </w:rPr>
        <w:t>WHI</w:t>
      </w:r>
      <w:r>
        <w:rPr>
          <w:spacing w:val="12"/>
          <w:sz w:val="22"/>
        </w:rPr>
        <w:t> </w:t>
      </w:r>
      <w:r>
        <w:rPr>
          <w:sz w:val="22"/>
        </w:rPr>
        <w:t>reports</w:t>
      </w:r>
      <w:r>
        <w:rPr>
          <w:spacing w:val="13"/>
          <w:sz w:val="22"/>
        </w:rPr>
        <w:t> </w:t>
      </w:r>
      <w:r>
        <w:rPr>
          <w:spacing w:val="-5"/>
          <w:sz w:val="22"/>
        </w:rPr>
        <w:t>of</w:t>
      </w:r>
    </w:p>
    <w:p>
      <w:pPr>
        <w:spacing w:line="252" w:lineRule="auto" w:before="17"/>
        <w:ind w:left="549" w:right="851" w:firstLine="0"/>
        <w:jc w:val="both"/>
        <w:rPr>
          <w:sz w:val="22"/>
        </w:rPr>
      </w:pPr>
      <w:r>
        <w:rPr>
          <w:sz w:val="22"/>
        </w:rPr>
        <w:t>reduced CAC in estrogen-treated women and an increase in cardiac events only in the oldest women in the trials.</w:t>
      </w:r>
      <w:r>
        <w:rPr>
          <w:position w:val="9"/>
          <w:sz w:val="17"/>
        </w:rPr>
        <w:t>729,779</w:t>
      </w:r>
      <w:r>
        <w:rPr>
          <w:spacing w:val="32"/>
          <w:position w:val="9"/>
          <w:sz w:val="17"/>
        </w:rPr>
        <w:t> </w:t>
      </w:r>
      <w:r>
        <w:rPr>
          <w:sz w:val="22"/>
        </w:rPr>
        <w:t>The problem of low event rates in younger women in</w:t>
      </w:r>
      <w:r>
        <w:rPr>
          <w:spacing w:val="40"/>
          <w:sz w:val="22"/>
        </w:rPr>
        <w:t> </w:t>
      </w:r>
      <w:r>
        <w:rPr>
          <w:sz w:val="22"/>
        </w:rPr>
        <w:t>the</w:t>
      </w:r>
      <w:r>
        <w:rPr>
          <w:spacing w:val="40"/>
          <w:sz w:val="22"/>
        </w:rPr>
        <w:t> </w:t>
      </w:r>
      <w:r>
        <w:rPr>
          <w:sz w:val="22"/>
        </w:rPr>
        <w:t>WHI</w:t>
      </w:r>
      <w:r>
        <w:rPr>
          <w:spacing w:val="40"/>
          <w:sz w:val="22"/>
        </w:rPr>
        <w:t> </w:t>
      </w:r>
      <w:r>
        <w:rPr>
          <w:sz w:val="22"/>
        </w:rPr>
        <w:t>was</w:t>
      </w:r>
      <w:r>
        <w:rPr>
          <w:spacing w:val="40"/>
          <w:sz w:val="22"/>
        </w:rPr>
        <w:t> </w:t>
      </w:r>
      <w:r>
        <w:rPr>
          <w:sz w:val="22"/>
        </w:rPr>
        <w:t>addressed</w:t>
      </w:r>
      <w:r>
        <w:rPr>
          <w:spacing w:val="40"/>
          <w:sz w:val="22"/>
        </w:rPr>
        <w:t> </w:t>
      </w:r>
      <w:r>
        <w:rPr>
          <w:sz w:val="22"/>
        </w:rPr>
        <w:t>by</w:t>
      </w:r>
      <w:r>
        <w:rPr>
          <w:spacing w:val="40"/>
          <w:sz w:val="22"/>
        </w:rPr>
        <w:t> </w:t>
      </w:r>
      <w:r>
        <w:rPr>
          <w:sz w:val="22"/>
        </w:rPr>
        <w:t>lumping</w:t>
      </w:r>
      <w:r>
        <w:rPr>
          <w:spacing w:val="40"/>
          <w:sz w:val="22"/>
        </w:rPr>
        <w:t> </w:t>
      </w:r>
      <w:r>
        <w:rPr>
          <w:sz w:val="22"/>
        </w:rPr>
        <w:t>together,</w:t>
      </w:r>
      <w:r>
        <w:rPr>
          <w:spacing w:val="40"/>
          <w:sz w:val="22"/>
        </w:rPr>
        <w:t> </w:t>
      </w:r>
      <w:r>
        <w:rPr>
          <w:sz w:val="22"/>
        </w:rPr>
        <w:t>in</w:t>
      </w:r>
      <w:r>
        <w:rPr>
          <w:spacing w:val="40"/>
          <w:sz w:val="22"/>
        </w:rPr>
        <w:t> </w:t>
      </w:r>
      <w:r>
        <w:rPr>
          <w:sz w:val="22"/>
        </w:rPr>
        <w:t>one</w:t>
      </w:r>
      <w:r>
        <w:rPr>
          <w:spacing w:val="40"/>
          <w:sz w:val="22"/>
        </w:rPr>
        <w:t> </w:t>
      </w:r>
      <w:r>
        <w:rPr>
          <w:sz w:val="22"/>
        </w:rPr>
        <w:t>HR,</w:t>
      </w:r>
      <w:r>
        <w:rPr>
          <w:spacing w:val="40"/>
          <w:sz w:val="22"/>
        </w:rPr>
        <w:t> </w:t>
      </w:r>
      <w:r>
        <w:rPr>
          <w:sz w:val="22"/>
        </w:rPr>
        <w:t>myocardial</w:t>
      </w:r>
      <w:r>
        <w:rPr>
          <w:spacing w:val="40"/>
          <w:sz w:val="22"/>
        </w:rPr>
        <w:t> </w:t>
      </w:r>
      <w:r>
        <w:rPr>
          <w:sz w:val="22"/>
        </w:rPr>
        <w:t>infarction, coronary death, coronary revascularization, and confirmed angina—the risk in women aged</w:t>
      </w:r>
      <w:r>
        <w:rPr>
          <w:spacing w:val="23"/>
          <w:sz w:val="22"/>
        </w:rPr>
        <w:t> </w:t>
      </w:r>
      <w:r>
        <w:rPr>
          <w:sz w:val="22"/>
        </w:rPr>
        <w:t>50</w:t>
      </w:r>
      <w:r>
        <w:rPr>
          <w:spacing w:val="24"/>
          <w:sz w:val="22"/>
        </w:rPr>
        <w:t> </w:t>
      </w:r>
      <w:r>
        <w:rPr>
          <w:sz w:val="22"/>
        </w:rPr>
        <w:t>to</w:t>
      </w:r>
      <w:r>
        <w:rPr>
          <w:spacing w:val="23"/>
          <w:sz w:val="22"/>
        </w:rPr>
        <w:t> </w:t>
      </w:r>
      <w:r>
        <w:rPr>
          <w:sz w:val="22"/>
        </w:rPr>
        <w:t>59</w:t>
      </w:r>
      <w:r>
        <w:rPr>
          <w:spacing w:val="24"/>
          <w:sz w:val="22"/>
        </w:rPr>
        <w:t> </w:t>
      </w:r>
      <w:r>
        <w:rPr>
          <w:sz w:val="22"/>
        </w:rPr>
        <w:t>years</w:t>
      </w:r>
      <w:r>
        <w:rPr>
          <w:spacing w:val="24"/>
          <w:sz w:val="22"/>
        </w:rPr>
        <w:t> </w:t>
      </w:r>
      <w:r>
        <w:rPr>
          <w:sz w:val="22"/>
        </w:rPr>
        <w:t>for</w:t>
      </w:r>
      <w:r>
        <w:rPr>
          <w:spacing w:val="23"/>
          <w:sz w:val="22"/>
        </w:rPr>
        <w:t> </w:t>
      </w:r>
      <w:r>
        <w:rPr>
          <w:sz w:val="22"/>
        </w:rPr>
        <w:t>all</w:t>
      </w:r>
      <w:r>
        <w:rPr>
          <w:spacing w:val="24"/>
          <w:sz w:val="22"/>
        </w:rPr>
        <w:t> </w:t>
      </w:r>
      <w:r>
        <w:rPr>
          <w:sz w:val="22"/>
        </w:rPr>
        <w:t>of</w:t>
      </w:r>
      <w:r>
        <w:rPr>
          <w:spacing w:val="23"/>
          <w:sz w:val="22"/>
        </w:rPr>
        <w:t> </w:t>
      </w:r>
      <w:r>
        <w:rPr>
          <w:sz w:val="22"/>
        </w:rPr>
        <w:t>these</w:t>
      </w:r>
      <w:r>
        <w:rPr>
          <w:spacing w:val="24"/>
          <w:sz w:val="22"/>
        </w:rPr>
        <w:t> </w:t>
      </w:r>
      <w:r>
        <w:rPr>
          <w:sz w:val="22"/>
        </w:rPr>
        <w:t>events</w:t>
      </w:r>
      <w:r>
        <w:rPr>
          <w:spacing w:val="24"/>
          <w:sz w:val="22"/>
        </w:rPr>
        <w:t> </w:t>
      </w:r>
      <w:r>
        <w:rPr>
          <w:sz w:val="22"/>
        </w:rPr>
        <w:t>was</w:t>
      </w:r>
      <w:r>
        <w:rPr>
          <w:spacing w:val="23"/>
          <w:sz w:val="22"/>
        </w:rPr>
        <w:t> </w:t>
      </w:r>
      <w:r>
        <w:rPr>
          <w:sz w:val="22"/>
        </w:rPr>
        <w:t>significantly</w:t>
      </w:r>
      <w:r>
        <w:rPr>
          <w:spacing w:val="24"/>
          <w:sz w:val="22"/>
        </w:rPr>
        <w:t> </w:t>
      </w:r>
      <w:r>
        <w:rPr>
          <w:sz w:val="22"/>
        </w:rPr>
        <w:t>reduced</w:t>
      </w:r>
      <w:r>
        <w:rPr>
          <w:spacing w:val="23"/>
          <w:sz w:val="22"/>
        </w:rPr>
        <w:t> </w:t>
      </w:r>
      <w:r>
        <w:rPr>
          <w:sz w:val="22"/>
        </w:rPr>
        <w:t>(HR</w:t>
      </w:r>
      <w:r>
        <w:rPr>
          <w:spacing w:val="24"/>
          <w:sz w:val="22"/>
        </w:rPr>
        <w:t> </w:t>
      </w:r>
      <w:r>
        <w:rPr>
          <w:sz w:val="22"/>
        </w:rPr>
        <w:t>=</w:t>
      </w:r>
      <w:r>
        <w:rPr>
          <w:spacing w:val="24"/>
          <w:sz w:val="22"/>
        </w:rPr>
        <w:t> </w:t>
      </w:r>
      <w:r>
        <w:rPr>
          <w:sz w:val="22"/>
        </w:rPr>
        <w:t>0.66;</w:t>
      </w:r>
      <w:r>
        <w:rPr>
          <w:spacing w:val="23"/>
          <w:sz w:val="22"/>
        </w:rPr>
        <w:t> </w:t>
      </w:r>
      <w:r>
        <w:rPr>
          <w:sz w:val="22"/>
        </w:rPr>
        <w:t>CI</w:t>
      </w:r>
      <w:r>
        <w:rPr>
          <w:spacing w:val="24"/>
          <w:sz w:val="22"/>
        </w:rPr>
        <w:t> </w:t>
      </w:r>
      <w:r>
        <w:rPr>
          <w:spacing w:val="-10"/>
          <w:sz w:val="22"/>
        </w:rPr>
        <w:t>=</w:t>
      </w:r>
    </w:p>
    <w:p>
      <w:pPr>
        <w:spacing w:line="249" w:lineRule="auto" w:before="39"/>
        <w:ind w:left="549" w:right="854" w:firstLine="0"/>
        <w:jc w:val="both"/>
        <w:rPr>
          <w:position w:val="9"/>
          <w:sz w:val="17"/>
        </w:rPr>
      </w:pPr>
      <w:r>
        <w:rPr>
          <w:sz w:val="22"/>
        </w:rPr>
        <w:t>0.45-0.96).</w:t>
      </w:r>
      <w:r>
        <w:rPr>
          <w:sz w:val="22"/>
          <w:vertAlign w:val="superscript"/>
        </w:rPr>
        <w:t>789</w:t>
      </w:r>
      <w:r>
        <w:rPr>
          <w:sz w:val="22"/>
          <w:vertAlign w:val="baseline"/>
        </w:rPr>
        <w:t> In addition, the WHI measured CAC in a substudy of the estrogen-</w:t>
      </w:r>
      <w:r>
        <w:rPr>
          <w:sz w:val="22"/>
          <w:vertAlign w:val="baseline"/>
        </w:rPr>
        <w:t>only</w:t>
      </w:r>
      <w:r>
        <w:rPr>
          <w:spacing w:val="80"/>
          <w:w w:val="150"/>
          <w:sz w:val="22"/>
          <w:vertAlign w:val="baseline"/>
        </w:rPr>
        <w:t> </w:t>
      </w:r>
      <w:r>
        <w:rPr>
          <w:sz w:val="22"/>
          <w:vertAlign w:val="baseline"/>
        </w:rPr>
        <w:t>arm and found that women with bilateral oophorectomies who were not treated with estrogen had an increase in subclinical CHD.</w:t>
      </w:r>
      <w:r>
        <w:rPr>
          <w:position w:val="9"/>
          <w:sz w:val="17"/>
          <w:vertAlign w:val="baseline"/>
        </w:rPr>
        <w:t>796</w:t>
      </w:r>
    </w:p>
    <w:p>
      <w:pPr>
        <w:pStyle w:val="ListParagraph"/>
        <w:numPr>
          <w:ilvl w:val="0"/>
          <w:numId w:val="13"/>
        </w:numPr>
        <w:tabs>
          <w:tab w:pos="549" w:val="left" w:leader="none"/>
        </w:tabs>
        <w:spacing w:line="252" w:lineRule="auto" w:before="7" w:after="0"/>
        <w:ind w:left="549" w:right="848" w:hanging="235"/>
        <w:jc w:val="both"/>
        <w:rPr>
          <w:position w:val="9"/>
          <w:sz w:val="17"/>
        </w:rPr>
      </w:pPr>
      <w:r>
        <w:rPr>
          <w:sz w:val="22"/>
        </w:rPr>
        <w:t>Every woman has a trajectory of atherosclerosis development, the slope of which determines the age of onset for clinical events. Premenopausal women with </w:t>
      </w:r>
      <w:r>
        <w:rPr>
          <w:sz w:val="22"/>
        </w:rPr>
        <w:t>lower</w:t>
      </w:r>
      <w:r>
        <w:rPr>
          <w:spacing w:val="40"/>
          <w:sz w:val="22"/>
        </w:rPr>
        <w:t> </w:t>
      </w:r>
      <w:r>
        <w:rPr>
          <w:sz w:val="22"/>
        </w:rPr>
        <w:t>estrogen levels have higher cardiovascular risk factors and develop more and earlier </w:t>
      </w:r>
      <w:r>
        <w:rPr>
          <w:spacing w:val="-2"/>
          <w:sz w:val="22"/>
        </w:rPr>
        <w:t>CHD.</w:t>
      </w:r>
      <w:r>
        <w:rPr>
          <w:spacing w:val="-2"/>
          <w:position w:val="9"/>
          <w:sz w:val="17"/>
        </w:rPr>
        <w:t>797</w:t>
      </w:r>
    </w:p>
    <w:p>
      <w:pPr>
        <w:pStyle w:val="ListParagraph"/>
        <w:numPr>
          <w:ilvl w:val="0"/>
          <w:numId w:val="13"/>
        </w:numPr>
        <w:tabs>
          <w:tab w:pos="549" w:val="left" w:leader="none"/>
        </w:tabs>
        <w:spacing w:line="266" w:lineRule="auto" w:before="4" w:after="0"/>
        <w:ind w:left="549" w:right="853" w:hanging="235"/>
        <w:jc w:val="both"/>
        <w:rPr>
          <w:sz w:val="22"/>
        </w:rPr>
      </w:pPr>
      <w:r>
        <w:rPr>
          <w:sz w:val="22"/>
        </w:rPr>
        <w:t>The</w:t>
      </w:r>
      <w:r>
        <w:rPr>
          <w:spacing w:val="40"/>
          <w:sz w:val="22"/>
        </w:rPr>
        <w:t> </w:t>
      </w:r>
      <w:r>
        <w:rPr>
          <w:sz w:val="22"/>
        </w:rPr>
        <w:t>importance</w:t>
      </w:r>
      <w:r>
        <w:rPr>
          <w:spacing w:val="40"/>
          <w:sz w:val="22"/>
        </w:rPr>
        <w:t> </w:t>
      </w:r>
      <w:r>
        <w:rPr>
          <w:sz w:val="22"/>
        </w:rPr>
        <w:t>of</w:t>
      </w:r>
      <w:r>
        <w:rPr>
          <w:spacing w:val="40"/>
          <w:sz w:val="22"/>
        </w:rPr>
        <w:t> </w:t>
      </w:r>
      <w:r>
        <w:rPr>
          <w:sz w:val="22"/>
        </w:rPr>
        <w:t>premenopausal</w:t>
      </w:r>
      <w:r>
        <w:rPr>
          <w:spacing w:val="40"/>
          <w:sz w:val="22"/>
        </w:rPr>
        <w:t> </w:t>
      </w:r>
      <w:r>
        <w:rPr>
          <w:sz w:val="22"/>
        </w:rPr>
        <w:t>estrogen</w:t>
      </w:r>
      <w:r>
        <w:rPr>
          <w:spacing w:val="40"/>
          <w:sz w:val="22"/>
        </w:rPr>
        <w:t> </w:t>
      </w:r>
      <w:r>
        <w:rPr>
          <w:sz w:val="22"/>
        </w:rPr>
        <w:t>is</w:t>
      </w:r>
      <w:r>
        <w:rPr>
          <w:spacing w:val="40"/>
          <w:sz w:val="22"/>
        </w:rPr>
        <w:t> </w:t>
      </w:r>
      <w:r>
        <w:rPr>
          <w:sz w:val="22"/>
        </w:rPr>
        <w:t>also</w:t>
      </w:r>
      <w:r>
        <w:rPr>
          <w:spacing w:val="40"/>
          <w:sz w:val="22"/>
        </w:rPr>
        <w:t> </w:t>
      </w:r>
      <w:r>
        <w:rPr>
          <w:sz w:val="22"/>
        </w:rPr>
        <w:t>supported</w:t>
      </w:r>
      <w:r>
        <w:rPr>
          <w:spacing w:val="40"/>
          <w:sz w:val="22"/>
        </w:rPr>
        <w:t> </w:t>
      </w:r>
      <w:r>
        <w:rPr>
          <w:sz w:val="22"/>
        </w:rPr>
        <w:t>by</w:t>
      </w:r>
      <w:r>
        <w:rPr>
          <w:spacing w:val="40"/>
          <w:sz w:val="22"/>
        </w:rPr>
        <w:t> </w:t>
      </w:r>
      <w:r>
        <w:rPr>
          <w:sz w:val="22"/>
        </w:rPr>
        <w:t>Clarkson</w:t>
      </w:r>
      <w:r>
        <w:rPr>
          <w:spacing w:val="40"/>
          <w:sz w:val="22"/>
        </w:rPr>
        <w:t> </w:t>
      </w:r>
      <w:r>
        <w:rPr>
          <w:sz w:val="22"/>
        </w:rPr>
        <w:t>et</w:t>
      </w:r>
      <w:r>
        <w:rPr>
          <w:spacing w:val="40"/>
          <w:sz w:val="22"/>
        </w:rPr>
        <w:t> </w:t>
      </w:r>
      <w:r>
        <w:rPr>
          <w:sz w:val="22"/>
        </w:rPr>
        <w:t>al’s monkey studies. Premenopausal monkeys with normal ovarian function have less progression of coronary artery atherosclerosis as compared with monkeys with impaired ovarian function.</w:t>
      </w:r>
      <w:r>
        <w:rPr>
          <w:sz w:val="22"/>
          <w:vertAlign w:val="superscript"/>
        </w:rPr>
        <w:t>795</w:t>
      </w:r>
    </w:p>
    <w:p>
      <w:pPr>
        <w:pStyle w:val="ListParagraph"/>
        <w:numPr>
          <w:ilvl w:val="0"/>
          <w:numId w:val="13"/>
        </w:numPr>
        <w:tabs>
          <w:tab w:pos="549" w:val="left" w:leader="none"/>
        </w:tabs>
        <w:spacing w:line="261" w:lineRule="auto" w:before="0" w:after="0"/>
        <w:ind w:left="549" w:right="850" w:hanging="235"/>
        <w:jc w:val="both"/>
        <w:rPr>
          <w:sz w:val="22"/>
        </w:rPr>
      </w:pPr>
      <w:r>
        <w:rPr>
          <w:sz w:val="22"/>
        </w:rPr>
        <w:t>The Mayo Clinic Cohort Study of Oophorectomy and Aging included 1,274 premenopausal women with unilateral oophorectomy (followed up for a median of 29.5 years) and 1,091 premenopausal women with bilateral oophorectomy (followed up for a median of 25 years) who had surgery from 1950 to 1987, compared with 2,383 matched women from the same population of women who had not undergone oophorectomy.</w:t>
      </w:r>
      <w:r>
        <w:rPr>
          <w:sz w:val="22"/>
          <w:vertAlign w:val="superscript"/>
        </w:rPr>
        <w:t>798</w:t>
      </w:r>
      <w:r>
        <w:rPr>
          <w:sz w:val="22"/>
          <w:vertAlign w:val="baseline"/>
        </w:rPr>
        <w:t> Women with bilateral oophorectomy before age 45 had about a 5-fold increase in risk </w:t>
      </w:r>
      <w:r>
        <w:rPr>
          <w:sz w:val="22"/>
          <w:vertAlign w:val="baseline"/>
        </w:rPr>
        <w:t>of mortality</w:t>
      </w:r>
      <w:r>
        <w:rPr>
          <w:spacing w:val="21"/>
          <w:sz w:val="22"/>
          <w:vertAlign w:val="baseline"/>
        </w:rPr>
        <w:t> </w:t>
      </w:r>
      <w:r>
        <w:rPr>
          <w:sz w:val="22"/>
          <w:vertAlign w:val="baseline"/>
        </w:rPr>
        <w:t>for</w:t>
      </w:r>
      <w:r>
        <w:rPr>
          <w:spacing w:val="21"/>
          <w:sz w:val="22"/>
          <w:vertAlign w:val="baseline"/>
        </w:rPr>
        <w:t> </w:t>
      </w:r>
      <w:r>
        <w:rPr>
          <w:sz w:val="22"/>
          <w:vertAlign w:val="baseline"/>
        </w:rPr>
        <w:t>neurologic</w:t>
      </w:r>
      <w:r>
        <w:rPr>
          <w:spacing w:val="21"/>
          <w:sz w:val="22"/>
          <w:vertAlign w:val="baseline"/>
        </w:rPr>
        <w:t> </w:t>
      </w:r>
      <w:r>
        <w:rPr>
          <w:sz w:val="22"/>
          <w:vertAlign w:val="baseline"/>
        </w:rPr>
        <w:t>or</w:t>
      </w:r>
      <w:r>
        <w:rPr>
          <w:spacing w:val="21"/>
          <w:sz w:val="22"/>
          <w:vertAlign w:val="baseline"/>
        </w:rPr>
        <w:t> </w:t>
      </w:r>
      <w:r>
        <w:rPr>
          <w:sz w:val="22"/>
          <w:vertAlign w:val="baseline"/>
        </w:rPr>
        <w:t>mental</w:t>
      </w:r>
      <w:r>
        <w:rPr>
          <w:spacing w:val="21"/>
          <w:sz w:val="22"/>
          <w:vertAlign w:val="baseline"/>
        </w:rPr>
        <w:t> </w:t>
      </w:r>
      <w:r>
        <w:rPr>
          <w:sz w:val="22"/>
          <w:vertAlign w:val="baseline"/>
        </w:rPr>
        <w:t>diseases</w:t>
      </w:r>
      <w:r>
        <w:rPr>
          <w:spacing w:val="21"/>
          <w:sz w:val="22"/>
          <w:vertAlign w:val="baseline"/>
        </w:rPr>
        <w:t> </w:t>
      </w:r>
      <w:r>
        <w:rPr>
          <w:sz w:val="22"/>
          <w:vertAlign w:val="baseline"/>
        </w:rPr>
        <w:t>and</w:t>
      </w:r>
      <w:r>
        <w:rPr>
          <w:spacing w:val="21"/>
          <w:sz w:val="22"/>
          <w:vertAlign w:val="baseline"/>
        </w:rPr>
        <w:t> </w:t>
      </w:r>
      <w:r>
        <w:rPr>
          <w:sz w:val="22"/>
          <w:vertAlign w:val="baseline"/>
        </w:rPr>
        <w:t>experienced</w:t>
      </w:r>
      <w:r>
        <w:rPr>
          <w:spacing w:val="21"/>
          <w:sz w:val="22"/>
          <w:vertAlign w:val="baseline"/>
        </w:rPr>
        <w:t> </w:t>
      </w:r>
      <w:r>
        <w:rPr>
          <w:sz w:val="22"/>
          <w:vertAlign w:val="baseline"/>
        </w:rPr>
        <w:t>almost</w:t>
      </w:r>
      <w:r>
        <w:rPr>
          <w:spacing w:val="21"/>
          <w:sz w:val="22"/>
          <w:vertAlign w:val="baseline"/>
        </w:rPr>
        <w:t> </w:t>
      </w:r>
      <w:r>
        <w:rPr>
          <w:sz w:val="22"/>
          <w:vertAlign w:val="baseline"/>
        </w:rPr>
        <w:t>a</w:t>
      </w:r>
      <w:r>
        <w:rPr>
          <w:spacing w:val="21"/>
          <w:sz w:val="22"/>
          <w:vertAlign w:val="baseline"/>
        </w:rPr>
        <w:t> </w:t>
      </w:r>
      <w:r>
        <w:rPr>
          <w:sz w:val="22"/>
          <w:vertAlign w:val="baseline"/>
        </w:rPr>
        <w:t>2-fold</w:t>
      </w:r>
      <w:r>
        <w:rPr>
          <w:spacing w:val="21"/>
          <w:sz w:val="22"/>
          <w:vertAlign w:val="baseline"/>
        </w:rPr>
        <w:t> </w:t>
      </w:r>
      <w:r>
        <w:rPr>
          <w:sz w:val="22"/>
          <w:vertAlign w:val="baseline"/>
        </w:rPr>
        <w:t>increase</w:t>
      </w:r>
      <w:r>
        <w:rPr>
          <w:spacing w:val="21"/>
          <w:sz w:val="22"/>
          <w:vertAlign w:val="baseline"/>
        </w:rPr>
        <w:t> </w:t>
      </w:r>
      <w:r>
        <w:rPr>
          <w:sz w:val="22"/>
          <w:vertAlign w:val="baseline"/>
        </w:rPr>
        <w:t>in</w:t>
      </w:r>
    </w:p>
    <w:p>
      <w:pPr>
        <w:spacing w:line="249" w:lineRule="auto" w:before="0"/>
        <w:ind w:left="549" w:right="848" w:firstLine="0"/>
        <w:jc w:val="both"/>
        <w:rPr>
          <w:sz w:val="17"/>
        </w:rPr>
      </w:pPr>
      <w:r>
        <w:rPr>
          <w:sz w:val="22"/>
        </w:rPr>
        <w:t>mortality from CVD, increased risks of parkinsonism, cognitive impairment and</w:t>
      </w:r>
      <w:r>
        <w:rPr>
          <w:spacing w:val="40"/>
          <w:sz w:val="22"/>
        </w:rPr>
        <w:t> </w:t>
      </w:r>
      <w:r>
        <w:rPr>
          <w:sz w:val="22"/>
        </w:rPr>
        <w:t>dementia, and an increase in depressive and anxiety symptoms later in life (</w:t>
      </w:r>
      <w:r>
        <w:rPr>
          <w:b/>
          <w:color w:val="256E60"/>
          <w:sz w:val="22"/>
        </w:rPr>
        <w:t>Figure </w:t>
      </w:r>
      <w:r>
        <w:rPr>
          <w:b/>
          <w:color w:val="256E60"/>
          <w:spacing w:val="-2"/>
          <w:position w:val="-8"/>
          <w:sz w:val="22"/>
        </w:rPr>
        <w:t>22.7</w:t>
      </w:r>
      <w:r>
        <w:rPr>
          <w:spacing w:val="-2"/>
          <w:position w:val="-8"/>
          <w:sz w:val="22"/>
        </w:rPr>
        <w:t>).</w:t>
      </w:r>
      <w:r>
        <w:rPr>
          <w:spacing w:val="-2"/>
          <w:sz w:val="17"/>
        </w:rPr>
        <w:t>799-802</w:t>
      </w:r>
    </w:p>
    <w:p>
      <w:pPr>
        <w:pStyle w:val="ListParagraph"/>
        <w:numPr>
          <w:ilvl w:val="0"/>
          <w:numId w:val="13"/>
        </w:numPr>
        <w:tabs>
          <w:tab w:pos="549" w:val="left" w:leader="none"/>
        </w:tabs>
        <w:spacing w:line="264" w:lineRule="auto" w:before="0" w:after="0"/>
        <w:ind w:left="549" w:right="854" w:hanging="235"/>
        <w:jc w:val="both"/>
        <w:rPr>
          <w:i/>
          <w:sz w:val="22"/>
        </w:rPr>
      </w:pPr>
      <w:r>
        <w:rPr>
          <w:sz w:val="22"/>
        </w:rPr>
        <w:t>The Nurses’ Health Study compared, after 24 years of follow-up, ovarian conservation (13,035 women) and bilateral oophorectomy (16,345 women) at the time </w:t>
      </w:r>
      <w:r>
        <w:rPr>
          <w:sz w:val="22"/>
        </w:rPr>
        <w:t>of premenopausal</w:t>
      </w:r>
      <w:r>
        <w:rPr>
          <w:spacing w:val="40"/>
          <w:sz w:val="22"/>
        </w:rPr>
        <w:t> </w:t>
      </w:r>
      <w:r>
        <w:rPr>
          <w:sz w:val="22"/>
        </w:rPr>
        <w:t>hysterectomy.</w:t>
      </w:r>
      <w:r>
        <w:rPr>
          <w:sz w:val="22"/>
          <w:vertAlign w:val="superscript"/>
        </w:rPr>
        <w:t>803</w:t>
      </w:r>
      <w:r>
        <w:rPr>
          <w:spacing w:val="40"/>
          <w:sz w:val="22"/>
          <w:vertAlign w:val="baseline"/>
        </w:rPr>
        <w:t> </w:t>
      </w:r>
      <w:r>
        <w:rPr>
          <w:i/>
          <w:sz w:val="22"/>
          <w:vertAlign w:val="baseline"/>
        </w:rPr>
        <w:t>An</w:t>
      </w:r>
      <w:r>
        <w:rPr>
          <w:i/>
          <w:spacing w:val="40"/>
          <w:sz w:val="22"/>
          <w:vertAlign w:val="baseline"/>
        </w:rPr>
        <w:t> </w:t>
      </w:r>
      <w:r>
        <w:rPr>
          <w:i/>
          <w:sz w:val="22"/>
          <w:vertAlign w:val="baseline"/>
        </w:rPr>
        <w:t>all-cause</w:t>
      </w:r>
      <w:r>
        <w:rPr>
          <w:i/>
          <w:spacing w:val="40"/>
          <w:sz w:val="22"/>
          <w:vertAlign w:val="baseline"/>
        </w:rPr>
        <w:t> </w:t>
      </w:r>
      <w:r>
        <w:rPr>
          <w:i/>
          <w:sz w:val="22"/>
          <w:vertAlign w:val="baseline"/>
        </w:rPr>
        <w:t>increase</w:t>
      </w:r>
      <w:r>
        <w:rPr>
          <w:i/>
          <w:spacing w:val="40"/>
          <w:sz w:val="22"/>
          <w:vertAlign w:val="baseline"/>
        </w:rPr>
        <w:t> </w:t>
      </w:r>
      <w:r>
        <w:rPr>
          <w:i/>
          <w:sz w:val="22"/>
          <w:vertAlign w:val="baseline"/>
        </w:rPr>
        <w:t>in</w:t>
      </w:r>
      <w:r>
        <w:rPr>
          <w:i/>
          <w:spacing w:val="40"/>
          <w:sz w:val="22"/>
          <w:vertAlign w:val="baseline"/>
        </w:rPr>
        <w:t> </w:t>
      </w:r>
      <w:r>
        <w:rPr>
          <w:i/>
          <w:sz w:val="22"/>
          <w:vertAlign w:val="baseline"/>
        </w:rPr>
        <w:t>mortality,</w:t>
      </w:r>
      <w:r>
        <w:rPr>
          <w:i/>
          <w:spacing w:val="40"/>
          <w:sz w:val="22"/>
          <w:vertAlign w:val="baseline"/>
        </w:rPr>
        <w:t> </w:t>
      </w:r>
      <w:r>
        <w:rPr>
          <w:i/>
          <w:sz w:val="22"/>
          <w:vertAlign w:val="baseline"/>
        </w:rPr>
        <w:t>CHD,</w:t>
      </w:r>
      <w:r>
        <w:rPr>
          <w:i/>
          <w:spacing w:val="40"/>
          <w:sz w:val="22"/>
          <w:vertAlign w:val="baseline"/>
        </w:rPr>
        <w:t> </w:t>
      </w:r>
      <w:r>
        <w:rPr>
          <w:i/>
          <w:sz w:val="22"/>
          <w:vertAlign w:val="baseline"/>
        </w:rPr>
        <w:t>and</w:t>
      </w:r>
      <w:r>
        <w:rPr>
          <w:i/>
          <w:spacing w:val="40"/>
          <w:sz w:val="22"/>
          <w:vertAlign w:val="baseline"/>
        </w:rPr>
        <w:t> </w:t>
      </w:r>
      <w:r>
        <w:rPr>
          <w:i/>
          <w:sz w:val="22"/>
          <w:vertAlign w:val="baseline"/>
        </w:rPr>
        <w:t>stroke</w:t>
      </w:r>
      <w:r>
        <w:rPr>
          <w:i/>
          <w:sz w:val="22"/>
          <w:vertAlign w:val="baseline"/>
        </w:rPr>
        <w:t> was observed in those women who never used estrogen after surgery; this amounted to one additional death for every nine surgeries.</w:t>
      </w:r>
    </w:p>
    <w:p>
      <w:pPr>
        <w:pStyle w:val="ListParagraph"/>
        <w:numPr>
          <w:ilvl w:val="0"/>
          <w:numId w:val="13"/>
        </w:numPr>
        <w:tabs>
          <w:tab w:pos="549" w:val="left" w:leader="none"/>
        </w:tabs>
        <w:spacing w:line="264" w:lineRule="auto" w:before="0" w:after="0"/>
        <w:ind w:left="549" w:right="850" w:hanging="235"/>
        <w:jc w:val="both"/>
        <w:rPr>
          <w:sz w:val="22"/>
        </w:rPr>
      </w:pPr>
      <w:r>
        <w:rPr>
          <w:sz w:val="22"/>
        </w:rPr>
        <w:t>The results in observational studies strongly indicate that hormone treatment of young postmenopausal women reduces the risk of CHD. In the Nurses’ Health Study, the reduction</w:t>
      </w:r>
      <w:r>
        <w:rPr>
          <w:spacing w:val="40"/>
          <w:sz w:val="22"/>
        </w:rPr>
        <w:t> </w:t>
      </w:r>
      <w:r>
        <w:rPr>
          <w:sz w:val="22"/>
        </w:rPr>
        <w:t>was</w:t>
      </w:r>
      <w:r>
        <w:rPr>
          <w:spacing w:val="40"/>
          <w:sz w:val="22"/>
        </w:rPr>
        <w:t> </w:t>
      </w:r>
      <w:r>
        <w:rPr>
          <w:sz w:val="22"/>
        </w:rPr>
        <w:t>approximately</w:t>
      </w:r>
      <w:r>
        <w:rPr>
          <w:spacing w:val="40"/>
          <w:sz w:val="22"/>
        </w:rPr>
        <w:t> </w:t>
      </w:r>
      <w:r>
        <w:rPr>
          <w:sz w:val="22"/>
        </w:rPr>
        <w:t>50%.</w:t>
      </w:r>
      <w:r>
        <w:rPr>
          <w:sz w:val="22"/>
          <w:vertAlign w:val="superscript"/>
        </w:rPr>
        <w:t>725</w:t>
      </w:r>
      <w:r>
        <w:rPr>
          <w:spacing w:val="40"/>
          <w:sz w:val="22"/>
          <w:vertAlign w:val="baseline"/>
        </w:rPr>
        <w:t> </w:t>
      </w:r>
      <w:r>
        <w:rPr>
          <w:sz w:val="22"/>
          <w:vertAlign w:val="baseline"/>
        </w:rPr>
        <w:t>The</w:t>
      </w:r>
      <w:r>
        <w:rPr>
          <w:spacing w:val="40"/>
          <w:sz w:val="22"/>
          <w:vertAlign w:val="baseline"/>
        </w:rPr>
        <w:t> </w:t>
      </w:r>
      <w:r>
        <w:rPr>
          <w:sz w:val="22"/>
          <w:vertAlign w:val="baseline"/>
        </w:rPr>
        <w:t>women</w:t>
      </w:r>
      <w:r>
        <w:rPr>
          <w:spacing w:val="40"/>
          <w:sz w:val="22"/>
          <w:vertAlign w:val="baseline"/>
        </w:rPr>
        <w:t> </w:t>
      </w:r>
      <w:r>
        <w:rPr>
          <w:sz w:val="22"/>
          <w:vertAlign w:val="baseline"/>
        </w:rPr>
        <w:t>in</w:t>
      </w:r>
      <w:r>
        <w:rPr>
          <w:spacing w:val="40"/>
          <w:sz w:val="22"/>
          <w:vertAlign w:val="baseline"/>
        </w:rPr>
        <w:t> </w:t>
      </w:r>
      <w:r>
        <w:rPr>
          <w:sz w:val="22"/>
          <w:vertAlign w:val="baseline"/>
        </w:rPr>
        <w:t>the</w:t>
      </w:r>
      <w:r>
        <w:rPr>
          <w:spacing w:val="40"/>
          <w:sz w:val="22"/>
          <w:vertAlign w:val="baseline"/>
        </w:rPr>
        <w:t> </w:t>
      </w:r>
      <w:r>
        <w:rPr>
          <w:sz w:val="22"/>
          <w:vertAlign w:val="baseline"/>
        </w:rPr>
        <w:t>Nurses’</w:t>
      </w:r>
      <w:r>
        <w:rPr>
          <w:spacing w:val="40"/>
          <w:sz w:val="22"/>
          <w:vertAlign w:val="baseline"/>
        </w:rPr>
        <w:t> </w:t>
      </w:r>
      <w:r>
        <w:rPr>
          <w:sz w:val="22"/>
          <w:vertAlign w:val="baseline"/>
        </w:rPr>
        <w:t>Health</w:t>
      </w:r>
      <w:r>
        <w:rPr>
          <w:spacing w:val="40"/>
          <w:sz w:val="22"/>
          <w:vertAlign w:val="baseline"/>
        </w:rPr>
        <w:t> </w:t>
      </w:r>
      <w:r>
        <w:rPr>
          <w:sz w:val="22"/>
          <w:vertAlign w:val="baseline"/>
        </w:rPr>
        <w:t>Study</w:t>
      </w:r>
      <w:r>
        <w:rPr>
          <w:spacing w:val="40"/>
          <w:sz w:val="22"/>
          <w:vertAlign w:val="baseline"/>
        </w:rPr>
        <w:t> </w:t>
      </w:r>
      <w:r>
        <w:rPr>
          <w:sz w:val="22"/>
          <w:vertAlign w:val="baseline"/>
        </w:rPr>
        <w:t>who were under age 60 when hormone treatment was initiated had a significant reduction in CHD risk compared with no effect in women over age 60.</w:t>
      </w:r>
      <w:r>
        <w:rPr>
          <w:sz w:val="22"/>
          <w:vertAlign w:val="superscript"/>
        </w:rPr>
        <w:t>804</w:t>
      </w:r>
      <w:r>
        <w:rPr>
          <w:sz w:val="22"/>
          <w:vertAlign w:val="baseline"/>
        </w:rPr>
        <w:t> A similar reduction was present</w:t>
      </w:r>
      <w:r>
        <w:rPr>
          <w:spacing w:val="40"/>
          <w:sz w:val="22"/>
          <w:vertAlign w:val="baseline"/>
        </w:rPr>
        <w:t> </w:t>
      </w:r>
      <w:r>
        <w:rPr>
          <w:sz w:val="22"/>
          <w:vertAlign w:val="baseline"/>
        </w:rPr>
        <w:t>in</w:t>
      </w:r>
      <w:r>
        <w:rPr>
          <w:spacing w:val="40"/>
          <w:sz w:val="22"/>
          <w:vertAlign w:val="baseline"/>
        </w:rPr>
        <w:t> </w:t>
      </w:r>
      <w:r>
        <w:rPr>
          <w:sz w:val="22"/>
          <w:vertAlign w:val="baseline"/>
        </w:rPr>
        <w:t>the</w:t>
      </w:r>
      <w:r>
        <w:rPr>
          <w:spacing w:val="40"/>
          <w:sz w:val="22"/>
          <w:vertAlign w:val="baseline"/>
        </w:rPr>
        <w:t> </w:t>
      </w:r>
      <w:r>
        <w:rPr>
          <w:sz w:val="22"/>
          <w:vertAlign w:val="baseline"/>
        </w:rPr>
        <w:t>observational</w:t>
      </w:r>
      <w:r>
        <w:rPr>
          <w:spacing w:val="40"/>
          <w:sz w:val="22"/>
          <w:vertAlign w:val="baseline"/>
        </w:rPr>
        <w:t> </w:t>
      </w:r>
      <w:r>
        <w:rPr>
          <w:sz w:val="22"/>
          <w:vertAlign w:val="baseline"/>
        </w:rPr>
        <w:t>arm</w:t>
      </w:r>
      <w:r>
        <w:rPr>
          <w:spacing w:val="40"/>
          <w:sz w:val="22"/>
          <w:vertAlign w:val="baseline"/>
        </w:rPr>
        <w:t> </w:t>
      </w:r>
      <w:r>
        <w:rPr>
          <w:sz w:val="22"/>
          <w:vertAlign w:val="baseline"/>
        </w:rPr>
        <w:t>of</w:t>
      </w:r>
      <w:r>
        <w:rPr>
          <w:spacing w:val="40"/>
          <w:sz w:val="22"/>
          <w:vertAlign w:val="baseline"/>
        </w:rPr>
        <w:t> </w:t>
      </w:r>
      <w:r>
        <w:rPr>
          <w:sz w:val="22"/>
          <w:vertAlign w:val="baseline"/>
        </w:rPr>
        <w:t>the</w:t>
      </w:r>
      <w:r>
        <w:rPr>
          <w:spacing w:val="40"/>
          <w:sz w:val="22"/>
          <w:vertAlign w:val="baseline"/>
        </w:rPr>
        <w:t> </w:t>
      </w:r>
      <w:r>
        <w:rPr>
          <w:sz w:val="22"/>
          <w:vertAlign w:val="baseline"/>
        </w:rPr>
        <w:t>WHI.</w:t>
      </w:r>
      <w:r>
        <w:rPr>
          <w:sz w:val="22"/>
          <w:vertAlign w:val="superscript"/>
        </w:rPr>
        <w:t>805</w:t>
      </w:r>
      <w:r>
        <w:rPr>
          <w:spacing w:val="40"/>
          <w:sz w:val="22"/>
          <w:vertAlign w:val="baseline"/>
        </w:rPr>
        <w:t> </w:t>
      </w:r>
      <w:r>
        <w:rPr>
          <w:sz w:val="22"/>
          <w:vertAlign w:val="baseline"/>
        </w:rPr>
        <w:t>In</w:t>
      </w:r>
      <w:r>
        <w:rPr>
          <w:spacing w:val="40"/>
          <w:sz w:val="22"/>
          <w:vertAlign w:val="baseline"/>
        </w:rPr>
        <w:t> </w:t>
      </w:r>
      <w:r>
        <w:rPr>
          <w:sz w:val="22"/>
          <w:vertAlign w:val="baseline"/>
        </w:rPr>
        <w:t>fact,</w:t>
      </w:r>
      <w:r>
        <w:rPr>
          <w:spacing w:val="40"/>
          <w:sz w:val="22"/>
          <w:vertAlign w:val="baseline"/>
        </w:rPr>
        <w:t> </w:t>
      </w:r>
      <w:r>
        <w:rPr>
          <w:sz w:val="22"/>
          <w:vertAlign w:val="baseline"/>
        </w:rPr>
        <w:t>after</w:t>
      </w:r>
      <w:r>
        <w:rPr>
          <w:spacing w:val="40"/>
          <w:sz w:val="22"/>
          <w:vertAlign w:val="baseline"/>
        </w:rPr>
        <w:t> </w:t>
      </w:r>
      <w:r>
        <w:rPr>
          <w:sz w:val="22"/>
          <w:vertAlign w:val="baseline"/>
        </w:rPr>
        <w:t>adjustment</w:t>
      </w:r>
      <w:r>
        <w:rPr>
          <w:spacing w:val="40"/>
          <w:sz w:val="22"/>
          <w:vertAlign w:val="baseline"/>
        </w:rPr>
        <w:t> </w:t>
      </w:r>
      <w:r>
        <w:rPr>
          <w:sz w:val="22"/>
          <w:vertAlign w:val="baseline"/>
        </w:rPr>
        <w:t>for confounding influences in the WHI observational arm such as behavioral, dietary,</w:t>
      </w:r>
      <w:r>
        <w:rPr>
          <w:spacing w:val="40"/>
          <w:sz w:val="22"/>
          <w:vertAlign w:val="baseline"/>
        </w:rPr>
        <w:t> </w:t>
      </w:r>
      <w:r>
        <w:rPr>
          <w:sz w:val="22"/>
          <w:vertAlign w:val="baseline"/>
        </w:rPr>
        <w:t>physical</w:t>
      </w:r>
      <w:r>
        <w:rPr>
          <w:spacing w:val="40"/>
          <w:sz w:val="22"/>
          <w:vertAlign w:val="baseline"/>
        </w:rPr>
        <w:t> </w:t>
      </w:r>
      <w:r>
        <w:rPr>
          <w:sz w:val="22"/>
          <w:vertAlign w:val="baseline"/>
        </w:rPr>
        <w:t>activity,</w:t>
      </w:r>
      <w:r>
        <w:rPr>
          <w:spacing w:val="40"/>
          <w:sz w:val="22"/>
          <w:vertAlign w:val="baseline"/>
        </w:rPr>
        <w:t> </w:t>
      </w:r>
      <w:r>
        <w:rPr>
          <w:sz w:val="22"/>
          <w:vertAlign w:val="baseline"/>
        </w:rPr>
        <w:t>and</w:t>
      </w:r>
      <w:r>
        <w:rPr>
          <w:spacing w:val="40"/>
          <w:sz w:val="22"/>
          <w:vertAlign w:val="baseline"/>
        </w:rPr>
        <w:t> </w:t>
      </w:r>
      <w:r>
        <w:rPr>
          <w:sz w:val="22"/>
          <w:vertAlign w:val="baseline"/>
        </w:rPr>
        <w:t>cardiovascular</w:t>
      </w:r>
      <w:r>
        <w:rPr>
          <w:spacing w:val="40"/>
          <w:sz w:val="22"/>
          <w:vertAlign w:val="baseline"/>
        </w:rPr>
        <w:t> </w:t>
      </w:r>
      <w:r>
        <w:rPr>
          <w:sz w:val="22"/>
          <w:vertAlign w:val="baseline"/>
        </w:rPr>
        <w:t>risk</w:t>
      </w:r>
      <w:r>
        <w:rPr>
          <w:spacing w:val="40"/>
          <w:sz w:val="22"/>
          <w:vertAlign w:val="baseline"/>
        </w:rPr>
        <w:t> </w:t>
      </w:r>
      <w:r>
        <w:rPr>
          <w:sz w:val="22"/>
          <w:vertAlign w:val="baseline"/>
        </w:rPr>
        <w:t>factors,</w:t>
      </w:r>
      <w:r>
        <w:rPr>
          <w:spacing w:val="40"/>
          <w:sz w:val="22"/>
          <w:vertAlign w:val="baseline"/>
        </w:rPr>
        <w:t> </w:t>
      </w:r>
      <w:r>
        <w:rPr>
          <w:sz w:val="22"/>
          <w:vertAlign w:val="baseline"/>
        </w:rPr>
        <w:t>the</w:t>
      </w:r>
      <w:r>
        <w:rPr>
          <w:spacing w:val="40"/>
          <w:sz w:val="22"/>
          <w:vertAlign w:val="baseline"/>
        </w:rPr>
        <w:t> </w:t>
      </w:r>
      <w:r>
        <w:rPr>
          <w:sz w:val="22"/>
          <w:vertAlign w:val="baseline"/>
        </w:rPr>
        <w:t>RRs</w:t>
      </w:r>
      <w:r>
        <w:rPr>
          <w:spacing w:val="40"/>
          <w:sz w:val="22"/>
          <w:vertAlign w:val="baseline"/>
        </w:rPr>
        <w:t> </w:t>
      </w:r>
      <w:r>
        <w:rPr>
          <w:sz w:val="22"/>
          <w:vertAlign w:val="baseline"/>
        </w:rPr>
        <w:t>for</w:t>
      </w:r>
      <w:r>
        <w:rPr>
          <w:spacing w:val="40"/>
          <w:sz w:val="22"/>
          <w:vertAlign w:val="baseline"/>
        </w:rPr>
        <w:t> </w:t>
      </w:r>
      <w:r>
        <w:rPr>
          <w:sz w:val="22"/>
          <w:vertAlign w:val="baseline"/>
        </w:rPr>
        <w:t>cardiovascular</w:t>
      </w:r>
      <w:r>
        <w:rPr>
          <w:spacing w:val="40"/>
          <w:sz w:val="22"/>
          <w:vertAlign w:val="baseline"/>
        </w:rPr>
        <w:t> </w:t>
      </w:r>
      <w:r>
        <w:rPr>
          <w:sz w:val="22"/>
          <w:vertAlign w:val="baseline"/>
        </w:rPr>
        <w:t>events were 30% to 38% lower than in the clinical trials. These data were derived from populations of women usually treated with postmenopausal HT, women close to their natural age of menopause.</w:t>
      </w:r>
    </w:p>
    <w:p>
      <w:pPr>
        <w:pStyle w:val="ListParagraph"/>
        <w:spacing w:after="0" w:line="264" w:lineRule="auto"/>
        <w:jc w:val="both"/>
        <w:rPr>
          <w:sz w:val="22"/>
        </w:rPr>
        <w:sectPr>
          <w:pgSz w:w="12240" w:h="15840"/>
          <w:pgMar w:top="136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1104900"/>
                <wp:effectExtent l="0" t="0" r="0" b="0"/>
                <wp:docPr id="193" name="Group 193"/>
                <wp:cNvGraphicFramePr>
                  <a:graphicFrameLocks/>
                </wp:cNvGraphicFramePr>
                <a:graphic>
                  <a:graphicData uri="http://schemas.microsoft.com/office/word/2010/wordprocessingGroup">
                    <wpg:wgp>
                      <wpg:cNvPr id="193" name="Group 193"/>
                      <wpg:cNvGrpSpPr/>
                      <wpg:grpSpPr>
                        <a:xfrm>
                          <a:off x="0" y="0"/>
                          <a:ext cx="5810250" cy="1104900"/>
                          <a:chExt cx="5810250" cy="1104900"/>
                        </a:xfrm>
                      </wpg:grpSpPr>
                      <wps:wsp>
                        <wps:cNvPr id="194" name="Graphic 194"/>
                        <wps:cNvSpPr/>
                        <wps:spPr>
                          <a:xfrm>
                            <a:off x="0" y="0"/>
                            <a:ext cx="5810250" cy="1104900"/>
                          </a:xfrm>
                          <a:custGeom>
                            <a:avLst/>
                            <a:gdLst/>
                            <a:ahLst/>
                            <a:cxnLst/>
                            <a:rect l="l" t="t" r="r" b="b"/>
                            <a:pathLst>
                              <a:path w="5810250" h="1104900">
                                <a:moveTo>
                                  <a:pt x="5810249" y="1104864"/>
                                </a:moveTo>
                                <a:lnTo>
                                  <a:pt x="0" y="1104864"/>
                                </a:lnTo>
                                <a:lnTo>
                                  <a:pt x="0" y="0"/>
                                </a:lnTo>
                                <a:lnTo>
                                  <a:pt x="5810249" y="0"/>
                                </a:lnTo>
                                <a:lnTo>
                                  <a:pt x="5810249" y="1104864"/>
                                </a:lnTo>
                                <a:close/>
                              </a:path>
                            </a:pathLst>
                          </a:custGeom>
                          <a:solidFill>
                            <a:srgbClr val="E9F1CD"/>
                          </a:solidFill>
                        </wps:spPr>
                        <wps:bodyPr wrap="square" lIns="0" tIns="0" rIns="0" bIns="0" rtlCol="0">
                          <a:prstTxWarp prst="textNoShape">
                            <a:avLst/>
                          </a:prstTxWarp>
                          <a:noAutofit/>
                        </wps:bodyPr>
                      </wps:wsp>
                      <wps:wsp>
                        <wps:cNvPr id="195" name="Graphic 195"/>
                        <wps:cNvSpPr/>
                        <wps:spPr>
                          <a:xfrm>
                            <a:off x="133350" y="66642"/>
                            <a:ext cx="47625" cy="47625"/>
                          </a:xfrm>
                          <a:custGeom>
                            <a:avLst/>
                            <a:gdLst/>
                            <a:ahLst/>
                            <a:cxnLst/>
                            <a:rect l="l" t="t" r="r" b="b"/>
                            <a:pathLst>
                              <a:path w="47625" h="47625">
                                <a:moveTo>
                                  <a:pt x="23812" y="47624"/>
                                </a:moveTo>
                                <a:lnTo>
                                  <a:pt x="0" y="26936"/>
                                </a:lnTo>
                                <a:lnTo>
                                  <a:pt x="0" y="20535"/>
                                </a:lnTo>
                                <a:lnTo>
                                  <a:pt x="604" y="17411"/>
                                </a:lnTo>
                                <a:lnTo>
                                  <a:pt x="3021" y="11610"/>
                                </a:lnTo>
                                <a:lnTo>
                                  <a:pt x="4741" y="9001"/>
                                </a:lnTo>
                                <a:lnTo>
                                  <a:pt x="6974" y="6848"/>
                                </a:lnTo>
                                <a:lnTo>
                                  <a:pt x="9207" y="4543"/>
                                </a:lnTo>
                                <a:lnTo>
                                  <a:pt x="11782" y="2905"/>
                                </a:lnTo>
                                <a:lnTo>
                                  <a:pt x="17617" y="600"/>
                                </a:lnTo>
                                <a:lnTo>
                                  <a:pt x="20654" y="0"/>
                                </a:lnTo>
                                <a:lnTo>
                                  <a:pt x="26970" y="0"/>
                                </a:lnTo>
                                <a:lnTo>
                                  <a:pt x="30007" y="600"/>
                                </a:lnTo>
                                <a:lnTo>
                                  <a:pt x="35842" y="2828"/>
                                </a:lnTo>
                                <a:lnTo>
                                  <a:pt x="38417" y="4543"/>
                                </a:lnTo>
                                <a:lnTo>
                                  <a:pt x="40650" y="6848"/>
                                </a:lnTo>
                                <a:lnTo>
                                  <a:pt x="42883" y="9001"/>
                                </a:lnTo>
                                <a:lnTo>
                                  <a:pt x="44603" y="11610"/>
                                </a:lnTo>
                                <a:lnTo>
                                  <a:pt x="47020" y="17487"/>
                                </a:lnTo>
                                <a:lnTo>
                                  <a:pt x="47624" y="20535"/>
                                </a:lnTo>
                                <a:lnTo>
                                  <a:pt x="47625" y="23812"/>
                                </a:lnTo>
                                <a:lnTo>
                                  <a:pt x="47624" y="26936"/>
                                </a:lnTo>
                                <a:lnTo>
                                  <a:pt x="26970" y="47548"/>
                                </a:lnTo>
                                <a:lnTo>
                                  <a:pt x="23812" y="47624"/>
                                </a:lnTo>
                                <a:close/>
                              </a:path>
                            </a:pathLst>
                          </a:custGeom>
                          <a:solidFill>
                            <a:srgbClr val="2B816F"/>
                          </a:solidFill>
                        </wps:spPr>
                        <wps:bodyPr wrap="square" lIns="0" tIns="0" rIns="0" bIns="0" rtlCol="0">
                          <a:prstTxWarp prst="textNoShape">
                            <a:avLst/>
                          </a:prstTxWarp>
                          <a:noAutofit/>
                        </wps:bodyPr>
                      </wps:wsp>
                      <wps:wsp>
                        <wps:cNvPr id="196" name="Textbox 196"/>
                        <wps:cNvSpPr txBox="1"/>
                        <wps:spPr>
                          <a:xfrm>
                            <a:off x="0" y="0"/>
                            <a:ext cx="5810250" cy="1104900"/>
                          </a:xfrm>
                          <a:prstGeom prst="rect">
                            <a:avLst/>
                          </a:prstGeom>
                        </wps:spPr>
                        <wps:txbx>
                          <w:txbxContent>
                            <w:p>
                              <w:pPr>
                                <w:spacing w:line="261" w:lineRule="auto" w:before="4"/>
                                <w:ind w:left="444" w:right="748" w:firstLine="0"/>
                                <w:jc w:val="both"/>
                                <w:rPr>
                                  <w:position w:val="9"/>
                                  <w:sz w:val="17"/>
                                </w:rPr>
                              </w:pPr>
                              <w:r>
                                <w:rPr>
                                  <w:sz w:val="22"/>
                                </w:rPr>
                                <w:t>In a primary prevention trial using ultrasound measurement of cIMT, estradiol-treated women had slower progression of atherosclerosis.</w:t>
                              </w:r>
                              <w:r>
                                <w:rPr>
                                  <w:sz w:val="22"/>
                                  <w:vertAlign w:val="superscript"/>
                                </w:rPr>
                                <w:t>783</w:t>
                              </w:r>
                              <w:r>
                                <w:rPr>
                                  <w:sz w:val="22"/>
                                  <w:vertAlign w:val="baseline"/>
                                </w:rPr>
                                <w:t> These same </w:t>
                              </w:r>
                              <w:r>
                                <w:rPr>
                                  <w:sz w:val="22"/>
                                  <w:vertAlign w:val="baseline"/>
                                </w:rPr>
                                <w:t>investigators demonstrated no effect of estrogen treatment in older women who had angiographic evidence of coronary atherosclerosis.</w:t>
                              </w:r>
                              <w:r>
                                <w:rPr>
                                  <w:position w:val="9"/>
                                  <w:sz w:val="17"/>
                                  <w:vertAlign w:val="baseline"/>
                                </w:rPr>
                                <w:t>785</w:t>
                              </w:r>
                            </w:p>
                          </w:txbxContent>
                        </wps:txbx>
                        <wps:bodyPr wrap="square" lIns="0" tIns="0" rIns="0" bIns="0" rtlCol="0">
                          <a:noAutofit/>
                        </wps:bodyPr>
                      </wps:wsp>
                    </wpg:wgp>
                  </a:graphicData>
                </a:graphic>
              </wp:inline>
            </w:drawing>
          </mc:Choice>
          <mc:Fallback>
            <w:pict>
              <v:group style="width:457.5pt;height:87pt;mso-position-horizontal-relative:char;mso-position-vertical-relative:line" id="docshapegroup171" coordorigin="0,0" coordsize="9150,1740">
                <v:rect style="position:absolute;left:0;top:0;width:9150;height:1740" id="docshape172" filled="true" fillcolor="#e9f1cd" stroked="false">
                  <v:fill type="solid"/>
                </v:rect>
                <v:shape style="position:absolute;left:210;top:104;width:75;height:75" id="docshape173" coordorigin="210,105" coordsize="75,75" path="m248,180l210,147,210,137,211,132,215,123,217,119,221,116,224,112,229,110,238,106,243,105,252,105,257,106,266,109,271,112,274,116,278,119,280,123,284,132,285,137,285,142,285,147,252,180,248,180xe" filled="true" fillcolor="#2b816f" stroked="false">
                  <v:path arrowok="t"/>
                  <v:fill type="solid"/>
                </v:shape>
                <v:shape style="position:absolute;left:0;top:0;width:9150;height:1740" type="#_x0000_t202" id="docshape174" filled="false" stroked="false">
                  <v:textbox inset="0,0,0,0">
                    <w:txbxContent>
                      <w:p>
                        <w:pPr>
                          <w:spacing w:line="261" w:lineRule="auto" w:before="4"/>
                          <w:ind w:left="444" w:right="748" w:firstLine="0"/>
                          <w:jc w:val="both"/>
                          <w:rPr>
                            <w:position w:val="9"/>
                            <w:sz w:val="17"/>
                          </w:rPr>
                        </w:pPr>
                        <w:r>
                          <w:rPr>
                            <w:sz w:val="22"/>
                          </w:rPr>
                          <w:t>In a primary prevention trial using ultrasound measurement of cIMT, estradiol-treated women had slower progression of atherosclerosis.</w:t>
                        </w:r>
                        <w:r>
                          <w:rPr>
                            <w:sz w:val="22"/>
                            <w:vertAlign w:val="superscript"/>
                          </w:rPr>
                          <w:t>783</w:t>
                        </w:r>
                        <w:r>
                          <w:rPr>
                            <w:sz w:val="22"/>
                            <w:vertAlign w:val="baseline"/>
                          </w:rPr>
                          <w:t> These same </w:t>
                        </w:r>
                        <w:r>
                          <w:rPr>
                            <w:sz w:val="22"/>
                            <w:vertAlign w:val="baseline"/>
                          </w:rPr>
                          <w:t>investigators demonstrated no effect of estrogen treatment in older women who had angiographic evidence of coronary atherosclerosis.</w:t>
                        </w:r>
                        <w:r>
                          <w:rPr>
                            <w:position w:val="9"/>
                            <w:sz w:val="17"/>
                            <w:vertAlign w:val="baseline"/>
                          </w:rPr>
                          <w:t>785</w:t>
                        </w:r>
                      </w:p>
                    </w:txbxContent>
                  </v:textbox>
                  <w10:wrap type="none"/>
                </v:shape>
              </v:group>
            </w:pict>
          </mc:Fallback>
        </mc:AlternateContent>
      </w:r>
      <w:r>
        <w:rPr>
          <w:sz w:val="20"/>
        </w:rPr>
      </w:r>
    </w:p>
    <w:p>
      <w:pPr>
        <w:pStyle w:val="BodyText"/>
        <w:spacing w:before="0"/>
        <w:ind w:left="0"/>
        <w:jc w:val="left"/>
        <w:rPr>
          <w:sz w:val="20"/>
        </w:rPr>
      </w:pPr>
    </w:p>
    <w:p>
      <w:pPr>
        <w:pStyle w:val="BodyText"/>
        <w:spacing w:before="0"/>
        <w:ind w:left="0"/>
        <w:jc w:val="left"/>
        <w:rPr>
          <w:sz w:val="20"/>
        </w:rPr>
      </w:pPr>
    </w:p>
    <w:p>
      <w:pPr>
        <w:pStyle w:val="BodyText"/>
        <w:spacing w:before="161"/>
        <w:ind w:left="0"/>
        <w:jc w:val="left"/>
        <w:rPr>
          <w:sz w:val="20"/>
        </w:rPr>
      </w:pPr>
      <w:r>
        <w:rPr>
          <w:sz w:val="20"/>
        </w:rPr>
        <w:drawing>
          <wp:anchor distT="0" distB="0" distL="0" distR="0" allowOverlap="1" layoutInCell="1" locked="0" behindDoc="1" simplePos="0" relativeHeight="487647744">
            <wp:simplePos x="0" y="0"/>
            <wp:positionH relativeFrom="page">
              <wp:posOffset>981075</wp:posOffset>
            </wp:positionH>
            <wp:positionV relativeFrom="paragraph">
              <wp:posOffset>263549</wp:posOffset>
            </wp:positionV>
            <wp:extent cx="5811222" cy="2276855"/>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35" cstate="print"/>
                    <a:stretch>
                      <a:fillRect/>
                    </a:stretch>
                  </pic:blipFill>
                  <pic:spPr>
                    <a:xfrm>
                      <a:off x="0" y="0"/>
                      <a:ext cx="5811222" cy="227685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8256">
                <wp:simplePos x="0" y="0"/>
                <wp:positionH relativeFrom="page">
                  <wp:posOffset>981075</wp:posOffset>
                </wp:positionH>
                <wp:positionV relativeFrom="paragraph">
                  <wp:posOffset>2730526</wp:posOffset>
                </wp:positionV>
                <wp:extent cx="856615" cy="5715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856615" cy="57150"/>
                        </a:xfrm>
                        <a:custGeom>
                          <a:avLst/>
                          <a:gdLst/>
                          <a:ahLst/>
                          <a:cxnLst/>
                          <a:rect l="l" t="t" r="r" b="b"/>
                          <a:pathLst>
                            <a:path w="856615" h="57150">
                              <a:moveTo>
                                <a:pt x="32364" y="57073"/>
                              </a:moveTo>
                              <a:lnTo>
                                <a:pt x="24785" y="57073"/>
                              </a:lnTo>
                              <a:lnTo>
                                <a:pt x="21140" y="56330"/>
                              </a:lnTo>
                              <a:lnTo>
                                <a:pt x="0" y="32299"/>
                              </a:lnTo>
                              <a:lnTo>
                                <a:pt x="0" y="24784"/>
                              </a:lnTo>
                              <a:lnTo>
                                <a:pt x="24785" y="0"/>
                              </a:lnTo>
                              <a:lnTo>
                                <a:pt x="32364" y="0"/>
                              </a:lnTo>
                              <a:lnTo>
                                <a:pt x="57149" y="24784"/>
                              </a:lnTo>
                              <a:lnTo>
                                <a:pt x="57149" y="32299"/>
                              </a:lnTo>
                              <a:lnTo>
                                <a:pt x="39510" y="54844"/>
                              </a:lnTo>
                              <a:lnTo>
                                <a:pt x="36009" y="56330"/>
                              </a:lnTo>
                              <a:lnTo>
                                <a:pt x="32364" y="57073"/>
                              </a:lnTo>
                              <a:close/>
                            </a:path>
                            <a:path w="856615" h="57150">
                              <a:moveTo>
                                <a:pt x="146569" y="57073"/>
                              </a:moveTo>
                              <a:lnTo>
                                <a:pt x="138990" y="57073"/>
                              </a:lnTo>
                              <a:lnTo>
                                <a:pt x="135345" y="56330"/>
                              </a:lnTo>
                              <a:lnTo>
                                <a:pt x="114204" y="32299"/>
                              </a:lnTo>
                              <a:lnTo>
                                <a:pt x="114204" y="24784"/>
                              </a:lnTo>
                              <a:lnTo>
                                <a:pt x="138990" y="0"/>
                              </a:lnTo>
                              <a:lnTo>
                                <a:pt x="146569" y="0"/>
                              </a:lnTo>
                              <a:lnTo>
                                <a:pt x="171354" y="24784"/>
                              </a:lnTo>
                              <a:lnTo>
                                <a:pt x="171354" y="32299"/>
                              </a:lnTo>
                              <a:lnTo>
                                <a:pt x="153714" y="54844"/>
                              </a:lnTo>
                              <a:lnTo>
                                <a:pt x="150214" y="56330"/>
                              </a:lnTo>
                              <a:lnTo>
                                <a:pt x="146569" y="57073"/>
                              </a:lnTo>
                              <a:close/>
                            </a:path>
                            <a:path w="856615" h="57150">
                              <a:moveTo>
                                <a:pt x="260773" y="57073"/>
                              </a:moveTo>
                              <a:lnTo>
                                <a:pt x="253195" y="57073"/>
                              </a:lnTo>
                              <a:lnTo>
                                <a:pt x="249550" y="56330"/>
                              </a:lnTo>
                              <a:lnTo>
                                <a:pt x="228409" y="32299"/>
                              </a:lnTo>
                              <a:lnTo>
                                <a:pt x="228409" y="24784"/>
                              </a:lnTo>
                              <a:lnTo>
                                <a:pt x="253195" y="0"/>
                              </a:lnTo>
                              <a:lnTo>
                                <a:pt x="260773" y="0"/>
                              </a:lnTo>
                              <a:lnTo>
                                <a:pt x="285559" y="24784"/>
                              </a:lnTo>
                              <a:lnTo>
                                <a:pt x="285559" y="32299"/>
                              </a:lnTo>
                              <a:lnTo>
                                <a:pt x="267919" y="54844"/>
                              </a:lnTo>
                              <a:lnTo>
                                <a:pt x="264418" y="56330"/>
                              </a:lnTo>
                              <a:lnTo>
                                <a:pt x="260773" y="57073"/>
                              </a:lnTo>
                              <a:close/>
                            </a:path>
                            <a:path w="856615" h="57150">
                              <a:moveTo>
                                <a:pt x="374978" y="57073"/>
                              </a:moveTo>
                              <a:lnTo>
                                <a:pt x="367399" y="57073"/>
                              </a:lnTo>
                              <a:lnTo>
                                <a:pt x="363754" y="56330"/>
                              </a:lnTo>
                              <a:lnTo>
                                <a:pt x="342614" y="32299"/>
                              </a:lnTo>
                              <a:lnTo>
                                <a:pt x="342614" y="24784"/>
                              </a:lnTo>
                              <a:lnTo>
                                <a:pt x="367399" y="0"/>
                              </a:lnTo>
                              <a:lnTo>
                                <a:pt x="374978" y="0"/>
                              </a:lnTo>
                              <a:lnTo>
                                <a:pt x="399764" y="24784"/>
                              </a:lnTo>
                              <a:lnTo>
                                <a:pt x="399764" y="32299"/>
                              </a:lnTo>
                              <a:lnTo>
                                <a:pt x="382124" y="54844"/>
                              </a:lnTo>
                              <a:lnTo>
                                <a:pt x="378623" y="56330"/>
                              </a:lnTo>
                              <a:lnTo>
                                <a:pt x="374978" y="57073"/>
                              </a:lnTo>
                              <a:close/>
                            </a:path>
                            <a:path w="856615" h="57150">
                              <a:moveTo>
                                <a:pt x="489183" y="57073"/>
                              </a:moveTo>
                              <a:lnTo>
                                <a:pt x="481604" y="57073"/>
                              </a:lnTo>
                              <a:lnTo>
                                <a:pt x="477959" y="56330"/>
                              </a:lnTo>
                              <a:lnTo>
                                <a:pt x="456818" y="32299"/>
                              </a:lnTo>
                              <a:lnTo>
                                <a:pt x="456818" y="24784"/>
                              </a:lnTo>
                              <a:lnTo>
                                <a:pt x="481604" y="0"/>
                              </a:lnTo>
                              <a:lnTo>
                                <a:pt x="489183" y="0"/>
                              </a:lnTo>
                              <a:lnTo>
                                <a:pt x="513968" y="24784"/>
                              </a:lnTo>
                              <a:lnTo>
                                <a:pt x="513968" y="32299"/>
                              </a:lnTo>
                              <a:lnTo>
                                <a:pt x="496329" y="54844"/>
                              </a:lnTo>
                              <a:lnTo>
                                <a:pt x="492828" y="56330"/>
                              </a:lnTo>
                              <a:lnTo>
                                <a:pt x="489183" y="57073"/>
                              </a:lnTo>
                              <a:close/>
                            </a:path>
                            <a:path w="856615" h="57150">
                              <a:moveTo>
                                <a:pt x="603387" y="57073"/>
                              </a:moveTo>
                              <a:lnTo>
                                <a:pt x="595809" y="57073"/>
                              </a:lnTo>
                              <a:lnTo>
                                <a:pt x="592164" y="56330"/>
                              </a:lnTo>
                              <a:lnTo>
                                <a:pt x="571023" y="32299"/>
                              </a:lnTo>
                              <a:lnTo>
                                <a:pt x="571023" y="24784"/>
                              </a:lnTo>
                              <a:lnTo>
                                <a:pt x="595809" y="0"/>
                              </a:lnTo>
                              <a:lnTo>
                                <a:pt x="603387" y="0"/>
                              </a:lnTo>
                              <a:lnTo>
                                <a:pt x="628173" y="24784"/>
                              </a:lnTo>
                              <a:lnTo>
                                <a:pt x="628173" y="32299"/>
                              </a:lnTo>
                              <a:lnTo>
                                <a:pt x="610533" y="54844"/>
                              </a:lnTo>
                              <a:lnTo>
                                <a:pt x="607032" y="56330"/>
                              </a:lnTo>
                              <a:lnTo>
                                <a:pt x="603387" y="57073"/>
                              </a:lnTo>
                              <a:close/>
                            </a:path>
                            <a:path w="856615" h="57150">
                              <a:moveTo>
                                <a:pt x="717592" y="57073"/>
                              </a:moveTo>
                              <a:lnTo>
                                <a:pt x="710014" y="57073"/>
                              </a:lnTo>
                              <a:lnTo>
                                <a:pt x="706369" y="56330"/>
                              </a:lnTo>
                              <a:lnTo>
                                <a:pt x="685228" y="32299"/>
                              </a:lnTo>
                              <a:lnTo>
                                <a:pt x="685228" y="24784"/>
                              </a:lnTo>
                              <a:lnTo>
                                <a:pt x="710014" y="0"/>
                              </a:lnTo>
                              <a:lnTo>
                                <a:pt x="717592" y="0"/>
                              </a:lnTo>
                              <a:lnTo>
                                <a:pt x="742378" y="24784"/>
                              </a:lnTo>
                              <a:lnTo>
                                <a:pt x="742378" y="32299"/>
                              </a:lnTo>
                              <a:lnTo>
                                <a:pt x="724738" y="54844"/>
                              </a:lnTo>
                              <a:lnTo>
                                <a:pt x="721237" y="56330"/>
                              </a:lnTo>
                              <a:lnTo>
                                <a:pt x="717592" y="57073"/>
                              </a:lnTo>
                              <a:close/>
                            </a:path>
                            <a:path w="856615" h="57150">
                              <a:moveTo>
                                <a:pt x="831797" y="57073"/>
                              </a:moveTo>
                              <a:lnTo>
                                <a:pt x="824218" y="57073"/>
                              </a:lnTo>
                              <a:lnTo>
                                <a:pt x="820573" y="56330"/>
                              </a:lnTo>
                              <a:lnTo>
                                <a:pt x="799433" y="32299"/>
                              </a:lnTo>
                              <a:lnTo>
                                <a:pt x="799433" y="24784"/>
                              </a:lnTo>
                              <a:lnTo>
                                <a:pt x="824218" y="0"/>
                              </a:lnTo>
                              <a:lnTo>
                                <a:pt x="831797" y="0"/>
                              </a:lnTo>
                              <a:lnTo>
                                <a:pt x="856583" y="24784"/>
                              </a:lnTo>
                              <a:lnTo>
                                <a:pt x="856583" y="32299"/>
                              </a:lnTo>
                              <a:lnTo>
                                <a:pt x="838943" y="54844"/>
                              </a:lnTo>
                              <a:lnTo>
                                <a:pt x="835442" y="56330"/>
                              </a:lnTo>
                              <a:lnTo>
                                <a:pt x="831797" y="57073"/>
                              </a:lnTo>
                              <a:close/>
                            </a:path>
                          </a:pathLst>
                        </a:custGeom>
                        <a:solidFill>
                          <a:srgbClr val="2B816F"/>
                        </a:solidFill>
                      </wps:spPr>
                      <wps:bodyPr wrap="square" lIns="0" tIns="0" rIns="0" bIns="0" rtlCol="0">
                        <a:prstTxWarp prst="textNoShape">
                          <a:avLst/>
                        </a:prstTxWarp>
                        <a:noAutofit/>
                      </wps:bodyPr>
                    </wps:wsp>
                  </a:graphicData>
                </a:graphic>
              </wp:anchor>
            </w:drawing>
          </mc:Choice>
          <mc:Fallback>
            <w:pict>
              <v:shape style="position:absolute;margin-left:77.25pt;margin-top:215.002075pt;width:67.45pt;height:4.5pt;mso-position-horizontal-relative:page;mso-position-vertical-relative:paragraph;z-index:-15668224;mso-wrap-distance-left:0;mso-wrap-distance-right:0" id="docshape175" coordorigin="1545,4300" coordsize="1349,90" path="m1596,4390l1584,4390,1578,4389,1572,4386,1567,4384,1562,4381,1558,4377,1554,4372,1551,4368,1546,4357,1545,4351,1545,4339,1546,4333,1551,4322,1554,4317,1562,4309,1567,4306,1578,4301,1584,4300,1596,4300,1602,4301,1613,4306,1618,4309,1626,4317,1629,4322,1634,4333,1635,4339,1635,4351,1634,4357,1629,4368,1626,4372,1622,4377,1618,4381,1613,4384,1607,4386,1602,4389,1596,4390xm1776,4390l1764,4390,1758,4389,1752,4386,1747,4384,1742,4381,1738,4377,1734,4372,1731,4368,1726,4357,1725,4351,1725,4339,1726,4333,1731,4322,1734,4317,1742,4309,1747,4306,1758,4301,1764,4300,1776,4300,1782,4301,1793,4306,1797,4309,1806,4317,1809,4322,1814,4333,1815,4339,1815,4351,1814,4357,1809,4368,1806,4372,1802,4377,1797,4381,1793,4384,1787,4386,1782,4389,1776,4390xm1956,4390l1944,4390,1938,4389,1932,4386,1927,4384,1922,4381,1918,4377,1914,4372,1910,4368,1906,4357,1905,4351,1905,4339,1906,4333,1910,4322,1914,4317,1922,4309,1927,4306,1938,4301,1944,4300,1956,4300,1961,4301,1972,4306,1977,4309,1986,4317,1989,4322,1994,4333,1995,4339,1995,4351,1994,4357,1989,4368,1986,4372,1982,4377,1977,4381,1972,4384,1967,4386,1961,4389,1956,4390xm2136,4390l2124,4390,2118,4389,2112,4386,2107,4384,2102,4381,2098,4377,2094,4372,2090,4368,2086,4357,2085,4351,2085,4339,2086,4333,2090,4322,2094,4317,2102,4309,2107,4306,2118,4301,2124,4300,2136,4300,2141,4301,2152,4306,2157,4309,2166,4317,2169,4322,2173,4333,2175,4339,2175,4351,2173,4357,2169,4368,2166,4372,2161,4377,2157,4381,2152,4384,2147,4386,2141,4389,2136,4390xm2315,4390l2303,4390,2298,4389,2292,4386,2287,4384,2282,4381,2278,4377,2273,4372,2270,4368,2266,4357,2264,4351,2264,4339,2266,4333,2270,4322,2273,4317,2282,4309,2287,4306,2298,4301,2303,4300,2315,4300,2321,4301,2332,4306,2337,4309,2345,4317,2349,4322,2353,4333,2354,4339,2354,4351,2353,4357,2349,4368,2345,4372,2341,4377,2337,4381,2332,4384,2327,4386,2321,4389,2315,4390xm2495,4390l2483,4390,2478,4389,2472,4386,2467,4384,2462,4381,2457,4377,2453,4372,2450,4368,2445,4357,2444,4351,2444,4339,2445,4333,2450,4322,2453,4317,2462,4309,2467,4306,2478,4301,2483,4300,2495,4300,2501,4301,2512,4306,2517,4309,2525,4317,2529,4322,2533,4333,2534,4339,2534,4351,2533,4357,2529,4368,2525,4372,2521,4377,2517,4381,2512,4384,2506,4386,2501,4389,2495,4390xm2675,4390l2663,4390,2657,4389,2652,4386,2646,4384,2641,4381,2637,4377,2633,4372,2630,4368,2625,4357,2624,4351,2624,4339,2625,4333,2630,4322,2633,4317,2641,4309,2646,4306,2657,4301,2663,4300,2675,4300,2681,4301,2692,4306,2697,4309,2705,4317,2708,4322,2713,4333,2714,4339,2714,4351,2713,4357,2708,4368,2705,4372,2701,4377,2697,4381,2692,4384,2686,4386,2681,4389,2675,4390xm2855,4390l2843,4390,2837,4389,2831,4386,2826,4384,2821,4381,2817,4377,2813,4372,2810,4368,2805,4357,2804,4351,2804,4339,2805,4333,2810,4322,2813,4317,2821,4309,2826,4306,2837,4301,2843,4300,2855,4300,2861,4301,2872,4306,2877,4309,2885,4317,2888,4322,2893,4333,2894,4339,2894,4351,2893,4357,2888,4368,2885,4372,2881,4377,2877,4381,2872,4384,2866,4386,2861,4389,2855,4390xe" filled="true" fillcolor="#2b816f" stroked="false">
                <v:path arrowok="t"/>
                <v:fill type="solid"/>
                <w10:wrap type="topAndBottom"/>
              </v:shape>
            </w:pict>
          </mc:Fallback>
        </mc:AlternateContent>
      </w:r>
    </w:p>
    <w:p>
      <w:pPr>
        <w:pStyle w:val="BodyText"/>
        <w:spacing w:before="45"/>
        <w:ind w:left="0"/>
        <w:jc w:val="left"/>
        <w:rPr>
          <w:sz w:val="20"/>
        </w:rPr>
      </w:pPr>
    </w:p>
    <w:p>
      <w:pPr>
        <w:spacing w:before="78"/>
        <w:ind w:left="99" w:right="0" w:firstLine="0"/>
        <w:jc w:val="left"/>
        <w:rPr>
          <w:rFonts w:ascii="Arial"/>
          <w:b/>
          <w:sz w:val="22"/>
        </w:rPr>
      </w:pPr>
      <w:r>
        <w:rPr>
          <w:rFonts w:ascii="Arial"/>
          <w:b/>
          <w:color w:val="2B816F"/>
          <w:sz w:val="22"/>
        </w:rPr>
        <w:t>FIGURE</w:t>
      </w:r>
      <w:r>
        <w:rPr>
          <w:rFonts w:ascii="Arial"/>
          <w:b/>
          <w:color w:val="2B816F"/>
          <w:spacing w:val="17"/>
          <w:sz w:val="22"/>
        </w:rPr>
        <w:t> </w:t>
      </w:r>
      <w:r>
        <w:rPr>
          <w:rFonts w:ascii="Arial"/>
          <w:b/>
          <w:color w:val="2B816F"/>
          <w:spacing w:val="-4"/>
          <w:sz w:val="22"/>
        </w:rPr>
        <w:t>22.7</w:t>
      </w:r>
    </w:p>
    <w:p>
      <w:pPr>
        <w:pStyle w:val="BodyText"/>
        <w:spacing w:before="214"/>
        <w:ind w:left="0"/>
        <w:jc w:val="left"/>
        <w:rPr>
          <w:rFonts w:ascii="Arial"/>
          <w:b/>
          <w:sz w:val="22"/>
        </w:rPr>
      </w:pPr>
    </w:p>
    <w:p>
      <w:pPr>
        <w:spacing w:before="1"/>
        <w:ind w:left="99" w:right="0" w:firstLine="0"/>
        <w:jc w:val="left"/>
        <w:rPr>
          <w:rFonts w:ascii="Arial"/>
          <w:b/>
          <w:i/>
          <w:sz w:val="22"/>
        </w:rPr>
      </w:pPr>
      <w:r>
        <w:rPr>
          <w:rFonts w:ascii="Arial"/>
          <w:b/>
          <w:i/>
          <w:color w:val="A0234E"/>
          <w:sz w:val="22"/>
        </w:rPr>
        <w:t>Primary</w:t>
      </w:r>
      <w:r>
        <w:rPr>
          <w:rFonts w:ascii="Arial"/>
          <w:b/>
          <w:i/>
          <w:color w:val="A0234E"/>
          <w:spacing w:val="16"/>
          <w:sz w:val="22"/>
        </w:rPr>
        <w:t> </w:t>
      </w:r>
      <w:r>
        <w:rPr>
          <w:rFonts w:ascii="Arial"/>
          <w:b/>
          <w:i/>
          <w:color w:val="A0234E"/>
          <w:sz w:val="22"/>
        </w:rPr>
        <w:t>Prevention</w:t>
      </w:r>
      <w:r>
        <w:rPr>
          <w:rFonts w:ascii="Arial"/>
          <w:b/>
          <w:i/>
          <w:color w:val="A0234E"/>
          <w:spacing w:val="17"/>
          <w:sz w:val="22"/>
        </w:rPr>
        <w:t> </w:t>
      </w:r>
      <w:r>
        <w:rPr>
          <w:rFonts w:ascii="Arial"/>
          <w:b/>
          <w:i/>
          <w:color w:val="A0234E"/>
          <w:sz w:val="22"/>
        </w:rPr>
        <w:t>Randomized</w:t>
      </w:r>
      <w:r>
        <w:rPr>
          <w:rFonts w:ascii="Arial"/>
          <w:b/>
          <w:i/>
          <w:color w:val="A0234E"/>
          <w:spacing w:val="17"/>
          <w:sz w:val="22"/>
        </w:rPr>
        <w:t> </w:t>
      </w:r>
      <w:r>
        <w:rPr>
          <w:rFonts w:ascii="Arial"/>
          <w:b/>
          <w:i/>
          <w:color w:val="A0234E"/>
          <w:sz w:val="22"/>
        </w:rPr>
        <w:t>Clinical</w:t>
      </w:r>
      <w:r>
        <w:rPr>
          <w:rFonts w:ascii="Arial"/>
          <w:b/>
          <w:i/>
          <w:color w:val="A0234E"/>
          <w:spacing w:val="17"/>
          <w:sz w:val="22"/>
        </w:rPr>
        <w:t> </w:t>
      </w:r>
      <w:r>
        <w:rPr>
          <w:rFonts w:ascii="Arial"/>
          <w:b/>
          <w:i/>
          <w:color w:val="A0234E"/>
          <w:sz w:val="22"/>
        </w:rPr>
        <w:t>Trials</w:t>
      </w:r>
      <w:r>
        <w:rPr>
          <w:rFonts w:ascii="Arial"/>
          <w:b/>
          <w:i/>
          <w:color w:val="A0234E"/>
          <w:spacing w:val="17"/>
          <w:sz w:val="22"/>
        </w:rPr>
        <w:t> </w:t>
      </w:r>
      <w:r>
        <w:rPr>
          <w:rFonts w:ascii="Arial"/>
          <w:b/>
          <w:i/>
          <w:color w:val="A0234E"/>
          <w:sz w:val="22"/>
        </w:rPr>
        <w:t>Addressing</w:t>
      </w:r>
      <w:r>
        <w:rPr>
          <w:rFonts w:ascii="Arial"/>
          <w:b/>
          <w:i/>
          <w:color w:val="A0234E"/>
          <w:spacing w:val="17"/>
          <w:sz w:val="22"/>
        </w:rPr>
        <w:t> </w:t>
      </w:r>
      <w:r>
        <w:rPr>
          <w:rFonts w:ascii="Arial"/>
          <w:b/>
          <w:i/>
          <w:color w:val="A0234E"/>
          <w:sz w:val="22"/>
        </w:rPr>
        <w:t>the</w:t>
      </w:r>
      <w:r>
        <w:rPr>
          <w:rFonts w:ascii="Arial"/>
          <w:b/>
          <w:i/>
          <w:color w:val="A0234E"/>
          <w:spacing w:val="17"/>
          <w:sz w:val="22"/>
        </w:rPr>
        <w:t> </w:t>
      </w:r>
      <w:r>
        <w:rPr>
          <w:rFonts w:ascii="Arial"/>
          <w:b/>
          <w:i/>
          <w:color w:val="A0234E"/>
          <w:sz w:val="22"/>
        </w:rPr>
        <w:t>Timing</w:t>
      </w:r>
      <w:r>
        <w:rPr>
          <w:rFonts w:ascii="Arial"/>
          <w:b/>
          <w:i/>
          <w:color w:val="A0234E"/>
          <w:spacing w:val="17"/>
          <w:sz w:val="22"/>
        </w:rPr>
        <w:t> </w:t>
      </w:r>
      <w:r>
        <w:rPr>
          <w:rFonts w:ascii="Arial"/>
          <w:b/>
          <w:i/>
          <w:color w:val="A0234E"/>
          <w:spacing w:val="-2"/>
          <w:sz w:val="22"/>
        </w:rPr>
        <w:t>Hypothesis</w:t>
      </w:r>
    </w:p>
    <w:p>
      <w:pPr>
        <w:pStyle w:val="BodyText"/>
        <w:spacing w:line="249" w:lineRule="auto" w:before="123"/>
        <w:ind w:right="97"/>
      </w:pPr>
      <w:r>
        <w:rPr>
          <w:b/>
        </w:rPr>
        <w:t>KEEPS </w:t>
      </w:r>
      <w:r>
        <w:rPr/>
        <w:t>was a randomized, double-blind, placebo-controlled trial aimed </w:t>
      </w:r>
      <w:r>
        <w:rPr/>
        <w:t>at assessing the effects of early initiation of oral or transdermal HT on progression rates of subclinical atherosclerosis.</w:t>
      </w:r>
      <w:r>
        <w:rPr>
          <w:vertAlign w:val="superscript"/>
        </w:rPr>
        <w:t>806</w:t>
      </w:r>
      <w:r>
        <w:rPr>
          <w:vertAlign w:val="baseline"/>
        </w:rPr>
        <w:t> Women were eligible for enrollment if they were healthy, aged 42 to 58 years, between 6 and 36 months from their last menstrual period with no prior CVD events, a CAC score less than 50 Agatston units, and without exogenous estrogen exposure or lipid-lowering therapy for the past 90 days. Women were randomized to receive oral (o) CEE 0.45 mg/d or transdermal (t) E2 50 μg/d, each with</w:t>
      </w:r>
      <w:r>
        <w:rPr>
          <w:spacing w:val="40"/>
          <w:vertAlign w:val="baseline"/>
        </w:rPr>
        <w:t> </w:t>
      </w:r>
      <w:r>
        <w:rPr>
          <w:vertAlign w:val="baseline"/>
        </w:rPr>
        <w:t>200 mg oral progesterone for 12 days per month, or placebo for 48 months. The primary end point was annual change in cIMT by ultrasonography,</w:t>
      </w:r>
      <w:r>
        <w:rPr>
          <w:spacing w:val="40"/>
          <w:vertAlign w:val="baseline"/>
        </w:rPr>
        <w:t> </w:t>
      </w:r>
      <w:r>
        <w:rPr>
          <w:vertAlign w:val="baseline"/>
        </w:rPr>
        <w:t>with secondary end points of changes in markers of CVD risk, including CAC</w:t>
      </w:r>
      <w:r>
        <w:rPr>
          <w:spacing w:val="-5"/>
          <w:vertAlign w:val="baseline"/>
        </w:rPr>
        <w:t> </w:t>
      </w:r>
      <w:r>
        <w:rPr>
          <w:vertAlign w:val="baseline"/>
        </w:rPr>
        <w:t>scores</w:t>
      </w:r>
      <w:r>
        <w:rPr>
          <w:spacing w:val="-5"/>
          <w:vertAlign w:val="baseline"/>
        </w:rPr>
        <w:t> </w:t>
      </w:r>
      <w:r>
        <w:rPr>
          <w:vertAlign w:val="baseline"/>
        </w:rPr>
        <w:t>(determined</w:t>
      </w:r>
      <w:r>
        <w:rPr>
          <w:spacing w:val="-5"/>
          <w:vertAlign w:val="baseline"/>
        </w:rPr>
        <w:t> </w:t>
      </w:r>
      <w:r>
        <w:rPr>
          <w:vertAlign w:val="baseline"/>
        </w:rPr>
        <w:t>by</w:t>
      </w:r>
      <w:r>
        <w:rPr>
          <w:spacing w:val="-5"/>
          <w:vertAlign w:val="baseline"/>
        </w:rPr>
        <w:t> </w:t>
      </w:r>
      <w:r>
        <w:rPr>
          <w:vertAlign w:val="baseline"/>
        </w:rPr>
        <w:t>CT</w:t>
      </w:r>
      <w:r>
        <w:rPr>
          <w:spacing w:val="-5"/>
          <w:vertAlign w:val="baseline"/>
        </w:rPr>
        <w:t> </w:t>
      </w:r>
      <w:r>
        <w:rPr>
          <w:vertAlign w:val="baseline"/>
        </w:rPr>
        <w:t>scan</w:t>
      </w:r>
      <w:r>
        <w:rPr>
          <w:spacing w:val="-5"/>
          <w:vertAlign w:val="baseline"/>
        </w:rPr>
        <w:t> </w:t>
      </w:r>
      <w:r>
        <w:rPr>
          <w:vertAlign w:val="baseline"/>
        </w:rPr>
        <w:t>of</w:t>
      </w:r>
      <w:r>
        <w:rPr>
          <w:spacing w:val="-5"/>
          <w:vertAlign w:val="baseline"/>
        </w:rPr>
        <w:t> </w:t>
      </w:r>
      <w:r>
        <w:rPr>
          <w:vertAlign w:val="baseline"/>
        </w:rPr>
        <w:t>the</w:t>
      </w:r>
      <w:r>
        <w:rPr>
          <w:spacing w:val="-5"/>
          <w:vertAlign w:val="baseline"/>
        </w:rPr>
        <w:t> </w:t>
      </w:r>
      <w:r>
        <w:rPr>
          <w:vertAlign w:val="baseline"/>
        </w:rPr>
        <w:t>chest).</w:t>
      </w:r>
      <w:r>
        <w:rPr>
          <w:vertAlign w:val="superscript"/>
        </w:rPr>
        <w:t>806</w:t>
      </w:r>
      <w:r>
        <w:rPr>
          <w:spacing w:val="-6"/>
          <w:vertAlign w:val="baseline"/>
        </w:rPr>
        <w:t> </w:t>
      </w:r>
      <w:r>
        <w:rPr>
          <w:vertAlign w:val="baseline"/>
        </w:rPr>
        <w:t>Of</w:t>
      </w:r>
      <w:r>
        <w:rPr>
          <w:spacing w:val="-5"/>
          <w:vertAlign w:val="baseline"/>
        </w:rPr>
        <w:t> </w:t>
      </w:r>
      <w:r>
        <w:rPr>
          <w:vertAlign w:val="baseline"/>
        </w:rPr>
        <w:t>the</w:t>
      </w:r>
      <w:r>
        <w:rPr>
          <w:spacing w:val="-5"/>
          <w:vertAlign w:val="baseline"/>
        </w:rPr>
        <w:t> </w:t>
      </w:r>
      <w:r>
        <w:rPr>
          <w:vertAlign w:val="baseline"/>
        </w:rPr>
        <w:t>727</w:t>
      </w:r>
      <w:r>
        <w:rPr>
          <w:spacing w:val="-5"/>
          <w:vertAlign w:val="baseline"/>
        </w:rPr>
        <w:t> </w:t>
      </w:r>
      <w:r>
        <w:rPr>
          <w:vertAlign w:val="baseline"/>
        </w:rPr>
        <w:t>randomized women, 89.3% had at least one follow-up cIMT, while 79.8% had a cIMT annually.</w:t>
      </w:r>
      <w:r>
        <w:rPr>
          <w:spacing w:val="42"/>
          <w:vertAlign w:val="baseline"/>
        </w:rPr>
        <w:t> </w:t>
      </w:r>
      <w:r>
        <w:rPr>
          <w:vertAlign w:val="baseline"/>
        </w:rPr>
        <w:t>The</w:t>
      </w:r>
      <w:r>
        <w:rPr>
          <w:spacing w:val="55"/>
          <w:vertAlign w:val="baseline"/>
        </w:rPr>
        <w:t> </w:t>
      </w:r>
      <w:r>
        <w:rPr>
          <w:vertAlign w:val="baseline"/>
        </w:rPr>
        <w:t>KEEPS</w:t>
      </w:r>
      <w:r>
        <w:rPr>
          <w:spacing w:val="55"/>
          <w:vertAlign w:val="baseline"/>
        </w:rPr>
        <w:t> </w:t>
      </w:r>
      <w:r>
        <w:rPr>
          <w:vertAlign w:val="baseline"/>
        </w:rPr>
        <w:t>trial</w:t>
      </w:r>
      <w:r>
        <w:rPr>
          <w:spacing w:val="55"/>
          <w:vertAlign w:val="baseline"/>
        </w:rPr>
        <w:t> </w:t>
      </w:r>
      <w:r>
        <w:rPr>
          <w:vertAlign w:val="baseline"/>
        </w:rPr>
        <w:t>found</w:t>
      </w:r>
      <w:r>
        <w:rPr>
          <w:spacing w:val="56"/>
          <w:vertAlign w:val="baseline"/>
        </w:rPr>
        <w:t> </w:t>
      </w:r>
      <w:r>
        <w:rPr>
          <w:vertAlign w:val="baseline"/>
        </w:rPr>
        <w:t>that</w:t>
      </w:r>
      <w:r>
        <w:rPr>
          <w:spacing w:val="55"/>
          <w:vertAlign w:val="baseline"/>
        </w:rPr>
        <w:t> </w:t>
      </w:r>
      <w:r>
        <w:rPr>
          <w:vertAlign w:val="baseline"/>
        </w:rPr>
        <w:t>the</w:t>
      </w:r>
      <w:r>
        <w:rPr>
          <w:spacing w:val="55"/>
          <w:vertAlign w:val="baseline"/>
        </w:rPr>
        <w:t> </w:t>
      </w:r>
      <w:r>
        <w:rPr>
          <w:vertAlign w:val="baseline"/>
        </w:rPr>
        <w:t>mean</w:t>
      </w:r>
      <w:r>
        <w:rPr>
          <w:spacing w:val="55"/>
          <w:vertAlign w:val="baseline"/>
        </w:rPr>
        <w:t> </w:t>
      </w:r>
      <w:r>
        <w:rPr>
          <w:vertAlign w:val="baseline"/>
        </w:rPr>
        <w:t>cIMT</w:t>
      </w:r>
      <w:r>
        <w:rPr>
          <w:spacing w:val="55"/>
          <w:vertAlign w:val="baseline"/>
        </w:rPr>
        <w:t> </w:t>
      </w:r>
      <w:r>
        <w:rPr>
          <w:vertAlign w:val="baseline"/>
        </w:rPr>
        <w:t>increase</w:t>
      </w:r>
      <w:r>
        <w:rPr>
          <w:spacing w:val="55"/>
          <w:vertAlign w:val="baseline"/>
        </w:rPr>
        <w:t> </w:t>
      </w:r>
      <w:r>
        <w:rPr>
          <w:vertAlign w:val="baseline"/>
        </w:rPr>
        <w:t>of</w:t>
      </w:r>
      <w:r>
        <w:rPr>
          <w:spacing w:val="56"/>
          <w:vertAlign w:val="baseline"/>
        </w:rPr>
        <w:t> </w:t>
      </w:r>
      <w:r>
        <w:rPr>
          <w:spacing w:val="-4"/>
          <w:vertAlign w:val="baseline"/>
        </w:rPr>
        <w:t>0.007</w:t>
      </w:r>
    </w:p>
    <w:p>
      <w:pPr>
        <w:pStyle w:val="BodyText"/>
        <w:spacing w:after="0" w:line="249" w:lineRule="auto"/>
        <w:sectPr>
          <w:pgSz w:w="12240" w:h="15840"/>
          <w:pgMar w:top="1440" w:bottom="280" w:left="1440" w:right="1440"/>
        </w:sectPr>
      </w:pPr>
    </w:p>
    <w:p>
      <w:pPr>
        <w:pStyle w:val="BodyText"/>
        <w:spacing w:line="249" w:lineRule="auto"/>
        <w:ind w:right="97"/>
      </w:pPr>
      <w:r>
        <w:rPr/>
        <w:t>mm/y was similar among all three groups. Similarly, the percentage of subjects in whom CAC scores increased was not different. LDL and HDL levels improved, levels of CRP and SHBG increased with o-CEE, but IL-6 did not. Insulin resistance decreased with t-E2; there were no changes </w:t>
      </w:r>
      <w:r>
        <w:rPr/>
        <w:t>in blood pressure with either o-CEE or t-E2 use.</w:t>
      </w:r>
      <w:r>
        <w:rPr>
          <w:vertAlign w:val="superscript"/>
        </w:rPr>
        <w:t>806</w:t>
      </w:r>
      <w:r>
        <w:rPr>
          <w:vertAlign w:val="baseline"/>
        </w:rPr>
        <w:t> Thus, the KEEPS trial did not demonstrate a significant difference in cIMT (a measure of preclinical progression of atherosclerosis) among oral, transdermal, or placebo groups. In a follow-up of a subgroup of subjects (representative of the placebo, o-CEE, and t-E2 groups) 3 years after stopping HT from the KEEPS trial, the effects of cessation of HT on cIMT were analyzed.</w:t>
      </w:r>
      <w:r>
        <w:rPr>
          <w:vertAlign w:val="superscript"/>
        </w:rPr>
        <w:t>807</w:t>
      </w:r>
      <w:r>
        <w:rPr>
          <w:vertAlign w:val="baseline"/>
        </w:rPr>
        <w:t> There did not appear to be a “rebound” effect on cIMT progression upon discontinuation of o-CEE or t-E2.</w:t>
      </w:r>
      <w:r>
        <w:rPr>
          <w:vertAlign w:val="superscript"/>
        </w:rPr>
        <w:t>807</w:t>
      </w:r>
      <w:r>
        <w:rPr>
          <w:vertAlign w:val="baseline"/>
        </w:rPr>
        <w:t> Regardless of HT regimen, there was an overall increase in cIMT over time, which may be inherent to the aging process.</w:t>
      </w:r>
      <w:r>
        <w:rPr>
          <w:vertAlign w:val="superscript"/>
        </w:rPr>
        <w:t>807</w:t>
      </w:r>
      <w:r>
        <w:rPr>
          <w:vertAlign w:val="baseline"/>
        </w:rPr>
        <w:t> A</w:t>
      </w:r>
      <w:r>
        <w:rPr>
          <w:spacing w:val="40"/>
          <w:vertAlign w:val="baseline"/>
        </w:rPr>
        <w:t> </w:t>
      </w:r>
      <w:r>
        <w:rPr>
          <w:vertAlign w:val="baseline"/>
        </w:rPr>
        <w:t>secondary analysis of the KEEPS trial analyzed how oral versus</w:t>
      </w:r>
      <w:r>
        <w:rPr>
          <w:spacing w:val="40"/>
          <w:vertAlign w:val="baseline"/>
        </w:rPr>
        <w:t> </w:t>
      </w:r>
      <w:r>
        <w:rPr>
          <w:vertAlign w:val="baseline"/>
        </w:rPr>
        <w:t>transdermal HT affected epicardial and pericardial fat deposits, which have an association with the progression of coronary artery calcifications. Cardiac fat deposits were not impacted by o-CEE; however, an increase in pericardial fat was observed in t-E2. Clinical implications of these observations remain unclear, and future studies are needed to establish if indeed</w:t>
      </w:r>
      <w:r>
        <w:rPr>
          <w:spacing w:val="-2"/>
          <w:vertAlign w:val="baseline"/>
        </w:rPr>
        <w:t> </w:t>
      </w:r>
      <w:r>
        <w:rPr>
          <w:vertAlign w:val="baseline"/>
        </w:rPr>
        <w:t>pericardial</w:t>
      </w:r>
      <w:r>
        <w:rPr>
          <w:spacing w:val="-2"/>
          <w:vertAlign w:val="baseline"/>
        </w:rPr>
        <w:t> </w:t>
      </w:r>
      <w:r>
        <w:rPr>
          <w:vertAlign w:val="baseline"/>
        </w:rPr>
        <w:t>fat</w:t>
      </w:r>
      <w:r>
        <w:rPr>
          <w:spacing w:val="-2"/>
          <w:vertAlign w:val="baseline"/>
        </w:rPr>
        <w:t> </w:t>
      </w:r>
      <w:r>
        <w:rPr>
          <w:vertAlign w:val="baseline"/>
        </w:rPr>
        <w:t>deposits</w:t>
      </w:r>
      <w:r>
        <w:rPr>
          <w:spacing w:val="-2"/>
          <w:vertAlign w:val="baseline"/>
        </w:rPr>
        <w:t> </w:t>
      </w:r>
      <w:r>
        <w:rPr>
          <w:vertAlign w:val="baseline"/>
        </w:rPr>
        <w:t>are</w:t>
      </w:r>
      <w:r>
        <w:rPr>
          <w:spacing w:val="-2"/>
          <w:vertAlign w:val="baseline"/>
        </w:rPr>
        <w:t> </w:t>
      </w:r>
      <w:r>
        <w:rPr>
          <w:vertAlign w:val="baseline"/>
        </w:rPr>
        <w:t>differentially</w:t>
      </w:r>
      <w:r>
        <w:rPr>
          <w:spacing w:val="-2"/>
          <w:vertAlign w:val="baseline"/>
        </w:rPr>
        <w:t> </w:t>
      </w:r>
      <w:r>
        <w:rPr>
          <w:vertAlign w:val="baseline"/>
        </w:rPr>
        <w:t>affected</w:t>
      </w:r>
      <w:r>
        <w:rPr>
          <w:spacing w:val="-2"/>
          <w:vertAlign w:val="baseline"/>
        </w:rPr>
        <w:t> </w:t>
      </w:r>
      <w:r>
        <w:rPr>
          <w:vertAlign w:val="baseline"/>
        </w:rPr>
        <w:t>by</w:t>
      </w:r>
      <w:r>
        <w:rPr>
          <w:spacing w:val="-2"/>
          <w:vertAlign w:val="baseline"/>
        </w:rPr>
        <w:t> </w:t>
      </w:r>
      <w:r>
        <w:rPr>
          <w:vertAlign w:val="baseline"/>
        </w:rPr>
        <w:t>route</w:t>
      </w:r>
      <w:r>
        <w:rPr>
          <w:spacing w:val="-2"/>
          <w:vertAlign w:val="baseline"/>
        </w:rPr>
        <w:t> </w:t>
      </w:r>
      <w:r>
        <w:rPr>
          <w:vertAlign w:val="baseline"/>
        </w:rPr>
        <w:t>of</w:t>
      </w:r>
      <w:r>
        <w:rPr>
          <w:spacing w:val="-2"/>
          <w:vertAlign w:val="baseline"/>
        </w:rPr>
        <w:t> </w:t>
      </w:r>
      <w:r>
        <w:rPr>
          <w:vertAlign w:val="baseline"/>
        </w:rPr>
        <w:t>ET,</w:t>
      </w:r>
      <w:r>
        <w:rPr>
          <w:spacing w:val="-2"/>
          <w:vertAlign w:val="baseline"/>
        </w:rPr>
        <w:t> </w:t>
      </w:r>
      <w:r>
        <w:rPr>
          <w:vertAlign w:val="baseline"/>
        </w:rPr>
        <w:t>and clinical consequences therefrom.</w:t>
      </w:r>
    </w:p>
    <w:p>
      <w:pPr>
        <w:pStyle w:val="BodyText"/>
        <w:spacing w:line="249" w:lineRule="auto" w:before="25"/>
        <w:ind w:right="98" w:firstLine="450"/>
      </w:pPr>
      <w:r>
        <w:rPr>
          <w:b/>
        </w:rPr>
        <w:t>ELITE </w:t>
      </w:r>
      <w:r>
        <w:rPr/>
        <w:t>also assessed the effect of early administration of HT on the development/progression of atherosclerosis.</w:t>
      </w:r>
      <w:r>
        <w:rPr>
          <w:vertAlign w:val="superscript"/>
        </w:rPr>
        <w:t>808</w:t>
      </w:r>
      <w:r>
        <w:rPr>
          <w:vertAlign w:val="baseline"/>
        </w:rPr>
        <w:t> Six hundred and forty-three healthy postmenopausal women are stratified by years since menopause (early equal to &lt;6 years or late [&gt;10 years]) and randomly assigned to oral E2 1 mg/d plus vaginal progesterone 45 mg for 10 days per month for women with a uterus or placebo (including sequential vaginal gel for subjects with a uterus). The primary outcome was the rate of change in cIMT (measured every 6 months). Secondary outcomes included</w:t>
      </w:r>
      <w:r>
        <w:rPr>
          <w:spacing w:val="40"/>
          <w:vertAlign w:val="baseline"/>
        </w:rPr>
        <w:t> </w:t>
      </w:r>
      <w:r>
        <w:rPr>
          <w:vertAlign w:val="baseline"/>
        </w:rPr>
        <w:t>assessment of coronary artery atherosclerosis by cardiac CT scan (performed at the completion of study medication). Following 5 years, it was found that oral E2 with/without vaginal progesterone resulted in a significantly slower increase in cIMT in the early postmenopause group, compared to placebo.</w:t>
      </w:r>
      <w:r>
        <w:rPr>
          <w:vertAlign w:val="superscript"/>
        </w:rPr>
        <w:t>808</w:t>
      </w:r>
      <w:r>
        <w:rPr>
          <w:vertAlign w:val="baseline"/>
        </w:rPr>
        <w:t> In women who were greater than 10 years </w:t>
      </w:r>
      <w:r>
        <w:rPr>
          <w:vertAlign w:val="baseline"/>
        </w:rPr>
        <w:t>past menopause, cIMT progression rates were not different from placebo. Measures</w:t>
      </w:r>
      <w:r>
        <w:rPr>
          <w:spacing w:val="35"/>
          <w:vertAlign w:val="baseline"/>
        </w:rPr>
        <w:t> </w:t>
      </w:r>
      <w:r>
        <w:rPr>
          <w:vertAlign w:val="baseline"/>
        </w:rPr>
        <w:t>of</w:t>
      </w:r>
      <w:r>
        <w:rPr>
          <w:spacing w:val="35"/>
          <w:vertAlign w:val="baseline"/>
        </w:rPr>
        <w:t> </w:t>
      </w:r>
      <w:r>
        <w:rPr>
          <w:vertAlign w:val="baseline"/>
        </w:rPr>
        <w:t>CAC</w:t>
      </w:r>
      <w:r>
        <w:rPr>
          <w:spacing w:val="35"/>
          <w:vertAlign w:val="baseline"/>
        </w:rPr>
        <w:t> </w:t>
      </w:r>
      <w:r>
        <w:rPr>
          <w:vertAlign w:val="baseline"/>
        </w:rPr>
        <w:t>by</w:t>
      </w:r>
      <w:r>
        <w:rPr>
          <w:spacing w:val="35"/>
          <w:vertAlign w:val="baseline"/>
        </w:rPr>
        <w:t> </w:t>
      </w:r>
      <w:r>
        <w:rPr>
          <w:vertAlign w:val="baseline"/>
        </w:rPr>
        <w:t>CT,</w:t>
      </w:r>
      <w:r>
        <w:rPr>
          <w:spacing w:val="35"/>
          <w:vertAlign w:val="baseline"/>
        </w:rPr>
        <w:t> </w:t>
      </w:r>
      <w:r>
        <w:rPr>
          <w:vertAlign w:val="baseline"/>
        </w:rPr>
        <w:t>total</w:t>
      </w:r>
      <w:r>
        <w:rPr>
          <w:spacing w:val="35"/>
          <w:vertAlign w:val="baseline"/>
        </w:rPr>
        <w:t> </w:t>
      </w:r>
      <w:r>
        <w:rPr>
          <w:vertAlign w:val="baseline"/>
        </w:rPr>
        <w:t>stenosis,</w:t>
      </w:r>
      <w:r>
        <w:rPr>
          <w:spacing w:val="35"/>
          <w:vertAlign w:val="baseline"/>
        </w:rPr>
        <w:t> </w:t>
      </w:r>
      <w:r>
        <w:rPr>
          <w:vertAlign w:val="baseline"/>
        </w:rPr>
        <w:t>and</w:t>
      </w:r>
      <w:r>
        <w:rPr>
          <w:spacing w:val="35"/>
          <w:vertAlign w:val="baseline"/>
        </w:rPr>
        <w:t> </w:t>
      </w:r>
      <w:r>
        <w:rPr>
          <w:vertAlign w:val="baseline"/>
        </w:rPr>
        <w:t>plaque</w:t>
      </w:r>
      <w:r>
        <w:rPr>
          <w:spacing w:val="35"/>
          <w:vertAlign w:val="baseline"/>
        </w:rPr>
        <w:t> </w:t>
      </w:r>
      <w:r>
        <w:rPr>
          <w:vertAlign w:val="baseline"/>
        </w:rPr>
        <w:t>burden</w:t>
      </w:r>
      <w:r>
        <w:rPr>
          <w:spacing w:val="35"/>
          <w:vertAlign w:val="baseline"/>
        </w:rPr>
        <w:t> </w:t>
      </w:r>
      <w:r>
        <w:rPr>
          <w:vertAlign w:val="baseline"/>
        </w:rPr>
        <w:t>did</w:t>
      </w:r>
      <w:r>
        <w:rPr>
          <w:spacing w:val="35"/>
          <w:vertAlign w:val="baseline"/>
        </w:rPr>
        <w:t> </w:t>
      </w:r>
      <w:r>
        <w:rPr>
          <w:vertAlign w:val="baseline"/>
        </w:rPr>
        <w:t>not</w:t>
      </w:r>
      <w:r>
        <w:rPr>
          <w:spacing w:val="36"/>
          <w:vertAlign w:val="baseline"/>
        </w:rPr>
        <w:t> </w:t>
      </w:r>
      <w:r>
        <w:rPr>
          <w:spacing w:val="-2"/>
          <w:vertAlign w:val="baseline"/>
        </w:rPr>
        <w:t>differ</w:t>
      </w:r>
    </w:p>
    <w:p>
      <w:pPr>
        <w:pStyle w:val="BodyText"/>
        <w:spacing w:after="0" w:line="249" w:lineRule="auto"/>
        <w:sectPr>
          <w:pgSz w:w="12240" w:h="15840"/>
          <w:pgMar w:top="1380" w:bottom="280" w:left="1440" w:right="1440"/>
        </w:sectPr>
      </w:pPr>
    </w:p>
    <w:p>
      <w:pPr>
        <w:pStyle w:val="BodyText"/>
        <w:spacing w:line="249" w:lineRule="auto"/>
        <w:ind w:right="97"/>
      </w:pPr>
      <w:r>
        <w:rPr/>
        <w:t>between placebo groups and the estradiol groups for early or </w:t>
      </w:r>
      <w:r>
        <w:rPr/>
        <w:t>late menopause status.</w:t>
      </w:r>
      <w:r>
        <w:rPr>
          <w:vertAlign w:val="superscript"/>
        </w:rPr>
        <w:t>808</w:t>
      </w:r>
    </w:p>
    <w:p>
      <w:pPr>
        <w:pStyle w:val="BodyText"/>
        <w:spacing w:line="249" w:lineRule="auto" w:before="2"/>
        <w:ind w:right="101" w:firstLine="450"/>
      </w:pPr>
      <w:r>
        <w:rPr/>
        <w:t>Thus, unlike KEEPS, results of the ELITE trial support the timing hypothesis in that early initiation (ie, closer to the timing of menopause) of HT was associated with more favorable cardiovascular outcomes. The differences between ELITE and KEEPS may, among many </w:t>
      </w:r>
      <w:r>
        <w:rPr/>
        <w:t>possibilities, relate to inherent differences in the studied populations or reflect</w:t>
      </w:r>
      <w:r>
        <w:rPr>
          <w:spacing w:val="40"/>
        </w:rPr>
        <w:t> </w:t>
      </w:r>
      <w:r>
        <w:rPr/>
        <w:t>differences in the choice and dose of estrogen formulations utilized.</w:t>
      </w:r>
      <w:r>
        <w:rPr>
          <w:vertAlign w:val="superscript"/>
        </w:rPr>
        <w:t>463,809</w:t>
      </w:r>
    </w:p>
    <w:p>
      <w:pPr>
        <w:pStyle w:val="BodyText"/>
        <w:spacing w:before="0"/>
        <w:ind w:left="0"/>
        <w:jc w:val="left"/>
        <w:rPr>
          <w:sz w:val="33"/>
        </w:rPr>
      </w:pPr>
    </w:p>
    <w:p>
      <w:pPr>
        <w:pStyle w:val="BodyText"/>
        <w:spacing w:before="284"/>
        <w:ind w:left="0"/>
        <w:jc w:val="left"/>
        <w:rPr>
          <w:sz w:val="33"/>
        </w:rPr>
      </w:pPr>
    </w:p>
    <w:p>
      <w:pPr>
        <w:pStyle w:val="Heading2"/>
      </w:pPr>
      <w:r>
        <w:rPr/>
        <mc:AlternateContent>
          <mc:Choice Requires="wps">
            <w:drawing>
              <wp:anchor distT="0" distB="0" distL="0" distR="0" allowOverlap="1" layoutInCell="1" locked="0" behindDoc="1" simplePos="0" relativeHeight="484576256">
                <wp:simplePos x="0" y="0"/>
                <wp:positionH relativeFrom="page">
                  <wp:posOffset>981075</wp:posOffset>
                </wp:positionH>
                <wp:positionV relativeFrom="paragraph">
                  <wp:posOffset>-279493</wp:posOffset>
                </wp:positionV>
                <wp:extent cx="5810250" cy="443865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810250" cy="4438650"/>
                          <a:chExt cx="5810250" cy="4438650"/>
                        </a:xfrm>
                      </wpg:grpSpPr>
                      <wps:wsp>
                        <wps:cNvPr id="200" name="Graphic 20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01" name="Graphic 201"/>
                        <wps:cNvSpPr/>
                        <wps:spPr>
                          <a:xfrm>
                            <a:off x="0" y="742949"/>
                            <a:ext cx="5810250" cy="3695700"/>
                          </a:xfrm>
                          <a:custGeom>
                            <a:avLst/>
                            <a:gdLst/>
                            <a:ahLst/>
                            <a:cxnLst/>
                            <a:rect l="l" t="t" r="r" b="b"/>
                            <a:pathLst>
                              <a:path w="5810250" h="3695700">
                                <a:moveTo>
                                  <a:pt x="0" y="3695699"/>
                                </a:moveTo>
                                <a:lnTo>
                                  <a:pt x="5810249" y="3695699"/>
                                </a:lnTo>
                                <a:lnTo>
                                  <a:pt x="5810249" y="0"/>
                                </a:lnTo>
                                <a:lnTo>
                                  <a:pt x="0" y="0"/>
                                </a:lnTo>
                                <a:lnTo>
                                  <a:pt x="0" y="3695699"/>
                                </a:lnTo>
                                <a:close/>
                              </a:path>
                            </a:pathLst>
                          </a:custGeom>
                          <a:solidFill>
                            <a:srgbClr val="E9F1CD"/>
                          </a:solidFill>
                        </wps:spPr>
                        <wps:bodyPr wrap="square" lIns="0" tIns="0" rIns="0" bIns="0" rtlCol="0">
                          <a:prstTxWarp prst="textNoShape">
                            <a:avLst/>
                          </a:prstTxWarp>
                          <a:noAutofit/>
                        </wps:bodyPr>
                      </wps:wsp>
                      <wps:wsp>
                        <wps:cNvPr id="202" name="Graphic 202"/>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03" name="Graphic 203"/>
                        <wps:cNvSpPr/>
                        <wps:spPr>
                          <a:xfrm>
                            <a:off x="209549" y="228637"/>
                            <a:ext cx="371475" cy="57150"/>
                          </a:xfrm>
                          <a:custGeom>
                            <a:avLst/>
                            <a:gdLst/>
                            <a:ahLst/>
                            <a:cxnLst/>
                            <a:rect l="l" t="t" r="r" b="b"/>
                            <a:pathLst>
                              <a:path w="371475" h="57150">
                                <a:moveTo>
                                  <a:pt x="32364" y="57073"/>
                                </a:moveTo>
                                <a:lnTo>
                                  <a:pt x="24785" y="57073"/>
                                </a:lnTo>
                                <a:lnTo>
                                  <a:pt x="21140" y="56330"/>
                                </a:lnTo>
                                <a:lnTo>
                                  <a:pt x="2175" y="39366"/>
                                </a:lnTo>
                                <a:lnTo>
                                  <a:pt x="725" y="35937"/>
                                </a:lnTo>
                                <a:lnTo>
                                  <a:pt x="0" y="32365"/>
                                </a:lnTo>
                                <a:lnTo>
                                  <a:pt x="0" y="24784"/>
                                </a:lnTo>
                                <a:lnTo>
                                  <a:pt x="725" y="21059"/>
                                </a:lnTo>
                                <a:lnTo>
                                  <a:pt x="3625" y="14068"/>
                                </a:lnTo>
                                <a:lnTo>
                                  <a:pt x="5689" y="10934"/>
                                </a:lnTo>
                                <a:lnTo>
                                  <a:pt x="8369" y="8334"/>
                                </a:lnTo>
                                <a:lnTo>
                                  <a:pt x="11048" y="5581"/>
                                </a:lnTo>
                                <a:lnTo>
                                  <a:pt x="14138" y="3495"/>
                                </a:lnTo>
                                <a:lnTo>
                                  <a:pt x="21140" y="666"/>
                                </a:lnTo>
                                <a:lnTo>
                                  <a:pt x="24785" y="0"/>
                                </a:lnTo>
                                <a:lnTo>
                                  <a:pt x="32364" y="0"/>
                                </a:lnTo>
                                <a:lnTo>
                                  <a:pt x="36009" y="666"/>
                                </a:lnTo>
                                <a:lnTo>
                                  <a:pt x="43011" y="3495"/>
                                </a:lnTo>
                                <a:lnTo>
                                  <a:pt x="46101" y="5581"/>
                                </a:lnTo>
                                <a:lnTo>
                                  <a:pt x="48780" y="8334"/>
                                </a:lnTo>
                                <a:lnTo>
                                  <a:pt x="51459" y="10934"/>
                                </a:lnTo>
                                <a:lnTo>
                                  <a:pt x="53524" y="14068"/>
                                </a:lnTo>
                                <a:lnTo>
                                  <a:pt x="56424" y="21059"/>
                                </a:lnTo>
                                <a:lnTo>
                                  <a:pt x="57149" y="24784"/>
                                </a:lnTo>
                                <a:lnTo>
                                  <a:pt x="57149" y="32365"/>
                                </a:lnTo>
                                <a:lnTo>
                                  <a:pt x="39510" y="54844"/>
                                </a:lnTo>
                                <a:lnTo>
                                  <a:pt x="36009" y="56330"/>
                                </a:lnTo>
                                <a:lnTo>
                                  <a:pt x="32364" y="57073"/>
                                </a:lnTo>
                                <a:close/>
                              </a:path>
                              <a:path w="371475" h="57150">
                                <a:moveTo>
                                  <a:pt x="137044" y="57073"/>
                                </a:moveTo>
                                <a:lnTo>
                                  <a:pt x="129465" y="57073"/>
                                </a:lnTo>
                                <a:lnTo>
                                  <a:pt x="125820" y="56330"/>
                                </a:lnTo>
                                <a:lnTo>
                                  <a:pt x="106854" y="39366"/>
                                </a:lnTo>
                                <a:lnTo>
                                  <a:pt x="105404" y="35937"/>
                                </a:lnTo>
                                <a:lnTo>
                                  <a:pt x="104679" y="32365"/>
                                </a:lnTo>
                                <a:lnTo>
                                  <a:pt x="104679" y="24784"/>
                                </a:lnTo>
                                <a:lnTo>
                                  <a:pt x="105404" y="21059"/>
                                </a:lnTo>
                                <a:lnTo>
                                  <a:pt x="108304" y="14068"/>
                                </a:lnTo>
                                <a:lnTo>
                                  <a:pt x="110369" y="10934"/>
                                </a:lnTo>
                                <a:lnTo>
                                  <a:pt x="113049" y="8334"/>
                                </a:lnTo>
                                <a:lnTo>
                                  <a:pt x="115728" y="5581"/>
                                </a:lnTo>
                                <a:lnTo>
                                  <a:pt x="118818" y="3495"/>
                                </a:lnTo>
                                <a:lnTo>
                                  <a:pt x="125820" y="666"/>
                                </a:lnTo>
                                <a:lnTo>
                                  <a:pt x="129465" y="0"/>
                                </a:lnTo>
                                <a:lnTo>
                                  <a:pt x="137044" y="0"/>
                                </a:lnTo>
                                <a:lnTo>
                                  <a:pt x="140689" y="666"/>
                                </a:lnTo>
                                <a:lnTo>
                                  <a:pt x="147690" y="3495"/>
                                </a:lnTo>
                                <a:lnTo>
                                  <a:pt x="150780" y="5581"/>
                                </a:lnTo>
                                <a:lnTo>
                                  <a:pt x="153460" y="8334"/>
                                </a:lnTo>
                                <a:lnTo>
                                  <a:pt x="156139" y="10934"/>
                                </a:lnTo>
                                <a:lnTo>
                                  <a:pt x="158204" y="14068"/>
                                </a:lnTo>
                                <a:lnTo>
                                  <a:pt x="161104" y="21059"/>
                                </a:lnTo>
                                <a:lnTo>
                                  <a:pt x="161829" y="24784"/>
                                </a:lnTo>
                                <a:lnTo>
                                  <a:pt x="161829" y="32365"/>
                                </a:lnTo>
                                <a:lnTo>
                                  <a:pt x="144189" y="54844"/>
                                </a:lnTo>
                                <a:lnTo>
                                  <a:pt x="140689" y="56330"/>
                                </a:lnTo>
                                <a:lnTo>
                                  <a:pt x="137044" y="57073"/>
                                </a:lnTo>
                                <a:close/>
                              </a:path>
                              <a:path w="371475" h="57150">
                                <a:moveTo>
                                  <a:pt x="241723" y="57073"/>
                                </a:moveTo>
                                <a:lnTo>
                                  <a:pt x="234145" y="57073"/>
                                </a:lnTo>
                                <a:lnTo>
                                  <a:pt x="230500" y="56330"/>
                                </a:lnTo>
                                <a:lnTo>
                                  <a:pt x="211534" y="39366"/>
                                </a:lnTo>
                                <a:lnTo>
                                  <a:pt x="210084" y="35937"/>
                                </a:lnTo>
                                <a:lnTo>
                                  <a:pt x="209359" y="32365"/>
                                </a:lnTo>
                                <a:lnTo>
                                  <a:pt x="209359" y="24784"/>
                                </a:lnTo>
                                <a:lnTo>
                                  <a:pt x="210084" y="21059"/>
                                </a:lnTo>
                                <a:lnTo>
                                  <a:pt x="212984" y="14068"/>
                                </a:lnTo>
                                <a:lnTo>
                                  <a:pt x="215049" y="10934"/>
                                </a:lnTo>
                                <a:lnTo>
                                  <a:pt x="217728" y="8334"/>
                                </a:lnTo>
                                <a:lnTo>
                                  <a:pt x="220408" y="5581"/>
                                </a:lnTo>
                                <a:lnTo>
                                  <a:pt x="223498" y="3495"/>
                                </a:lnTo>
                                <a:lnTo>
                                  <a:pt x="230500" y="666"/>
                                </a:lnTo>
                                <a:lnTo>
                                  <a:pt x="234145" y="0"/>
                                </a:lnTo>
                                <a:lnTo>
                                  <a:pt x="241723" y="0"/>
                                </a:lnTo>
                                <a:lnTo>
                                  <a:pt x="245368" y="666"/>
                                </a:lnTo>
                                <a:lnTo>
                                  <a:pt x="252370" y="3495"/>
                                </a:lnTo>
                                <a:lnTo>
                                  <a:pt x="255460" y="5581"/>
                                </a:lnTo>
                                <a:lnTo>
                                  <a:pt x="258140" y="8334"/>
                                </a:lnTo>
                                <a:lnTo>
                                  <a:pt x="260819" y="10934"/>
                                </a:lnTo>
                                <a:lnTo>
                                  <a:pt x="262884" y="14068"/>
                                </a:lnTo>
                                <a:lnTo>
                                  <a:pt x="265784" y="21059"/>
                                </a:lnTo>
                                <a:lnTo>
                                  <a:pt x="266509" y="24784"/>
                                </a:lnTo>
                                <a:lnTo>
                                  <a:pt x="266509" y="32365"/>
                                </a:lnTo>
                                <a:lnTo>
                                  <a:pt x="248869" y="54844"/>
                                </a:lnTo>
                                <a:lnTo>
                                  <a:pt x="245368" y="56330"/>
                                </a:lnTo>
                                <a:lnTo>
                                  <a:pt x="241723" y="57073"/>
                                </a:lnTo>
                                <a:close/>
                              </a:path>
                              <a:path w="371475" h="57150">
                                <a:moveTo>
                                  <a:pt x="346403" y="57073"/>
                                </a:moveTo>
                                <a:lnTo>
                                  <a:pt x="338824" y="57073"/>
                                </a:lnTo>
                                <a:lnTo>
                                  <a:pt x="335179" y="56330"/>
                                </a:lnTo>
                                <a:lnTo>
                                  <a:pt x="316214" y="39366"/>
                                </a:lnTo>
                                <a:lnTo>
                                  <a:pt x="314764" y="35937"/>
                                </a:lnTo>
                                <a:lnTo>
                                  <a:pt x="314039" y="32365"/>
                                </a:lnTo>
                                <a:lnTo>
                                  <a:pt x="314039" y="24784"/>
                                </a:lnTo>
                                <a:lnTo>
                                  <a:pt x="314764" y="21059"/>
                                </a:lnTo>
                                <a:lnTo>
                                  <a:pt x="317664" y="14068"/>
                                </a:lnTo>
                                <a:lnTo>
                                  <a:pt x="319729" y="10934"/>
                                </a:lnTo>
                                <a:lnTo>
                                  <a:pt x="322408" y="8334"/>
                                </a:lnTo>
                                <a:lnTo>
                                  <a:pt x="325088" y="5581"/>
                                </a:lnTo>
                                <a:lnTo>
                                  <a:pt x="328178" y="3495"/>
                                </a:lnTo>
                                <a:lnTo>
                                  <a:pt x="335179" y="666"/>
                                </a:lnTo>
                                <a:lnTo>
                                  <a:pt x="338824" y="0"/>
                                </a:lnTo>
                                <a:lnTo>
                                  <a:pt x="346403" y="0"/>
                                </a:lnTo>
                                <a:lnTo>
                                  <a:pt x="350048" y="666"/>
                                </a:lnTo>
                                <a:lnTo>
                                  <a:pt x="357050" y="3495"/>
                                </a:lnTo>
                                <a:lnTo>
                                  <a:pt x="360140" y="5581"/>
                                </a:lnTo>
                                <a:lnTo>
                                  <a:pt x="362819" y="8334"/>
                                </a:lnTo>
                                <a:lnTo>
                                  <a:pt x="365499" y="10934"/>
                                </a:lnTo>
                                <a:lnTo>
                                  <a:pt x="367563" y="14068"/>
                                </a:lnTo>
                                <a:lnTo>
                                  <a:pt x="370464" y="21059"/>
                                </a:lnTo>
                                <a:lnTo>
                                  <a:pt x="371189" y="24784"/>
                                </a:lnTo>
                                <a:lnTo>
                                  <a:pt x="371189" y="32365"/>
                                </a:lnTo>
                                <a:lnTo>
                                  <a:pt x="353549" y="54844"/>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204" name="Graphic 204"/>
                        <wps:cNvSpPr/>
                        <wps:spPr>
                          <a:xfrm>
                            <a:off x="133337" y="1000134"/>
                            <a:ext cx="47625" cy="2809875"/>
                          </a:xfrm>
                          <a:custGeom>
                            <a:avLst/>
                            <a:gdLst/>
                            <a:ahLst/>
                            <a:cxnLst/>
                            <a:rect l="l" t="t" r="r" b="b"/>
                            <a:pathLst>
                              <a:path w="47625" h="2809875">
                                <a:moveTo>
                                  <a:pt x="47625" y="2782862"/>
                                </a:moveTo>
                                <a:lnTo>
                                  <a:pt x="47028" y="2779738"/>
                                </a:lnTo>
                                <a:lnTo>
                                  <a:pt x="44615" y="2773934"/>
                                </a:lnTo>
                                <a:lnTo>
                                  <a:pt x="42887" y="2771317"/>
                                </a:lnTo>
                                <a:lnTo>
                                  <a:pt x="40652" y="2769171"/>
                                </a:lnTo>
                                <a:lnTo>
                                  <a:pt x="38430" y="2766860"/>
                                </a:lnTo>
                                <a:lnTo>
                                  <a:pt x="35852" y="2765145"/>
                                </a:lnTo>
                                <a:lnTo>
                                  <a:pt x="30010" y="2762847"/>
                                </a:lnTo>
                                <a:lnTo>
                                  <a:pt x="26974" y="2762250"/>
                                </a:lnTo>
                                <a:lnTo>
                                  <a:pt x="20662" y="2762250"/>
                                </a:lnTo>
                                <a:lnTo>
                                  <a:pt x="17627" y="2762847"/>
                                </a:lnTo>
                                <a:lnTo>
                                  <a:pt x="11785" y="2765145"/>
                                </a:lnTo>
                                <a:lnTo>
                                  <a:pt x="9207" y="2766860"/>
                                </a:lnTo>
                                <a:lnTo>
                                  <a:pt x="6985" y="2769171"/>
                                </a:lnTo>
                                <a:lnTo>
                                  <a:pt x="4749" y="2771317"/>
                                </a:lnTo>
                                <a:lnTo>
                                  <a:pt x="3022" y="2773934"/>
                                </a:lnTo>
                                <a:lnTo>
                                  <a:pt x="609" y="2779738"/>
                                </a:lnTo>
                                <a:lnTo>
                                  <a:pt x="0" y="2782862"/>
                                </a:lnTo>
                                <a:lnTo>
                                  <a:pt x="0" y="2789110"/>
                                </a:lnTo>
                                <a:lnTo>
                                  <a:pt x="23812" y="2809875"/>
                                </a:lnTo>
                                <a:lnTo>
                                  <a:pt x="26974" y="2809798"/>
                                </a:lnTo>
                                <a:lnTo>
                                  <a:pt x="47625" y="2789110"/>
                                </a:lnTo>
                                <a:lnTo>
                                  <a:pt x="47625" y="2786062"/>
                                </a:lnTo>
                                <a:lnTo>
                                  <a:pt x="47625" y="2782862"/>
                                </a:lnTo>
                                <a:close/>
                              </a:path>
                              <a:path w="47625" h="2809875">
                                <a:moveTo>
                                  <a:pt x="47625" y="2249386"/>
                                </a:moveTo>
                                <a:lnTo>
                                  <a:pt x="47028" y="2246338"/>
                                </a:lnTo>
                                <a:lnTo>
                                  <a:pt x="44615" y="2240457"/>
                                </a:lnTo>
                                <a:lnTo>
                                  <a:pt x="42887" y="2237841"/>
                                </a:lnTo>
                                <a:lnTo>
                                  <a:pt x="40652" y="2235695"/>
                                </a:lnTo>
                                <a:lnTo>
                                  <a:pt x="38430" y="2233384"/>
                                </a:lnTo>
                                <a:lnTo>
                                  <a:pt x="35852" y="2231669"/>
                                </a:lnTo>
                                <a:lnTo>
                                  <a:pt x="30010" y="2229370"/>
                                </a:lnTo>
                                <a:lnTo>
                                  <a:pt x="26974" y="2228850"/>
                                </a:lnTo>
                                <a:lnTo>
                                  <a:pt x="20662" y="2228850"/>
                                </a:lnTo>
                                <a:lnTo>
                                  <a:pt x="17627" y="2229447"/>
                                </a:lnTo>
                                <a:lnTo>
                                  <a:pt x="11785" y="2231745"/>
                                </a:lnTo>
                                <a:lnTo>
                                  <a:pt x="9207" y="2233384"/>
                                </a:lnTo>
                                <a:lnTo>
                                  <a:pt x="6985" y="2235695"/>
                                </a:lnTo>
                                <a:lnTo>
                                  <a:pt x="4749" y="2237841"/>
                                </a:lnTo>
                                <a:lnTo>
                                  <a:pt x="3022" y="2240457"/>
                                </a:lnTo>
                                <a:lnTo>
                                  <a:pt x="609" y="2246261"/>
                                </a:lnTo>
                                <a:lnTo>
                                  <a:pt x="0" y="2249386"/>
                                </a:lnTo>
                                <a:lnTo>
                                  <a:pt x="0" y="2255786"/>
                                </a:lnTo>
                                <a:lnTo>
                                  <a:pt x="23812" y="2276475"/>
                                </a:lnTo>
                                <a:lnTo>
                                  <a:pt x="26974" y="2276398"/>
                                </a:lnTo>
                                <a:lnTo>
                                  <a:pt x="47625" y="2255786"/>
                                </a:lnTo>
                                <a:lnTo>
                                  <a:pt x="47625" y="2252662"/>
                                </a:lnTo>
                                <a:lnTo>
                                  <a:pt x="47625" y="2249386"/>
                                </a:lnTo>
                                <a:close/>
                              </a:path>
                              <a:path w="47625" h="2809875">
                                <a:moveTo>
                                  <a:pt x="47625" y="1906562"/>
                                </a:moveTo>
                                <a:lnTo>
                                  <a:pt x="26974" y="1885950"/>
                                </a:lnTo>
                                <a:lnTo>
                                  <a:pt x="20662" y="1885950"/>
                                </a:lnTo>
                                <a:lnTo>
                                  <a:pt x="0" y="1906562"/>
                                </a:lnTo>
                                <a:lnTo>
                                  <a:pt x="0" y="1912810"/>
                                </a:lnTo>
                                <a:lnTo>
                                  <a:pt x="20662" y="1933575"/>
                                </a:lnTo>
                                <a:lnTo>
                                  <a:pt x="26974" y="1933575"/>
                                </a:lnTo>
                                <a:lnTo>
                                  <a:pt x="47625" y="1912810"/>
                                </a:lnTo>
                                <a:lnTo>
                                  <a:pt x="47625" y="1909762"/>
                                </a:lnTo>
                                <a:lnTo>
                                  <a:pt x="47625" y="1906562"/>
                                </a:lnTo>
                                <a:close/>
                              </a:path>
                              <a:path w="47625" h="2809875">
                                <a:moveTo>
                                  <a:pt x="47625" y="706412"/>
                                </a:moveTo>
                                <a:lnTo>
                                  <a:pt x="47028" y="703364"/>
                                </a:lnTo>
                                <a:lnTo>
                                  <a:pt x="44615" y="697547"/>
                                </a:lnTo>
                                <a:lnTo>
                                  <a:pt x="42887" y="694944"/>
                                </a:lnTo>
                                <a:lnTo>
                                  <a:pt x="40652" y="692785"/>
                                </a:lnTo>
                                <a:lnTo>
                                  <a:pt x="38430" y="690486"/>
                                </a:lnTo>
                                <a:lnTo>
                                  <a:pt x="35852" y="688695"/>
                                </a:lnTo>
                                <a:lnTo>
                                  <a:pt x="30010" y="686396"/>
                                </a:lnTo>
                                <a:lnTo>
                                  <a:pt x="26974" y="685800"/>
                                </a:lnTo>
                                <a:lnTo>
                                  <a:pt x="20662" y="685800"/>
                                </a:lnTo>
                                <a:lnTo>
                                  <a:pt x="17627" y="686396"/>
                                </a:lnTo>
                                <a:lnTo>
                                  <a:pt x="11785" y="688695"/>
                                </a:lnTo>
                                <a:lnTo>
                                  <a:pt x="9207" y="690486"/>
                                </a:lnTo>
                                <a:lnTo>
                                  <a:pt x="6985" y="692785"/>
                                </a:lnTo>
                                <a:lnTo>
                                  <a:pt x="4749" y="694944"/>
                                </a:lnTo>
                                <a:lnTo>
                                  <a:pt x="3022" y="697547"/>
                                </a:lnTo>
                                <a:lnTo>
                                  <a:pt x="609" y="703364"/>
                                </a:lnTo>
                                <a:lnTo>
                                  <a:pt x="0" y="706412"/>
                                </a:lnTo>
                                <a:lnTo>
                                  <a:pt x="0" y="712660"/>
                                </a:lnTo>
                                <a:lnTo>
                                  <a:pt x="20662" y="733425"/>
                                </a:lnTo>
                                <a:lnTo>
                                  <a:pt x="26974" y="733425"/>
                                </a:lnTo>
                                <a:lnTo>
                                  <a:pt x="47625" y="712660"/>
                                </a:lnTo>
                                <a:lnTo>
                                  <a:pt x="47625" y="709612"/>
                                </a:lnTo>
                                <a:lnTo>
                                  <a:pt x="47625" y="706412"/>
                                </a:lnTo>
                                <a:close/>
                              </a:path>
                              <a:path w="47625" h="2809875">
                                <a:moveTo>
                                  <a:pt x="47625" y="20612"/>
                                </a:moveTo>
                                <a:lnTo>
                                  <a:pt x="26974" y="0"/>
                                </a:lnTo>
                                <a:lnTo>
                                  <a:pt x="20662" y="0"/>
                                </a:lnTo>
                                <a:lnTo>
                                  <a:pt x="0" y="20612"/>
                                </a:lnTo>
                                <a:lnTo>
                                  <a:pt x="0" y="26860"/>
                                </a:lnTo>
                                <a:lnTo>
                                  <a:pt x="23812" y="47625"/>
                                </a:lnTo>
                                <a:lnTo>
                                  <a:pt x="26974" y="47548"/>
                                </a:lnTo>
                                <a:lnTo>
                                  <a:pt x="47625" y="26860"/>
                                </a:lnTo>
                                <a:lnTo>
                                  <a:pt x="47625" y="23812"/>
                                </a:lnTo>
                                <a:lnTo>
                                  <a:pt x="47625" y="20612"/>
                                </a:lnTo>
                                <a:close/>
                              </a:path>
                            </a:pathLst>
                          </a:custGeom>
                          <a:solidFill>
                            <a:srgbClr val="2B816F"/>
                          </a:solidFill>
                        </wps:spPr>
                        <wps:bodyPr wrap="square" lIns="0" tIns="0" rIns="0" bIns="0" rtlCol="0">
                          <a:prstTxWarp prst="textNoShape">
                            <a:avLst/>
                          </a:prstTxWarp>
                          <a:noAutofit/>
                        </wps:bodyPr>
                      </wps:wsp>
                    </wpg:wgp>
                  </a:graphicData>
                </a:graphic>
              </wp:anchor>
            </w:drawing>
          </mc:Choice>
          <mc:Fallback>
            <w:pict>
              <v:group style="position:absolute;margin-left:77.25pt;margin-top:-22.007399pt;width:457.5pt;height:349.5pt;mso-position-horizontal-relative:page;mso-position-vertical-relative:paragraph;z-index:-18740224" id="docshapegroup176" coordorigin="1545,-440" coordsize="9150,6990">
                <v:rect style="position:absolute;left:1545;top:-441;width:9150;height:30" id="docshape177" filled="true" fillcolor="#d5e699" stroked="false">
                  <v:fill type="solid"/>
                </v:rect>
                <v:rect style="position:absolute;left:1545;top:729;width:9150;height:5820" id="docshape178" filled="true" fillcolor="#e9f1cd" stroked="false">
                  <v:fill type="solid"/>
                </v:rect>
                <v:rect style="position:absolute;left:1545;top:-351;width:9150;height:1080" id="docshape179" filled="true" fillcolor="#2b816f" stroked="false">
                  <v:fill type="solid"/>
                </v:rect>
                <v:shape style="position:absolute;left:1875;top:-81;width:585;height:90" id="docshape180" coordorigin="1875,-80" coordsize="585,90" path="m1926,10l1914,10,1908,9,1902,6,1897,4,1892,1,1888,-3,1884,-8,1881,-13,1878,-18,1876,-23,1875,-29,1875,-41,1876,-47,1881,-58,1884,-63,1888,-67,1892,-71,1897,-75,1908,-79,1914,-80,1926,-80,1932,-79,1943,-75,1948,-71,1952,-67,1956,-63,1959,-58,1964,-47,1965,-41,1965,-29,1964,-23,1959,-13,1956,-8,1952,-3,1948,1,1943,4,1937,6,1932,9,1926,10xm2091,10l2079,10,2073,9,2067,6,2062,4,2057,1,2053,-3,2049,-8,2046,-13,2043,-18,2041,-23,2040,-29,2040,-41,2041,-47,2046,-58,2049,-63,2053,-67,2057,-71,2062,-75,2073,-79,2079,-80,2091,-80,2097,-79,2108,-75,2112,-71,2117,-67,2121,-63,2124,-58,2129,-47,2130,-41,2130,-29,2129,-23,2124,-13,2121,-8,2117,-3,2112,1,2108,4,2102,6,2097,9,2091,10xm2256,10l2244,10,2238,9,2232,6,2227,4,2222,1,2218,-3,2214,-8,2210,-13,2208,-18,2206,-23,2205,-29,2205,-41,2206,-47,2210,-58,2214,-63,2218,-67,2222,-71,2227,-75,2238,-79,2244,-80,2256,-80,2261,-79,2272,-75,2277,-71,2282,-67,2286,-63,2289,-58,2294,-47,2295,-41,2295,-29,2294,-23,2289,-13,2286,-8,2282,-3,2277,1,2272,4,2267,6,2261,9,2256,10xm2421,10l2409,10,2403,9,2397,6,2392,4,2387,1,2383,-3,2379,-8,2375,-13,2373,-18,2371,-23,2370,-29,2370,-41,2371,-47,2375,-58,2379,-63,2383,-67,2387,-71,2392,-75,2403,-79,2409,-80,2421,-80,2426,-79,2437,-75,2442,-71,2446,-67,2451,-63,2454,-58,2458,-47,2460,-41,2460,-29,2458,-23,2454,-13,2451,-8,2446,-3,2442,1,2437,4,2432,6,2426,9,2421,10xe" filled="true" fillcolor="#d0e399" stroked="false">
                  <v:path arrowok="t"/>
                  <v:fill type="solid"/>
                </v:shape>
                <v:shape style="position:absolute;left:1754;top:1134;width:75;height:4425" id="docshape181" coordorigin="1755,1135" coordsize="75,4425" path="m1830,5517l1829,5512,1825,5503,1823,5499,1819,5496,1816,5492,1811,5489,1802,5486,1797,5485,1788,5485,1783,5486,1774,5489,1769,5492,1766,5496,1762,5499,1760,5503,1756,5512,1755,5517,1755,5527,1756,5532,1760,5541,1762,5545,1769,5552,1774,5555,1783,5559,1788,5560,1792,5560,1797,5560,1802,5559,1811,5555,1816,5552,1823,5545,1825,5541,1829,5532,1830,5527,1830,5522,1830,5517xm1830,4677l1829,4672,1825,4663,1823,4659,1819,4656,1816,4652,1811,4649,1802,4646,1797,4645,1788,4645,1783,4646,1774,4649,1769,4652,1766,4656,1762,4659,1760,4663,1756,4672,1755,4677,1755,4687,1756,4692,1760,4701,1762,4705,1766,4709,1769,4712,1774,4715,1783,4719,1788,4720,1792,4720,1797,4720,1802,4719,1811,4715,1816,4712,1819,4709,1823,4705,1825,4701,1829,4692,1830,4687,1830,4682,1830,4677xm1830,4137l1829,4133,1825,4123,1823,4119,1816,4112,1811,4110,1802,4106,1797,4105,1788,4105,1783,4106,1774,4110,1769,4112,1762,4119,1760,4123,1756,4133,1755,4137,1755,4147,1756,4152,1760,4161,1762,4165,1766,4169,1769,4172,1774,4175,1783,4179,1788,4180,1797,4180,1802,4179,1811,4175,1816,4172,1819,4169,1823,4165,1825,4161,1829,4152,1830,4147,1830,4142,1830,4137xm1830,2247l1829,2243,1825,2233,1823,2229,1819,2226,1816,2222,1811,2219,1802,2216,1797,2215,1788,2215,1783,2216,1774,2219,1769,2222,1766,2226,1762,2229,1760,2233,1756,2243,1755,2247,1755,2257,1756,2262,1760,2271,1762,2275,1766,2279,1769,2282,1774,2285,1783,2289,1788,2290,1797,2290,1802,2289,1811,2285,1816,2282,1819,2279,1823,2275,1825,2271,1829,2262,1830,2257,1830,2252,1830,2247xm1830,1167l1829,1162,1825,1153,1823,1149,1816,1142,1811,1139,1802,1136,1797,1135,1788,1135,1783,1136,1774,1139,1769,1142,1762,1149,1760,1153,1756,1162,1755,1167,1755,1177,1756,1182,1760,1191,1762,1195,1769,1202,1774,1205,1783,1209,1788,1210,1792,1210,1797,1210,1802,1209,1811,1205,1816,1202,1823,1195,1825,1191,1829,1182,1830,1177,1830,1172,1830,1167xe" filled="true" fillcolor="#2b816f" stroked="false">
                  <v:path arrowok="t"/>
                  <v:fill type="solid"/>
                </v:shape>
                <w10:wrap type="none"/>
              </v:group>
            </w:pict>
          </mc:Fallback>
        </mc:AlternateContent>
      </w:r>
      <w:r>
        <w:rPr>
          <w:color w:val="FFFFFF"/>
        </w:rPr>
        <w:t>Key</w:t>
      </w:r>
      <w:r>
        <w:rPr>
          <w:color w:val="FFFFFF"/>
          <w:spacing w:val="21"/>
        </w:rPr>
        <w:t> </w:t>
      </w:r>
      <w:r>
        <w:rPr>
          <w:color w:val="FFFFFF"/>
        </w:rPr>
        <w:t>Points:</w:t>
      </w:r>
      <w:r>
        <w:rPr>
          <w:color w:val="FFFFFF"/>
          <w:spacing w:val="21"/>
        </w:rPr>
        <w:t> </w:t>
      </w:r>
      <w:r>
        <w:rPr>
          <w:color w:val="FFFFFF"/>
        </w:rPr>
        <w:t>Hormones</w:t>
      </w:r>
      <w:r>
        <w:rPr>
          <w:color w:val="FFFFFF"/>
          <w:spacing w:val="22"/>
        </w:rPr>
        <w:t> </w:t>
      </w:r>
      <w:r>
        <w:rPr>
          <w:color w:val="FFFFFF"/>
        </w:rPr>
        <w:t>and</w:t>
      </w:r>
      <w:r>
        <w:rPr>
          <w:color w:val="FFFFFF"/>
          <w:spacing w:val="21"/>
        </w:rPr>
        <w:t> </w:t>
      </w:r>
      <w:r>
        <w:rPr>
          <w:color w:val="FFFFFF"/>
        </w:rPr>
        <w:t>Coronary</w:t>
      </w:r>
      <w:r>
        <w:rPr>
          <w:color w:val="FFFFFF"/>
          <w:spacing w:val="21"/>
        </w:rPr>
        <w:t> </w:t>
      </w:r>
      <w:r>
        <w:rPr>
          <w:color w:val="FFFFFF"/>
        </w:rPr>
        <w:t>Heart</w:t>
      </w:r>
      <w:r>
        <w:rPr>
          <w:color w:val="FFFFFF"/>
          <w:spacing w:val="22"/>
        </w:rPr>
        <w:t> </w:t>
      </w:r>
      <w:r>
        <w:rPr>
          <w:color w:val="FFFFFF"/>
          <w:spacing w:val="-2"/>
        </w:rPr>
        <w:t>Disease</w:t>
      </w:r>
    </w:p>
    <w:p>
      <w:pPr>
        <w:pStyle w:val="BodyText"/>
        <w:spacing w:before="0"/>
        <w:ind w:left="0"/>
        <w:jc w:val="left"/>
        <w:rPr>
          <w:rFonts w:ascii="Arial"/>
          <w:sz w:val="22"/>
        </w:rPr>
      </w:pPr>
    </w:p>
    <w:p>
      <w:pPr>
        <w:pStyle w:val="BodyText"/>
        <w:spacing w:before="149"/>
        <w:ind w:left="0"/>
        <w:jc w:val="left"/>
        <w:rPr>
          <w:rFonts w:ascii="Arial"/>
          <w:sz w:val="22"/>
        </w:rPr>
      </w:pPr>
    </w:p>
    <w:p>
      <w:pPr>
        <w:spacing w:line="256" w:lineRule="auto" w:before="0"/>
        <w:ind w:left="549" w:right="848" w:firstLine="0"/>
        <w:jc w:val="both"/>
        <w:rPr>
          <w:b/>
          <w:sz w:val="22"/>
        </w:rPr>
      </w:pPr>
      <w:r>
        <w:rPr>
          <w:b/>
          <w:sz w:val="22"/>
        </w:rPr>
        <w:t>The</w:t>
      </w:r>
      <w:r>
        <w:rPr>
          <w:b/>
          <w:spacing w:val="40"/>
          <w:sz w:val="22"/>
        </w:rPr>
        <w:t> </w:t>
      </w:r>
      <w:r>
        <w:rPr>
          <w:b/>
          <w:sz w:val="22"/>
        </w:rPr>
        <w:t>message</w:t>
      </w:r>
      <w:r>
        <w:rPr>
          <w:b/>
          <w:spacing w:val="40"/>
          <w:sz w:val="22"/>
        </w:rPr>
        <w:t> </w:t>
      </w:r>
      <w:r>
        <w:rPr>
          <w:b/>
          <w:sz w:val="22"/>
        </w:rPr>
        <w:t>from</w:t>
      </w:r>
      <w:r>
        <w:rPr>
          <w:b/>
          <w:spacing w:val="40"/>
          <w:sz w:val="22"/>
        </w:rPr>
        <w:t> </w:t>
      </w:r>
      <w:r>
        <w:rPr>
          <w:b/>
          <w:sz w:val="22"/>
        </w:rPr>
        <w:t>multiple</w:t>
      </w:r>
      <w:r>
        <w:rPr>
          <w:b/>
          <w:spacing w:val="40"/>
          <w:sz w:val="22"/>
        </w:rPr>
        <w:t> </w:t>
      </w:r>
      <w:r>
        <w:rPr>
          <w:b/>
          <w:sz w:val="22"/>
        </w:rPr>
        <w:t>secondary</w:t>
      </w:r>
      <w:r>
        <w:rPr>
          <w:b/>
          <w:spacing w:val="40"/>
          <w:sz w:val="22"/>
        </w:rPr>
        <w:t> </w:t>
      </w:r>
      <w:r>
        <w:rPr>
          <w:b/>
          <w:sz w:val="22"/>
        </w:rPr>
        <w:t>prevention</w:t>
      </w:r>
      <w:r>
        <w:rPr>
          <w:b/>
          <w:spacing w:val="40"/>
          <w:sz w:val="22"/>
        </w:rPr>
        <w:t> </w:t>
      </w:r>
      <w:r>
        <w:rPr>
          <w:b/>
          <w:sz w:val="22"/>
        </w:rPr>
        <w:t>trials</w:t>
      </w:r>
      <w:r>
        <w:rPr>
          <w:b/>
          <w:spacing w:val="40"/>
          <w:sz w:val="22"/>
        </w:rPr>
        <w:t> </w:t>
      </w:r>
      <w:r>
        <w:rPr>
          <w:b/>
          <w:sz w:val="22"/>
        </w:rPr>
        <w:t>is</w:t>
      </w:r>
      <w:r>
        <w:rPr>
          <w:b/>
          <w:spacing w:val="40"/>
          <w:sz w:val="22"/>
        </w:rPr>
        <w:t> </w:t>
      </w:r>
      <w:r>
        <w:rPr>
          <w:b/>
          <w:sz w:val="22"/>
        </w:rPr>
        <w:t>clear:</w:t>
      </w:r>
      <w:r>
        <w:rPr>
          <w:b/>
          <w:spacing w:val="40"/>
          <w:sz w:val="22"/>
        </w:rPr>
        <w:t> </w:t>
      </w:r>
      <w:r>
        <w:rPr>
          <w:b/>
          <w:sz w:val="22"/>
        </w:rPr>
        <w:t>Exogenous estrogen</w:t>
      </w:r>
      <w:r>
        <w:rPr>
          <w:b/>
          <w:spacing w:val="40"/>
          <w:sz w:val="22"/>
        </w:rPr>
        <w:t> </w:t>
      </w:r>
      <w:r>
        <w:rPr>
          <w:b/>
          <w:sz w:val="22"/>
        </w:rPr>
        <w:t>should</w:t>
      </w:r>
      <w:r>
        <w:rPr>
          <w:b/>
          <w:spacing w:val="40"/>
          <w:sz w:val="22"/>
        </w:rPr>
        <w:t> </w:t>
      </w:r>
      <w:r>
        <w:rPr>
          <w:b/>
          <w:sz w:val="22"/>
        </w:rPr>
        <w:t>be</w:t>
      </w:r>
      <w:r>
        <w:rPr>
          <w:b/>
          <w:spacing w:val="40"/>
          <w:sz w:val="22"/>
        </w:rPr>
        <w:t> </w:t>
      </w:r>
      <w:r>
        <w:rPr>
          <w:b/>
          <w:sz w:val="22"/>
        </w:rPr>
        <w:t>avoided</w:t>
      </w:r>
      <w:r>
        <w:rPr>
          <w:b/>
          <w:spacing w:val="40"/>
          <w:sz w:val="22"/>
        </w:rPr>
        <w:t> </w:t>
      </w:r>
      <w:r>
        <w:rPr>
          <w:b/>
          <w:sz w:val="22"/>
        </w:rPr>
        <w:t>in</w:t>
      </w:r>
      <w:r>
        <w:rPr>
          <w:b/>
          <w:spacing w:val="40"/>
          <w:sz w:val="22"/>
        </w:rPr>
        <w:t> </w:t>
      </w:r>
      <w:r>
        <w:rPr>
          <w:b/>
          <w:sz w:val="22"/>
        </w:rPr>
        <w:t>postmenopausal</w:t>
      </w:r>
      <w:r>
        <w:rPr>
          <w:b/>
          <w:spacing w:val="40"/>
          <w:sz w:val="22"/>
        </w:rPr>
        <w:t> </w:t>
      </w:r>
      <w:r>
        <w:rPr>
          <w:b/>
          <w:sz w:val="22"/>
        </w:rPr>
        <w:t>women</w:t>
      </w:r>
      <w:r>
        <w:rPr>
          <w:b/>
          <w:spacing w:val="40"/>
          <w:sz w:val="22"/>
        </w:rPr>
        <w:t> </w:t>
      </w:r>
      <w:r>
        <w:rPr>
          <w:b/>
          <w:sz w:val="22"/>
        </w:rPr>
        <w:t>with</w:t>
      </w:r>
      <w:r>
        <w:rPr>
          <w:b/>
          <w:spacing w:val="40"/>
          <w:sz w:val="22"/>
        </w:rPr>
        <w:t> </w:t>
      </w:r>
      <w:r>
        <w:rPr>
          <w:b/>
          <w:sz w:val="22"/>
        </w:rPr>
        <w:t>existing</w:t>
      </w:r>
      <w:r>
        <w:rPr>
          <w:b/>
          <w:spacing w:val="40"/>
          <w:sz w:val="22"/>
        </w:rPr>
        <w:t> </w:t>
      </w:r>
      <w:r>
        <w:rPr>
          <w:b/>
          <w:sz w:val="22"/>
        </w:rPr>
        <w:t>CHD,</w:t>
      </w:r>
      <w:r>
        <w:rPr>
          <w:b/>
          <w:spacing w:val="40"/>
          <w:sz w:val="22"/>
        </w:rPr>
        <w:t> </w:t>
      </w:r>
      <w:r>
        <w:rPr>
          <w:b/>
          <w:sz w:val="22"/>
        </w:rPr>
        <w:t>and there</w:t>
      </w:r>
      <w:r>
        <w:rPr>
          <w:b/>
          <w:spacing w:val="40"/>
          <w:sz w:val="22"/>
        </w:rPr>
        <w:t> </w:t>
      </w:r>
      <w:r>
        <w:rPr>
          <w:b/>
          <w:sz w:val="22"/>
        </w:rPr>
        <w:t>are</w:t>
      </w:r>
      <w:r>
        <w:rPr>
          <w:b/>
          <w:spacing w:val="40"/>
          <w:sz w:val="22"/>
        </w:rPr>
        <w:t> </w:t>
      </w:r>
      <w:r>
        <w:rPr>
          <w:b/>
          <w:sz w:val="22"/>
        </w:rPr>
        <w:t>no</w:t>
      </w:r>
      <w:r>
        <w:rPr>
          <w:b/>
          <w:spacing w:val="40"/>
          <w:sz w:val="22"/>
        </w:rPr>
        <w:t> </w:t>
      </w:r>
      <w:r>
        <w:rPr>
          <w:b/>
          <w:sz w:val="22"/>
        </w:rPr>
        <w:t>grounds</w:t>
      </w:r>
      <w:r>
        <w:rPr>
          <w:b/>
          <w:spacing w:val="40"/>
          <w:sz w:val="22"/>
        </w:rPr>
        <w:t> </w:t>
      </w:r>
      <w:r>
        <w:rPr>
          <w:b/>
          <w:sz w:val="22"/>
        </w:rPr>
        <w:t>for</w:t>
      </w:r>
      <w:r>
        <w:rPr>
          <w:b/>
          <w:spacing w:val="40"/>
          <w:sz w:val="22"/>
        </w:rPr>
        <w:t> </w:t>
      </w:r>
      <w:r>
        <w:rPr>
          <w:b/>
          <w:sz w:val="22"/>
        </w:rPr>
        <w:t>an</w:t>
      </w:r>
      <w:r>
        <w:rPr>
          <w:b/>
          <w:spacing w:val="40"/>
          <w:sz w:val="22"/>
        </w:rPr>
        <w:t> </w:t>
      </w:r>
      <w:r>
        <w:rPr>
          <w:b/>
          <w:sz w:val="22"/>
        </w:rPr>
        <w:t>expectation</w:t>
      </w:r>
      <w:r>
        <w:rPr>
          <w:b/>
          <w:spacing w:val="40"/>
          <w:sz w:val="22"/>
        </w:rPr>
        <w:t> </w:t>
      </w:r>
      <w:r>
        <w:rPr>
          <w:b/>
          <w:sz w:val="22"/>
        </w:rPr>
        <w:t>that</w:t>
      </w:r>
      <w:r>
        <w:rPr>
          <w:b/>
          <w:spacing w:val="40"/>
          <w:sz w:val="22"/>
        </w:rPr>
        <w:t> </w:t>
      </w:r>
      <w:r>
        <w:rPr>
          <w:b/>
          <w:sz w:val="22"/>
        </w:rPr>
        <w:t>such</w:t>
      </w:r>
      <w:r>
        <w:rPr>
          <w:b/>
          <w:spacing w:val="40"/>
          <w:sz w:val="22"/>
        </w:rPr>
        <w:t> </w:t>
      </w:r>
      <w:r>
        <w:rPr>
          <w:b/>
          <w:sz w:val="22"/>
        </w:rPr>
        <w:t>treatment</w:t>
      </w:r>
      <w:r>
        <w:rPr>
          <w:b/>
          <w:spacing w:val="40"/>
          <w:sz w:val="22"/>
        </w:rPr>
        <w:t> </w:t>
      </w:r>
      <w:r>
        <w:rPr>
          <w:b/>
          <w:sz w:val="22"/>
        </w:rPr>
        <w:t>will</w:t>
      </w:r>
      <w:r>
        <w:rPr>
          <w:b/>
          <w:spacing w:val="40"/>
          <w:sz w:val="22"/>
        </w:rPr>
        <w:t> </w:t>
      </w:r>
      <w:r>
        <w:rPr>
          <w:b/>
          <w:sz w:val="22"/>
        </w:rPr>
        <w:t>reduce subsequent cardiac events.</w:t>
      </w:r>
    </w:p>
    <w:p>
      <w:pPr>
        <w:spacing w:line="256" w:lineRule="auto" w:before="0"/>
        <w:ind w:left="549" w:right="851" w:firstLine="0"/>
        <w:jc w:val="both"/>
        <w:rPr>
          <w:b/>
          <w:sz w:val="22"/>
        </w:rPr>
      </w:pPr>
      <w:r>
        <w:rPr>
          <w:b/>
          <w:sz w:val="22"/>
        </w:rPr>
        <w:t>Evidence from primary prevention clinical trials, while less clear, suggests that</w:t>
      </w:r>
      <w:r>
        <w:rPr>
          <w:b/>
          <w:spacing w:val="80"/>
          <w:w w:val="150"/>
          <w:sz w:val="22"/>
        </w:rPr>
        <w:t> </w:t>
      </w:r>
      <w:r>
        <w:rPr>
          <w:b/>
          <w:sz w:val="22"/>
        </w:rPr>
        <w:t>early initiation of estrogen may confer cardioprotective effects </w:t>
      </w:r>
      <w:r>
        <w:rPr>
          <w:sz w:val="22"/>
        </w:rPr>
        <w:t>(</w:t>
      </w:r>
      <w:r>
        <w:rPr>
          <w:b/>
          <w:sz w:val="22"/>
        </w:rPr>
        <w:t>as evident in the ELITE trial</w:t>
      </w:r>
      <w:r>
        <w:rPr>
          <w:sz w:val="22"/>
        </w:rPr>
        <w:t>)</w:t>
      </w:r>
      <w:r>
        <w:rPr>
          <w:b/>
          <w:sz w:val="22"/>
        </w:rPr>
        <w:t>; however, additional studies are needed to establish consistency of</w:t>
      </w:r>
      <w:r>
        <w:rPr>
          <w:b/>
          <w:spacing w:val="80"/>
          <w:sz w:val="22"/>
        </w:rPr>
        <w:t> </w:t>
      </w:r>
      <w:r>
        <w:rPr>
          <w:b/>
          <w:sz w:val="22"/>
        </w:rPr>
        <w:t>such a benefit across populations and to clarify if such benefit may depend on the type and dose of estrogen formulation, given the discrepant findings between</w:t>
      </w:r>
      <w:r>
        <w:rPr>
          <w:b/>
          <w:spacing w:val="80"/>
          <w:sz w:val="22"/>
        </w:rPr>
        <w:t> </w:t>
      </w:r>
      <w:r>
        <w:rPr>
          <w:b/>
          <w:sz w:val="22"/>
        </w:rPr>
        <w:t>ELITE and KEEPS trials. Until clarity is attained, cardioprotection alone </w:t>
      </w:r>
      <w:r>
        <w:rPr>
          <w:b/>
          <w:sz w:val="22"/>
        </w:rPr>
        <w:t>should</w:t>
      </w:r>
      <w:r>
        <w:rPr>
          <w:b/>
          <w:spacing w:val="80"/>
          <w:sz w:val="22"/>
        </w:rPr>
        <w:t> </w:t>
      </w:r>
      <w:r>
        <w:rPr>
          <w:b/>
          <w:sz w:val="22"/>
        </w:rPr>
        <w:t>not be used as an indication for prescribing HT.</w:t>
      </w:r>
    </w:p>
    <w:p>
      <w:pPr>
        <w:spacing w:line="256" w:lineRule="auto" w:before="0"/>
        <w:ind w:left="549" w:right="854" w:firstLine="0"/>
        <w:jc w:val="both"/>
        <w:rPr>
          <w:b/>
          <w:sz w:val="22"/>
        </w:rPr>
      </w:pPr>
      <w:r>
        <w:rPr>
          <w:b/>
          <w:sz w:val="22"/>
        </w:rPr>
        <w:t>A reasonable goal is to maintain a healthy level of estrogen during the premenopausal years and in the early postmenopausal period.</w:t>
      </w:r>
    </w:p>
    <w:p>
      <w:pPr>
        <w:spacing w:line="271" w:lineRule="auto" w:before="0"/>
        <w:ind w:left="549" w:right="861" w:firstLine="0"/>
        <w:jc w:val="both"/>
        <w:rPr>
          <w:sz w:val="22"/>
        </w:rPr>
      </w:pPr>
      <w:r>
        <w:rPr>
          <w:b/>
          <w:w w:val="105"/>
          <w:sz w:val="22"/>
        </w:rPr>
        <w:t>Experimental</w:t>
      </w:r>
      <w:r>
        <w:rPr>
          <w:b/>
          <w:w w:val="105"/>
          <w:sz w:val="22"/>
        </w:rPr>
        <w:t> evidence</w:t>
      </w:r>
      <w:r>
        <w:rPr>
          <w:b/>
          <w:w w:val="105"/>
          <w:sz w:val="22"/>
        </w:rPr>
        <w:t> in</w:t>
      </w:r>
      <w:r>
        <w:rPr>
          <w:b/>
          <w:w w:val="105"/>
          <w:sz w:val="22"/>
        </w:rPr>
        <w:t> the</w:t>
      </w:r>
      <w:r>
        <w:rPr>
          <w:b/>
          <w:w w:val="105"/>
          <w:sz w:val="22"/>
        </w:rPr>
        <w:t> monkey</w:t>
      </w:r>
      <w:r>
        <w:rPr>
          <w:b/>
          <w:w w:val="105"/>
          <w:sz w:val="22"/>
        </w:rPr>
        <w:t> indicates</w:t>
      </w:r>
      <w:r>
        <w:rPr>
          <w:b/>
          <w:w w:val="105"/>
          <w:sz w:val="22"/>
        </w:rPr>
        <w:t> that</w:t>
      </w:r>
      <w:r>
        <w:rPr>
          <w:b/>
          <w:w w:val="105"/>
          <w:sz w:val="22"/>
        </w:rPr>
        <w:t> the</w:t>
      </w:r>
      <w:r>
        <w:rPr>
          <w:b/>
          <w:w w:val="105"/>
          <w:sz w:val="22"/>
        </w:rPr>
        <w:t> beneficial</w:t>
      </w:r>
      <w:r>
        <w:rPr>
          <w:b/>
          <w:w w:val="105"/>
          <w:sz w:val="22"/>
        </w:rPr>
        <w:t> effects</w:t>
      </w:r>
      <w:r>
        <w:rPr>
          <w:b/>
          <w:w w:val="105"/>
          <w:sz w:val="22"/>
        </w:rPr>
        <w:t> of hormonal</w:t>
      </w:r>
      <w:r>
        <w:rPr>
          <w:b/>
          <w:w w:val="105"/>
          <w:sz w:val="22"/>
        </w:rPr>
        <w:t> treatment</w:t>
      </w:r>
      <w:r>
        <w:rPr>
          <w:b/>
          <w:w w:val="105"/>
          <w:sz w:val="22"/>
        </w:rPr>
        <w:t> are</w:t>
      </w:r>
      <w:r>
        <w:rPr>
          <w:b/>
          <w:w w:val="105"/>
          <w:sz w:val="22"/>
        </w:rPr>
        <w:t> progressively</w:t>
      </w:r>
      <w:r>
        <w:rPr>
          <w:b/>
          <w:w w:val="105"/>
          <w:sz w:val="22"/>
        </w:rPr>
        <w:t> diminished</w:t>
      </w:r>
      <w:r>
        <w:rPr>
          <w:b/>
          <w:w w:val="105"/>
          <w:sz w:val="22"/>
        </w:rPr>
        <w:t> with</w:t>
      </w:r>
      <w:r>
        <w:rPr>
          <w:b/>
          <w:w w:val="105"/>
          <w:sz w:val="22"/>
        </w:rPr>
        <w:t> </w:t>
      </w:r>
      <w:r>
        <w:rPr>
          <w:b/>
          <w:w w:val="105"/>
          <w:sz w:val="22"/>
        </w:rPr>
        <w:t>increasing </w:t>
      </w:r>
      <w:r>
        <w:rPr>
          <w:b/>
          <w:spacing w:val="-2"/>
          <w:w w:val="105"/>
          <w:sz w:val="22"/>
        </w:rPr>
        <w:t>atherosclerosis.</w:t>
      </w:r>
      <w:r>
        <w:rPr>
          <w:spacing w:val="-2"/>
          <w:w w:val="105"/>
          <w:sz w:val="22"/>
          <w:vertAlign w:val="superscript"/>
        </w:rPr>
        <w:t>463</w:t>
      </w:r>
    </w:p>
    <w:p>
      <w:pPr>
        <w:spacing w:line="235" w:lineRule="exact" w:before="0"/>
        <w:ind w:left="549" w:right="0" w:firstLine="0"/>
        <w:jc w:val="both"/>
        <w:rPr>
          <w:b/>
          <w:sz w:val="22"/>
        </w:rPr>
      </w:pPr>
      <w:r>
        <w:rPr>
          <w:b/>
          <w:sz w:val="22"/>
        </w:rPr>
        <w:t>In</w:t>
      </w:r>
      <w:r>
        <w:rPr>
          <w:b/>
          <w:spacing w:val="79"/>
          <w:sz w:val="22"/>
        </w:rPr>
        <w:t> </w:t>
      </w:r>
      <w:r>
        <w:rPr>
          <w:b/>
          <w:sz w:val="22"/>
        </w:rPr>
        <w:t>postmenopausal</w:t>
      </w:r>
      <w:r>
        <w:rPr>
          <w:b/>
          <w:spacing w:val="79"/>
          <w:sz w:val="22"/>
        </w:rPr>
        <w:t> </w:t>
      </w:r>
      <w:r>
        <w:rPr>
          <w:b/>
          <w:sz w:val="22"/>
        </w:rPr>
        <w:t>women,</w:t>
      </w:r>
      <w:r>
        <w:rPr>
          <w:b/>
          <w:spacing w:val="52"/>
          <w:w w:val="150"/>
          <w:sz w:val="22"/>
        </w:rPr>
        <w:t> </w:t>
      </w:r>
      <w:r>
        <w:rPr>
          <w:b/>
          <w:sz w:val="22"/>
        </w:rPr>
        <w:t>the</w:t>
      </w:r>
      <w:r>
        <w:rPr>
          <w:b/>
          <w:spacing w:val="52"/>
          <w:w w:val="150"/>
          <w:sz w:val="22"/>
        </w:rPr>
        <w:t> </w:t>
      </w:r>
      <w:r>
        <w:rPr>
          <w:b/>
          <w:sz w:val="22"/>
        </w:rPr>
        <w:t>vasodilatory</w:t>
      </w:r>
      <w:r>
        <w:rPr>
          <w:b/>
          <w:spacing w:val="52"/>
          <w:w w:val="150"/>
          <w:sz w:val="22"/>
        </w:rPr>
        <w:t> </w:t>
      </w:r>
      <w:r>
        <w:rPr>
          <w:b/>
          <w:sz w:val="22"/>
        </w:rPr>
        <w:t>effects</w:t>
      </w:r>
      <w:r>
        <w:rPr>
          <w:b/>
          <w:spacing w:val="52"/>
          <w:w w:val="150"/>
          <w:sz w:val="22"/>
        </w:rPr>
        <w:t> </w:t>
      </w:r>
      <w:r>
        <w:rPr>
          <w:b/>
          <w:sz w:val="22"/>
        </w:rPr>
        <w:t>of</w:t>
      </w:r>
      <w:r>
        <w:rPr>
          <w:b/>
          <w:spacing w:val="52"/>
          <w:w w:val="150"/>
          <w:sz w:val="22"/>
        </w:rPr>
        <w:t> </w:t>
      </w:r>
      <w:r>
        <w:rPr>
          <w:b/>
          <w:sz w:val="22"/>
        </w:rPr>
        <w:t>estrogen</w:t>
      </w:r>
      <w:r>
        <w:rPr>
          <w:b/>
          <w:spacing w:val="52"/>
          <w:w w:val="150"/>
          <w:sz w:val="22"/>
        </w:rPr>
        <w:t> </w:t>
      </w:r>
      <w:r>
        <w:rPr>
          <w:b/>
          <w:sz w:val="22"/>
        </w:rPr>
        <w:t>dissipate</w:t>
      </w:r>
      <w:r>
        <w:rPr>
          <w:b/>
          <w:spacing w:val="52"/>
          <w:w w:val="150"/>
          <w:sz w:val="22"/>
        </w:rPr>
        <w:t> </w:t>
      </w:r>
      <w:r>
        <w:rPr>
          <w:b/>
          <w:spacing w:val="-4"/>
          <w:sz w:val="22"/>
        </w:rPr>
        <w:t>with</w:t>
      </w:r>
    </w:p>
    <w:p>
      <w:pPr>
        <w:spacing w:before="38"/>
        <w:ind w:left="549" w:right="0" w:firstLine="0"/>
        <w:jc w:val="both"/>
        <w:rPr>
          <w:sz w:val="22"/>
        </w:rPr>
      </w:pPr>
      <w:r>
        <w:rPr>
          <w:b/>
          <w:sz w:val="22"/>
        </w:rPr>
        <w:t>increasing</w:t>
      </w:r>
      <w:r>
        <w:rPr>
          <w:b/>
          <w:spacing w:val="9"/>
          <w:w w:val="110"/>
          <w:sz w:val="22"/>
        </w:rPr>
        <w:t> </w:t>
      </w:r>
      <w:r>
        <w:rPr>
          <w:b/>
          <w:spacing w:val="-2"/>
          <w:w w:val="110"/>
          <w:sz w:val="22"/>
        </w:rPr>
        <w:t>age.</w:t>
      </w:r>
      <w:r>
        <w:rPr>
          <w:spacing w:val="-2"/>
          <w:w w:val="110"/>
          <w:sz w:val="22"/>
          <w:vertAlign w:val="superscript"/>
        </w:rPr>
        <w:t>809</w:t>
      </w: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108"/>
        <w:ind w:left="0"/>
        <w:jc w:val="left"/>
        <w:rPr>
          <w:sz w:val="20"/>
        </w:rPr>
      </w:pPr>
      <w:r>
        <w:rPr>
          <w:sz w:val="20"/>
        </w:rPr>
        <mc:AlternateContent>
          <mc:Choice Requires="wps">
            <w:drawing>
              <wp:anchor distT="0" distB="0" distL="0" distR="0" allowOverlap="1" layoutInCell="1" locked="0" behindDoc="1" simplePos="0" relativeHeight="487648768">
                <wp:simplePos x="0" y="0"/>
                <wp:positionH relativeFrom="page">
                  <wp:posOffset>981075</wp:posOffset>
                </wp:positionH>
                <wp:positionV relativeFrom="paragraph">
                  <wp:posOffset>230311</wp:posOffset>
                </wp:positionV>
                <wp:extent cx="285750" cy="5715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285750" cy="57150"/>
                        </a:xfrm>
                        <a:custGeom>
                          <a:avLst/>
                          <a:gdLst/>
                          <a:ahLst/>
                          <a:cxnLst/>
                          <a:rect l="l" t="t" r="r" b="b"/>
                          <a:pathLst>
                            <a:path w="285750" h="57150">
                              <a:moveTo>
                                <a:pt x="32364" y="57073"/>
                              </a:moveTo>
                              <a:lnTo>
                                <a:pt x="24785" y="57073"/>
                              </a:lnTo>
                              <a:lnTo>
                                <a:pt x="21140" y="56330"/>
                              </a:lnTo>
                              <a:lnTo>
                                <a:pt x="0" y="32299"/>
                              </a:lnTo>
                              <a:lnTo>
                                <a:pt x="0" y="24707"/>
                              </a:lnTo>
                              <a:lnTo>
                                <a:pt x="725" y="21059"/>
                              </a:lnTo>
                              <a:lnTo>
                                <a:pt x="2175" y="17564"/>
                              </a:lnTo>
                              <a:lnTo>
                                <a:pt x="3625" y="13992"/>
                              </a:lnTo>
                              <a:lnTo>
                                <a:pt x="5689" y="10868"/>
                              </a:lnTo>
                              <a:lnTo>
                                <a:pt x="8369" y="8258"/>
                              </a:lnTo>
                              <a:lnTo>
                                <a:pt x="11048" y="5581"/>
                              </a:lnTo>
                              <a:lnTo>
                                <a:pt x="14138" y="3495"/>
                              </a:lnTo>
                              <a:lnTo>
                                <a:pt x="21140" y="666"/>
                              </a:lnTo>
                              <a:lnTo>
                                <a:pt x="24785" y="0"/>
                              </a:lnTo>
                              <a:lnTo>
                                <a:pt x="32364" y="0"/>
                              </a:lnTo>
                              <a:lnTo>
                                <a:pt x="35635" y="666"/>
                              </a:lnTo>
                              <a:lnTo>
                                <a:pt x="35820" y="666"/>
                              </a:lnTo>
                              <a:lnTo>
                                <a:pt x="42822" y="3495"/>
                              </a:lnTo>
                              <a:lnTo>
                                <a:pt x="46101" y="5581"/>
                              </a:lnTo>
                              <a:lnTo>
                                <a:pt x="48780" y="8258"/>
                              </a:lnTo>
                              <a:lnTo>
                                <a:pt x="51459" y="10868"/>
                              </a:lnTo>
                              <a:lnTo>
                                <a:pt x="53524" y="13992"/>
                              </a:lnTo>
                              <a:lnTo>
                                <a:pt x="54974" y="17564"/>
                              </a:lnTo>
                              <a:lnTo>
                                <a:pt x="56424" y="21059"/>
                              </a:lnTo>
                              <a:lnTo>
                                <a:pt x="57149" y="24707"/>
                              </a:lnTo>
                              <a:lnTo>
                                <a:pt x="57149" y="32299"/>
                              </a:lnTo>
                              <a:lnTo>
                                <a:pt x="36009" y="56330"/>
                              </a:lnTo>
                              <a:lnTo>
                                <a:pt x="32364" y="57073"/>
                              </a:lnTo>
                              <a:close/>
                            </a:path>
                            <a:path w="285750" h="57150">
                              <a:moveTo>
                                <a:pt x="146569" y="57073"/>
                              </a:moveTo>
                              <a:lnTo>
                                <a:pt x="138990" y="57073"/>
                              </a:lnTo>
                              <a:lnTo>
                                <a:pt x="135345" y="56330"/>
                              </a:lnTo>
                              <a:lnTo>
                                <a:pt x="114204" y="32299"/>
                              </a:lnTo>
                              <a:lnTo>
                                <a:pt x="114204" y="24707"/>
                              </a:lnTo>
                              <a:lnTo>
                                <a:pt x="114929" y="21059"/>
                              </a:lnTo>
                              <a:lnTo>
                                <a:pt x="116379" y="17564"/>
                              </a:lnTo>
                              <a:lnTo>
                                <a:pt x="117829" y="13992"/>
                              </a:lnTo>
                              <a:lnTo>
                                <a:pt x="119894" y="10868"/>
                              </a:lnTo>
                              <a:lnTo>
                                <a:pt x="122574" y="8258"/>
                              </a:lnTo>
                              <a:lnTo>
                                <a:pt x="125253" y="5581"/>
                              </a:lnTo>
                              <a:lnTo>
                                <a:pt x="128343" y="3495"/>
                              </a:lnTo>
                              <a:lnTo>
                                <a:pt x="135345" y="666"/>
                              </a:lnTo>
                              <a:lnTo>
                                <a:pt x="138990" y="0"/>
                              </a:lnTo>
                              <a:lnTo>
                                <a:pt x="146569" y="0"/>
                              </a:lnTo>
                              <a:lnTo>
                                <a:pt x="149840" y="666"/>
                              </a:lnTo>
                              <a:lnTo>
                                <a:pt x="150025" y="666"/>
                              </a:lnTo>
                              <a:lnTo>
                                <a:pt x="157027" y="3495"/>
                              </a:lnTo>
                              <a:lnTo>
                                <a:pt x="160305" y="5581"/>
                              </a:lnTo>
                              <a:lnTo>
                                <a:pt x="162985" y="8258"/>
                              </a:lnTo>
                              <a:lnTo>
                                <a:pt x="165664" y="10868"/>
                              </a:lnTo>
                              <a:lnTo>
                                <a:pt x="167729" y="13992"/>
                              </a:lnTo>
                              <a:lnTo>
                                <a:pt x="169179" y="17564"/>
                              </a:lnTo>
                              <a:lnTo>
                                <a:pt x="170629" y="21059"/>
                              </a:lnTo>
                              <a:lnTo>
                                <a:pt x="171354" y="24707"/>
                              </a:lnTo>
                              <a:lnTo>
                                <a:pt x="171354" y="32299"/>
                              </a:lnTo>
                              <a:lnTo>
                                <a:pt x="150214" y="56330"/>
                              </a:lnTo>
                              <a:lnTo>
                                <a:pt x="146569" y="57073"/>
                              </a:lnTo>
                              <a:close/>
                            </a:path>
                            <a:path w="285750" h="57150">
                              <a:moveTo>
                                <a:pt x="260773" y="57073"/>
                              </a:moveTo>
                              <a:lnTo>
                                <a:pt x="253195" y="57073"/>
                              </a:lnTo>
                              <a:lnTo>
                                <a:pt x="249550" y="56330"/>
                              </a:lnTo>
                              <a:lnTo>
                                <a:pt x="228409" y="32299"/>
                              </a:lnTo>
                              <a:lnTo>
                                <a:pt x="228409" y="24707"/>
                              </a:lnTo>
                              <a:lnTo>
                                <a:pt x="229134" y="21059"/>
                              </a:lnTo>
                              <a:lnTo>
                                <a:pt x="230584" y="17564"/>
                              </a:lnTo>
                              <a:lnTo>
                                <a:pt x="232034" y="13992"/>
                              </a:lnTo>
                              <a:lnTo>
                                <a:pt x="234099" y="10868"/>
                              </a:lnTo>
                              <a:lnTo>
                                <a:pt x="236778" y="8258"/>
                              </a:lnTo>
                              <a:lnTo>
                                <a:pt x="239458" y="5581"/>
                              </a:lnTo>
                              <a:lnTo>
                                <a:pt x="242548" y="3495"/>
                              </a:lnTo>
                              <a:lnTo>
                                <a:pt x="249550" y="666"/>
                              </a:lnTo>
                              <a:lnTo>
                                <a:pt x="253195" y="0"/>
                              </a:lnTo>
                              <a:lnTo>
                                <a:pt x="260773" y="0"/>
                              </a:lnTo>
                              <a:lnTo>
                                <a:pt x="264044" y="666"/>
                              </a:lnTo>
                              <a:lnTo>
                                <a:pt x="264230" y="666"/>
                              </a:lnTo>
                              <a:lnTo>
                                <a:pt x="271231" y="3495"/>
                              </a:lnTo>
                              <a:lnTo>
                                <a:pt x="274510" y="5581"/>
                              </a:lnTo>
                              <a:lnTo>
                                <a:pt x="277190" y="8258"/>
                              </a:lnTo>
                              <a:lnTo>
                                <a:pt x="279869" y="10868"/>
                              </a:lnTo>
                              <a:lnTo>
                                <a:pt x="281934" y="13992"/>
                              </a:lnTo>
                              <a:lnTo>
                                <a:pt x="283384" y="17564"/>
                              </a:lnTo>
                              <a:lnTo>
                                <a:pt x="284834" y="21059"/>
                              </a:lnTo>
                              <a:lnTo>
                                <a:pt x="285559" y="24707"/>
                              </a:lnTo>
                              <a:lnTo>
                                <a:pt x="285559" y="32299"/>
                              </a:lnTo>
                              <a:lnTo>
                                <a:pt x="264418" y="56330"/>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134745pt;width:22.5pt;height:4.5pt;mso-position-horizontal-relative:page;mso-position-vertical-relative:paragraph;z-index:-15667712;mso-wrap-distance-left:0;mso-wrap-distance-right:0" id="docshape182" coordorigin="1545,363" coordsize="450,90" path="m1596,453l1584,453,1578,451,1573,449,1567,447,1562,443,1558,439,1554,435,1551,430,1548,425,1546,419,1545,414,1545,402,1546,396,1548,390,1551,385,1554,380,1558,376,1562,371,1567,368,1578,364,1584,363,1596,363,1601,364,1601,364,1612,368,1618,371,1622,376,1626,380,1629,385,1632,390,1634,396,1635,402,1635,414,1634,419,1632,425,1629,430,1626,435,1622,439,1618,443,1613,447,1602,451,1596,453xm1776,453l1764,453,1758,451,1753,449,1747,447,1742,443,1738,439,1734,435,1731,430,1728,425,1726,419,1725,414,1725,402,1726,396,1728,390,1731,385,1734,380,1738,376,1742,371,1747,368,1758,364,1764,363,1776,363,1781,364,1781,364,1792,368,1797,371,1802,376,1806,380,1809,385,1811,390,1814,396,1815,402,1815,414,1814,419,1811,425,1809,430,1806,435,1802,439,1797,443,1793,447,1782,451,1776,453xm1956,453l1944,453,1938,451,1932,449,1927,447,1922,443,1918,439,1914,435,1910,430,1908,425,1906,419,1905,414,1905,402,1906,396,1908,390,1910,385,1914,380,1918,376,1922,371,1927,368,1938,364,1944,363,1956,363,1961,364,1961,364,1972,368,1977,371,1982,376,1986,380,1989,385,1991,390,1994,396,1995,402,1995,414,1994,419,1991,425,1989,430,1986,435,1982,439,1977,443,1972,447,1961,451,1956,453xe" filled="true" fillcolor="#bdb4d4" stroked="false">
                <v:path arrowok="t"/>
                <v:fill type="solid"/>
                <w10:wrap type="topAndBottom"/>
              </v:shape>
            </w:pict>
          </mc:Fallback>
        </mc:AlternateContent>
      </w:r>
    </w:p>
    <w:p>
      <w:pPr>
        <w:pStyle w:val="Heading3"/>
      </w:pPr>
      <w:r>
        <w:rPr>
          <w:color w:val="534089"/>
        </w:rPr>
        <w:t>VENOUS </w:t>
      </w:r>
      <w:r>
        <w:rPr>
          <w:color w:val="534089"/>
          <w:spacing w:val="-2"/>
        </w:rPr>
        <w:t>THROMBOSIS</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49280">
                <wp:simplePos x="0" y="0"/>
                <wp:positionH relativeFrom="page">
                  <wp:posOffset>981075</wp:posOffset>
                </wp:positionH>
                <wp:positionV relativeFrom="paragraph">
                  <wp:posOffset>45777</wp:posOffset>
                </wp:positionV>
                <wp:extent cx="5810250" cy="1905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4505pt;width:457.499964pt;height:1.5pt;mso-position-horizontal-relative:page;mso-position-vertical-relative:paragraph;z-index:-15667200;mso-wrap-distance-left:0;mso-wrap-distance-right:0" id="docshape183" filled="true" fillcolor="#534089" stroked="false">
                <v:fill type="solid"/>
                <w10:wrap type="topAndBottom"/>
              </v:rect>
            </w:pict>
          </mc:Fallback>
        </mc:AlternateContent>
      </w:r>
    </w:p>
    <w:p>
      <w:pPr>
        <w:pStyle w:val="BodyText"/>
        <w:spacing w:line="249" w:lineRule="auto" w:before="215"/>
        <w:jc w:val="left"/>
      </w:pPr>
      <w:r>
        <w:rPr/>
        <w:t>Results</w:t>
      </w:r>
      <w:r>
        <w:rPr>
          <w:spacing w:val="40"/>
        </w:rPr>
        <w:t> </w:t>
      </w:r>
      <w:r>
        <w:rPr/>
        <w:t>from</w:t>
      </w:r>
      <w:r>
        <w:rPr>
          <w:spacing w:val="40"/>
        </w:rPr>
        <w:t> </w:t>
      </w:r>
      <w:r>
        <w:rPr/>
        <w:t>multiple</w:t>
      </w:r>
      <w:r>
        <w:rPr>
          <w:spacing w:val="40"/>
        </w:rPr>
        <w:t> </w:t>
      </w:r>
      <w:r>
        <w:rPr/>
        <w:t>studies</w:t>
      </w:r>
      <w:r>
        <w:rPr>
          <w:spacing w:val="40"/>
        </w:rPr>
        <w:t> </w:t>
      </w:r>
      <w:r>
        <w:rPr/>
        <w:t>indicate</w:t>
      </w:r>
      <w:r>
        <w:rPr>
          <w:spacing w:val="40"/>
        </w:rPr>
        <w:t> </w:t>
      </w:r>
      <w:r>
        <w:rPr/>
        <w:t>that</w:t>
      </w:r>
      <w:r>
        <w:rPr>
          <w:spacing w:val="40"/>
        </w:rPr>
        <w:t> </w:t>
      </w:r>
      <w:r>
        <w:rPr/>
        <w:t>postmenopausal</w:t>
      </w:r>
      <w:r>
        <w:rPr>
          <w:spacing w:val="40"/>
        </w:rPr>
        <w:t> </w:t>
      </w:r>
      <w:r>
        <w:rPr/>
        <w:t>HT</w:t>
      </w:r>
      <w:r>
        <w:rPr>
          <w:spacing w:val="40"/>
        </w:rPr>
        <w:t> </w:t>
      </w:r>
      <w:r>
        <w:rPr/>
        <w:t>increases the risk of VTE about 2-fold, mostly in the first year or 2 years of </w:t>
      </w:r>
      <w:r>
        <w:rPr>
          <w:spacing w:val="-2"/>
        </w:rPr>
        <w:t>treatment,</w:t>
      </w:r>
    </w:p>
    <w:p>
      <w:pPr>
        <w:pStyle w:val="BodyText"/>
        <w:spacing w:after="0" w:line="249" w:lineRule="auto"/>
        <w:jc w:val="left"/>
        <w:sectPr>
          <w:pgSz w:w="12240" w:h="15840"/>
          <w:pgMar w:top="1380" w:bottom="280" w:left="1440" w:right="1440"/>
        </w:sectPr>
      </w:pPr>
    </w:p>
    <w:p>
      <w:pPr>
        <w:pStyle w:val="BodyText"/>
        <w:spacing w:line="249" w:lineRule="auto"/>
        <w:ind w:right="98"/>
      </w:pPr>
      <w:r>
        <w:rPr/>
        <w:t>a conclusion supported by the results from the canceled estrogen-</w:t>
      </w:r>
      <w:r>
        <w:rPr/>
        <w:t>progestin arm of the WHI.</w:t>
      </w:r>
      <w:r>
        <w:rPr>
          <w:vertAlign w:val="superscript"/>
        </w:rPr>
        <w:t>766,810</w:t>
      </w:r>
      <w:r>
        <w:rPr>
          <w:vertAlign w:val="baseline"/>
        </w:rPr>
        <w:t> The absolute risk in the WHI estrogen-progestin arm was 18 additional cases per 10,000 women per year. In the estrogen-only arm of the WHI, a smaller increase in deep vein thrombosis was observed, and an increase in pulmonary embolism was not statistically significant.</w:t>
      </w:r>
      <w:r>
        <w:rPr>
          <w:vertAlign w:val="superscript"/>
        </w:rPr>
        <w:t>767,811</w:t>
      </w:r>
      <w:r>
        <w:rPr>
          <w:vertAlign w:val="baseline"/>
        </w:rPr>
        <w:t> There are some notable observations in the WHI data on venous thrombosis. Most of the cases occurred in the first 2 years of exposure,</w:t>
      </w:r>
      <w:r>
        <w:rPr>
          <w:spacing w:val="-2"/>
          <w:vertAlign w:val="baseline"/>
        </w:rPr>
        <w:t> </w:t>
      </w:r>
      <w:r>
        <w:rPr>
          <w:vertAlign w:val="baseline"/>
        </w:rPr>
        <w:t>and</w:t>
      </w:r>
      <w:r>
        <w:rPr>
          <w:spacing w:val="-2"/>
          <w:vertAlign w:val="baseline"/>
        </w:rPr>
        <w:t> </w:t>
      </w:r>
      <w:r>
        <w:rPr>
          <w:vertAlign w:val="baseline"/>
        </w:rPr>
        <w:t>the</w:t>
      </w:r>
      <w:r>
        <w:rPr>
          <w:spacing w:val="-2"/>
          <w:vertAlign w:val="baseline"/>
        </w:rPr>
        <w:t> </w:t>
      </w:r>
      <w:r>
        <w:rPr>
          <w:vertAlign w:val="baseline"/>
        </w:rPr>
        <w:t>risk</w:t>
      </w:r>
      <w:r>
        <w:rPr>
          <w:spacing w:val="-2"/>
          <w:vertAlign w:val="baseline"/>
        </w:rPr>
        <w:t> </w:t>
      </w:r>
      <w:r>
        <w:rPr>
          <w:vertAlign w:val="baseline"/>
        </w:rPr>
        <w:t>was</w:t>
      </w:r>
      <w:r>
        <w:rPr>
          <w:spacing w:val="-2"/>
          <w:vertAlign w:val="baseline"/>
        </w:rPr>
        <w:t> </w:t>
      </w:r>
      <w:r>
        <w:rPr>
          <w:vertAlign w:val="baseline"/>
        </w:rPr>
        <w:t>greatest</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women</w:t>
      </w:r>
      <w:r>
        <w:rPr>
          <w:spacing w:val="-2"/>
          <w:vertAlign w:val="baseline"/>
        </w:rPr>
        <w:t> </w:t>
      </w:r>
      <w:r>
        <w:rPr>
          <w:vertAlign w:val="baseline"/>
        </w:rPr>
        <w:t>over</w:t>
      </w:r>
      <w:r>
        <w:rPr>
          <w:spacing w:val="-2"/>
          <w:vertAlign w:val="baseline"/>
        </w:rPr>
        <w:t> </w:t>
      </w:r>
      <w:r>
        <w:rPr>
          <w:vertAlign w:val="baseline"/>
        </w:rPr>
        <w:t>age</w:t>
      </w:r>
      <w:r>
        <w:rPr>
          <w:spacing w:val="-2"/>
          <w:vertAlign w:val="baseline"/>
        </w:rPr>
        <w:t> </w:t>
      </w:r>
      <w:r>
        <w:rPr>
          <w:vertAlign w:val="baseline"/>
        </w:rPr>
        <w:t>70</w:t>
      </w:r>
      <w:r>
        <w:rPr>
          <w:spacing w:val="-2"/>
          <w:vertAlign w:val="baseline"/>
        </w:rPr>
        <w:t> </w:t>
      </w:r>
      <w:r>
        <w:rPr>
          <w:vertAlign w:val="baseline"/>
        </w:rPr>
        <w:t>and</w:t>
      </w:r>
      <w:r>
        <w:rPr>
          <w:spacing w:val="-2"/>
          <w:vertAlign w:val="baseline"/>
        </w:rPr>
        <w:t> </w:t>
      </w:r>
      <w:r>
        <w:rPr>
          <w:vertAlign w:val="baseline"/>
        </w:rPr>
        <w:t>in</w:t>
      </w:r>
      <w:r>
        <w:rPr>
          <w:spacing w:val="-2"/>
          <w:vertAlign w:val="baseline"/>
        </w:rPr>
        <w:t> </w:t>
      </w:r>
      <w:r>
        <w:rPr>
          <w:vertAlign w:val="baseline"/>
        </w:rPr>
        <w:t>women who</w:t>
      </w:r>
      <w:r>
        <w:rPr>
          <w:spacing w:val="-3"/>
          <w:vertAlign w:val="baseline"/>
        </w:rPr>
        <w:t> </w:t>
      </w:r>
      <w:r>
        <w:rPr>
          <w:vertAlign w:val="baseline"/>
        </w:rPr>
        <w:t>are</w:t>
      </w:r>
      <w:r>
        <w:rPr>
          <w:spacing w:val="-3"/>
          <w:vertAlign w:val="baseline"/>
        </w:rPr>
        <w:t> </w:t>
      </w:r>
      <w:r>
        <w:rPr>
          <w:vertAlign w:val="baseline"/>
        </w:rPr>
        <w:t>overweight.</w:t>
      </w:r>
      <w:r>
        <w:rPr>
          <w:spacing w:val="-3"/>
          <w:vertAlign w:val="baseline"/>
        </w:rPr>
        <w:t> </w:t>
      </w:r>
      <w:r>
        <w:rPr>
          <w:vertAlign w:val="baseline"/>
        </w:rPr>
        <w:t>The</w:t>
      </w:r>
      <w:r>
        <w:rPr>
          <w:spacing w:val="-2"/>
          <w:vertAlign w:val="baseline"/>
        </w:rPr>
        <w:t> </w:t>
      </w:r>
      <w:r>
        <w:rPr>
          <w:vertAlign w:val="baseline"/>
        </w:rPr>
        <w:t>risk</w:t>
      </w:r>
      <w:r>
        <w:rPr>
          <w:spacing w:val="-2"/>
          <w:vertAlign w:val="baseline"/>
        </w:rPr>
        <w:t> </w:t>
      </w:r>
      <w:r>
        <w:rPr>
          <w:vertAlign w:val="baseline"/>
        </w:rPr>
        <w:t>was</w:t>
      </w:r>
      <w:r>
        <w:rPr>
          <w:spacing w:val="-2"/>
          <w:vertAlign w:val="baseline"/>
        </w:rPr>
        <w:t> </w:t>
      </w:r>
      <w:r>
        <w:rPr>
          <w:vertAlign w:val="baseline"/>
        </w:rPr>
        <w:t>higher</w:t>
      </w:r>
      <w:r>
        <w:rPr>
          <w:spacing w:val="-2"/>
          <w:vertAlign w:val="baseline"/>
        </w:rPr>
        <w:t> </w:t>
      </w:r>
      <w:r>
        <w:rPr>
          <w:vertAlign w:val="baseline"/>
        </w:rPr>
        <w:t>in</w:t>
      </w:r>
      <w:r>
        <w:rPr>
          <w:spacing w:val="-2"/>
          <w:vertAlign w:val="baseline"/>
        </w:rPr>
        <w:t> </w:t>
      </w:r>
      <w:r>
        <w:rPr>
          <w:vertAlign w:val="baseline"/>
        </w:rPr>
        <w:t>women</w:t>
      </w:r>
      <w:r>
        <w:rPr>
          <w:spacing w:val="-2"/>
          <w:vertAlign w:val="baseline"/>
        </w:rPr>
        <w:t> </w:t>
      </w:r>
      <w:r>
        <w:rPr>
          <w:vertAlign w:val="baseline"/>
        </w:rPr>
        <w:t>who</w:t>
      </w:r>
      <w:r>
        <w:rPr>
          <w:spacing w:val="-2"/>
          <w:vertAlign w:val="baseline"/>
        </w:rPr>
        <w:t> </w:t>
      </w:r>
      <w:r>
        <w:rPr>
          <w:vertAlign w:val="baseline"/>
        </w:rPr>
        <w:t>were</w:t>
      </w:r>
      <w:r>
        <w:rPr>
          <w:spacing w:val="-2"/>
          <w:vertAlign w:val="baseline"/>
        </w:rPr>
        <w:t> </w:t>
      </w:r>
      <w:r>
        <w:rPr>
          <w:vertAlign w:val="baseline"/>
        </w:rPr>
        <w:t>susceptible</w:t>
      </w:r>
      <w:r>
        <w:rPr>
          <w:spacing w:val="-2"/>
          <w:vertAlign w:val="baseline"/>
        </w:rPr>
        <w:t> </w:t>
      </w:r>
      <w:r>
        <w:rPr>
          <w:vertAlign w:val="baseline"/>
        </w:rPr>
        <w:t>to venous thrombosis, specifically those with the Leiden mutation. This raises a very important question: Is it possible that the risk of venous thrombosis</w:t>
      </w:r>
      <w:r>
        <w:rPr>
          <w:spacing w:val="40"/>
          <w:vertAlign w:val="baseline"/>
        </w:rPr>
        <w:t> </w:t>
      </w:r>
      <w:r>
        <w:rPr>
          <w:vertAlign w:val="baseline"/>
        </w:rPr>
        <w:t>is very low in younger, normal postmenopausal women?</w:t>
      </w:r>
    </w:p>
    <w:p>
      <w:pPr>
        <w:spacing w:line="249" w:lineRule="auto" w:before="14"/>
        <w:ind w:left="99" w:right="98" w:firstLine="450"/>
        <w:jc w:val="both"/>
        <w:rPr>
          <w:sz w:val="30"/>
        </w:rPr>
      </w:pPr>
      <w:r>
        <w:rPr>
          <w:b/>
          <w:sz w:val="30"/>
        </w:rPr>
        <w:t>It should be emphasized that the risk of VTE appears to apply </w:t>
      </w:r>
      <w:r>
        <w:rPr>
          <w:b/>
          <w:sz w:val="30"/>
        </w:rPr>
        <w:t>only to new hormone starters; women who have been on HT can be reassured that the evidence indicates that the increased risk of venous thrombosis is concentrated in the first 1 to 2 years of treatment.</w:t>
      </w:r>
      <w:r>
        <w:rPr>
          <w:sz w:val="30"/>
          <w:vertAlign w:val="superscript"/>
        </w:rPr>
        <w:t>658</w:t>
      </w:r>
      <w:r>
        <w:rPr>
          <w:sz w:val="30"/>
          <w:vertAlign w:val="baseline"/>
        </w:rPr>
        <w:t> </w:t>
      </w:r>
      <w:r>
        <w:rPr>
          <w:b/>
          <w:sz w:val="30"/>
          <w:vertAlign w:val="baseline"/>
        </w:rPr>
        <w:t>The actual risk is very low because of the low frequency of this event. If the RR is increased 2-fold, this would increase the incidence of VTE by about two cases per 10,000 women per year of hormone use. Furthermore, venous thrombosis carries with it a very low risk of mortality, around 1%, and most of the fatal cases have followed venous thrombosis associated with trauma, surgery, or a major illness.</w:t>
      </w:r>
      <w:r>
        <w:rPr>
          <w:sz w:val="30"/>
          <w:vertAlign w:val="superscript"/>
        </w:rPr>
        <w:t>812</w:t>
      </w:r>
    </w:p>
    <w:p>
      <w:pPr>
        <w:pStyle w:val="BodyText"/>
        <w:spacing w:line="249" w:lineRule="auto" w:before="13"/>
        <w:ind w:right="101" w:firstLine="450"/>
      </w:pPr>
      <w:r>
        <w:rPr/>
        <w:t>VTE is a risk that is reduced with the use of statins and low-</w:t>
      </w:r>
      <w:r>
        <w:rPr/>
        <w:t>dose aspirin,</w:t>
      </w:r>
      <w:r>
        <w:rPr>
          <w:vertAlign w:val="superscript"/>
        </w:rPr>
        <w:t>813,814</w:t>
      </w:r>
      <w:r>
        <w:rPr>
          <w:vertAlign w:val="baseline"/>
        </w:rPr>
        <w:t> although it is not known whether statin and aspirin use would completely protect against the increased risk associated with postmenopausal use of HT.</w:t>
      </w:r>
    </w:p>
    <w:p>
      <w:pPr>
        <w:pStyle w:val="BodyText"/>
        <w:spacing w:line="249" w:lineRule="auto" w:before="5"/>
        <w:ind w:right="98" w:firstLine="450"/>
      </w:pPr>
      <w:r>
        <w:rPr/>
        <w:t>Accruing data are reassuring regarding lesser VTE risk with the transdermal route of estrogen compared to oral use, a benefit that is attributed to avoidance of the first-pass hepatic effect with the </w:t>
      </w:r>
      <w:r>
        <w:rPr/>
        <w:t>nonoral</w:t>
      </w:r>
      <w:r>
        <w:rPr>
          <w:spacing w:val="40"/>
        </w:rPr>
        <w:t> </w:t>
      </w:r>
      <w:r>
        <w:rPr/>
        <w:t>route. For example, oral administration of estrogen compared with transdermal administration in male-to-female transsexuals is associated</w:t>
      </w:r>
      <w:r>
        <w:rPr>
          <w:spacing w:val="40"/>
        </w:rPr>
        <w:t> </w:t>
      </w:r>
      <w:r>
        <w:rPr/>
        <w:t>with a greater prothrombotic state and risk of venous thrombosis; however, this effect could be at least partly attributed to major differences in the estrogen doses.</w:t>
      </w:r>
      <w:r>
        <w:rPr>
          <w:vertAlign w:val="superscript"/>
        </w:rPr>
        <w:t>815</w:t>
      </w:r>
      <w:r>
        <w:rPr>
          <w:vertAlign w:val="baseline"/>
        </w:rPr>
        <w:t> It would be better to have evidence uninfluenced by dosage, and for this purpose, we can consider responses of APC resistance, recognized</w:t>
      </w:r>
      <w:r>
        <w:rPr>
          <w:spacing w:val="5"/>
          <w:vertAlign w:val="baseline"/>
        </w:rPr>
        <w:t> </w:t>
      </w:r>
      <w:r>
        <w:rPr>
          <w:vertAlign w:val="baseline"/>
        </w:rPr>
        <w:t>as</w:t>
      </w:r>
      <w:r>
        <w:rPr>
          <w:spacing w:val="5"/>
          <w:vertAlign w:val="baseline"/>
        </w:rPr>
        <w:t> </w:t>
      </w:r>
      <w:r>
        <w:rPr>
          <w:vertAlign w:val="baseline"/>
        </w:rPr>
        <w:t>a</w:t>
      </w:r>
      <w:r>
        <w:rPr>
          <w:spacing w:val="5"/>
          <w:vertAlign w:val="baseline"/>
        </w:rPr>
        <w:t> </w:t>
      </w:r>
      <w:r>
        <w:rPr>
          <w:vertAlign w:val="baseline"/>
        </w:rPr>
        <w:t>marker</w:t>
      </w:r>
      <w:r>
        <w:rPr>
          <w:spacing w:val="5"/>
          <w:vertAlign w:val="baseline"/>
        </w:rPr>
        <w:t> </w:t>
      </w:r>
      <w:r>
        <w:rPr>
          <w:vertAlign w:val="baseline"/>
        </w:rPr>
        <w:t>for</w:t>
      </w:r>
      <w:r>
        <w:rPr>
          <w:spacing w:val="5"/>
          <w:vertAlign w:val="baseline"/>
        </w:rPr>
        <w:t> </w:t>
      </w:r>
      <w:r>
        <w:rPr>
          <w:vertAlign w:val="baseline"/>
        </w:rPr>
        <w:t>venous</w:t>
      </w:r>
      <w:r>
        <w:rPr>
          <w:spacing w:val="5"/>
          <w:vertAlign w:val="baseline"/>
        </w:rPr>
        <w:t> </w:t>
      </w:r>
      <w:r>
        <w:rPr>
          <w:vertAlign w:val="baseline"/>
        </w:rPr>
        <w:t>thrombosis</w:t>
      </w:r>
      <w:r>
        <w:rPr>
          <w:spacing w:val="5"/>
          <w:vertAlign w:val="baseline"/>
        </w:rPr>
        <w:t> </w:t>
      </w:r>
      <w:r>
        <w:rPr>
          <w:vertAlign w:val="baseline"/>
        </w:rPr>
        <w:t>risk.</w:t>
      </w:r>
      <w:r>
        <w:rPr>
          <w:spacing w:val="5"/>
          <w:vertAlign w:val="baseline"/>
        </w:rPr>
        <w:t> </w:t>
      </w:r>
      <w:r>
        <w:rPr>
          <w:vertAlign w:val="baseline"/>
        </w:rPr>
        <w:t>In</w:t>
      </w:r>
      <w:r>
        <w:rPr>
          <w:spacing w:val="5"/>
          <w:vertAlign w:val="baseline"/>
        </w:rPr>
        <w:t> </w:t>
      </w:r>
      <w:r>
        <w:rPr>
          <w:vertAlign w:val="baseline"/>
        </w:rPr>
        <w:t>one</w:t>
      </w:r>
      <w:r>
        <w:rPr>
          <w:spacing w:val="5"/>
          <w:vertAlign w:val="baseline"/>
        </w:rPr>
        <w:t> </w:t>
      </w:r>
      <w:r>
        <w:rPr>
          <w:vertAlign w:val="baseline"/>
        </w:rPr>
        <w:t>randomized</w:t>
      </w:r>
      <w:r>
        <w:rPr>
          <w:spacing w:val="5"/>
          <w:vertAlign w:val="baseline"/>
        </w:rPr>
        <w:t> </w:t>
      </w:r>
      <w:r>
        <w:rPr>
          <w:spacing w:val="-2"/>
          <w:vertAlign w:val="baseline"/>
        </w:rPr>
        <w:t>trial,</w:t>
      </w:r>
    </w:p>
    <w:p>
      <w:pPr>
        <w:pStyle w:val="BodyText"/>
        <w:spacing w:after="0" w:line="249" w:lineRule="auto"/>
        <w:sectPr>
          <w:pgSz w:w="12240" w:h="15840"/>
          <w:pgMar w:top="1380" w:bottom="280" w:left="1440" w:right="1440"/>
        </w:sectPr>
      </w:pPr>
    </w:p>
    <w:p>
      <w:pPr>
        <w:pStyle w:val="BodyText"/>
        <w:spacing w:line="249" w:lineRule="auto"/>
        <w:ind w:right="98"/>
      </w:pPr>
      <w:r>
        <w:rPr/>
        <w:t>oral estrogen treatment increased APC resistance, but transdermal estrogen was no different than placebo.</w:t>
      </w:r>
      <w:r>
        <w:rPr>
          <w:vertAlign w:val="superscript"/>
        </w:rPr>
        <w:t>40</w:t>
      </w:r>
      <w:r>
        <w:rPr>
          <w:vertAlign w:val="baseline"/>
        </w:rPr>
        <w:t> Another randomized trial found that both routes of administration increased APC resistance; however, the increase with oral estrogen was about 4 times greater compared with </w:t>
      </w:r>
      <w:r>
        <w:rPr>
          <w:vertAlign w:val="baseline"/>
        </w:rPr>
        <w:t>transdermal estrogen.</w:t>
      </w:r>
      <w:r>
        <w:rPr>
          <w:vertAlign w:val="superscript"/>
        </w:rPr>
        <w:t>39</w:t>
      </w:r>
      <w:r>
        <w:rPr>
          <w:vertAlign w:val="baseline"/>
        </w:rPr>
        <w:t> A French case-control study concluded that there was a 4-fold increase in VTE with current use of oral estrogen, but no increase in risk with transdermal estrogen.</w:t>
      </w:r>
      <w:r>
        <w:rPr>
          <w:vertAlign w:val="superscript"/>
        </w:rPr>
        <w:t>41</w:t>
      </w:r>
      <w:r>
        <w:rPr>
          <w:vertAlign w:val="baseline"/>
        </w:rPr>
        <w:t> In addition, this study reported that oral estrogen treatment adds to the risk of VTE associated with obesity, but transdermal estrogen does not.</w:t>
      </w:r>
      <w:r>
        <w:rPr>
          <w:vertAlign w:val="superscript"/>
        </w:rPr>
        <w:t>816</w:t>
      </w:r>
      <w:r>
        <w:rPr>
          <w:vertAlign w:val="baseline"/>
        </w:rPr>
        <w:t> The French study also reported (although limited by small numbers) that transdermal treatment, in contrast to oral estrogen, does not further increase the risk of VTE associated with known prothrombotic conditions, such as factor V Leiden deficiency or prothrombin mutations.</w:t>
      </w:r>
      <w:r>
        <w:rPr>
          <w:vertAlign w:val="superscript"/>
        </w:rPr>
        <w:t>42</w:t>
      </w:r>
    </w:p>
    <w:p>
      <w:pPr>
        <w:pStyle w:val="BodyText"/>
        <w:spacing w:line="249" w:lineRule="auto" w:before="16"/>
        <w:ind w:right="98" w:firstLine="450"/>
        <w:rPr>
          <w:b/>
        </w:rPr>
      </w:pPr>
      <w:r>
        <w:rPr/>
        <w:t>However, there are some problems with the French case-control study. There are wide CIs for the significant OR associated with oral estrogen treatment.</w:t>
      </w:r>
      <w:r>
        <w:rPr>
          <w:spacing w:val="-5"/>
        </w:rPr>
        <w:t> </w:t>
      </w:r>
      <w:r>
        <w:rPr/>
        <w:t>Usually, this reflects small numbers, but the number of cases and controls in this study should allow greater precision. It is possible that this imprecise conclusion is influenced by the fact that the cases and controls differed significantly in several characteristics that influence the risk of VTE,</w:t>
      </w:r>
      <w:r>
        <w:rPr>
          <w:spacing w:val="-3"/>
        </w:rPr>
        <w:t> </w:t>
      </w:r>
      <w:r>
        <w:rPr/>
        <w:t>specifically</w:t>
      </w:r>
      <w:r>
        <w:rPr>
          <w:spacing w:val="-3"/>
        </w:rPr>
        <w:t> </w:t>
      </w:r>
      <w:r>
        <w:rPr/>
        <w:t>greater</w:t>
      </w:r>
      <w:r>
        <w:rPr>
          <w:spacing w:val="-3"/>
        </w:rPr>
        <w:t> </w:t>
      </w:r>
      <w:r>
        <w:rPr/>
        <w:t>body</w:t>
      </w:r>
      <w:r>
        <w:rPr>
          <w:spacing w:val="-3"/>
        </w:rPr>
        <w:t> </w:t>
      </w:r>
      <w:r>
        <w:rPr/>
        <w:t>weight</w:t>
      </w:r>
      <w:r>
        <w:rPr>
          <w:spacing w:val="-3"/>
        </w:rPr>
        <w:t> </w:t>
      </w:r>
      <w:r>
        <w:rPr/>
        <w:t>and</w:t>
      </w:r>
      <w:r>
        <w:rPr>
          <w:spacing w:val="-3"/>
        </w:rPr>
        <w:t> </w:t>
      </w:r>
      <w:r>
        <w:rPr/>
        <w:t>a</w:t>
      </w:r>
      <w:r>
        <w:rPr>
          <w:spacing w:val="-3"/>
        </w:rPr>
        <w:t> </w:t>
      </w:r>
      <w:r>
        <w:rPr/>
        <w:t>positive</w:t>
      </w:r>
      <w:r>
        <w:rPr>
          <w:spacing w:val="-3"/>
        </w:rPr>
        <w:t> </w:t>
      </w:r>
      <w:r>
        <w:rPr/>
        <w:t>family</w:t>
      </w:r>
      <w:r>
        <w:rPr>
          <w:spacing w:val="-3"/>
        </w:rPr>
        <w:t> </w:t>
      </w:r>
      <w:r>
        <w:rPr/>
        <w:t>history</w:t>
      </w:r>
      <w:r>
        <w:rPr>
          <w:spacing w:val="-3"/>
        </w:rPr>
        <w:t> </w:t>
      </w:r>
      <w:r>
        <w:rPr/>
        <w:t>of</w:t>
      </w:r>
      <w:r>
        <w:rPr>
          <w:spacing w:val="-3"/>
        </w:rPr>
        <w:t> </w:t>
      </w:r>
      <w:r>
        <w:rPr/>
        <w:t>VTE. We know that a 2-fold increased risk of VTE is uniformly reported, including the data from the WHI.</w:t>
      </w:r>
      <w:r>
        <w:rPr>
          <w:vertAlign w:val="superscript"/>
        </w:rPr>
        <w:t>810,811</w:t>
      </w:r>
      <w:r>
        <w:rPr>
          <w:vertAlign w:val="baseline"/>
        </w:rPr>
        <w:t> It is very likely that the French estimate is higher compared with the usual 2-fold increased risk because of confounding differences between their cases and controls. </w:t>
      </w:r>
      <w:r>
        <w:rPr>
          <w:b/>
          <w:vertAlign w:val="baseline"/>
        </w:rPr>
        <w:t>It is worth noting again that in the WHI, the cases of venous thrombosis were concentrated in the first years of exposure, in the oldest, and in the heaviest women in the study.</w:t>
      </w:r>
    </w:p>
    <w:p>
      <w:pPr>
        <w:pStyle w:val="BodyText"/>
        <w:spacing w:line="249" w:lineRule="auto" w:before="17"/>
        <w:ind w:right="97" w:firstLine="450"/>
      </w:pPr>
      <w:r>
        <w:rPr/>
        <w:t>The French case-control study found no increase in VTE risk associated with estrogen combined with progesterone or pregnane derivatives and an increase with norpregnane derivatives. The pregnane group </w:t>
      </w:r>
      <w:r>
        <w:rPr/>
        <w:t>includes synthetic progestins, such as MPA, chlormadinone, and cyproterone. The norpregnanes (progesterone without the 19-carbon) included two</w:t>
      </w:r>
      <w:r>
        <w:rPr>
          <w:spacing w:val="40"/>
        </w:rPr>
        <w:t> </w:t>
      </w:r>
      <w:r>
        <w:rPr/>
        <w:t>progestins, nomegestrol acetate and promegestone, that are not used in the United States. (Nomegestrol acetate is the progestin in Uniplant, a single-rod implant contraceptive, and combined with estradiol in an oral contraceptive.)</w:t>
      </w:r>
      <w:r>
        <w:rPr>
          <w:spacing w:val="-1"/>
        </w:rPr>
        <w:t> </w:t>
      </w:r>
      <w:r>
        <w:rPr/>
        <w:t>However, can</w:t>
      </w:r>
      <w:r>
        <w:rPr>
          <w:spacing w:val="-1"/>
        </w:rPr>
        <w:t> </w:t>
      </w:r>
      <w:r>
        <w:rPr/>
        <w:t>we make</w:t>
      </w:r>
      <w:r>
        <w:rPr>
          <w:spacing w:val="-1"/>
        </w:rPr>
        <w:t> </w:t>
      </w:r>
      <w:r>
        <w:rPr/>
        <w:t>the conclusion</w:t>
      </w:r>
      <w:r>
        <w:rPr>
          <w:spacing w:val="-1"/>
        </w:rPr>
        <w:t> </w:t>
      </w:r>
      <w:r>
        <w:rPr/>
        <w:t>that the </w:t>
      </w:r>
      <w:r>
        <w:rPr>
          <w:spacing w:val="-2"/>
        </w:rPr>
        <w:t>norpregnanes</w:t>
      </w:r>
    </w:p>
    <w:p>
      <w:pPr>
        <w:pStyle w:val="BodyText"/>
        <w:spacing w:after="0" w:line="249" w:lineRule="auto"/>
        <w:sectPr>
          <w:pgSz w:w="12240" w:h="15840"/>
          <w:pgMar w:top="1380" w:bottom="280" w:left="1440" w:right="1440"/>
        </w:sectPr>
      </w:pPr>
    </w:p>
    <w:p>
      <w:pPr>
        <w:pStyle w:val="BodyText"/>
        <w:spacing w:line="249" w:lineRule="auto"/>
        <w:ind w:right="97"/>
      </w:pPr>
      <w:r>
        <w:rPr/>
        <w:t>are thrombogenic? The CI in the norpregnane group was very wide, again apparently not due to small numbers, but this makes this conclusion shaky and</w:t>
      </w:r>
      <w:r>
        <w:rPr>
          <w:spacing w:val="-2"/>
        </w:rPr>
        <w:t> </w:t>
      </w:r>
      <w:r>
        <w:rPr/>
        <w:t>suspect.</w:t>
      </w:r>
      <w:r>
        <w:rPr>
          <w:spacing w:val="-3"/>
        </w:rPr>
        <w:t> </w:t>
      </w:r>
      <w:r>
        <w:rPr/>
        <w:t>Similar results were reported from the E3N French prospective cohort study, with an increased risk of VTE of 1.7 (CI = 1.1-2.8) associated with current users of oral therapy (an HR more in keeping with the usual 2-fold increase reported in the literature) and no increase with transdermal estrogen.</w:t>
      </w:r>
      <w:r>
        <w:rPr>
          <w:vertAlign w:val="superscript"/>
        </w:rPr>
        <w:t>45</w:t>
      </w:r>
      <w:r>
        <w:rPr>
          <w:vertAlign w:val="baseline"/>
        </w:rPr>
        <w:t> Again, an increase was observed with norpregnane </w:t>
      </w:r>
      <w:r>
        <w:rPr>
          <w:vertAlign w:val="baseline"/>
        </w:rPr>
        <w:t>progestins, this time with tighter CIs. In contrast, several other studies have demonstrated an increased VTE risk in women using </w:t>
      </w:r>
      <w:r>
        <w:rPr>
          <w:spacing w:val="-2"/>
          <w:vertAlign w:val="baseline"/>
        </w:rPr>
        <w:t>medroxyprogesterone.</w:t>
      </w:r>
      <w:r>
        <w:rPr>
          <w:spacing w:val="-2"/>
          <w:vertAlign w:val="superscript"/>
        </w:rPr>
        <w:t>817</w:t>
      </w:r>
    </w:p>
    <w:p>
      <w:pPr>
        <w:pStyle w:val="BodyText"/>
        <w:spacing w:line="249" w:lineRule="auto" w:before="12"/>
        <w:ind w:right="97" w:firstLine="450"/>
      </w:pPr>
      <w:r>
        <w:rPr/>
        <w:t>In the French studies, oral hormone users used almost </w:t>
      </w:r>
      <w:r>
        <w:rPr/>
        <w:t>exclusively estradiol in doses that averaged 1.5 mg/d. Transdermal users most commonly used an estradiol dose of 50 μg or less daily. To legitimately compare oral and transdermal methods, one would have to be sure the two groups had similar blood levels, to account for the wide variation in metabolism and clearance among individuals. It is possible that the difference</w:t>
      </w:r>
      <w:r>
        <w:rPr>
          <w:spacing w:val="-6"/>
        </w:rPr>
        <w:t> </w:t>
      </w:r>
      <w:r>
        <w:rPr/>
        <w:t>between</w:t>
      </w:r>
      <w:r>
        <w:rPr>
          <w:spacing w:val="-6"/>
        </w:rPr>
        <w:t> </w:t>
      </w:r>
      <w:r>
        <w:rPr/>
        <w:t>the</w:t>
      </w:r>
      <w:r>
        <w:rPr>
          <w:spacing w:val="-6"/>
        </w:rPr>
        <w:t> </w:t>
      </w:r>
      <w:r>
        <w:rPr/>
        <w:t>oral</w:t>
      </w:r>
      <w:r>
        <w:rPr>
          <w:spacing w:val="-6"/>
        </w:rPr>
        <w:t> </w:t>
      </w:r>
      <w:r>
        <w:rPr/>
        <w:t>and</w:t>
      </w:r>
      <w:r>
        <w:rPr>
          <w:spacing w:val="-6"/>
        </w:rPr>
        <w:t> </w:t>
      </w:r>
      <w:r>
        <w:rPr/>
        <w:t>transdermal</w:t>
      </w:r>
      <w:r>
        <w:rPr>
          <w:spacing w:val="-6"/>
        </w:rPr>
        <w:t> </w:t>
      </w:r>
      <w:r>
        <w:rPr/>
        <w:t>groups</w:t>
      </w:r>
      <w:r>
        <w:rPr>
          <w:spacing w:val="-6"/>
        </w:rPr>
        <w:t> </w:t>
      </w:r>
      <w:r>
        <w:rPr/>
        <w:t>represents</w:t>
      </w:r>
      <w:r>
        <w:rPr>
          <w:spacing w:val="-6"/>
        </w:rPr>
        <w:t> </w:t>
      </w:r>
      <w:r>
        <w:rPr/>
        <w:t>differences</w:t>
      </w:r>
      <w:r>
        <w:rPr>
          <w:spacing w:val="-6"/>
        </w:rPr>
        <w:t> </w:t>
      </w:r>
      <w:r>
        <w:rPr/>
        <w:t>in estrogen doses. Nevertheless, the French conclusions are supported by a very large case-control study (23,505 cases of VTE) using the UK General Practice Research Database.</w:t>
      </w:r>
      <w:r>
        <w:rPr>
          <w:vertAlign w:val="superscript"/>
        </w:rPr>
        <w:t>305</w:t>
      </w:r>
      <w:r>
        <w:rPr>
          <w:vertAlign w:val="baseline"/>
        </w:rPr>
        <w:t> The use of transdermal estrogen either alone or combined with a progestin was not associated with an increase in VTE, compared with about a 1.5-fold increase with oral estrogen alone and oral </w:t>
      </w:r>
      <w:r>
        <w:rPr>
          <w:spacing w:val="-2"/>
          <w:vertAlign w:val="baseline"/>
        </w:rPr>
        <w:t>estrogen-progestin.</w:t>
      </w:r>
    </w:p>
    <w:p>
      <w:pPr>
        <w:pStyle w:val="BodyText"/>
        <w:spacing w:line="249" w:lineRule="auto" w:before="16"/>
        <w:ind w:right="99" w:firstLine="450"/>
      </w:pPr>
      <w:r>
        <w:rPr/>
        <w:t>A</w:t>
      </w:r>
      <w:r>
        <w:rPr>
          <w:spacing w:val="-2"/>
        </w:rPr>
        <w:t> </w:t>
      </w:r>
      <w:r>
        <w:rPr/>
        <w:t>greater</w:t>
      </w:r>
      <w:r>
        <w:rPr>
          <w:spacing w:val="-2"/>
        </w:rPr>
        <w:t> </w:t>
      </w:r>
      <w:r>
        <w:rPr/>
        <w:t>safety</w:t>
      </w:r>
      <w:r>
        <w:rPr>
          <w:spacing w:val="-2"/>
        </w:rPr>
        <w:t> </w:t>
      </w:r>
      <w:r>
        <w:rPr/>
        <w:t>with</w:t>
      </w:r>
      <w:r>
        <w:rPr>
          <w:spacing w:val="-2"/>
        </w:rPr>
        <w:t> </w:t>
      </w:r>
      <w:r>
        <w:rPr/>
        <w:t>transdermal</w:t>
      </w:r>
      <w:r>
        <w:rPr>
          <w:spacing w:val="-2"/>
        </w:rPr>
        <w:t> </w:t>
      </w:r>
      <w:r>
        <w:rPr/>
        <w:t>administration</w:t>
      </w:r>
      <w:r>
        <w:rPr>
          <w:spacing w:val="-2"/>
        </w:rPr>
        <w:t> </w:t>
      </w:r>
      <w:r>
        <w:rPr/>
        <w:t>of</w:t>
      </w:r>
      <w:r>
        <w:rPr>
          <w:spacing w:val="-2"/>
        </w:rPr>
        <w:t> </w:t>
      </w:r>
      <w:r>
        <w:rPr/>
        <w:t>estrogen</w:t>
      </w:r>
      <w:r>
        <w:rPr>
          <w:spacing w:val="-2"/>
        </w:rPr>
        <w:t> </w:t>
      </w:r>
      <w:r>
        <w:rPr/>
        <w:t>with</w:t>
      </w:r>
      <w:r>
        <w:rPr>
          <w:spacing w:val="-2"/>
        </w:rPr>
        <w:t> </w:t>
      </w:r>
      <w:r>
        <w:rPr/>
        <w:t>regard to VTE makes some sense because of the known lesser impact on clotting proteins when the first-pass liver effect is avoided. This is supported by transdermal estrogen’s almost negligible effect on APC resistance when compared with oral therapy.</w:t>
      </w:r>
      <w:r>
        <w:rPr>
          <w:vertAlign w:val="superscript"/>
        </w:rPr>
        <w:t>39,818</w:t>
      </w:r>
      <w:r>
        <w:rPr>
          <w:vertAlign w:val="baseline"/>
        </w:rPr>
        <w:t> A randomized trial assessing the risk </w:t>
      </w:r>
      <w:r>
        <w:rPr>
          <w:vertAlign w:val="baseline"/>
        </w:rPr>
        <w:t>of recurrent VTE in women with a prior history of thrombosis being treated with an oral hormone regimen was canceled after 1 year when eight women in the treated group developed recurrent venous thrombosis compared with only one in the placebo group.</w:t>
      </w:r>
      <w:r>
        <w:rPr>
          <w:vertAlign w:val="superscript"/>
        </w:rPr>
        <w:t>819</w:t>
      </w:r>
      <w:r>
        <w:rPr>
          <w:vertAlign w:val="baseline"/>
        </w:rPr>
        <w:t> The eight women were studied retrospectively,</w:t>
      </w:r>
      <w:r>
        <w:rPr>
          <w:spacing w:val="-3"/>
          <w:vertAlign w:val="baseline"/>
        </w:rPr>
        <w:t> </w:t>
      </w:r>
      <w:r>
        <w:rPr>
          <w:vertAlign w:val="baseline"/>
        </w:rPr>
        <w:t>and</w:t>
      </w:r>
      <w:r>
        <w:rPr>
          <w:spacing w:val="-3"/>
          <w:vertAlign w:val="baseline"/>
        </w:rPr>
        <w:t> </w:t>
      </w:r>
      <w:r>
        <w:rPr>
          <w:vertAlign w:val="baseline"/>
        </w:rPr>
        <w:t>six</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eight</w:t>
      </w:r>
      <w:r>
        <w:rPr>
          <w:spacing w:val="-3"/>
          <w:vertAlign w:val="baseline"/>
        </w:rPr>
        <w:t> </w:t>
      </w:r>
      <w:r>
        <w:rPr>
          <w:vertAlign w:val="baseline"/>
        </w:rPr>
        <w:t>had</w:t>
      </w:r>
      <w:r>
        <w:rPr>
          <w:spacing w:val="-3"/>
          <w:vertAlign w:val="baseline"/>
        </w:rPr>
        <w:t> </w:t>
      </w:r>
      <w:r>
        <w:rPr>
          <w:vertAlign w:val="baseline"/>
        </w:rPr>
        <w:t>an</w:t>
      </w:r>
      <w:r>
        <w:rPr>
          <w:spacing w:val="-3"/>
          <w:vertAlign w:val="baseline"/>
        </w:rPr>
        <w:t> </w:t>
      </w:r>
      <w:r>
        <w:rPr>
          <w:vertAlign w:val="baseline"/>
        </w:rPr>
        <w:t>inherited</w:t>
      </w:r>
      <w:r>
        <w:rPr>
          <w:spacing w:val="-3"/>
          <w:vertAlign w:val="baseline"/>
        </w:rPr>
        <w:t> </w:t>
      </w:r>
      <w:r>
        <w:rPr>
          <w:vertAlign w:val="baseline"/>
        </w:rPr>
        <w:t>susceptibility</w:t>
      </w:r>
      <w:r>
        <w:rPr>
          <w:spacing w:val="-3"/>
          <w:vertAlign w:val="baseline"/>
        </w:rPr>
        <w:t> </w:t>
      </w:r>
      <w:r>
        <w:rPr>
          <w:vertAlign w:val="baseline"/>
        </w:rPr>
        <w:t>to</w:t>
      </w:r>
      <w:r>
        <w:rPr>
          <w:spacing w:val="-3"/>
          <w:vertAlign w:val="baseline"/>
        </w:rPr>
        <w:t> </w:t>
      </w:r>
      <w:r>
        <w:rPr>
          <w:vertAlign w:val="baseline"/>
        </w:rPr>
        <w:t>venous thrombosis. The numbers were not large, but the results are a strong argument for the recommendations detailed in Chapter 22. There is no argument</w:t>
      </w:r>
      <w:r>
        <w:rPr>
          <w:spacing w:val="45"/>
          <w:vertAlign w:val="baseline"/>
        </w:rPr>
        <w:t> </w:t>
      </w:r>
      <w:r>
        <w:rPr>
          <w:vertAlign w:val="baseline"/>
        </w:rPr>
        <w:t>that</w:t>
      </w:r>
      <w:r>
        <w:rPr>
          <w:spacing w:val="47"/>
          <w:vertAlign w:val="baseline"/>
        </w:rPr>
        <w:t> </w:t>
      </w:r>
      <w:r>
        <w:rPr>
          <w:vertAlign w:val="baseline"/>
        </w:rPr>
        <w:t>inherited</w:t>
      </w:r>
      <w:r>
        <w:rPr>
          <w:spacing w:val="48"/>
          <w:vertAlign w:val="baseline"/>
        </w:rPr>
        <w:t> </w:t>
      </w:r>
      <w:r>
        <w:rPr>
          <w:vertAlign w:val="baseline"/>
        </w:rPr>
        <w:t>abnormalities</w:t>
      </w:r>
      <w:r>
        <w:rPr>
          <w:spacing w:val="47"/>
          <w:vertAlign w:val="baseline"/>
        </w:rPr>
        <w:t> </w:t>
      </w:r>
      <w:r>
        <w:rPr>
          <w:vertAlign w:val="baseline"/>
        </w:rPr>
        <w:t>in</w:t>
      </w:r>
      <w:r>
        <w:rPr>
          <w:spacing w:val="47"/>
          <w:vertAlign w:val="baseline"/>
        </w:rPr>
        <w:t> </w:t>
      </w:r>
      <w:r>
        <w:rPr>
          <w:vertAlign w:val="baseline"/>
        </w:rPr>
        <w:t>the</w:t>
      </w:r>
      <w:r>
        <w:rPr>
          <w:spacing w:val="48"/>
          <w:vertAlign w:val="baseline"/>
        </w:rPr>
        <w:t> </w:t>
      </w:r>
      <w:r>
        <w:rPr>
          <w:vertAlign w:val="baseline"/>
        </w:rPr>
        <w:t>clotting</w:t>
      </w:r>
      <w:r>
        <w:rPr>
          <w:spacing w:val="47"/>
          <w:vertAlign w:val="baseline"/>
        </w:rPr>
        <w:t> </w:t>
      </w:r>
      <w:r>
        <w:rPr>
          <w:vertAlign w:val="baseline"/>
        </w:rPr>
        <w:t>scheme</w:t>
      </w:r>
      <w:r>
        <w:rPr>
          <w:spacing w:val="47"/>
          <w:vertAlign w:val="baseline"/>
        </w:rPr>
        <w:t> </w:t>
      </w:r>
      <w:r>
        <w:rPr>
          <w:vertAlign w:val="baseline"/>
        </w:rPr>
        <w:t>increase</w:t>
      </w:r>
      <w:r>
        <w:rPr>
          <w:spacing w:val="48"/>
          <w:vertAlign w:val="baseline"/>
        </w:rPr>
        <w:t> </w:t>
      </w:r>
      <w:r>
        <w:rPr>
          <w:spacing w:val="-5"/>
          <w:vertAlign w:val="baseline"/>
        </w:rPr>
        <w:t>the</w:t>
      </w:r>
    </w:p>
    <w:p>
      <w:pPr>
        <w:pStyle w:val="BodyText"/>
        <w:spacing w:after="0" w:line="249" w:lineRule="auto"/>
        <w:sectPr>
          <w:pgSz w:w="12240" w:h="15840"/>
          <w:pgMar w:top="1380" w:bottom="280" w:left="1440" w:right="1440"/>
        </w:sectPr>
      </w:pPr>
    </w:p>
    <w:p>
      <w:pPr>
        <w:pStyle w:val="BodyText"/>
        <w:tabs>
          <w:tab w:pos="1882" w:val="left" w:leader="none"/>
          <w:tab w:pos="2165" w:val="left" w:leader="none"/>
          <w:tab w:pos="2889" w:val="left" w:leader="none"/>
          <w:tab w:pos="3264" w:val="left" w:leader="none"/>
          <w:tab w:pos="4314" w:val="left" w:leader="none"/>
          <w:tab w:pos="4663" w:val="left" w:leader="none"/>
          <w:tab w:pos="5328" w:val="left" w:leader="none"/>
          <w:tab w:pos="5389" w:val="left" w:leader="none"/>
          <w:tab w:pos="6529" w:val="left" w:leader="none"/>
          <w:tab w:pos="7177" w:val="left" w:leader="none"/>
          <w:tab w:pos="7759" w:val="left" w:leader="none"/>
          <w:tab w:pos="8287" w:val="left" w:leader="none"/>
          <w:tab w:pos="9112" w:val="left" w:leader="none"/>
        </w:tabs>
        <w:spacing w:line="249" w:lineRule="auto"/>
        <w:ind w:right="97"/>
        <w:jc w:val="right"/>
      </w:pPr>
      <w:r>
        <w:rPr/>
        <w:t>risk</w:t>
      </w:r>
      <w:r>
        <w:rPr>
          <w:spacing w:val="-2"/>
        </w:rPr>
        <w:t> </w:t>
      </w:r>
      <w:r>
        <w:rPr/>
        <w:t>for</w:t>
      </w:r>
      <w:r>
        <w:rPr>
          <w:spacing w:val="-2"/>
        </w:rPr>
        <w:t> </w:t>
      </w:r>
      <w:r>
        <w:rPr/>
        <w:t>VTE.</w:t>
      </w:r>
      <w:r>
        <w:rPr>
          <w:spacing w:val="-3"/>
        </w:rPr>
        <w:t> </w:t>
      </w:r>
      <w:r>
        <w:rPr/>
        <w:t>The evidence is mixed for arterial thrombosis, but most of the evidence</w:t>
      </w:r>
      <w:r>
        <w:rPr>
          <w:spacing w:val="40"/>
        </w:rPr>
        <w:t> </w:t>
      </w:r>
      <w:r>
        <w:rPr/>
        <w:t>fails</w:t>
      </w:r>
      <w:r>
        <w:rPr>
          <w:spacing w:val="40"/>
        </w:rPr>
        <w:t> </w:t>
      </w:r>
      <w:r>
        <w:rPr/>
        <w:t>to</w:t>
      </w:r>
      <w:r>
        <w:rPr>
          <w:spacing w:val="40"/>
        </w:rPr>
        <w:t> </w:t>
      </w:r>
      <w:r>
        <w:rPr/>
        <w:t>find</w:t>
      </w:r>
      <w:r>
        <w:rPr>
          <w:spacing w:val="40"/>
        </w:rPr>
        <w:t> </w:t>
      </w:r>
      <w:r>
        <w:rPr/>
        <w:t>an</w:t>
      </w:r>
      <w:r>
        <w:rPr>
          <w:spacing w:val="40"/>
        </w:rPr>
        <w:t> </w:t>
      </w:r>
      <w:r>
        <w:rPr/>
        <w:t>association</w:t>
      </w:r>
      <w:r>
        <w:rPr>
          <w:spacing w:val="40"/>
        </w:rPr>
        <w:t> </w:t>
      </w:r>
      <w:r>
        <w:rPr/>
        <w:t>between</w:t>
      </w:r>
      <w:r>
        <w:rPr>
          <w:spacing w:val="40"/>
        </w:rPr>
        <w:t> </w:t>
      </w:r>
      <w:r>
        <w:rPr/>
        <w:t>specific</w:t>
      </w:r>
      <w:r>
        <w:rPr>
          <w:spacing w:val="40"/>
        </w:rPr>
        <w:t> </w:t>
      </w:r>
      <w:r>
        <w:rPr/>
        <w:t>inherited</w:t>
      </w:r>
      <w:r>
        <w:rPr>
          <w:spacing w:val="40"/>
        </w:rPr>
        <w:t> </w:t>
      </w:r>
      <w:r>
        <w:rPr/>
        <w:t>defects</w:t>
      </w:r>
      <w:r>
        <w:rPr>
          <w:spacing w:val="80"/>
          <w:w w:val="150"/>
        </w:rPr>
        <w:t> </w:t>
      </w:r>
      <w:r>
        <w:rPr/>
        <w:t>(thrombophilia) and arterial thrombosis, although this is still unsettled.</w:t>
      </w:r>
      <w:r>
        <w:rPr>
          <w:vertAlign w:val="superscript"/>
        </w:rPr>
        <w:t>820-823</w:t>
      </w:r>
      <w:r>
        <w:rPr>
          <w:vertAlign w:val="baseline"/>
        </w:rPr>
        <w:t> If</w:t>
      </w:r>
      <w:r>
        <w:rPr>
          <w:spacing w:val="40"/>
          <w:vertAlign w:val="baseline"/>
        </w:rPr>
        <w:t> </w:t>
      </w:r>
      <w:r>
        <w:rPr>
          <w:vertAlign w:val="baseline"/>
        </w:rPr>
        <w:t>a</w:t>
      </w:r>
      <w:r>
        <w:rPr>
          <w:spacing w:val="40"/>
          <w:vertAlign w:val="baseline"/>
        </w:rPr>
        <w:t> </w:t>
      </w:r>
      <w:r>
        <w:rPr>
          <w:vertAlign w:val="baseline"/>
        </w:rPr>
        <w:t>patient</w:t>
      </w:r>
      <w:r>
        <w:rPr>
          <w:spacing w:val="40"/>
          <w:vertAlign w:val="baseline"/>
        </w:rPr>
        <w:t> </w:t>
      </w:r>
      <w:r>
        <w:rPr>
          <w:vertAlign w:val="baseline"/>
        </w:rPr>
        <w:t>has</w:t>
      </w:r>
      <w:r>
        <w:rPr>
          <w:spacing w:val="40"/>
          <w:vertAlign w:val="baseline"/>
        </w:rPr>
        <w:t> </w:t>
      </w:r>
      <w:r>
        <w:rPr>
          <w:vertAlign w:val="baseline"/>
        </w:rPr>
        <w:t>a</w:t>
      </w:r>
      <w:r>
        <w:rPr>
          <w:spacing w:val="40"/>
          <w:vertAlign w:val="baseline"/>
        </w:rPr>
        <w:t> </w:t>
      </w:r>
      <w:r>
        <w:rPr>
          <w:vertAlign w:val="baseline"/>
        </w:rPr>
        <w:t>close</w:t>
      </w:r>
      <w:r>
        <w:rPr>
          <w:spacing w:val="40"/>
          <w:vertAlign w:val="baseline"/>
        </w:rPr>
        <w:t> </w:t>
      </w:r>
      <w:r>
        <w:rPr>
          <w:vertAlign w:val="baseline"/>
        </w:rPr>
        <w:t>family</w:t>
      </w:r>
      <w:r>
        <w:rPr>
          <w:spacing w:val="40"/>
          <w:vertAlign w:val="baseline"/>
        </w:rPr>
        <w:t> </w:t>
      </w:r>
      <w:r>
        <w:rPr>
          <w:vertAlign w:val="baseline"/>
        </w:rPr>
        <w:t>history</w:t>
      </w:r>
      <w:r>
        <w:rPr>
          <w:spacing w:val="40"/>
          <w:vertAlign w:val="baseline"/>
        </w:rPr>
        <w:t> </w:t>
      </w:r>
      <w:r>
        <w:rPr>
          <w:vertAlign w:val="baseline"/>
        </w:rPr>
        <w:t>(parent</w:t>
      </w:r>
      <w:r>
        <w:rPr>
          <w:spacing w:val="40"/>
          <w:vertAlign w:val="baseline"/>
        </w:rPr>
        <w:t> </w:t>
      </w:r>
      <w:r>
        <w:rPr>
          <w:vertAlign w:val="baseline"/>
        </w:rPr>
        <w:t>or</w:t>
      </w:r>
      <w:r>
        <w:rPr>
          <w:spacing w:val="40"/>
          <w:vertAlign w:val="baseline"/>
        </w:rPr>
        <w:t> </w:t>
      </w:r>
      <w:r>
        <w:rPr>
          <w:vertAlign w:val="baseline"/>
        </w:rPr>
        <w:t>sibling,</w:t>
      </w:r>
      <w:r>
        <w:rPr>
          <w:spacing w:val="40"/>
          <w:vertAlign w:val="baseline"/>
        </w:rPr>
        <w:t> </w:t>
      </w:r>
      <w:r>
        <w:rPr>
          <w:vertAlign w:val="baseline"/>
        </w:rPr>
        <w:t>or</w:t>
      </w:r>
      <w:r>
        <w:rPr>
          <w:spacing w:val="40"/>
          <w:vertAlign w:val="baseline"/>
        </w:rPr>
        <w:t> </w:t>
      </w:r>
      <w:r>
        <w:rPr>
          <w:vertAlign w:val="baseline"/>
        </w:rPr>
        <w:t>child)</w:t>
      </w:r>
      <w:r>
        <w:rPr>
          <w:spacing w:val="40"/>
          <w:vertAlign w:val="baseline"/>
        </w:rPr>
        <w:t> </w:t>
      </w:r>
      <w:r>
        <w:rPr>
          <w:vertAlign w:val="baseline"/>
        </w:rPr>
        <w:t>or</w:t>
      </w:r>
      <w:r>
        <w:rPr>
          <w:spacing w:val="40"/>
          <w:vertAlign w:val="baseline"/>
        </w:rPr>
        <w:t> </w:t>
      </w:r>
      <w:r>
        <w:rPr>
          <w:vertAlign w:val="baseline"/>
        </w:rPr>
        <w:t>a previous</w:t>
      </w:r>
      <w:r>
        <w:rPr>
          <w:spacing w:val="39"/>
          <w:vertAlign w:val="baseline"/>
        </w:rPr>
        <w:t> </w:t>
      </w:r>
      <w:r>
        <w:rPr>
          <w:vertAlign w:val="baseline"/>
        </w:rPr>
        <w:t>episode</w:t>
      </w:r>
      <w:r>
        <w:rPr>
          <w:spacing w:val="39"/>
          <w:vertAlign w:val="baseline"/>
        </w:rPr>
        <w:t> </w:t>
      </w:r>
      <w:r>
        <w:rPr>
          <w:vertAlign w:val="baseline"/>
        </w:rPr>
        <w:t>of</w:t>
      </w:r>
      <w:r>
        <w:rPr>
          <w:spacing w:val="39"/>
          <w:vertAlign w:val="baseline"/>
        </w:rPr>
        <w:t> </w:t>
      </w:r>
      <w:r>
        <w:rPr>
          <w:vertAlign w:val="baseline"/>
        </w:rPr>
        <w:t>idiopathic</w:t>
      </w:r>
      <w:r>
        <w:rPr>
          <w:spacing w:val="39"/>
          <w:vertAlign w:val="baseline"/>
        </w:rPr>
        <w:t> </w:t>
      </w:r>
      <w:r>
        <w:rPr>
          <w:vertAlign w:val="baseline"/>
        </w:rPr>
        <w:t>thromboembolism,</w:t>
      </w:r>
      <w:r>
        <w:rPr>
          <w:spacing w:val="39"/>
          <w:vertAlign w:val="baseline"/>
        </w:rPr>
        <w:t> </w:t>
      </w:r>
      <w:r>
        <w:rPr>
          <w:vertAlign w:val="baseline"/>
        </w:rPr>
        <w:t>an</w:t>
      </w:r>
      <w:r>
        <w:rPr>
          <w:spacing w:val="39"/>
          <w:vertAlign w:val="baseline"/>
        </w:rPr>
        <w:t> </w:t>
      </w:r>
      <w:r>
        <w:rPr>
          <w:vertAlign w:val="baseline"/>
        </w:rPr>
        <w:t>evaluation</w:t>
      </w:r>
      <w:r>
        <w:rPr>
          <w:spacing w:val="39"/>
          <w:vertAlign w:val="baseline"/>
        </w:rPr>
        <w:t> </w:t>
      </w:r>
      <w:r>
        <w:rPr>
          <w:vertAlign w:val="baseline"/>
        </w:rPr>
        <w:t>to</w:t>
      </w:r>
      <w:r>
        <w:rPr>
          <w:spacing w:val="39"/>
          <w:vertAlign w:val="baseline"/>
        </w:rPr>
        <w:t> </w:t>
      </w:r>
      <w:r>
        <w:rPr>
          <w:vertAlign w:val="baseline"/>
        </w:rPr>
        <w:t>search for</w:t>
      </w:r>
      <w:r>
        <w:rPr>
          <w:spacing w:val="-1"/>
          <w:vertAlign w:val="baseline"/>
        </w:rPr>
        <w:t> </w:t>
      </w:r>
      <w:r>
        <w:rPr>
          <w:vertAlign w:val="baseline"/>
        </w:rPr>
        <w:t>an</w:t>
      </w:r>
      <w:r>
        <w:rPr>
          <w:spacing w:val="-1"/>
          <w:vertAlign w:val="baseline"/>
        </w:rPr>
        <w:t> </w:t>
      </w:r>
      <w:r>
        <w:rPr>
          <w:vertAlign w:val="baseline"/>
        </w:rPr>
        <w:t>underlying</w:t>
      </w:r>
      <w:r>
        <w:rPr>
          <w:spacing w:val="-1"/>
          <w:vertAlign w:val="baseline"/>
        </w:rPr>
        <w:t> </w:t>
      </w:r>
      <w:r>
        <w:rPr>
          <w:vertAlign w:val="baseline"/>
        </w:rPr>
        <w:t>abnormality</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coagulation</w:t>
      </w:r>
      <w:r>
        <w:rPr>
          <w:spacing w:val="-1"/>
          <w:vertAlign w:val="baseline"/>
        </w:rPr>
        <w:t> </w:t>
      </w:r>
      <w:r>
        <w:rPr>
          <w:vertAlign w:val="baseline"/>
        </w:rPr>
        <w:t>system</w:t>
      </w:r>
      <w:r>
        <w:rPr>
          <w:spacing w:val="-1"/>
          <w:vertAlign w:val="baseline"/>
        </w:rPr>
        <w:t> </w:t>
      </w:r>
      <w:r>
        <w:rPr>
          <w:vertAlign w:val="baseline"/>
        </w:rPr>
        <w:t>is</w:t>
      </w:r>
      <w:r>
        <w:rPr>
          <w:spacing w:val="-1"/>
          <w:vertAlign w:val="baseline"/>
        </w:rPr>
        <w:t> </w:t>
      </w:r>
      <w:r>
        <w:rPr>
          <w:vertAlign w:val="baseline"/>
        </w:rPr>
        <w:t>warranted</w:t>
      </w:r>
      <w:r>
        <w:rPr>
          <w:spacing w:val="-1"/>
          <w:vertAlign w:val="baseline"/>
        </w:rPr>
        <w:t> </w:t>
      </w:r>
      <w:r>
        <w:rPr>
          <w:vertAlign w:val="baseline"/>
        </w:rPr>
        <w:t>before exposing</w:t>
      </w:r>
      <w:r>
        <w:rPr>
          <w:spacing w:val="40"/>
          <w:vertAlign w:val="baseline"/>
        </w:rPr>
        <w:t> </w:t>
      </w:r>
      <w:r>
        <w:rPr>
          <w:vertAlign w:val="baseline"/>
        </w:rPr>
        <w:t>the</w:t>
      </w:r>
      <w:r>
        <w:rPr>
          <w:spacing w:val="40"/>
          <w:vertAlign w:val="baseline"/>
        </w:rPr>
        <w:t> </w:t>
      </w:r>
      <w:r>
        <w:rPr>
          <w:vertAlign w:val="baseline"/>
        </w:rPr>
        <w:t>patient</w:t>
      </w:r>
      <w:r>
        <w:rPr>
          <w:spacing w:val="40"/>
          <w:vertAlign w:val="baseline"/>
        </w:rPr>
        <w:t> </w:t>
      </w:r>
      <w:r>
        <w:rPr>
          <w:vertAlign w:val="baseline"/>
        </w:rPr>
        <w:t>to</w:t>
      </w:r>
      <w:r>
        <w:rPr>
          <w:spacing w:val="40"/>
          <w:vertAlign w:val="baseline"/>
        </w:rPr>
        <w:t> </w:t>
      </w:r>
      <w:r>
        <w:rPr>
          <w:vertAlign w:val="baseline"/>
        </w:rPr>
        <w:t>exogenous</w:t>
      </w:r>
      <w:r>
        <w:rPr>
          <w:spacing w:val="40"/>
          <w:vertAlign w:val="baseline"/>
        </w:rPr>
        <w:t> </w:t>
      </w:r>
      <w:r>
        <w:rPr>
          <w:vertAlign w:val="baseline"/>
        </w:rPr>
        <w:t>HT.</w:t>
      </w:r>
      <w:r>
        <w:rPr>
          <w:spacing w:val="40"/>
          <w:vertAlign w:val="baseline"/>
        </w:rPr>
        <w:t> </w:t>
      </w:r>
      <w:r>
        <w:rPr>
          <w:vertAlign w:val="baseline"/>
        </w:rPr>
        <w:t>The</w:t>
      </w:r>
      <w:r>
        <w:rPr>
          <w:spacing w:val="40"/>
          <w:vertAlign w:val="baseline"/>
        </w:rPr>
        <w:t> </w:t>
      </w:r>
      <w:r>
        <w:rPr>
          <w:vertAlign w:val="baseline"/>
        </w:rPr>
        <w:t>following</w:t>
      </w:r>
      <w:r>
        <w:rPr>
          <w:spacing w:val="40"/>
          <w:vertAlign w:val="baseline"/>
        </w:rPr>
        <w:t> </w:t>
      </w:r>
      <w:r>
        <w:rPr>
          <w:vertAlign w:val="baseline"/>
        </w:rPr>
        <w:t>measurements</w:t>
      </w:r>
      <w:r>
        <w:rPr>
          <w:spacing w:val="40"/>
          <w:vertAlign w:val="baseline"/>
        </w:rPr>
        <w:t> </w:t>
      </w:r>
      <w:r>
        <w:rPr>
          <w:vertAlign w:val="baseline"/>
        </w:rPr>
        <w:t>are </w:t>
      </w:r>
      <w:r>
        <w:rPr>
          <w:spacing w:val="-2"/>
          <w:vertAlign w:val="baseline"/>
        </w:rPr>
        <w:t>recommended,</w:t>
      </w:r>
      <w:r>
        <w:rPr>
          <w:vertAlign w:val="baseline"/>
        </w:rPr>
        <w:tab/>
        <w:tab/>
      </w:r>
      <w:r>
        <w:rPr>
          <w:spacing w:val="-4"/>
          <w:vertAlign w:val="baseline"/>
        </w:rPr>
        <w:t>and</w:t>
      </w:r>
      <w:r>
        <w:rPr>
          <w:vertAlign w:val="baseline"/>
        </w:rPr>
        <w:tab/>
      </w:r>
      <w:r>
        <w:rPr>
          <w:spacing w:val="-2"/>
          <w:vertAlign w:val="baseline"/>
        </w:rPr>
        <w:t>abnormal</w:t>
      </w:r>
      <w:r>
        <w:rPr>
          <w:vertAlign w:val="baseline"/>
        </w:rPr>
        <w:tab/>
      </w:r>
      <w:r>
        <w:rPr>
          <w:spacing w:val="-2"/>
          <w:vertAlign w:val="baseline"/>
        </w:rPr>
        <w:t>results</w:t>
      </w:r>
      <w:r>
        <w:rPr>
          <w:vertAlign w:val="baseline"/>
        </w:rPr>
        <w:tab/>
        <w:tab/>
      </w:r>
      <w:r>
        <w:rPr>
          <w:spacing w:val="-2"/>
          <w:vertAlign w:val="baseline"/>
        </w:rPr>
        <w:t>require</w:t>
      </w:r>
      <w:r>
        <w:rPr>
          <w:vertAlign w:val="baseline"/>
        </w:rPr>
        <w:tab/>
      </w:r>
      <w:r>
        <w:rPr>
          <w:spacing w:val="-2"/>
          <w:vertAlign w:val="baseline"/>
        </w:rPr>
        <w:t>consultation</w:t>
      </w:r>
      <w:r>
        <w:rPr>
          <w:vertAlign w:val="baseline"/>
        </w:rPr>
        <w:tab/>
      </w:r>
      <w:r>
        <w:rPr>
          <w:spacing w:val="-4"/>
          <w:vertAlign w:val="baseline"/>
        </w:rPr>
        <w:t>with</w:t>
      </w:r>
      <w:r>
        <w:rPr>
          <w:vertAlign w:val="baseline"/>
        </w:rPr>
        <w:tab/>
      </w:r>
      <w:r>
        <w:rPr>
          <w:spacing w:val="-10"/>
          <w:vertAlign w:val="baseline"/>
        </w:rPr>
        <w:t>a </w:t>
      </w:r>
      <w:r>
        <w:rPr>
          <w:spacing w:val="-2"/>
          <w:vertAlign w:val="baseline"/>
        </w:rPr>
        <w:t>hematologist</w:t>
      </w:r>
      <w:r>
        <w:rPr>
          <w:vertAlign w:val="baseline"/>
        </w:rPr>
        <w:tab/>
      </w:r>
      <w:r>
        <w:rPr>
          <w:spacing w:val="-2"/>
          <w:vertAlign w:val="baseline"/>
        </w:rPr>
        <w:t>regarding</w:t>
      </w:r>
      <w:r>
        <w:rPr>
          <w:vertAlign w:val="baseline"/>
        </w:rPr>
        <w:tab/>
      </w:r>
      <w:r>
        <w:rPr>
          <w:spacing w:val="-2"/>
          <w:vertAlign w:val="baseline"/>
        </w:rPr>
        <w:t>prognosis</w:t>
      </w:r>
      <w:r>
        <w:rPr>
          <w:vertAlign w:val="baseline"/>
        </w:rPr>
        <w:tab/>
      </w:r>
      <w:r>
        <w:rPr>
          <w:spacing w:val="-4"/>
          <w:vertAlign w:val="baseline"/>
        </w:rPr>
        <w:t>and</w:t>
      </w:r>
      <w:r>
        <w:rPr>
          <w:vertAlign w:val="baseline"/>
        </w:rPr>
        <w:tab/>
      </w:r>
      <w:r>
        <w:rPr>
          <w:spacing w:val="-2"/>
          <w:vertAlign w:val="baseline"/>
        </w:rPr>
        <w:t>consideration</w:t>
      </w:r>
      <w:r>
        <w:rPr>
          <w:vertAlign w:val="baseline"/>
        </w:rPr>
        <w:tab/>
      </w:r>
      <w:r>
        <w:rPr>
          <w:spacing w:val="-4"/>
          <w:vertAlign w:val="baseline"/>
        </w:rPr>
        <w:t>for</w:t>
      </w:r>
      <w:r>
        <w:rPr>
          <w:vertAlign w:val="baseline"/>
        </w:rPr>
        <w:tab/>
      </w:r>
      <w:r>
        <w:rPr>
          <w:spacing w:val="-2"/>
          <w:vertAlign w:val="baseline"/>
        </w:rPr>
        <w:t>prophylactic </w:t>
      </w:r>
      <w:r>
        <w:rPr>
          <w:vertAlign w:val="baseline"/>
        </w:rPr>
        <w:t>treatment</w:t>
      </w:r>
      <w:r>
        <w:rPr>
          <w:spacing w:val="40"/>
          <w:vertAlign w:val="baseline"/>
        </w:rPr>
        <w:t> </w:t>
      </w:r>
      <w:r>
        <w:rPr>
          <w:vertAlign w:val="baseline"/>
        </w:rPr>
        <w:t>with</w:t>
      </w:r>
      <w:r>
        <w:rPr>
          <w:spacing w:val="40"/>
          <w:vertAlign w:val="baseline"/>
        </w:rPr>
        <w:t> </w:t>
      </w:r>
      <w:r>
        <w:rPr>
          <w:vertAlign w:val="baseline"/>
        </w:rPr>
        <w:t>an</w:t>
      </w:r>
      <w:r>
        <w:rPr>
          <w:spacing w:val="40"/>
          <w:vertAlign w:val="baseline"/>
        </w:rPr>
        <w:t> </w:t>
      </w:r>
      <w:r>
        <w:rPr>
          <w:vertAlign w:val="baseline"/>
        </w:rPr>
        <w:t>anticoagulant.</w:t>
      </w:r>
      <w:r>
        <w:rPr>
          <w:spacing w:val="40"/>
          <w:vertAlign w:val="baseline"/>
        </w:rPr>
        <w:t> </w:t>
      </w:r>
      <w:r>
        <w:rPr>
          <w:vertAlign w:val="baseline"/>
        </w:rPr>
        <w:t>The</w:t>
      </w:r>
      <w:r>
        <w:rPr>
          <w:spacing w:val="40"/>
          <w:vertAlign w:val="baseline"/>
        </w:rPr>
        <w:t> </w:t>
      </w:r>
      <w:r>
        <w:rPr>
          <w:vertAlign w:val="baseline"/>
        </w:rPr>
        <w:t>list</w:t>
      </w:r>
      <w:r>
        <w:rPr>
          <w:spacing w:val="40"/>
          <w:vertAlign w:val="baseline"/>
        </w:rPr>
        <w:t> </w:t>
      </w:r>
      <w:r>
        <w:rPr>
          <w:vertAlign w:val="baseline"/>
        </w:rPr>
        <w:t>of</w:t>
      </w:r>
      <w:r>
        <w:rPr>
          <w:spacing w:val="40"/>
          <w:vertAlign w:val="baseline"/>
        </w:rPr>
        <w:t> </w:t>
      </w:r>
      <w:r>
        <w:rPr>
          <w:vertAlign w:val="baseline"/>
        </w:rPr>
        <w:t>laboratory</w:t>
      </w:r>
      <w:r>
        <w:rPr>
          <w:spacing w:val="40"/>
          <w:vertAlign w:val="baseline"/>
        </w:rPr>
        <w:t> </w:t>
      </w:r>
      <w:r>
        <w:rPr>
          <w:vertAlign w:val="baseline"/>
        </w:rPr>
        <w:t>tests</w:t>
      </w:r>
      <w:r>
        <w:rPr>
          <w:spacing w:val="40"/>
          <w:vertAlign w:val="baseline"/>
        </w:rPr>
        <w:t> </w:t>
      </w:r>
      <w:r>
        <w:rPr>
          <w:vertAlign w:val="baseline"/>
        </w:rPr>
        <w:t>is</w:t>
      </w:r>
      <w:r>
        <w:rPr>
          <w:spacing w:val="40"/>
          <w:vertAlign w:val="baseline"/>
        </w:rPr>
        <w:t> </w:t>
      </w:r>
      <w:r>
        <w:rPr>
          <w:vertAlign w:val="baseline"/>
        </w:rPr>
        <w:t>long,</w:t>
      </w:r>
      <w:r>
        <w:rPr>
          <w:spacing w:val="40"/>
          <w:vertAlign w:val="baseline"/>
        </w:rPr>
        <w:t> </w:t>
      </w:r>
      <w:r>
        <w:rPr>
          <w:vertAlign w:val="baseline"/>
        </w:rPr>
        <w:t>and, because this is a dynamic and changing field, the best advice is to consult</w:t>
      </w:r>
      <w:r>
        <w:rPr>
          <w:spacing w:val="80"/>
          <w:w w:val="150"/>
          <w:vertAlign w:val="baseline"/>
        </w:rPr>
        <w:t> </w:t>
      </w:r>
      <w:r>
        <w:rPr>
          <w:vertAlign w:val="baseline"/>
        </w:rPr>
        <w:t>with</w:t>
      </w:r>
      <w:r>
        <w:rPr>
          <w:spacing w:val="80"/>
          <w:vertAlign w:val="baseline"/>
        </w:rPr>
        <w:t> </w:t>
      </w:r>
      <w:r>
        <w:rPr>
          <w:vertAlign w:val="baseline"/>
        </w:rPr>
        <w:t>a</w:t>
      </w:r>
      <w:r>
        <w:rPr>
          <w:spacing w:val="80"/>
          <w:vertAlign w:val="baseline"/>
        </w:rPr>
        <w:t> </w:t>
      </w:r>
      <w:r>
        <w:rPr>
          <w:vertAlign w:val="baseline"/>
        </w:rPr>
        <w:t>hematologist</w:t>
      </w:r>
      <w:r>
        <w:rPr>
          <w:spacing w:val="80"/>
          <w:vertAlign w:val="baseline"/>
        </w:rPr>
        <w:t> </w:t>
      </w:r>
      <w:r>
        <w:rPr>
          <w:vertAlign w:val="baseline"/>
        </w:rPr>
        <w:t>(</w:t>
      </w:r>
      <w:r>
        <w:rPr>
          <w:b/>
          <w:color w:val="256E60"/>
          <w:vertAlign w:val="baseline"/>
        </w:rPr>
        <w:t>Table</w:t>
      </w:r>
      <w:r>
        <w:rPr>
          <w:b/>
          <w:color w:val="256E60"/>
          <w:spacing w:val="80"/>
          <w:vertAlign w:val="baseline"/>
        </w:rPr>
        <w:t> </w:t>
      </w:r>
      <w:r>
        <w:rPr>
          <w:b/>
          <w:color w:val="256E60"/>
          <w:vertAlign w:val="baseline"/>
        </w:rPr>
        <w:t>22.8</w:t>
      </w:r>
      <w:r>
        <w:rPr>
          <w:vertAlign w:val="baseline"/>
        </w:rPr>
        <w:t>).</w:t>
      </w:r>
      <w:r>
        <w:rPr>
          <w:spacing w:val="80"/>
          <w:vertAlign w:val="baseline"/>
        </w:rPr>
        <w:t> </w:t>
      </w:r>
      <w:r>
        <w:rPr>
          <w:vertAlign w:val="baseline"/>
        </w:rPr>
        <w:t>When</w:t>
      </w:r>
      <w:r>
        <w:rPr>
          <w:spacing w:val="80"/>
          <w:vertAlign w:val="baseline"/>
        </w:rPr>
        <w:t> </w:t>
      </w:r>
      <w:r>
        <w:rPr>
          <w:vertAlign w:val="baseline"/>
        </w:rPr>
        <w:t>a</w:t>
      </w:r>
      <w:r>
        <w:rPr>
          <w:spacing w:val="80"/>
          <w:vertAlign w:val="baseline"/>
        </w:rPr>
        <w:t> </w:t>
      </w:r>
      <w:r>
        <w:rPr>
          <w:vertAlign w:val="baseline"/>
        </w:rPr>
        <w:t>diagnosis</w:t>
      </w:r>
      <w:r>
        <w:rPr>
          <w:spacing w:val="80"/>
          <w:vertAlign w:val="baseline"/>
        </w:rPr>
        <w:t> </w:t>
      </w:r>
      <w:r>
        <w:rPr>
          <w:vertAlign w:val="baseline"/>
        </w:rPr>
        <w:t>of</w:t>
      </w:r>
      <w:r>
        <w:rPr>
          <w:spacing w:val="80"/>
          <w:vertAlign w:val="baseline"/>
        </w:rPr>
        <w:t> </w:t>
      </w:r>
      <w:r>
        <w:rPr>
          <w:vertAlign w:val="baseline"/>
        </w:rPr>
        <w:t>a</w:t>
      </w:r>
      <w:r>
        <w:rPr>
          <w:spacing w:val="80"/>
          <w:vertAlign w:val="baseline"/>
        </w:rPr>
        <w:t> </w:t>
      </w:r>
      <w:r>
        <w:rPr>
          <w:vertAlign w:val="baseline"/>
        </w:rPr>
        <w:t>hereditary</w:t>
      </w:r>
      <w:r>
        <w:rPr>
          <w:spacing w:val="40"/>
          <w:vertAlign w:val="baseline"/>
        </w:rPr>
        <w:t> </w:t>
      </w:r>
      <w:r>
        <w:rPr>
          <w:vertAlign w:val="baseline"/>
        </w:rPr>
        <w:t>thrombotic</w:t>
      </w:r>
      <w:r>
        <w:rPr>
          <w:spacing w:val="35"/>
          <w:vertAlign w:val="baseline"/>
        </w:rPr>
        <w:t> </w:t>
      </w:r>
      <w:r>
        <w:rPr>
          <w:vertAlign w:val="baseline"/>
        </w:rPr>
        <w:t>tendency</w:t>
      </w:r>
      <w:r>
        <w:rPr>
          <w:spacing w:val="35"/>
          <w:vertAlign w:val="baseline"/>
        </w:rPr>
        <w:t> </w:t>
      </w:r>
      <w:r>
        <w:rPr>
          <w:vertAlign w:val="baseline"/>
        </w:rPr>
        <w:t>is</w:t>
      </w:r>
      <w:r>
        <w:rPr>
          <w:spacing w:val="36"/>
          <w:vertAlign w:val="baseline"/>
        </w:rPr>
        <w:t> </w:t>
      </w:r>
      <w:r>
        <w:rPr>
          <w:vertAlign w:val="baseline"/>
        </w:rPr>
        <w:t>made,</w:t>
      </w:r>
      <w:r>
        <w:rPr>
          <w:spacing w:val="35"/>
          <w:vertAlign w:val="baseline"/>
        </w:rPr>
        <w:t> </w:t>
      </w:r>
      <w:r>
        <w:rPr>
          <w:vertAlign w:val="baseline"/>
        </w:rPr>
        <w:t>screening</w:t>
      </w:r>
      <w:r>
        <w:rPr>
          <w:spacing w:val="36"/>
          <w:vertAlign w:val="baseline"/>
        </w:rPr>
        <w:t> </w:t>
      </w:r>
      <w:r>
        <w:rPr>
          <w:vertAlign w:val="baseline"/>
        </w:rPr>
        <w:t>should</w:t>
      </w:r>
      <w:r>
        <w:rPr>
          <w:spacing w:val="35"/>
          <w:vertAlign w:val="baseline"/>
        </w:rPr>
        <w:t> </w:t>
      </w:r>
      <w:r>
        <w:rPr>
          <w:vertAlign w:val="baseline"/>
        </w:rPr>
        <w:t>be</w:t>
      </w:r>
      <w:r>
        <w:rPr>
          <w:spacing w:val="35"/>
          <w:vertAlign w:val="baseline"/>
        </w:rPr>
        <w:t> </w:t>
      </w:r>
      <w:r>
        <w:rPr>
          <w:vertAlign w:val="baseline"/>
        </w:rPr>
        <w:t>offered</w:t>
      </w:r>
      <w:r>
        <w:rPr>
          <w:spacing w:val="36"/>
          <w:vertAlign w:val="baseline"/>
        </w:rPr>
        <w:t> </w:t>
      </w:r>
      <w:r>
        <w:rPr>
          <w:vertAlign w:val="baseline"/>
        </w:rPr>
        <w:t>to</w:t>
      </w:r>
      <w:r>
        <w:rPr>
          <w:spacing w:val="35"/>
          <w:vertAlign w:val="baseline"/>
        </w:rPr>
        <w:t> </w:t>
      </w:r>
      <w:r>
        <w:rPr>
          <w:vertAlign w:val="baseline"/>
        </w:rPr>
        <w:t>other</w:t>
      </w:r>
      <w:r>
        <w:rPr>
          <w:spacing w:val="36"/>
          <w:vertAlign w:val="baseline"/>
        </w:rPr>
        <w:t> </w:t>
      </w:r>
      <w:r>
        <w:rPr>
          <w:spacing w:val="-2"/>
          <w:vertAlign w:val="baseline"/>
        </w:rPr>
        <w:t>family</w:t>
      </w:r>
    </w:p>
    <w:p>
      <w:pPr>
        <w:pStyle w:val="BodyText"/>
        <w:spacing w:before="16"/>
        <w:jc w:val="left"/>
      </w:pPr>
      <w:r>
        <w:rPr>
          <w:spacing w:val="-2"/>
        </w:rPr>
        <w:t>members.</w:t>
      </w:r>
    </w:p>
    <w:p>
      <w:pPr>
        <w:pStyle w:val="BodyText"/>
        <w:spacing w:before="0"/>
        <w:ind w:left="0"/>
        <w:jc w:val="left"/>
        <w:rPr>
          <w:sz w:val="22"/>
        </w:rPr>
      </w:pPr>
    </w:p>
    <w:p>
      <w:pPr>
        <w:pStyle w:val="BodyText"/>
        <w:spacing w:before="0"/>
        <w:ind w:left="0"/>
        <w:jc w:val="left"/>
        <w:rPr>
          <w:sz w:val="22"/>
        </w:rPr>
      </w:pPr>
    </w:p>
    <w:p>
      <w:pPr>
        <w:pStyle w:val="BodyText"/>
        <w:spacing w:before="0"/>
        <w:ind w:left="0"/>
        <w:jc w:val="left"/>
        <w:rPr>
          <w:sz w:val="22"/>
        </w:rPr>
      </w:pPr>
    </w:p>
    <w:p>
      <w:pPr>
        <w:pStyle w:val="BodyText"/>
        <w:spacing w:before="0"/>
        <w:ind w:left="0"/>
        <w:jc w:val="left"/>
        <w:rPr>
          <w:sz w:val="22"/>
        </w:rPr>
      </w:pPr>
    </w:p>
    <w:p>
      <w:pPr>
        <w:pStyle w:val="BodyText"/>
        <w:spacing w:before="172"/>
        <w:ind w:left="0"/>
        <w:jc w:val="left"/>
        <w:rPr>
          <w:sz w:val="22"/>
        </w:rPr>
      </w:pPr>
    </w:p>
    <w:p>
      <w:pPr>
        <w:tabs>
          <w:tab w:pos="3594" w:val="left" w:leader="none"/>
        </w:tabs>
        <w:spacing w:line="570" w:lineRule="atLeast" w:before="0"/>
        <w:ind w:left="189" w:right="4257" w:firstLine="0"/>
        <w:jc w:val="left"/>
        <w:rPr>
          <w:sz w:val="22"/>
        </w:rPr>
      </w:pPr>
      <w:r>
        <w:rPr>
          <w:sz w:val="22"/>
        </w:rPr>
        <mc:AlternateContent>
          <mc:Choice Requires="wps">
            <w:drawing>
              <wp:anchor distT="0" distB="0" distL="0" distR="0" allowOverlap="1" layoutInCell="1" locked="0" behindDoc="0" simplePos="0" relativeHeight="15795712">
                <wp:simplePos x="0" y="0"/>
                <wp:positionH relativeFrom="page">
                  <wp:posOffset>981062</wp:posOffset>
                </wp:positionH>
                <wp:positionV relativeFrom="paragraph">
                  <wp:posOffset>465500</wp:posOffset>
                </wp:positionV>
                <wp:extent cx="5810250" cy="952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36.653622pt;width:457.5pt;height:.75pt;mso-position-horizontal-relative:page;mso-position-vertical-relative:paragraph;z-index:15795712" id="docshape184" coordorigin="1545,733" coordsize="9150,15" path="m10695,733l4950,733,1545,733,1545,748,4950,748,10695,748,10695,733xe" filled="true" fillcolor="#1c5349"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796224">
                <wp:simplePos x="0" y="0"/>
                <wp:positionH relativeFrom="page">
                  <wp:posOffset>981075</wp:posOffset>
                </wp:positionH>
                <wp:positionV relativeFrom="paragraph">
                  <wp:posOffset>-525097</wp:posOffset>
                </wp:positionV>
                <wp:extent cx="5810250" cy="63817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5810250" cy="638175"/>
                          <a:chExt cx="5810250" cy="638175"/>
                        </a:xfrm>
                      </wpg:grpSpPr>
                      <wps:wsp>
                        <wps:cNvPr id="209" name="Textbox 209"/>
                        <wps:cNvSpPr txBox="1"/>
                        <wps:spPr>
                          <a:xfrm>
                            <a:off x="0" y="285749"/>
                            <a:ext cx="5810250" cy="342900"/>
                          </a:xfrm>
                          <a:prstGeom prst="rect">
                            <a:avLst/>
                          </a:prstGeom>
                          <a:solidFill>
                            <a:srgbClr val="DDE6E3"/>
                          </a:solidFill>
                        </wps:spPr>
                        <wps:txbx>
                          <w:txbxContent>
                            <w:p>
                              <w:pPr>
                                <w:tabs>
                                  <w:tab w:pos="3489" w:val="left" w:leader="none"/>
                                </w:tabs>
                                <w:spacing w:before="138"/>
                                <w:ind w:left="84" w:right="0" w:firstLine="0"/>
                                <w:jc w:val="left"/>
                                <w:rPr>
                                  <w:rFonts w:ascii="Arial"/>
                                  <w:b/>
                                  <w:color w:val="000000"/>
                                  <w:sz w:val="22"/>
                                </w:rPr>
                              </w:pPr>
                              <w:r>
                                <w:rPr>
                                  <w:rFonts w:ascii="Arial"/>
                                  <w:b/>
                                  <w:color w:val="1C5349"/>
                                  <w:sz w:val="22"/>
                                </w:rPr>
                                <w:t>Hypercoagulable</w:t>
                              </w:r>
                              <w:r>
                                <w:rPr>
                                  <w:rFonts w:ascii="Arial"/>
                                  <w:b/>
                                  <w:color w:val="1C5349"/>
                                  <w:spacing w:val="36"/>
                                  <w:sz w:val="22"/>
                                </w:rPr>
                                <w:t> </w:t>
                              </w:r>
                              <w:r>
                                <w:rPr>
                                  <w:rFonts w:ascii="Arial"/>
                                  <w:b/>
                                  <w:color w:val="1C5349"/>
                                  <w:spacing w:val="-2"/>
                                  <w:sz w:val="22"/>
                                </w:rPr>
                                <w:t>Conditions</w:t>
                              </w:r>
                              <w:r>
                                <w:rPr>
                                  <w:rFonts w:ascii="Arial"/>
                                  <w:b/>
                                  <w:color w:val="1C5349"/>
                                  <w:sz w:val="22"/>
                                </w:rPr>
                                <w:tab/>
                                <w:t>Screening</w:t>
                              </w:r>
                              <w:r>
                                <w:rPr>
                                  <w:rFonts w:ascii="Arial"/>
                                  <w:b/>
                                  <w:color w:val="1C5349"/>
                                  <w:spacing w:val="22"/>
                                  <w:sz w:val="22"/>
                                </w:rPr>
                                <w:t> </w:t>
                              </w:r>
                              <w:r>
                                <w:rPr>
                                  <w:rFonts w:ascii="Arial"/>
                                  <w:b/>
                                  <w:color w:val="1C5349"/>
                                  <w:spacing w:val="-2"/>
                                  <w:sz w:val="22"/>
                                </w:rPr>
                                <w:t>Test(s)</w:t>
                              </w:r>
                            </w:p>
                          </w:txbxContent>
                        </wps:txbx>
                        <wps:bodyPr wrap="square" lIns="0" tIns="0" rIns="0" bIns="0" rtlCol="0">
                          <a:noAutofit/>
                        </wps:bodyPr>
                      </wps:wsp>
                      <wps:wsp>
                        <wps:cNvPr id="210" name="Graphic 210"/>
                        <wps:cNvSpPr/>
                        <wps:spPr>
                          <a:xfrm>
                            <a:off x="-12" y="628648"/>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256E60"/>
                          </a:solidFill>
                        </wps:spPr>
                        <wps:bodyPr wrap="square" lIns="0" tIns="0" rIns="0" bIns="0" rtlCol="0">
                          <a:prstTxWarp prst="textNoShape">
                            <a:avLst/>
                          </a:prstTxWarp>
                          <a:noAutofit/>
                        </wps:bodyPr>
                      </wps:wsp>
                      <wps:wsp>
                        <wps:cNvPr id="211" name="Textbox 211"/>
                        <wps:cNvSpPr txBox="1"/>
                        <wps:spPr>
                          <a:xfrm>
                            <a:off x="0" y="0"/>
                            <a:ext cx="5810250" cy="285750"/>
                          </a:xfrm>
                          <a:prstGeom prst="rect">
                            <a:avLst/>
                          </a:prstGeom>
                          <a:solidFill>
                            <a:srgbClr val="256E60"/>
                          </a:solidFill>
                        </wps:spPr>
                        <wps:txbx>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22.8</w:t>
                              </w:r>
                            </w:p>
                          </w:txbxContent>
                        </wps:txbx>
                        <wps:bodyPr wrap="square" lIns="0" tIns="0" rIns="0" bIns="0" rtlCol="0">
                          <a:noAutofit/>
                        </wps:bodyPr>
                      </wps:wsp>
                    </wpg:wgp>
                  </a:graphicData>
                </a:graphic>
              </wp:anchor>
            </w:drawing>
          </mc:Choice>
          <mc:Fallback>
            <w:pict>
              <v:group style="position:absolute;margin-left:77.25pt;margin-top:-41.346275pt;width:457.5pt;height:50.25pt;mso-position-horizontal-relative:page;mso-position-vertical-relative:paragraph;z-index:15796224" id="docshapegroup185" coordorigin="1545,-827" coordsize="9150,1005">
                <v:shape style="position:absolute;left:1545;top:-377;width:9150;height:540" type="#_x0000_t202" id="docshape186" filled="true" fillcolor="#dde6e3" stroked="false">
                  <v:textbox inset="0,0,0,0">
                    <w:txbxContent>
                      <w:p>
                        <w:pPr>
                          <w:tabs>
                            <w:tab w:pos="3489" w:val="left" w:leader="none"/>
                          </w:tabs>
                          <w:spacing w:before="138"/>
                          <w:ind w:left="84" w:right="0" w:firstLine="0"/>
                          <w:jc w:val="left"/>
                          <w:rPr>
                            <w:rFonts w:ascii="Arial"/>
                            <w:b/>
                            <w:color w:val="000000"/>
                            <w:sz w:val="22"/>
                          </w:rPr>
                        </w:pPr>
                        <w:r>
                          <w:rPr>
                            <w:rFonts w:ascii="Arial"/>
                            <w:b/>
                            <w:color w:val="1C5349"/>
                            <w:sz w:val="22"/>
                          </w:rPr>
                          <w:t>Hypercoagulable</w:t>
                        </w:r>
                        <w:r>
                          <w:rPr>
                            <w:rFonts w:ascii="Arial"/>
                            <w:b/>
                            <w:color w:val="1C5349"/>
                            <w:spacing w:val="36"/>
                            <w:sz w:val="22"/>
                          </w:rPr>
                          <w:t> </w:t>
                        </w:r>
                        <w:r>
                          <w:rPr>
                            <w:rFonts w:ascii="Arial"/>
                            <w:b/>
                            <w:color w:val="1C5349"/>
                            <w:spacing w:val="-2"/>
                            <w:sz w:val="22"/>
                          </w:rPr>
                          <w:t>Conditions</w:t>
                        </w:r>
                        <w:r>
                          <w:rPr>
                            <w:rFonts w:ascii="Arial"/>
                            <w:b/>
                            <w:color w:val="1C5349"/>
                            <w:sz w:val="22"/>
                          </w:rPr>
                          <w:tab/>
                          <w:t>Screening</w:t>
                        </w:r>
                        <w:r>
                          <w:rPr>
                            <w:rFonts w:ascii="Arial"/>
                            <w:b/>
                            <w:color w:val="1C5349"/>
                            <w:spacing w:val="22"/>
                            <w:sz w:val="22"/>
                          </w:rPr>
                          <w:t> </w:t>
                        </w:r>
                        <w:r>
                          <w:rPr>
                            <w:rFonts w:ascii="Arial"/>
                            <w:b/>
                            <w:color w:val="1C5349"/>
                            <w:spacing w:val="-2"/>
                            <w:sz w:val="22"/>
                          </w:rPr>
                          <w:t>Test(s)</w:t>
                        </w:r>
                      </w:p>
                    </w:txbxContent>
                  </v:textbox>
                  <v:fill type="solid"/>
                  <w10:wrap type="none"/>
                </v:shape>
                <v:shape style="position:absolute;left:1544;top:163;width:9150;height:15" id="docshape187" coordorigin="1545,163" coordsize="9150,15" path="m10695,163l4950,163,1545,163,1545,178,4950,178,10695,178,10695,163xe" filled="true" fillcolor="#256e60" stroked="false">
                  <v:path arrowok="t"/>
                  <v:fill type="solid"/>
                </v:shape>
                <v:shape style="position:absolute;left:1545;top:-827;width:9150;height:450" type="#_x0000_t202" id="docshape188" filled="true" fillcolor="#256e60" stroked="false">
                  <v:textbox inset="0,0,0,0">
                    <w:txbxContent>
                      <w:p>
                        <w:pPr>
                          <w:spacing w:before="93"/>
                          <w:ind w:left="84" w:right="0" w:firstLine="0"/>
                          <w:jc w:val="left"/>
                          <w:rPr>
                            <w:rFonts w:ascii="Arial"/>
                            <w:b/>
                            <w:color w:val="000000"/>
                            <w:sz w:val="22"/>
                          </w:rPr>
                        </w:pPr>
                        <w:r>
                          <w:rPr>
                            <w:rFonts w:ascii="Arial"/>
                            <w:b/>
                            <w:color w:val="FFFFFF"/>
                            <w:sz w:val="22"/>
                          </w:rPr>
                          <w:t>TABLE</w:t>
                        </w:r>
                        <w:r>
                          <w:rPr>
                            <w:rFonts w:ascii="Arial"/>
                            <w:b/>
                            <w:color w:val="FFFFFF"/>
                            <w:spacing w:val="-2"/>
                            <w:sz w:val="22"/>
                          </w:rPr>
                          <w:t> </w:t>
                        </w:r>
                        <w:r>
                          <w:rPr>
                            <w:rFonts w:ascii="Arial"/>
                            <w:b/>
                            <w:color w:val="FFFFFF"/>
                            <w:spacing w:val="-4"/>
                            <w:sz w:val="22"/>
                          </w:rPr>
                          <w:t>22.8</w:t>
                        </w:r>
                      </w:p>
                    </w:txbxContent>
                  </v:textbox>
                  <v:fill type="solid"/>
                  <w10:wrap type="none"/>
                </v:shape>
                <w10:wrap type="none"/>
              </v:group>
            </w:pict>
          </mc:Fallback>
        </mc:AlternateContent>
      </w:r>
      <w:r>
        <w:rPr>
          <w:sz w:val="22"/>
        </w:rPr>
        <w:t>Antithrombin III deficiency</w:t>
        <w:tab/>
        <w:t>Antithrombin</w:t>
      </w:r>
      <w:r>
        <w:rPr>
          <w:spacing w:val="-4"/>
          <w:sz w:val="22"/>
        </w:rPr>
        <w:t> </w:t>
      </w:r>
      <w:r>
        <w:rPr>
          <w:sz w:val="22"/>
        </w:rPr>
        <w:t>III Protein C deficiency</w:t>
        <w:tab/>
        <w:t>Protein C</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50304">
                <wp:simplePos x="0" y="0"/>
                <wp:positionH relativeFrom="page">
                  <wp:posOffset>981062</wp:posOffset>
                </wp:positionH>
                <wp:positionV relativeFrom="paragraph">
                  <wp:posOffset>103551</wp:posOffset>
                </wp:positionV>
                <wp:extent cx="5810250" cy="952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3625pt;width:457.5pt;height:.75pt;mso-position-horizontal-relative:page;mso-position-vertical-relative:paragraph;z-index:-15666176;mso-wrap-distance-left:0;mso-wrap-distance-right:0" id="docshape189" coordorigin="1545,163" coordsize="9150,15" path="m10695,163l4950,163,1545,163,1545,178,4950,178,10695,178,10695,163xe" filled="true" fillcolor="#1c5349" stroked="false">
                <v:path arrowok="t"/>
                <v:fill type="solid"/>
                <w10:wrap type="topAndBottom"/>
              </v:shape>
            </w:pict>
          </mc:Fallback>
        </mc:AlternateContent>
      </w:r>
    </w:p>
    <w:p>
      <w:pPr>
        <w:tabs>
          <w:tab w:pos="3594" w:val="left" w:leader="none"/>
        </w:tabs>
        <w:spacing w:before="139"/>
        <w:ind w:left="189" w:right="0" w:firstLine="0"/>
        <w:jc w:val="left"/>
        <w:rPr>
          <w:sz w:val="22"/>
        </w:rPr>
      </w:pPr>
      <w:r>
        <w:rPr>
          <w:sz w:val="22"/>
        </w:rPr>
        <w:t>Protein</w:t>
      </w:r>
      <w:r>
        <w:rPr>
          <w:spacing w:val="8"/>
          <w:sz w:val="22"/>
        </w:rPr>
        <w:t> </w:t>
      </w:r>
      <w:r>
        <w:rPr>
          <w:sz w:val="22"/>
        </w:rPr>
        <w:t>S</w:t>
      </w:r>
      <w:r>
        <w:rPr>
          <w:spacing w:val="9"/>
          <w:sz w:val="22"/>
        </w:rPr>
        <w:t> </w:t>
      </w:r>
      <w:r>
        <w:rPr>
          <w:spacing w:val="-2"/>
          <w:sz w:val="22"/>
        </w:rPr>
        <w:t>deficiency</w:t>
      </w:r>
      <w:r>
        <w:rPr>
          <w:sz w:val="22"/>
        </w:rPr>
        <w:tab/>
        <w:t>Protein</w:t>
      </w:r>
      <w:r>
        <w:rPr>
          <w:spacing w:val="13"/>
          <w:sz w:val="22"/>
        </w:rPr>
        <w:t> </w:t>
      </w:r>
      <w:r>
        <w:rPr>
          <w:spacing w:val="-10"/>
          <w:sz w:val="22"/>
        </w:rPr>
        <w:t>S</w:t>
      </w:r>
    </w:p>
    <w:p>
      <w:pPr>
        <w:tabs>
          <w:tab w:pos="3594" w:val="left" w:leader="none"/>
        </w:tabs>
        <w:spacing w:line="570" w:lineRule="atLeast" w:before="0"/>
        <w:ind w:left="189" w:right="1414" w:firstLine="0"/>
        <w:jc w:val="left"/>
        <w:rPr>
          <w:sz w:val="22"/>
        </w:rPr>
      </w:pPr>
      <w:r>
        <w:rPr>
          <w:sz w:val="22"/>
        </w:rPr>
        <mc:AlternateContent>
          <mc:Choice Requires="wps">
            <w:drawing>
              <wp:anchor distT="0" distB="0" distL="0" distR="0" allowOverlap="1" layoutInCell="1" locked="0" behindDoc="0" simplePos="0" relativeHeight="15794176">
                <wp:simplePos x="0" y="0"/>
                <wp:positionH relativeFrom="page">
                  <wp:posOffset>981062</wp:posOffset>
                </wp:positionH>
                <wp:positionV relativeFrom="paragraph">
                  <wp:posOffset>827417</wp:posOffset>
                </wp:positionV>
                <wp:extent cx="5810250" cy="952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65.150986pt;width:457.5pt;height:.75pt;mso-position-horizontal-relative:page;mso-position-vertical-relative:paragraph;z-index:15794176" id="docshape190" coordorigin="1545,1303" coordsize="9150,15" path="m10695,1303l4950,1303,1545,1303,1545,1318,4950,1318,10695,1318,10695,1303xe" filled="true" fillcolor="#1c5349"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794688">
                <wp:simplePos x="0" y="0"/>
                <wp:positionH relativeFrom="page">
                  <wp:posOffset>981062</wp:posOffset>
                </wp:positionH>
                <wp:positionV relativeFrom="paragraph">
                  <wp:posOffset>465467</wp:posOffset>
                </wp:positionV>
                <wp:extent cx="5810250" cy="952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36.650986pt;width:457.5pt;height:.75pt;mso-position-horizontal-relative:page;mso-position-vertical-relative:paragraph;z-index:15794688" id="docshape191" coordorigin="1545,733" coordsize="9150,15" path="m10695,733l4950,733,1545,733,1545,748,4950,748,10695,748,10695,733xe" filled="true" fillcolor="#1c5349"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795200">
                <wp:simplePos x="0" y="0"/>
                <wp:positionH relativeFrom="page">
                  <wp:posOffset>981062</wp:posOffset>
                </wp:positionH>
                <wp:positionV relativeFrom="paragraph">
                  <wp:posOffset>103517</wp:posOffset>
                </wp:positionV>
                <wp:extent cx="5810250" cy="952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0985pt;width:457.5pt;height:.75pt;mso-position-horizontal-relative:page;mso-position-vertical-relative:paragraph;z-index:15795200" id="docshape192" coordorigin="1545,163" coordsize="9150,15" path="m10695,163l4950,163,1545,163,1545,178,4950,178,10695,178,10695,163xe" filled="true" fillcolor="#1c5349" stroked="false">
                <v:path arrowok="t"/>
                <v:fill type="solid"/>
                <w10:wrap type="none"/>
              </v:shape>
            </w:pict>
          </mc:Fallback>
        </mc:AlternateContent>
      </w:r>
      <w:r>
        <w:rPr>
          <w:sz w:val="22"/>
        </w:rPr>
        <w:t>Factor V Leiden mutation</w:t>
        <w:tab/>
        <w:t>Activated</w:t>
      </w:r>
      <w:r>
        <w:rPr>
          <w:spacing w:val="40"/>
          <w:sz w:val="22"/>
        </w:rPr>
        <w:t> </w:t>
      </w:r>
      <w:r>
        <w:rPr>
          <w:sz w:val="22"/>
        </w:rPr>
        <w:t>protein</w:t>
      </w:r>
      <w:r>
        <w:rPr>
          <w:spacing w:val="40"/>
          <w:sz w:val="22"/>
        </w:rPr>
        <w:t> </w:t>
      </w:r>
      <w:r>
        <w:rPr>
          <w:sz w:val="22"/>
        </w:rPr>
        <w:t>C</w:t>
      </w:r>
      <w:r>
        <w:rPr>
          <w:spacing w:val="40"/>
          <w:sz w:val="22"/>
        </w:rPr>
        <w:t> </w:t>
      </w:r>
      <w:r>
        <w:rPr>
          <w:sz w:val="22"/>
        </w:rPr>
        <w:t>resistance</w:t>
      </w:r>
      <w:r>
        <w:rPr>
          <w:spacing w:val="40"/>
          <w:sz w:val="22"/>
        </w:rPr>
        <w:t> </w:t>
      </w:r>
      <w:r>
        <w:rPr>
          <w:sz w:val="22"/>
        </w:rPr>
        <w:t>ratio Prothrombin gene mutation</w:t>
        <w:tab/>
        <w:t>Prothrombin G mutation (DNA test) Antiphospholipid syndrome</w:t>
        <w:tab/>
        <w:t>Hexagonal activated partial thromboplastin </w:t>
      </w:r>
      <w:r>
        <w:rPr>
          <w:sz w:val="22"/>
        </w:rPr>
        <w:t>time</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50816">
                <wp:simplePos x="0" y="0"/>
                <wp:positionH relativeFrom="page">
                  <wp:posOffset>981062</wp:posOffset>
                </wp:positionH>
                <wp:positionV relativeFrom="paragraph">
                  <wp:posOffset>103517</wp:posOffset>
                </wp:positionV>
                <wp:extent cx="5810250" cy="9525"/>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0989pt;width:457.5pt;height:.75pt;mso-position-horizontal-relative:page;mso-position-vertical-relative:paragraph;z-index:-15665664;mso-wrap-distance-left:0;mso-wrap-distance-right:0" id="docshape193" coordorigin="1545,163" coordsize="9150,15" path="m10695,163l4950,163,1545,163,1545,178,4950,178,10695,178,10695,163xe" filled="true" fillcolor="#1c5349" stroked="false">
                <v:path arrowok="t"/>
                <v:fill type="solid"/>
                <w10:wrap type="topAndBottom"/>
              </v:shape>
            </w:pict>
          </mc:Fallback>
        </mc:AlternateContent>
      </w:r>
    </w:p>
    <w:p>
      <w:pPr>
        <w:spacing w:before="139"/>
        <w:ind w:left="3594" w:right="0" w:firstLine="0"/>
        <w:jc w:val="left"/>
        <w:rPr>
          <w:sz w:val="22"/>
        </w:rPr>
      </w:pPr>
      <w:r>
        <w:rPr>
          <w:sz w:val="22"/>
        </w:rPr>
        <w:t>Anticardiolipin</w:t>
      </w:r>
      <w:r>
        <w:rPr>
          <w:spacing w:val="27"/>
          <w:sz w:val="22"/>
        </w:rPr>
        <w:t> </w:t>
      </w:r>
      <w:r>
        <w:rPr>
          <w:spacing w:val="-2"/>
          <w:sz w:val="22"/>
        </w:rPr>
        <w:t>antibodies</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51328">
                <wp:simplePos x="0" y="0"/>
                <wp:positionH relativeFrom="page">
                  <wp:posOffset>981062</wp:posOffset>
                </wp:positionH>
                <wp:positionV relativeFrom="paragraph">
                  <wp:posOffset>103517</wp:posOffset>
                </wp:positionV>
                <wp:extent cx="5810250" cy="9525"/>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0999pt;width:457.5pt;height:.75pt;mso-position-horizontal-relative:page;mso-position-vertical-relative:paragraph;z-index:-15665152;mso-wrap-distance-left:0;mso-wrap-distance-right:0" id="docshape194" coordorigin="1545,163" coordsize="9150,15" path="m10695,163l4950,163,1545,163,1545,178,4950,178,10695,178,10695,163xe" filled="true" fillcolor="#1c5349" stroked="false">
                <v:path arrowok="t"/>
                <v:fill type="solid"/>
                <w10:wrap type="topAndBottom"/>
              </v:shape>
            </w:pict>
          </mc:Fallback>
        </mc:AlternateContent>
      </w:r>
    </w:p>
    <w:p>
      <w:pPr>
        <w:spacing w:before="139"/>
        <w:ind w:left="3594" w:right="0" w:firstLine="0"/>
        <w:jc w:val="left"/>
        <w:rPr>
          <w:sz w:val="22"/>
        </w:rPr>
      </w:pPr>
      <w:r>
        <w:rPr>
          <w:sz w:val="22"/>
        </w:rPr>
        <w:t>Lupus</w:t>
      </w:r>
      <w:r>
        <w:rPr>
          <w:spacing w:val="20"/>
          <w:sz w:val="22"/>
        </w:rPr>
        <w:t> </w:t>
      </w:r>
      <w:r>
        <w:rPr>
          <w:sz w:val="22"/>
        </w:rPr>
        <w:t>anticoagulant</w:t>
      </w:r>
      <w:r>
        <w:rPr>
          <w:spacing w:val="20"/>
          <w:sz w:val="22"/>
        </w:rPr>
        <w:t> </w:t>
      </w:r>
      <w:r>
        <w:rPr>
          <w:sz w:val="22"/>
        </w:rPr>
        <w:t>β</w:t>
      </w:r>
      <w:r>
        <w:rPr>
          <w:sz w:val="22"/>
          <w:vertAlign w:val="subscript"/>
        </w:rPr>
        <w:t>2</w:t>
      </w:r>
      <w:r>
        <w:rPr>
          <w:spacing w:val="21"/>
          <w:sz w:val="22"/>
          <w:vertAlign w:val="baseline"/>
        </w:rPr>
        <w:t> </w:t>
      </w:r>
      <w:r>
        <w:rPr>
          <w:sz w:val="22"/>
          <w:vertAlign w:val="baseline"/>
        </w:rPr>
        <w:t>glycoprotein</w:t>
      </w:r>
      <w:r>
        <w:rPr>
          <w:spacing w:val="20"/>
          <w:sz w:val="22"/>
          <w:vertAlign w:val="baseline"/>
        </w:rPr>
        <w:t> </w:t>
      </w:r>
      <w:r>
        <w:rPr>
          <w:spacing w:val="-2"/>
          <w:sz w:val="22"/>
          <w:vertAlign w:val="baseline"/>
        </w:rPr>
        <w:t>antibodies</w:t>
      </w:r>
    </w:p>
    <w:p>
      <w:pPr>
        <w:pStyle w:val="BodyText"/>
        <w:spacing w:before="8"/>
        <w:ind w:left="0"/>
        <w:jc w:val="left"/>
        <w:rPr>
          <w:sz w:val="14"/>
        </w:rPr>
      </w:pPr>
      <w:r>
        <w:rPr>
          <w:sz w:val="14"/>
        </w:rPr>
        <mc:AlternateContent>
          <mc:Choice Requires="wps">
            <w:drawing>
              <wp:anchor distT="0" distB="0" distL="0" distR="0" allowOverlap="1" layoutInCell="1" locked="0" behindDoc="1" simplePos="0" relativeHeight="487651840">
                <wp:simplePos x="0" y="0"/>
                <wp:positionH relativeFrom="page">
                  <wp:posOffset>981062</wp:posOffset>
                </wp:positionH>
                <wp:positionV relativeFrom="paragraph">
                  <wp:posOffset>122567</wp:posOffset>
                </wp:positionV>
                <wp:extent cx="5810250" cy="952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9.651003pt;width:457.5pt;height:.75pt;mso-position-horizontal-relative:page;mso-position-vertical-relative:paragraph;z-index:-15664640;mso-wrap-distance-left:0;mso-wrap-distance-right:0" id="docshape195" coordorigin="1545,193" coordsize="9150,15" path="m10695,193l4950,193,1545,193,1545,208,4950,208,10695,208,10695,193xe" filled="true" fillcolor="#1c5349" stroked="false">
                <v:path arrowok="t"/>
                <v:fill type="solid"/>
                <w10:wrap type="topAndBottom"/>
              </v:shape>
            </w:pict>
          </mc:Fallback>
        </mc:AlternateContent>
      </w:r>
    </w:p>
    <w:p>
      <w:pPr>
        <w:tabs>
          <w:tab w:pos="3594" w:val="left" w:leader="none"/>
        </w:tabs>
        <w:spacing w:before="139"/>
        <w:ind w:left="189" w:right="0" w:firstLine="0"/>
        <w:jc w:val="left"/>
        <w:rPr>
          <w:sz w:val="22"/>
        </w:rPr>
      </w:pPr>
      <w:r>
        <w:rPr>
          <w:spacing w:val="-2"/>
          <w:sz w:val="22"/>
        </w:rPr>
        <w:t>Hyperhomocysteinemia</w:t>
      </w:r>
      <w:r>
        <w:rPr>
          <w:sz w:val="22"/>
        </w:rPr>
        <w:tab/>
        <w:t>Homocysteine</w:t>
      </w:r>
      <w:r>
        <w:rPr>
          <w:spacing w:val="26"/>
          <w:sz w:val="22"/>
        </w:rPr>
        <w:t> </w:t>
      </w:r>
      <w:r>
        <w:rPr>
          <w:spacing w:val="-2"/>
          <w:sz w:val="22"/>
        </w:rPr>
        <w:t>level</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52352">
                <wp:simplePos x="0" y="0"/>
                <wp:positionH relativeFrom="page">
                  <wp:posOffset>981062</wp:posOffset>
                </wp:positionH>
                <wp:positionV relativeFrom="paragraph">
                  <wp:posOffset>103517</wp:posOffset>
                </wp:positionV>
                <wp:extent cx="5810250" cy="9525"/>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007pt;width:457.5pt;height:.75pt;mso-position-horizontal-relative:page;mso-position-vertical-relative:paragraph;z-index:-15664128;mso-wrap-distance-left:0;mso-wrap-distance-right:0" id="docshape196" coordorigin="1545,163" coordsize="9150,15" path="m10695,163l4950,163,1545,163,1545,178,4950,178,10695,178,10695,163xe" filled="true" fillcolor="#1c5349" stroked="false">
                <v:path arrowok="t"/>
                <v:fill type="solid"/>
                <w10:wrap type="topAndBottom"/>
              </v:shape>
            </w:pict>
          </mc:Fallback>
        </mc:AlternateContent>
      </w:r>
    </w:p>
    <w:p>
      <w:pPr>
        <w:tabs>
          <w:tab w:pos="3594" w:val="left" w:leader="none"/>
        </w:tabs>
        <w:spacing w:before="139"/>
        <w:ind w:left="189" w:right="0" w:firstLine="0"/>
        <w:jc w:val="left"/>
        <w:rPr>
          <w:sz w:val="22"/>
        </w:rPr>
      </w:pPr>
      <w:r>
        <w:rPr>
          <w:spacing w:val="-2"/>
          <w:sz w:val="22"/>
        </w:rPr>
        <w:t>Malignancy</w:t>
      </w:r>
      <w:r>
        <w:rPr>
          <w:sz w:val="22"/>
        </w:rPr>
        <w:tab/>
        <w:t>Complete</w:t>
      </w:r>
      <w:r>
        <w:rPr>
          <w:spacing w:val="16"/>
          <w:sz w:val="22"/>
        </w:rPr>
        <w:t> </w:t>
      </w:r>
      <w:r>
        <w:rPr>
          <w:sz w:val="22"/>
        </w:rPr>
        <w:t>blood</w:t>
      </w:r>
      <w:r>
        <w:rPr>
          <w:spacing w:val="17"/>
          <w:sz w:val="22"/>
        </w:rPr>
        <w:t> </w:t>
      </w:r>
      <w:r>
        <w:rPr>
          <w:sz w:val="22"/>
        </w:rPr>
        <w:t>count</w:t>
      </w:r>
      <w:r>
        <w:rPr>
          <w:spacing w:val="16"/>
          <w:sz w:val="22"/>
        </w:rPr>
        <w:t> </w:t>
      </w:r>
      <w:r>
        <w:rPr>
          <w:sz w:val="22"/>
        </w:rPr>
        <w:t>(leukemias,</w:t>
      </w:r>
      <w:r>
        <w:rPr>
          <w:spacing w:val="17"/>
          <w:sz w:val="22"/>
        </w:rPr>
        <w:t> </w:t>
      </w:r>
      <w:r>
        <w:rPr>
          <w:sz w:val="22"/>
        </w:rPr>
        <w:t>lymphoma)</w:t>
      </w:r>
      <w:r>
        <w:rPr>
          <w:spacing w:val="16"/>
          <w:sz w:val="22"/>
        </w:rPr>
        <w:t> </w:t>
      </w:r>
      <w:r>
        <w:rPr>
          <w:spacing w:val="-2"/>
          <w:sz w:val="22"/>
        </w:rPr>
        <w:t>Fibrinogen</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652864">
                <wp:simplePos x="0" y="0"/>
                <wp:positionH relativeFrom="page">
                  <wp:posOffset>981062</wp:posOffset>
                </wp:positionH>
                <wp:positionV relativeFrom="paragraph">
                  <wp:posOffset>103517</wp:posOffset>
                </wp:positionV>
                <wp:extent cx="5810250" cy="9525"/>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5810250" cy="9525"/>
                        </a:xfrm>
                        <a:custGeom>
                          <a:avLst/>
                          <a:gdLst/>
                          <a:ahLst/>
                          <a:cxnLst/>
                          <a:rect l="l" t="t" r="r" b="b"/>
                          <a:pathLst>
                            <a:path w="5810250" h="9525">
                              <a:moveTo>
                                <a:pt x="5810250" y="0"/>
                              </a:moveTo>
                              <a:lnTo>
                                <a:pt x="2162175" y="0"/>
                              </a:lnTo>
                              <a:lnTo>
                                <a:pt x="0" y="0"/>
                              </a:lnTo>
                              <a:lnTo>
                                <a:pt x="0" y="9525"/>
                              </a:lnTo>
                              <a:lnTo>
                                <a:pt x="2162175" y="9525"/>
                              </a:lnTo>
                              <a:lnTo>
                                <a:pt x="5810250" y="9525"/>
                              </a:lnTo>
                              <a:lnTo>
                                <a:pt x="5810250" y="0"/>
                              </a:lnTo>
                              <a:close/>
                            </a:path>
                          </a:pathLst>
                        </a:custGeom>
                        <a:solidFill>
                          <a:srgbClr val="1C5349"/>
                        </a:solidFill>
                      </wps:spPr>
                      <wps:bodyPr wrap="square" lIns="0" tIns="0" rIns="0" bIns="0" rtlCol="0">
                        <a:prstTxWarp prst="textNoShape">
                          <a:avLst/>
                        </a:prstTxWarp>
                        <a:noAutofit/>
                      </wps:bodyPr>
                    </wps:wsp>
                  </a:graphicData>
                </a:graphic>
              </wp:anchor>
            </w:drawing>
          </mc:Choice>
          <mc:Fallback>
            <w:pict>
              <v:shape style="position:absolute;margin-left:77.249001pt;margin-top:8.151011pt;width:457.5pt;height:.75pt;mso-position-horizontal-relative:page;mso-position-vertical-relative:paragraph;z-index:-15663616;mso-wrap-distance-left:0;mso-wrap-distance-right:0" id="docshape197" coordorigin="1545,163" coordsize="9150,15" path="m10695,163l4950,163,1545,163,1545,178,4950,178,10695,178,10695,163xe" filled="true" fillcolor="#1c5349" stroked="false">
                <v:path arrowok="t"/>
                <v:fill type="solid"/>
                <w10:wrap type="topAndBottom"/>
              </v:shape>
            </w:pict>
          </mc:Fallback>
        </mc:AlternateContent>
      </w:r>
    </w:p>
    <w:p>
      <w:pPr>
        <w:pStyle w:val="BodyText"/>
        <w:spacing w:after="0"/>
        <w:jc w:val="left"/>
        <w:rPr>
          <w:sz w:val="12"/>
        </w:rPr>
        <w:sectPr>
          <w:pgSz w:w="12240" w:h="15840"/>
          <w:pgMar w:top="1380" w:bottom="280" w:left="1440" w:right="1440"/>
        </w:sectPr>
      </w:pPr>
    </w:p>
    <w:p>
      <w:pPr>
        <w:pStyle w:val="BodyText"/>
        <w:spacing w:line="249" w:lineRule="auto"/>
        <w:ind w:right="104" w:firstLine="450"/>
      </w:pPr>
      <w:r>
        <w:rPr/>
        <w:t>Other risk factors for thromboembolism that should be considered by clinicians include an acquired predisposition, such as the presence of </w:t>
      </w:r>
      <w:r>
        <w:rPr/>
        <w:t>lupus anticoagulant</w:t>
      </w:r>
      <w:r>
        <w:rPr>
          <w:spacing w:val="-3"/>
        </w:rPr>
        <w:t> </w:t>
      </w:r>
      <w:r>
        <w:rPr/>
        <w:t>or</w:t>
      </w:r>
      <w:r>
        <w:rPr>
          <w:spacing w:val="-3"/>
        </w:rPr>
        <w:t> </w:t>
      </w:r>
      <w:r>
        <w:rPr/>
        <w:t>malignancy,</w:t>
      </w:r>
      <w:r>
        <w:rPr>
          <w:spacing w:val="-3"/>
        </w:rPr>
        <w:t> </w:t>
      </w:r>
      <w:r>
        <w:rPr/>
        <w:t>obesity,</w:t>
      </w:r>
      <w:r>
        <w:rPr>
          <w:spacing w:val="-3"/>
        </w:rPr>
        <w:t> </w:t>
      </w:r>
      <w:r>
        <w:rPr/>
        <w:t>immobility,</w:t>
      </w:r>
      <w:r>
        <w:rPr>
          <w:spacing w:val="-3"/>
        </w:rPr>
        <w:t> </w:t>
      </w:r>
      <w:r>
        <w:rPr/>
        <w:t>or</w:t>
      </w:r>
      <w:r>
        <w:rPr>
          <w:spacing w:val="-3"/>
        </w:rPr>
        <w:t> </w:t>
      </w:r>
      <w:r>
        <w:rPr/>
        <w:t>trauma.</w:t>
      </w:r>
      <w:r>
        <w:rPr>
          <w:spacing w:val="-3"/>
        </w:rPr>
        <w:t> </w:t>
      </w:r>
      <w:r>
        <w:rPr/>
        <w:t>Varicose</w:t>
      </w:r>
      <w:r>
        <w:rPr>
          <w:spacing w:val="-13"/>
        </w:rPr>
        <w:t> </w:t>
      </w:r>
      <w:r>
        <w:rPr/>
        <w:t>veins are not a risk factor unless they are very extensive, and, unlike arterial thrombosis, smoking either has no effect or at best is a weak risk factor for VTE.</w:t>
      </w:r>
      <w:r>
        <w:rPr>
          <w:spacing w:val="-4"/>
        </w:rPr>
        <w:t> </w:t>
      </w:r>
      <w:r>
        <w:rPr/>
        <w:t>Raloxifene (and tamoxifen) shares with estrogen an increased risk for VTE.</w:t>
      </w:r>
      <w:r>
        <w:rPr>
          <w:vertAlign w:val="superscript"/>
        </w:rPr>
        <w:t>215</w:t>
      </w:r>
      <w:r>
        <w:rPr>
          <w:vertAlign w:val="baseline"/>
        </w:rPr>
        <w:t> The size of the risk is comparable for all three drugs, about a 2-fold </w:t>
      </w:r>
      <w:r>
        <w:rPr>
          <w:spacing w:val="-2"/>
          <w:vertAlign w:val="baseline"/>
        </w:rPr>
        <w:t>increase.</w:t>
      </w:r>
    </w:p>
    <w:p>
      <w:pPr>
        <w:pStyle w:val="BodyText"/>
        <w:spacing w:before="0"/>
        <w:ind w:left="0"/>
        <w:jc w:val="left"/>
        <w:rPr>
          <w:sz w:val="33"/>
        </w:rPr>
      </w:pPr>
    </w:p>
    <w:p>
      <w:pPr>
        <w:pStyle w:val="BodyText"/>
        <w:spacing w:before="286"/>
        <w:ind w:left="0"/>
        <w:jc w:val="left"/>
        <w:rPr>
          <w:sz w:val="33"/>
        </w:rPr>
      </w:pPr>
    </w:p>
    <w:p>
      <w:pPr>
        <w:pStyle w:val="Heading2"/>
        <w:spacing w:line="256" w:lineRule="auto"/>
        <w:ind w:right="255"/>
      </w:pPr>
      <w:r>
        <w:rPr/>
        <mc:AlternateContent>
          <mc:Choice Requires="wps">
            <w:drawing>
              <wp:anchor distT="0" distB="0" distL="0" distR="0" allowOverlap="1" layoutInCell="1" locked="0" behindDoc="1" simplePos="0" relativeHeight="484583424">
                <wp:simplePos x="0" y="0"/>
                <wp:positionH relativeFrom="page">
                  <wp:posOffset>981075</wp:posOffset>
                </wp:positionH>
                <wp:positionV relativeFrom="paragraph">
                  <wp:posOffset>-279495</wp:posOffset>
                </wp:positionV>
                <wp:extent cx="5810250" cy="467677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5810250" cy="4676775"/>
                          <a:chExt cx="5810250" cy="4676775"/>
                        </a:xfrm>
                      </wpg:grpSpPr>
                      <wps:wsp>
                        <wps:cNvPr id="222" name="Graphic 22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23" name="Graphic 223"/>
                        <wps:cNvSpPr/>
                        <wps:spPr>
                          <a:xfrm>
                            <a:off x="0" y="1000124"/>
                            <a:ext cx="5810250" cy="3676650"/>
                          </a:xfrm>
                          <a:custGeom>
                            <a:avLst/>
                            <a:gdLst/>
                            <a:ahLst/>
                            <a:cxnLst/>
                            <a:rect l="l" t="t" r="r" b="b"/>
                            <a:pathLst>
                              <a:path w="5810250" h="3676650">
                                <a:moveTo>
                                  <a:pt x="0" y="3676649"/>
                                </a:moveTo>
                                <a:lnTo>
                                  <a:pt x="5810249" y="3676649"/>
                                </a:lnTo>
                                <a:lnTo>
                                  <a:pt x="5810249" y="0"/>
                                </a:lnTo>
                                <a:lnTo>
                                  <a:pt x="0" y="0"/>
                                </a:lnTo>
                                <a:lnTo>
                                  <a:pt x="0" y="3676649"/>
                                </a:lnTo>
                                <a:close/>
                              </a:path>
                            </a:pathLst>
                          </a:custGeom>
                          <a:solidFill>
                            <a:srgbClr val="E9F1CD"/>
                          </a:solidFill>
                        </wps:spPr>
                        <wps:bodyPr wrap="square" lIns="0" tIns="0" rIns="0" bIns="0" rtlCol="0">
                          <a:prstTxWarp prst="textNoShape">
                            <a:avLst/>
                          </a:prstTxWarp>
                          <a:noAutofit/>
                        </wps:bodyPr>
                      </wps:wsp>
                      <wps:wsp>
                        <wps:cNvPr id="224" name="Graphic 224"/>
                        <wps:cNvSpPr/>
                        <wps:spPr>
                          <a:xfrm>
                            <a:off x="0" y="57149"/>
                            <a:ext cx="5810250" cy="942975"/>
                          </a:xfrm>
                          <a:custGeom>
                            <a:avLst/>
                            <a:gdLst/>
                            <a:ahLst/>
                            <a:cxnLst/>
                            <a:rect l="l" t="t" r="r" b="b"/>
                            <a:pathLst>
                              <a:path w="5810250" h="942975">
                                <a:moveTo>
                                  <a:pt x="5810249" y="942974"/>
                                </a:moveTo>
                                <a:lnTo>
                                  <a:pt x="0" y="942974"/>
                                </a:lnTo>
                                <a:lnTo>
                                  <a:pt x="0" y="0"/>
                                </a:lnTo>
                                <a:lnTo>
                                  <a:pt x="5810249" y="0"/>
                                </a:lnTo>
                                <a:lnTo>
                                  <a:pt x="5810249" y="942974"/>
                                </a:lnTo>
                                <a:close/>
                              </a:path>
                            </a:pathLst>
                          </a:custGeom>
                          <a:solidFill>
                            <a:srgbClr val="2B816F"/>
                          </a:solidFill>
                        </wps:spPr>
                        <wps:bodyPr wrap="square" lIns="0" tIns="0" rIns="0" bIns="0" rtlCol="0">
                          <a:prstTxWarp prst="textNoShape">
                            <a:avLst/>
                          </a:prstTxWarp>
                          <a:noAutofit/>
                        </wps:bodyPr>
                      </wps:wsp>
                      <wps:wsp>
                        <wps:cNvPr id="225" name="Graphic 225"/>
                        <wps:cNvSpPr/>
                        <wps:spPr>
                          <a:xfrm>
                            <a:off x="209549" y="228638"/>
                            <a:ext cx="371475" cy="57150"/>
                          </a:xfrm>
                          <a:custGeom>
                            <a:avLst/>
                            <a:gdLst/>
                            <a:ahLst/>
                            <a:cxnLst/>
                            <a:rect l="l" t="t" r="r" b="b"/>
                            <a:pathLst>
                              <a:path w="371475" h="57150">
                                <a:moveTo>
                                  <a:pt x="32364" y="57073"/>
                                </a:moveTo>
                                <a:lnTo>
                                  <a:pt x="24785" y="57073"/>
                                </a:lnTo>
                                <a:lnTo>
                                  <a:pt x="21140" y="56330"/>
                                </a:lnTo>
                                <a:lnTo>
                                  <a:pt x="0" y="32299"/>
                                </a:lnTo>
                                <a:lnTo>
                                  <a:pt x="0" y="24707"/>
                                </a:lnTo>
                                <a:lnTo>
                                  <a:pt x="725" y="21059"/>
                                </a:lnTo>
                                <a:lnTo>
                                  <a:pt x="2175" y="17564"/>
                                </a:lnTo>
                                <a:lnTo>
                                  <a:pt x="3625" y="13992"/>
                                </a:lnTo>
                                <a:lnTo>
                                  <a:pt x="5689" y="10868"/>
                                </a:lnTo>
                                <a:lnTo>
                                  <a:pt x="8369" y="8258"/>
                                </a:lnTo>
                                <a:lnTo>
                                  <a:pt x="11048" y="5581"/>
                                </a:lnTo>
                                <a:lnTo>
                                  <a:pt x="14138" y="3495"/>
                                </a:lnTo>
                                <a:lnTo>
                                  <a:pt x="21140" y="666"/>
                                </a:lnTo>
                                <a:lnTo>
                                  <a:pt x="24785" y="0"/>
                                </a:lnTo>
                                <a:lnTo>
                                  <a:pt x="32364" y="0"/>
                                </a:lnTo>
                                <a:lnTo>
                                  <a:pt x="35635" y="666"/>
                                </a:lnTo>
                                <a:lnTo>
                                  <a:pt x="35820" y="666"/>
                                </a:lnTo>
                                <a:lnTo>
                                  <a:pt x="42822" y="3495"/>
                                </a:lnTo>
                                <a:lnTo>
                                  <a:pt x="46101" y="5581"/>
                                </a:lnTo>
                                <a:lnTo>
                                  <a:pt x="48780" y="8258"/>
                                </a:lnTo>
                                <a:lnTo>
                                  <a:pt x="51459" y="10868"/>
                                </a:lnTo>
                                <a:lnTo>
                                  <a:pt x="53524" y="13992"/>
                                </a:lnTo>
                                <a:lnTo>
                                  <a:pt x="54974" y="17564"/>
                                </a:lnTo>
                                <a:lnTo>
                                  <a:pt x="56424" y="21059"/>
                                </a:lnTo>
                                <a:lnTo>
                                  <a:pt x="57149" y="24707"/>
                                </a:lnTo>
                                <a:lnTo>
                                  <a:pt x="57149" y="32299"/>
                                </a:lnTo>
                                <a:lnTo>
                                  <a:pt x="39510" y="54844"/>
                                </a:lnTo>
                                <a:lnTo>
                                  <a:pt x="36009" y="56330"/>
                                </a:lnTo>
                                <a:lnTo>
                                  <a:pt x="32364" y="57073"/>
                                </a:lnTo>
                                <a:close/>
                              </a:path>
                              <a:path w="371475" h="57150">
                                <a:moveTo>
                                  <a:pt x="137044" y="57073"/>
                                </a:moveTo>
                                <a:lnTo>
                                  <a:pt x="129465" y="57073"/>
                                </a:lnTo>
                                <a:lnTo>
                                  <a:pt x="125820" y="56330"/>
                                </a:lnTo>
                                <a:lnTo>
                                  <a:pt x="104679" y="32299"/>
                                </a:lnTo>
                                <a:lnTo>
                                  <a:pt x="104679" y="24707"/>
                                </a:lnTo>
                                <a:lnTo>
                                  <a:pt x="105404" y="21059"/>
                                </a:lnTo>
                                <a:lnTo>
                                  <a:pt x="106854" y="17564"/>
                                </a:lnTo>
                                <a:lnTo>
                                  <a:pt x="108304" y="13992"/>
                                </a:lnTo>
                                <a:lnTo>
                                  <a:pt x="110369" y="10868"/>
                                </a:lnTo>
                                <a:lnTo>
                                  <a:pt x="113049" y="8258"/>
                                </a:lnTo>
                                <a:lnTo>
                                  <a:pt x="115728" y="5581"/>
                                </a:lnTo>
                                <a:lnTo>
                                  <a:pt x="118818" y="3495"/>
                                </a:lnTo>
                                <a:lnTo>
                                  <a:pt x="125820" y="666"/>
                                </a:lnTo>
                                <a:lnTo>
                                  <a:pt x="129465" y="0"/>
                                </a:lnTo>
                                <a:lnTo>
                                  <a:pt x="137044" y="0"/>
                                </a:lnTo>
                                <a:lnTo>
                                  <a:pt x="140315" y="666"/>
                                </a:lnTo>
                                <a:lnTo>
                                  <a:pt x="140500" y="666"/>
                                </a:lnTo>
                                <a:lnTo>
                                  <a:pt x="147502" y="3495"/>
                                </a:lnTo>
                                <a:lnTo>
                                  <a:pt x="150780" y="5581"/>
                                </a:lnTo>
                                <a:lnTo>
                                  <a:pt x="153460" y="8258"/>
                                </a:lnTo>
                                <a:lnTo>
                                  <a:pt x="156139" y="10868"/>
                                </a:lnTo>
                                <a:lnTo>
                                  <a:pt x="158204" y="13992"/>
                                </a:lnTo>
                                <a:lnTo>
                                  <a:pt x="159654" y="17564"/>
                                </a:lnTo>
                                <a:lnTo>
                                  <a:pt x="161104" y="21059"/>
                                </a:lnTo>
                                <a:lnTo>
                                  <a:pt x="161829" y="24707"/>
                                </a:lnTo>
                                <a:lnTo>
                                  <a:pt x="161829" y="32299"/>
                                </a:lnTo>
                                <a:lnTo>
                                  <a:pt x="144189" y="54844"/>
                                </a:lnTo>
                                <a:lnTo>
                                  <a:pt x="140689" y="56330"/>
                                </a:lnTo>
                                <a:lnTo>
                                  <a:pt x="137044" y="57073"/>
                                </a:lnTo>
                                <a:close/>
                              </a:path>
                              <a:path w="371475" h="57150">
                                <a:moveTo>
                                  <a:pt x="241723" y="57073"/>
                                </a:moveTo>
                                <a:lnTo>
                                  <a:pt x="234145" y="57073"/>
                                </a:lnTo>
                                <a:lnTo>
                                  <a:pt x="230500" y="56330"/>
                                </a:lnTo>
                                <a:lnTo>
                                  <a:pt x="209359" y="32299"/>
                                </a:lnTo>
                                <a:lnTo>
                                  <a:pt x="209359" y="24707"/>
                                </a:lnTo>
                                <a:lnTo>
                                  <a:pt x="210084" y="21059"/>
                                </a:lnTo>
                                <a:lnTo>
                                  <a:pt x="211534" y="17564"/>
                                </a:lnTo>
                                <a:lnTo>
                                  <a:pt x="212984" y="13992"/>
                                </a:lnTo>
                                <a:lnTo>
                                  <a:pt x="215049" y="10868"/>
                                </a:lnTo>
                                <a:lnTo>
                                  <a:pt x="217728" y="8258"/>
                                </a:lnTo>
                                <a:lnTo>
                                  <a:pt x="220408" y="5581"/>
                                </a:lnTo>
                                <a:lnTo>
                                  <a:pt x="223498" y="3495"/>
                                </a:lnTo>
                                <a:lnTo>
                                  <a:pt x="230500" y="666"/>
                                </a:lnTo>
                                <a:lnTo>
                                  <a:pt x="234145" y="0"/>
                                </a:lnTo>
                                <a:lnTo>
                                  <a:pt x="241723" y="0"/>
                                </a:lnTo>
                                <a:lnTo>
                                  <a:pt x="244994" y="666"/>
                                </a:lnTo>
                                <a:lnTo>
                                  <a:pt x="245180" y="666"/>
                                </a:lnTo>
                                <a:lnTo>
                                  <a:pt x="252181" y="3495"/>
                                </a:lnTo>
                                <a:lnTo>
                                  <a:pt x="255460" y="5581"/>
                                </a:lnTo>
                                <a:lnTo>
                                  <a:pt x="258140" y="8258"/>
                                </a:lnTo>
                                <a:lnTo>
                                  <a:pt x="260819" y="10868"/>
                                </a:lnTo>
                                <a:lnTo>
                                  <a:pt x="262884" y="13992"/>
                                </a:lnTo>
                                <a:lnTo>
                                  <a:pt x="264334" y="17564"/>
                                </a:lnTo>
                                <a:lnTo>
                                  <a:pt x="265784" y="21059"/>
                                </a:lnTo>
                                <a:lnTo>
                                  <a:pt x="266509" y="24707"/>
                                </a:lnTo>
                                <a:lnTo>
                                  <a:pt x="266509" y="32299"/>
                                </a:lnTo>
                                <a:lnTo>
                                  <a:pt x="248869" y="54844"/>
                                </a:lnTo>
                                <a:lnTo>
                                  <a:pt x="245368" y="56330"/>
                                </a:lnTo>
                                <a:lnTo>
                                  <a:pt x="241723" y="57073"/>
                                </a:lnTo>
                                <a:close/>
                              </a:path>
                              <a:path w="371475" h="57150">
                                <a:moveTo>
                                  <a:pt x="346403" y="57073"/>
                                </a:moveTo>
                                <a:lnTo>
                                  <a:pt x="338824" y="57073"/>
                                </a:lnTo>
                                <a:lnTo>
                                  <a:pt x="335179" y="56330"/>
                                </a:lnTo>
                                <a:lnTo>
                                  <a:pt x="314039" y="32299"/>
                                </a:lnTo>
                                <a:lnTo>
                                  <a:pt x="314039" y="24707"/>
                                </a:lnTo>
                                <a:lnTo>
                                  <a:pt x="314764" y="21059"/>
                                </a:lnTo>
                                <a:lnTo>
                                  <a:pt x="316214" y="17564"/>
                                </a:lnTo>
                                <a:lnTo>
                                  <a:pt x="317664" y="13992"/>
                                </a:lnTo>
                                <a:lnTo>
                                  <a:pt x="319729" y="10868"/>
                                </a:lnTo>
                                <a:lnTo>
                                  <a:pt x="322408" y="8258"/>
                                </a:lnTo>
                                <a:lnTo>
                                  <a:pt x="325088" y="5581"/>
                                </a:lnTo>
                                <a:lnTo>
                                  <a:pt x="328178" y="3495"/>
                                </a:lnTo>
                                <a:lnTo>
                                  <a:pt x="335179" y="666"/>
                                </a:lnTo>
                                <a:lnTo>
                                  <a:pt x="338824" y="0"/>
                                </a:lnTo>
                                <a:lnTo>
                                  <a:pt x="346403" y="0"/>
                                </a:lnTo>
                                <a:lnTo>
                                  <a:pt x="349674" y="666"/>
                                </a:lnTo>
                                <a:lnTo>
                                  <a:pt x="349859" y="666"/>
                                </a:lnTo>
                                <a:lnTo>
                                  <a:pt x="356861" y="3495"/>
                                </a:lnTo>
                                <a:lnTo>
                                  <a:pt x="360140" y="5581"/>
                                </a:lnTo>
                                <a:lnTo>
                                  <a:pt x="362819" y="8258"/>
                                </a:lnTo>
                                <a:lnTo>
                                  <a:pt x="365499" y="10868"/>
                                </a:lnTo>
                                <a:lnTo>
                                  <a:pt x="367563" y="13992"/>
                                </a:lnTo>
                                <a:lnTo>
                                  <a:pt x="369014" y="17564"/>
                                </a:lnTo>
                                <a:lnTo>
                                  <a:pt x="370464" y="21059"/>
                                </a:lnTo>
                                <a:lnTo>
                                  <a:pt x="371189" y="24707"/>
                                </a:lnTo>
                                <a:lnTo>
                                  <a:pt x="371189" y="32299"/>
                                </a:lnTo>
                                <a:lnTo>
                                  <a:pt x="353549" y="54844"/>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226" name="Graphic 226"/>
                        <wps:cNvSpPr/>
                        <wps:spPr>
                          <a:xfrm>
                            <a:off x="133337" y="1257298"/>
                            <a:ext cx="47625" cy="2124075"/>
                          </a:xfrm>
                          <a:custGeom>
                            <a:avLst/>
                            <a:gdLst/>
                            <a:ahLst/>
                            <a:cxnLst/>
                            <a:rect l="l" t="t" r="r" b="b"/>
                            <a:pathLst>
                              <a:path w="47625" h="2124075">
                                <a:moveTo>
                                  <a:pt x="47625" y="2097062"/>
                                </a:moveTo>
                                <a:lnTo>
                                  <a:pt x="26974" y="2076450"/>
                                </a:lnTo>
                                <a:lnTo>
                                  <a:pt x="20662" y="2076450"/>
                                </a:lnTo>
                                <a:lnTo>
                                  <a:pt x="0" y="2097062"/>
                                </a:lnTo>
                                <a:lnTo>
                                  <a:pt x="0" y="2103386"/>
                                </a:lnTo>
                                <a:lnTo>
                                  <a:pt x="23812" y="2124075"/>
                                </a:lnTo>
                                <a:lnTo>
                                  <a:pt x="26974" y="2123998"/>
                                </a:lnTo>
                                <a:lnTo>
                                  <a:pt x="47625" y="2103386"/>
                                </a:lnTo>
                                <a:lnTo>
                                  <a:pt x="47625" y="2100262"/>
                                </a:lnTo>
                                <a:lnTo>
                                  <a:pt x="47625" y="2097062"/>
                                </a:lnTo>
                                <a:close/>
                              </a:path>
                              <a:path w="47625" h="2124075">
                                <a:moveTo>
                                  <a:pt x="47625" y="534962"/>
                                </a:moveTo>
                                <a:lnTo>
                                  <a:pt x="47028" y="531837"/>
                                </a:lnTo>
                                <a:lnTo>
                                  <a:pt x="44615" y="526046"/>
                                </a:lnTo>
                                <a:lnTo>
                                  <a:pt x="42887" y="523430"/>
                                </a:lnTo>
                                <a:lnTo>
                                  <a:pt x="40652" y="521284"/>
                                </a:lnTo>
                                <a:lnTo>
                                  <a:pt x="38430" y="518960"/>
                                </a:lnTo>
                                <a:lnTo>
                                  <a:pt x="35852" y="517258"/>
                                </a:lnTo>
                                <a:lnTo>
                                  <a:pt x="30010" y="514959"/>
                                </a:lnTo>
                                <a:lnTo>
                                  <a:pt x="26974" y="514350"/>
                                </a:lnTo>
                                <a:lnTo>
                                  <a:pt x="20662" y="514350"/>
                                </a:lnTo>
                                <a:lnTo>
                                  <a:pt x="17627" y="514959"/>
                                </a:lnTo>
                                <a:lnTo>
                                  <a:pt x="11785" y="517258"/>
                                </a:lnTo>
                                <a:lnTo>
                                  <a:pt x="9207" y="518960"/>
                                </a:lnTo>
                                <a:lnTo>
                                  <a:pt x="6985" y="521284"/>
                                </a:lnTo>
                                <a:lnTo>
                                  <a:pt x="4749" y="523430"/>
                                </a:lnTo>
                                <a:lnTo>
                                  <a:pt x="3022" y="525970"/>
                                </a:lnTo>
                                <a:lnTo>
                                  <a:pt x="609" y="531837"/>
                                </a:lnTo>
                                <a:lnTo>
                                  <a:pt x="0" y="534962"/>
                                </a:lnTo>
                                <a:lnTo>
                                  <a:pt x="0" y="541286"/>
                                </a:lnTo>
                                <a:lnTo>
                                  <a:pt x="23812" y="561975"/>
                                </a:lnTo>
                                <a:lnTo>
                                  <a:pt x="26974" y="561898"/>
                                </a:lnTo>
                                <a:lnTo>
                                  <a:pt x="47625" y="541286"/>
                                </a:lnTo>
                                <a:lnTo>
                                  <a:pt x="47625" y="538162"/>
                                </a:lnTo>
                                <a:lnTo>
                                  <a:pt x="47625" y="534962"/>
                                </a:lnTo>
                                <a:close/>
                              </a:path>
                              <a:path w="47625" h="2124075">
                                <a:moveTo>
                                  <a:pt x="47625" y="20612"/>
                                </a:moveTo>
                                <a:lnTo>
                                  <a:pt x="26974" y="0"/>
                                </a:lnTo>
                                <a:lnTo>
                                  <a:pt x="20662" y="0"/>
                                </a:lnTo>
                                <a:lnTo>
                                  <a:pt x="0" y="20612"/>
                                </a:lnTo>
                                <a:lnTo>
                                  <a:pt x="0" y="26860"/>
                                </a:lnTo>
                                <a:lnTo>
                                  <a:pt x="23812" y="47625"/>
                                </a:lnTo>
                                <a:lnTo>
                                  <a:pt x="26974" y="47548"/>
                                </a:lnTo>
                                <a:lnTo>
                                  <a:pt x="47625" y="26860"/>
                                </a:lnTo>
                                <a:lnTo>
                                  <a:pt x="47625" y="23812"/>
                                </a:lnTo>
                                <a:lnTo>
                                  <a:pt x="47625" y="20612"/>
                                </a:lnTo>
                                <a:close/>
                              </a:path>
                            </a:pathLst>
                          </a:custGeom>
                          <a:solidFill>
                            <a:srgbClr val="2B816F"/>
                          </a:solidFill>
                        </wps:spPr>
                        <wps:bodyPr wrap="square" lIns="0" tIns="0" rIns="0" bIns="0" rtlCol="0">
                          <a:prstTxWarp prst="textNoShape">
                            <a:avLst/>
                          </a:prstTxWarp>
                          <a:noAutofit/>
                        </wps:bodyPr>
                      </wps:wsp>
                    </wpg:wgp>
                  </a:graphicData>
                </a:graphic>
              </wp:anchor>
            </w:drawing>
          </mc:Choice>
          <mc:Fallback>
            <w:pict>
              <v:group style="position:absolute;margin-left:77.25pt;margin-top:-22.007523pt;width:457.5pt;height:368.25pt;mso-position-horizontal-relative:page;mso-position-vertical-relative:paragraph;z-index:-18733056" id="docshapegroup198" coordorigin="1545,-440" coordsize="9150,7365">
                <v:rect style="position:absolute;left:1545;top:-441;width:9150;height:30" id="docshape199" filled="true" fillcolor="#d5e699" stroked="false">
                  <v:fill type="solid"/>
                </v:rect>
                <v:rect style="position:absolute;left:1545;top:1134;width:9150;height:5790" id="docshape200" filled="true" fillcolor="#e9f1cd" stroked="false">
                  <v:fill type="solid"/>
                </v:rect>
                <v:rect style="position:absolute;left:1545;top:-351;width:9150;height:1485" id="docshape201" filled="true" fillcolor="#2b816f" stroked="false">
                  <v:fill type="solid"/>
                </v:rect>
                <v:shape style="position:absolute;left:1875;top:-81;width:585;height:90" id="docshape202" coordorigin="1875,-80" coordsize="585,90" path="m1926,10l1914,10,1908,9,1902,6,1897,4,1892,1,1888,-3,1884,-8,1881,-12,1876,-23,1875,-29,1875,-41,1876,-47,1878,-52,1881,-58,1884,-63,1888,-67,1892,-71,1897,-75,1908,-79,1914,-80,1926,-80,1931,-79,1931,-79,1942,-75,1948,-71,1952,-67,1956,-63,1959,-58,1962,-52,1964,-47,1965,-41,1965,-29,1964,-23,1959,-12,1956,-8,1952,-3,1948,1,1943,4,1937,6,1932,9,1926,10xm2091,10l2079,10,2073,9,2067,6,2062,4,2057,1,2053,-3,2049,-8,2046,-12,2041,-23,2040,-29,2040,-41,2041,-47,2043,-52,2046,-58,2049,-63,2053,-67,2057,-71,2062,-75,2073,-79,2079,-80,2091,-80,2096,-79,2096,-79,2107,-75,2112,-71,2117,-67,2121,-63,2124,-58,2126,-52,2129,-47,2130,-41,2130,-29,2129,-23,2124,-12,2121,-8,2117,-3,2112,1,2108,4,2102,6,2097,9,2091,10xm2256,10l2244,10,2238,9,2232,6,2227,4,2222,1,2218,-3,2214,-8,2210,-12,2206,-23,2205,-29,2205,-41,2206,-47,2208,-52,2210,-58,2214,-63,2218,-67,2222,-71,2227,-75,2238,-79,2244,-80,2256,-80,2261,-79,2261,-79,2272,-75,2277,-71,2282,-67,2286,-63,2289,-58,2291,-52,2294,-47,2295,-41,2295,-29,2294,-23,2289,-12,2286,-8,2282,-3,2277,1,2272,4,2267,6,2261,9,2256,10xm2421,10l2409,10,2403,9,2397,6,2392,4,2387,1,2383,-3,2379,-8,2375,-12,2371,-23,2370,-29,2370,-41,2371,-47,2373,-52,2375,-58,2379,-63,2383,-67,2387,-71,2392,-75,2403,-79,2409,-80,2421,-80,2426,-79,2426,-79,2437,-75,2442,-71,2446,-67,2451,-63,2454,-58,2456,-52,2458,-47,2460,-41,2460,-29,2458,-23,2454,-12,2451,-8,2446,-3,2442,1,2437,4,2432,6,2426,9,2421,10xe" filled="true" fillcolor="#d0e399" stroked="false">
                  <v:path arrowok="t"/>
                  <v:fill type="solid"/>
                </v:shape>
                <v:shape style="position:absolute;left:1754;top:1539;width:75;height:3345" id="docshape203" coordorigin="1755,1540" coordsize="75,3345" path="m1830,4842l1829,4837,1825,4828,1823,4824,1816,4817,1811,4815,1807,4813,1802,4811,1797,4810,1788,4810,1783,4811,1778,4813,1774,4815,1769,4817,1762,4824,1760,4828,1756,4837,1755,4842,1755,4852,1756,4857,1760,4866,1762,4870,1766,4874,1769,4877,1774,4880,1783,4884,1788,4885,1792,4885,1797,4885,1802,4884,1811,4880,1816,4877,1819,4874,1823,4870,1825,4866,1829,4857,1830,4852,1830,4847,1830,4842xm1830,2382l1829,2377,1825,2368,1823,2364,1819,2361,1816,2357,1811,2354,1802,2351,1797,2350,1788,2350,1783,2351,1774,2354,1769,2357,1766,2361,1762,2364,1760,2368,1756,2377,1755,2382,1755,2392,1756,2397,1760,2406,1762,2410,1766,2414,1769,2417,1774,2420,1783,2424,1788,2425,1792,2425,1797,2425,1802,2424,1811,2420,1816,2417,1819,2414,1823,2410,1825,2406,1829,2397,1830,2392,1830,2387,1830,2382xm1830,1572l1829,1568,1825,1558,1823,1554,1816,1547,1811,1545,1807,1543,1802,1541,1797,1540,1788,1540,1783,1541,1778,1543,1774,1545,1769,1547,1762,1554,1760,1558,1756,1568,1755,1572,1755,1582,1756,1587,1760,1596,1762,1600,1766,1604,1769,1607,1774,1610,1783,1614,1788,1615,1792,1615,1797,1615,1802,1614,1811,1610,1816,1607,1819,1604,1823,1600,1825,1596,1829,1587,1830,1582,1830,1577,1830,1572xe" filled="true" fillcolor="#2b816f" stroked="false">
                  <v:path arrowok="t"/>
                  <v:fill type="solid"/>
                </v:shape>
                <w10:wrap type="none"/>
              </v:group>
            </w:pict>
          </mc:Fallback>
        </mc:AlternateContent>
      </w:r>
      <w:r>
        <w:rPr>
          <w:color w:val="FFFFFF"/>
        </w:rPr>
        <w:t>Key Points: Hormone Therapy and </w:t>
      </w:r>
      <w:r>
        <w:rPr>
          <w:color w:val="FFFFFF"/>
        </w:rPr>
        <w:t>Venous </w:t>
      </w:r>
      <w:r>
        <w:rPr>
          <w:color w:val="FFFFFF"/>
          <w:spacing w:val="-2"/>
        </w:rPr>
        <w:t>Thromboembolism</w:t>
      </w:r>
    </w:p>
    <w:p>
      <w:pPr>
        <w:pStyle w:val="BodyText"/>
        <w:spacing w:before="0"/>
        <w:ind w:left="0"/>
        <w:jc w:val="left"/>
        <w:rPr>
          <w:rFonts w:ascii="Arial"/>
          <w:sz w:val="22"/>
        </w:rPr>
      </w:pPr>
    </w:p>
    <w:p>
      <w:pPr>
        <w:pStyle w:val="BodyText"/>
        <w:spacing w:before="121"/>
        <w:ind w:left="0"/>
        <w:jc w:val="left"/>
        <w:rPr>
          <w:rFonts w:ascii="Arial"/>
          <w:sz w:val="22"/>
        </w:rPr>
      </w:pPr>
    </w:p>
    <w:p>
      <w:pPr>
        <w:spacing w:line="256" w:lineRule="auto" w:before="0"/>
        <w:ind w:left="549" w:right="849" w:firstLine="0"/>
        <w:jc w:val="both"/>
        <w:rPr>
          <w:b/>
          <w:sz w:val="22"/>
        </w:rPr>
      </w:pPr>
      <w:r>
        <w:rPr>
          <w:b/>
          <w:sz w:val="22"/>
        </w:rPr>
        <w:t>Observational studies support the clinical choice of a transdermal method for</w:t>
      </w:r>
      <w:r>
        <w:rPr>
          <w:b/>
          <w:spacing w:val="40"/>
          <w:sz w:val="22"/>
        </w:rPr>
        <w:t> </w:t>
      </w:r>
      <w:r>
        <w:rPr>
          <w:b/>
          <w:sz w:val="22"/>
        </w:rPr>
        <w:t>women who are at higher risk for VTE and for whom menopausal HT is </w:t>
      </w:r>
      <w:r>
        <w:rPr>
          <w:b/>
          <w:sz w:val="22"/>
        </w:rPr>
        <w:t>being considered due to failure of symptom benefit from nonhormonal strategies.</w:t>
      </w:r>
    </w:p>
    <w:p>
      <w:pPr>
        <w:spacing w:line="261" w:lineRule="auto" w:before="0"/>
        <w:ind w:left="549" w:right="850" w:firstLine="0"/>
        <w:jc w:val="both"/>
        <w:rPr>
          <w:b/>
          <w:sz w:val="22"/>
        </w:rPr>
      </w:pPr>
      <w:r>
        <w:rPr>
          <w:b/>
          <w:sz w:val="22"/>
        </w:rPr>
        <w:t>Although existing data are overall reassuring regarding safety of progestin</w:t>
      </w:r>
      <w:r>
        <w:rPr>
          <w:b/>
          <w:spacing w:val="80"/>
          <w:w w:val="150"/>
          <w:sz w:val="22"/>
        </w:rPr>
        <w:t> </w:t>
      </w:r>
      <w:r>
        <w:rPr>
          <w:b/>
          <w:sz w:val="22"/>
        </w:rPr>
        <w:t>regimens</w:t>
      </w:r>
      <w:r>
        <w:rPr>
          <w:b/>
          <w:spacing w:val="40"/>
          <w:sz w:val="22"/>
        </w:rPr>
        <w:t> </w:t>
      </w:r>
      <w:r>
        <w:rPr>
          <w:b/>
          <w:sz w:val="22"/>
        </w:rPr>
        <w:t>commonly</w:t>
      </w:r>
      <w:r>
        <w:rPr>
          <w:b/>
          <w:spacing w:val="40"/>
          <w:sz w:val="22"/>
        </w:rPr>
        <w:t> </w:t>
      </w:r>
      <w:r>
        <w:rPr>
          <w:b/>
          <w:sz w:val="22"/>
        </w:rPr>
        <w:t>used</w:t>
      </w:r>
      <w:r>
        <w:rPr>
          <w:b/>
          <w:spacing w:val="40"/>
          <w:sz w:val="22"/>
        </w:rPr>
        <w:t> </w:t>
      </w:r>
      <w:r>
        <w:rPr>
          <w:b/>
          <w:sz w:val="22"/>
        </w:rPr>
        <w:t>in</w:t>
      </w:r>
      <w:r>
        <w:rPr>
          <w:b/>
          <w:spacing w:val="40"/>
          <w:sz w:val="22"/>
        </w:rPr>
        <w:t> </w:t>
      </w:r>
      <w:r>
        <w:rPr>
          <w:b/>
          <w:sz w:val="22"/>
        </w:rPr>
        <w:t>menopause</w:t>
      </w:r>
      <w:r>
        <w:rPr>
          <w:b/>
          <w:spacing w:val="40"/>
          <w:sz w:val="22"/>
        </w:rPr>
        <w:t> </w:t>
      </w:r>
      <w:r>
        <w:rPr>
          <w:b/>
          <w:sz w:val="22"/>
        </w:rPr>
        <w:t>hormone</w:t>
      </w:r>
      <w:r>
        <w:rPr>
          <w:b/>
          <w:spacing w:val="40"/>
          <w:sz w:val="22"/>
        </w:rPr>
        <w:t> </w:t>
      </w:r>
      <w:r>
        <w:rPr>
          <w:b/>
          <w:sz w:val="22"/>
        </w:rPr>
        <w:t>regimens,</w:t>
      </w:r>
      <w:r>
        <w:rPr>
          <w:b/>
          <w:spacing w:val="40"/>
          <w:sz w:val="22"/>
        </w:rPr>
        <w:t> </w:t>
      </w:r>
      <w:r>
        <w:rPr>
          <w:b/>
          <w:sz w:val="22"/>
        </w:rPr>
        <w:t>an</w:t>
      </w:r>
      <w:r>
        <w:rPr>
          <w:b/>
          <w:spacing w:val="40"/>
          <w:sz w:val="22"/>
        </w:rPr>
        <w:t> </w:t>
      </w:r>
      <w:r>
        <w:rPr>
          <w:b/>
          <w:sz w:val="22"/>
        </w:rPr>
        <w:t>absence</w:t>
      </w:r>
      <w:r>
        <w:rPr>
          <w:b/>
          <w:spacing w:val="40"/>
          <w:sz w:val="22"/>
        </w:rPr>
        <w:t> </w:t>
      </w:r>
      <w:r>
        <w:rPr>
          <w:b/>
          <w:sz w:val="22"/>
        </w:rPr>
        <w:t>of</w:t>
      </w:r>
      <w:r>
        <w:rPr>
          <w:b/>
          <w:spacing w:val="40"/>
          <w:sz w:val="22"/>
        </w:rPr>
        <w:t> </w:t>
      </w:r>
      <w:r>
        <w:rPr>
          <w:b/>
          <w:sz w:val="22"/>
        </w:rPr>
        <w:t>good data</w:t>
      </w:r>
      <w:r>
        <w:rPr>
          <w:b/>
          <w:spacing w:val="28"/>
          <w:sz w:val="22"/>
        </w:rPr>
        <w:t> </w:t>
      </w:r>
      <w:r>
        <w:rPr>
          <w:b/>
          <w:sz w:val="22"/>
        </w:rPr>
        <w:t>does</w:t>
      </w:r>
      <w:r>
        <w:rPr>
          <w:b/>
          <w:spacing w:val="28"/>
          <w:sz w:val="22"/>
        </w:rPr>
        <w:t> </w:t>
      </w:r>
      <w:r>
        <w:rPr>
          <w:b/>
          <w:sz w:val="22"/>
        </w:rPr>
        <w:t>not</w:t>
      </w:r>
      <w:r>
        <w:rPr>
          <w:b/>
          <w:spacing w:val="28"/>
          <w:sz w:val="22"/>
        </w:rPr>
        <w:t> </w:t>
      </w:r>
      <w:r>
        <w:rPr>
          <w:b/>
          <w:sz w:val="22"/>
        </w:rPr>
        <w:t>allow</w:t>
      </w:r>
      <w:r>
        <w:rPr>
          <w:b/>
          <w:spacing w:val="28"/>
          <w:sz w:val="22"/>
        </w:rPr>
        <w:t> </w:t>
      </w:r>
      <w:r>
        <w:rPr>
          <w:b/>
          <w:sz w:val="22"/>
        </w:rPr>
        <w:t>making</w:t>
      </w:r>
      <w:r>
        <w:rPr>
          <w:b/>
          <w:spacing w:val="28"/>
          <w:sz w:val="22"/>
        </w:rPr>
        <w:t> </w:t>
      </w:r>
      <w:r>
        <w:rPr>
          <w:b/>
          <w:sz w:val="22"/>
        </w:rPr>
        <w:t>any</w:t>
      </w:r>
      <w:r>
        <w:rPr>
          <w:b/>
          <w:spacing w:val="28"/>
          <w:sz w:val="22"/>
        </w:rPr>
        <w:t> </w:t>
      </w:r>
      <w:r>
        <w:rPr>
          <w:b/>
          <w:sz w:val="22"/>
        </w:rPr>
        <w:t>statements</w:t>
      </w:r>
      <w:r>
        <w:rPr>
          <w:b/>
          <w:spacing w:val="28"/>
          <w:sz w:val="22"/>
        </w:rPr>
        <w:t> </w:t>
      </w:r>
      <w:r>
        <w:rPr>
          <w:b/>
          <w:sz w:val="22"/>
        </w:rPr>
        <w:t>with</w:t>
      </w:r>
      <w:r>
        <w:rPr>
          <w:b/>
          <w:spacing w:val="28"/>
          <w:sz w:val="22"/>
        </w:rPr>
        <w:t> </w:t>
      </w:r>
      <w:r>
        <w:rPr>
          <w:b/>
          <w:sz w:val="22"/>
        </w:rPr>
        <w:t>confidence</w:t>
      </w:r>
      <w:r>
        <w:rPr>
          <w:b/>
          <w:spacing w:val="28"/>
          <w:sz w:val="22"/>
        </w:rPr>
        <w:t> </w:t>
      </w:r>
      <w:r>
        <w:rPr>
          <w:b/>
          <w:sz w:val="22"/>
        </w:rPr>
        <w:t>regarding</w:t>
      </w:r>
      <w:r>
        <w:rPr>
          <w:b/>
          <w:spacing w:val="28"/>
          <w:sz w:val="22"/>
        </w:rPr>
        <w:t> </w:t>
      </w:r>
      <w:r>
        <w:rPr>
          <w:b/>
          <w:sz w:val="22"/>
        </w:rPr>
        <w:t>an</w:t>
      </w:r>
      <w:r>
        <w:rPr>
          <w:b/>
          <w:spacing w:val="28"/>
          <w:sz w:val="22"/>
        </w:rPr>
        <w:t> </w:t>
      </w:r>
      <w:r>
        <w:rPr>
          <w:b/>
          <w:sz w:val="22"/>
        </w:rPr>
        <w:t>absence of thrombogenic risk for the various progestins. However, it may be prudent to consider</w:t>
      </w:r>
      <w:r>
        <w:rPr>
          <w:b/>
          <w:spacing w:val="34"/>
          <w:sz w:val="22"/>
        </w:rPr>
        <w:t> </w:t>
      </w:r>
      <w:r>
        <w:rPr>
          <w:b/>
          <w:sz w:val="22"/>
        </w:rPr>
        <w:t>transdermal</w:t>
      </w:r>
      <w:r>
        <w:rPr>
          <w:b/>
          <w:spacing w:val="34"/>
          <w:sz w:val="22"/>
        </w:rPr>
        <w:t> </w:t>
      </w:r>
      <w:r>
        <w:rPr>
          <w:b/>
          <w:sz w:val="22"/>
        </w:rPr>
        <w:t>E2</w:t>
      </w:r>
      <w:r>
        <w:rPr>
          <w:b/>
          <w:spacing w:val="34"/>
          <w:sz w:val="22"/>
        </w:rPr>
        <w:t> </w:t>
      </w:r>
      <w:r>
        <w:rPr>
          <w:b/>
          <w:sz w:val="22"/>
        </w:rPr>
        <w:t>with</w:t>
      </w:r>
      <w:r>
        <w:rPr>
          <w:b/>
          <w:spacing w:val="34"/>
          <w:sz w:val="22"/>
        </w:rPr>
        <w:t> </w:t>
      </w:r>
      <w:r>
        <w:rPr>
          <w:b/>
          <w:sz w:val="22"/>
        </w:rPr>
        <w:t>micronized</w:t>
      </w:r>
      <w:r>
        <w:rPr>
          <w:b/>
          <w:spacing w:val="34"/>
          <w:sz w:val="22"/>
        </w:rPr>
        <w:t> </w:t>
      </w:r>
      <w:r>
        <w:rPr>
          <w:b/>
          <w:sz w:val="22"/>
        </w:rPr>
        <w:t>progesterone</w:t>
      </w:r>
      <w:r>
        <w:rPr>
          <w:b/>
          <w:spacing w:val="27"/>
          <w:sz w:val="22"/>
        </w:rPr>
        <w:t> </w:t>
      </w:r>
      <w:r>
        <w:rPr>
          <w:sz w:val="22"/>
        </w:rPr>
        <w:t>(</w:t>
      </w:r>
      <w:r>
        <w:rPr>
          <w:b/>
          <w:sz w:val="22"/>
        </w:rPr>
        <w:t>in</w:t>
      </w:r>
      <w:r>
        <w:rPr>
          <w:b/>
          <w:spacing w:val="35"/>
          <w:sz w:val="22"/>
        </w:rPr>
        <w:t> </w:t>
      </w:r>
      <w:r>
        <w:rPr>
          <w:b/>
          <w:sz w:val="22"/>
        </w:rPr>
        <w:t>women</w:t>
      </w:r>
      <w:r>
        <w:rPr>
          <w:b/>
          <w:spacing w:val="35"/>
          <w:sz w:val="22"/>
        </w:rPr>
        <w:t> </w:t>
      </w:r>
      <w:r>
        <w:rPr>
          <w:b/>
          <w:sz w:val="22"/>
        </w:rPr>
        <w:t>with</w:t>
      </w:r>
      <w:r>
        <w:rPr>
          <w:b/>
          <w:spacing w:val="35"/>
          <w:sz w:val="22"/>
        </w:rPr>
        <w:t> </w:t>
      </w:r>
      <w:r>
        <w:rPr>
          <w:b/>
          <w:sz w:val="22"/>
        </w:rPr>
        <w:t>a</w:t>
      </w:r>
      <w:r>
        <w:rPr>
          <w:b/>
          <w:spacing w:val="35"/>
          <w:sz w:val="22"/>
        </w:rPr>
        <w:t> </w:t>
      </w:r>
      <w:r>
        <w:rPr>
          <w:b/>
          <w:sz w:val="22"/>
        </w:rPr>
        <w:t>uterus</w:t>
      </w:r>
      <w:r>
        <w:rPr>
          <w:sz w:val="22"/>
        </w:rPr>
        <w:t>) </w:t>
      </w:r>
      <w:r>
        <w:rPr>
          <w:b/>
          <w:sz w:val="22"/>
        </w:rPr>
        <w:t>in those deemed at risk for VTE until RCTs confirm/refute the safety of </w:t>
      </w:r>
      <w:r>
        <w:rPr>
          <w:b/>
          <w:sz w:val="22"/>
        </w:rPr>
        <w:t>alternative progestogens.</w:t>
      </w:r>
      <w:r>
        <w:rPr>
          <w:sz w:val="22"/>
          <w:vertAlign w:val="superscript"/>
        </w:rPr>
        <w:t>817</w:t>
      </w:r>
      <w:r>
        <w:rPr>
          <w:spacing w:val="34"/>
          <w:sz w:val="22"/>
          <w:vertAlign w:val="baseline"/>
        </w:rPr>
        <w:t> </w:t>
      </w:r>
      <w:r>
        <w:rPr>
          <w:b/>
          <w:sz w:val="22"/>
          <w:vertAlign w:val="baseline"/>
        </w:rPr>
        <w:t>The</w:t>
      </w:r>
      <w:r>
        <w:rPr>
          <w:b/>
          <w:spacing w:val="34"/>
          <w:sz w:val="22"/>
          <w:vertAlign w:val="baseline"/>
        </w:rPr>
        <w:t> </w:t>
      </w:r>
      <w:r>
        <w:rPr>
          <w:b/>
          <w:sz w:val="22"/>
          <w:vertAlign w:val="baseline"/>
        </w:rPr>
        <w:t>clinician</w:t>
      </w:r>
      <w:r>
        <w:rPr>
          <w:b/>
          <w:spacing w:val="35"/>
          <w:sz w:val="22"/>
          <w:vertAlign w:val="baseline"/>
        </w:rPr>
        <w:t> </w:t>
      </w:r>
      <w:r>
        <w:rPr>
          <w:b/>
          <w:sz w:val="22"/>
          <w:vertAlign w:val="baseline"/>
        </w:rPr>
        <w:t>and</w:t>
      </w:r>
      <w:r>
        <w:rPr>
          <w:b/>
          <w:spacing w:val="34"/>
          <w:sz w:val="22"/>
          <w:vertAlign w:val="baseline"/>
        </w:rPr>
        <w:t> </w:t>
      </w:r>
      <w:r>
        <w:rPr>
          <w:b/>
          <w:sz w:val="22"/>
          <w:vertAlign w:val="baseline"/>
        </w:rPr>
        <w:t>patient</w:t>
      </w:r>
      <w:r>
        <w:rPr>
          <w:b/>
          <w:spacing w:val="34"/>
          <w:sz w:val="22"/>
          <w:vertAlign w:val="baseline"/>
        </w:rPr>
        <w:t> </w:t>
      </w:r>
      <w:r>
        <w:rPr>
          <w:b/>
          <w:sz w:val="22"/>
          <w:vertAlign w:val="baseline"/>
        </w:rPr>
        <w:t>can</w:t>
      </w:r>
      <w:r>
        <w:rPr>
          <w:b/>
          <w:spacing w:val="35"/>
          <w:sz w:val="22"/>
          <w:vertAlign w:val="baseline"/>
        </w:rPr>
        <w:t> </w:t>
      </w:r>
      <w:r>
        <w:rPr>
          <w:b/>
          <w:sz w:val="22"/>
          <w:vertAlign w:val="baseline"/>
        </w:rPr>
        <w:t>together</w:t>
      </w:r>
      <w:r>
        <w:rPr>
          <w:b/>
          <w:spacing w:val="34"/>
          <w:sz w:val="22"/>
          <w:vertAlign w:val="baseline"/>
        </w:rPr>
        <w:t> </w:t>
      </w:r>
      <w:r>
        <w:rPr>
          <w:b/>
          <w:sz w:val="22"/>
          <w:vertAlign w:val="baseline"/>
        </w:rPr>
        <w:t>consider</w:t>
      </w:r>
      <w:r>
        <w:rPr>
          <w:b/>
          <w:spacing w:val="34"/>
          <w:sz w:val="22"/>
          <w:vertAlign w:val="baseline"/>
        </w:rPr>
        <w:t> </w:t>
      </w:r>
      <w:r>
        <w:rPr>
          <w:b/>
          <w:sz w:val="22"/>
          <w:vertAlign w:val="baseline"/>
        </w:rPr>
        <w:t>a</w:t>
      </w:r>
      <w:r>
        <w:rPr>
          <w:b/>
          <w:spacing w:val="35"/>
          <w:sz w:val="22"/>
          <w:vertAlign w:val="baseline"/>
        </w:rPr>
        <w:t> </w:t>
      </w:r>
      <w:r>
        <w:rPr>
          <w:b/>
          <w:sz w:val="22"/>
          <w:vertAlign w:val="baseline"/>
        </w:rPr>
        <w:t>combination</w:t>
      </w:r>
      <w:r>
        <w:rPr>
          <w:b/>
          <w:spacing w:val="34"/>
          <w:sz w:val="22"/>
          <w:vertAlign w:val="baseline"/>
        </w:rPr>
        <w:t> </w:t>
      </w:r>
      <w:r>
        <w:rPr>
          <w:b/>
          <w:spacing w:val="-5"/>
          <w:sz w:val="22"/>
          <w:vertAlign w:val="baseline"/>
        </w:rPr>
        <w:t>of</w:t>
      </w:r>
    </w:p>
    <w:p>
      <w:pPr>
        <w:spacing w:line="256" w:lineRule="auto" w:before="0"/>
        <w:ind w:left="549" w:right="859" w:firstLine="0"/>
        <w:jc w:val="both"/>
        <w:rPr>
          <w:b/>
          <w:sz w:val="22"/>
        </w:rPr>
      </w:pPr>
      <w:r>
        <w:rPr>
          <w:b/>
          <w:sz w:val="22"/>
        </w:rPr>
        <w:t>HT </w:t>
      </w:r>
      <w:r>
        <w:rPr>
          <w:sz w:val="22"/>
        </w:rPr>
        <w:t>(</w:t>
      </w:r>
      <w:r>
        <w:rPr>
          <w:b/>
          <w:sz w:val="22"/>
        </w:rPr>
        <w:t>preferably transdermal administration</w:t>
      </w:r>
      <w:r>
        <w:rPr>
          <w:sz w:val="22"/>
        </w:rPr>
        <w:t>) </w:t>
      </w:r>
      <w:r>
        <w:rPr>
          <w:b/>
          <w:sz w:val="22"/>
        </w:rPr>
        <w:t>and chronic anticoagulation, </w:t>
      </w:r>
      <w:r>
        <w:rPr>
          <w:b/>
          <w:sz w:val="22"/>
        </w:rPr>
        <w:t>in consultation with a hematologist.</w:t>
      </w:r>
    </w:p>
    <w:p>
      <w:pPr>
        <w:spacing w:line="256" w:lineRule="auto" w:before="0"/>
        <w:ind w:left="549" w:right="849" w:firstLine="0"/>
        <w:jc w:val="both"/>
        <w:rPr>
          <w:b/>
          <w:sz w:val="22"/>
        </w:rPr>
      </w:pPr>
      <w:r>
        <w:rPr>
          <w:b/>
          <w:sz w:val="22"/>
        </w:rPr>
        <w:t>We</w:t>
      </w:r>
      <w:r>
        <w:rPr>
          <w:b/>
          <w:spacing w:val="40"/>
          <w:sz w:val="22"/>
        </w:rPr>
        <w:t> </w:t>
      </w:r>
      <w:r>
        <w:rPr>
          <w:b/>
          <w:sz w:val="22"/>
        </w:rPr>
        <w:t>recommend</w:t>
      </w:r>
      <w:r>
        <w:rPr>
          <w:b/>
          <w:spacing w:val="40"/>
          <w:sz w:val="22"/>
        </w:rPr>
        <w:t> </w:t>
      </w:r>
      <w:r>
        <w:rPr>
          <w:b/>
          <w:sz w:val="22"/>
        </w:rPr>
        <w:t>appropriate</w:t>
      </w:r>
      <w:r>
        <w:rPr>
          <w:b/>
          <w:spacing w:val="40"/>
          <w:sz w:val="22"/>
        </w:rPr>
        <w:t> </w:t>
      </w:r>
      <w:r>
        <w:rPr>
          <w:b/>
          <w:sz w:val="22"/>
        </w:rPr>
        <w:t>prophylactic</w:t>
      </w:r>
      <w:r>
        <w:rPr>
          <w:b/>
          <w:spacing w:val="40"/>
          <w:sz w:val="22"/>
        </w:rPr>
        <w:t> </w:t>
      </w:r>
      <w:r>
        <w:rPr>
          <w:b/>
          <w:sz w:val="22"/>
        </w:rPr>
        <w:t>anticoagulant</w:t>
      </w:r>
      <w:r>
        <w:rPr>
          <w:b/>
          <w:spacing w:val="40"/>
          <w:sz w:val="22"/>
        </w:rPr>
        <w:t> </w:t>
      </w:r>
      <w:r>
        <w:rPr>
          <w:b/>
          <w:sz w:val="22"/>
        </w:rPr>
        <w:t>treatment</w:t>
      </w:r>
      <w:r>
        <w:rPr>
          <w:b/>
          <w:spacing w:val="40"/>
          <w:sz w:val="22"/>
        </w:rPr>
        <w:t> </w:t>
      </w:r>
      <w:r>
        <w:rPr>
          <w:b/>
          <w:sz w:val="22"/>
        </w:rPr>
        <w:t>in</w:t>
      </w:r>
      <w:r>
        <w:rPr>
          <w:b/>
          <w:spacing w:val="40"/>
          <w:sz w:val="22"/>
        </w:rPr>
        <w:t> </w:t>
      </w:r>
      <w:r>
        <w:rPr>
          <w:b/>
          <w:sz w:val="22"/>
        </w:rPr>
        <w:t>hormone users anticipating immobility with hospitalization, especially if other risk factors </w:t>
      </w:r>
      <w:r>
        <w:rPr>
          <w:sz w:val="22"/>
        </w:rPr>
        <w:t>(</w:t>
      </w:r>
      <w:r>
        <w:rPr>
          <w:b/>
          <w:sz w:val="22"/>
        </w:rPr>
        <w:t>most</w:t>
      </w:r>
      <w:r>
        <w:rPr>
          <w:b/>
          <w:spacing w:val="40"/>
          <w:sz w:val="22"/>
        </w:rPr>
        <w:t> </w:t>
      </w:r>
      <w:r>
        <w:rPr>
          <w:b/>
          <w:sz w:val="22"/>
        </w:rPr>
        <w:t>notably,</w:t>
      </w:r>
      <w:r>
        <w:rPr>
          <w:b/>
          <w:spacing w:val="40"/>
          <w:sz w:val="22"/>
        </w:rPr>
        <w:t> </w:t>
      </w:r>
      <w:r>
        <w:rPr>
          <w:b/>
          <w:sz w:val="22"/>
        </w:rPr>
        <w:t>obesity</w:t>
      </w:r>
      <w:r>
        <w:rPr>
          <w:sz w:val="22"/>
        </w:rPr>
        <w:t>)</w:t>
      </w:r>
      <w:r>
        <w:rPr>
          <w:spacing w:val="40"/>
          <w:sz w:val="22"/>
        </w:rPr>
        <w:t> </w:t>
      </w:r>
      <w:r>
        <w:rPr>
          <w:b/>
          <w:sz w:val="22"/>
        </w:rPr>
        <w:t>are</w:t>
      </w:r>
      <w:r>
        <w:rPr>
          <w:b/>
          <w:spacing w:val="40"/>
          <w:sz w:val="22"/>
        </w:rPr>
        <w:t> </w:t>
      </w:r>
      <w:r>
        <w:rPr>
          <w:b/>
          <w:sz w:val="22"/>
        </w:rPr>
        <w:t>present.</w:t>
      </w:r>
      <w:r>
        <w:rPr>
          <w:b/>
          <w:spacing w:val="40"/>
          <w:sz w:val="22"/>
        </w:rPr>
        <w:t> </w:t>
      </w:r>
      <w:r>
        <w:rPr>
          <w:b/>
          <w:sz w:val="22"/>
        </w:rPr>
        <w:t>Some</w:t>
      </w:r>
      <w:r>
        <w:rPr>
          <w:b/>
          <w:spacing w:val="40"/>
          <w:sz w:val="22"/>
        </w:rPr>
        <w:t> </w:t>
      </w:r>
      <w:r>
        <w:rPr>
          <w:b/>
          <w:sz w:val="22"/>
        </w:rPr>
        <w:t>patients</w:t>
      </w:r>
      <w:r>
        <w:rPr>
          <w:b/>
          <w:spacing w:val="40"/>
          <w:sz w:val="22"/>
        </w:rPr>
        <w:t> </w:t>
      </w:r>
      <w:r>
        <w:rPr>
          <w:b/>
          <w:sz w:val="22"/>
        </w:rPr>
        <w:t>may</w:t>
      </w:r>
      <w:r>
        <w:rPr>
          <w:b/>
          <w:spacing w:val="40"/>
          <w:sz w:val="22"/>
        </w:rPr>
        <w:t> </w:t>
      </w:r>
      <w:r>
        <w:rPr>
          <w:b/>
          <w:sz w:val="22"/>
        </w:rPr>
        <w:t>elect</w:t>
      </w:r>
      <w:r>
        <w:rPr>
          <w:b/>
          <w:spacing w:val="40"/>
          <w:sz w:val="22"/>
        </w:rPr>
        <w:t> </w:t>
      </w:r>
      <w:r>
        <w:rPr>
          <w:b/>
          <w:sz w:val="22"/>
        </w:rPr>
        <w:t>to</w:t>
      </w:r>
      <w:r>
        <w:rPr>
          <w:b/>
          <w:spacing w:val="40"/>
          <w:sz w:val="22"/>
        </w:rPr>
        <w:t> </w:t>
      </w:r>
      <w:r>
        <w:rPr>
          <w:b/>
          <w:sz w:val="22"/>
        </w:rPr>
        <w:t>discontinue hormone treatment 4 weeks prior to major surgery if extended immobility is to be expected, but this is an empiric, individual decision. HT can be resumed when </w:t>
      </w:r>
      <w:r>
        <w:rPr>
          <w:b/>
          <w:sz w:val="22"/>
        </w:rPr>
        <w:t>the patient is ambulatory.</w:t>
      </w: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74"/>
        <w:ind w:left="0"/>
        <w:jc w:val="left"/>
        <w:rPr>
          <w:b/>
          <w:sz w:val="20"/>
        </w:rPr>
      </w:pPr>
      <w:r>
        <w:rPr>
          <w:b/>
          <w:sz w:val="20"/>
        </w:rPr>
        <mc:AlternateContent>
          <mc:Choice Requires="wps">
            <w:drawing>
              <wp:anchor distT="0" distB="0" distL="0" distR="0" allowOverlap="1" layoutInCell="1" locked="0" behindDoc="1" simplePos="0" relativeHeight="487655936">
                <wp:simplePos x="0" y="0"/>
                <wp:positionH relativeFrom="page">
                  <wp:posOffset>981075</wp:posOffset>
                </wp:positionH>
                <wp:positionV relativeFrom="paragraph">
                  <wp:posOffset>208411</wp:posOffset>
                </wp:positionV>
                <wp:extent cx="285750" cy="5715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285750" cy="57150"/>
                        </a:xfrm>
                        <a:custGeom>
                          <a:avLst/>
                          <a:gdLst/>
                          <a:ahLst/>
                          <a:cxnLst/>
                          <a:rect l="l" t="t" r="r" b="b"/>
                          <a:pathLst>
                            <a:path w="285750" h="57150">
                              <a:moveTo>
                                <a:pt x="32364" y="57073"/>
                              </a:moveTo>
                              <a:lnTo>
                                <a:pt x="24785" y="57073"/>
                              </a:lnTo>
                              <a:lnTo>
                                <a:pt x="21140" y="56254"/>
                              </a:lnTo>
                              <a:lnTo>
                                <a:pt x="0" y="32299"/>
                              </a:lnTo>
                              <a:lnTo>
                                <a:pt x="0" y="24784"/>
                              </a:lnTo>
                              <a:lnTo>
                                <a:pt x="725" y="21059"/>
                              </a:lnTo>
                              <a:lnTo>
                                <a:pt x="3625" y="14068"/>
                              </a:lnTo>
                              <a:lnTo>
                                <a:pt x="5689" y="10934"/>
                              </a:lnTo>
                              <a:lnTo>
                                <a:pt x="8369" y="8334"/>
                              </a:lnTo>
                              <a:lnTo>
                                <a:pt x="11048" y="5581"/>
                              </a:lnTo>
                              <a:lnTo>
                                <a:pt x="14138" y="3495"/>
                              </a:lnTo>
                              <a:lnTo>
                                <a:pt x="21140" y="666"/>
                              </a:lnTo>
                              <a:lnTo>
                                <a:pt x="24785" y="0"/>
                              </a:lnTo>
                              <a:lnTo>
                                <a:pt x="32364" y="0"/>
                              </a:lnTo>
                              <a:lnTo>
                                <a:pt x="36009" y="666"/>
                              </a:lnTo>
                              <a:lnTo>
                                <a:pt x="43010" y="3495"/>
                              </a:lnTo>
                              <a:lnTo>
                                <a:pt x="46101" y="5581"/>
                              </a:lnTo>
                              <a:lnTo>
                                <a:pt x="48780" y="8334"/>
                              </a:lnTo>
                              <a:lnTo>
                                <a:pt x="51459" y="10934"/>
                              </a:lnTo>
                              <a:lnTo>
                                <a:pt x="53524" y="14068"/>
                              </a:lnTo>
                              <a:lnTo>
                                <a:pt x="56424" y="21059"/>
                              </a:lnTo>
                              <a:lnTo>
                                <a:pt x="57149" y="24784"/>
                              </a:lnTo>
                              <a:lnTo>
                                <a:pt x="57149" y="32299"/>
                              </a:lnTo>
                              <a:lnTo>
                                <a:pt x="36009" y="56254"/>
                              </a:lnTo>
                              <a:lnTo>
                                <a:pt x="32364" y="57073"/>
                              </a:lnTo>
                              <a:close/>
                            </a:path>
                            <a:path w="285750" h="57150">
                              <a:moveTo>
                                <a:pt x="146569" y="57073"/>
                              </a:moveTo>
                              <a:lnTo>
                                <a:pt x="138990" y="57073"/>
                              </a:lnTo>
                              <a:lnTo>
                                <a:pt x="135345" y="56254"/>
                              </a:lnTo>
                              <a:lnTo>
                                <a:pt x="114204" y="32299"/>
                              </a:lnTo>
                              <a:lnTo>
                                <a:pt x="114204" y="24784"/>
                              </a:lnTo>
                              <a:lnTo>
                                <a:pt x="114929" y="21059"/>
                              </a:lnTo>
                              <a:lnTo>
                                <a:pt x="117829" y="14068"/>
                              </a:lnTo>
                              <a:lnTo>
                                <a:pt x="119894" y="10934"/>
                              </a:lnTo>
                              <a:lnTo>
                                <a:pt x="122574" y="8334"/>
                              </a:lnTo>
                              <a:lnTo>
                                <a:pt x="125253" y="5581"/>
                              </a:lnTo>
                              <a:lnTo>
                                <a:pt x="128343" y="3495"/>
                              </a:lnTo>
                              <a:lnTo>
                                <a:pt x="135345" y="666"/>
                              </a:lnTo>
                              <a:lnTo>
                                <a:pt x="138990" y="0"/>
                              </a:lnTo>
                              <a:lnTo>
                                <a:pt x="146569" y="0"/>
                              </a:lnTo>
                              <a:lnTo>
                                <a:pt x="150214" y="666"/>
                              </a:lnTo>
                              <a:lnTo>
                                <a:pt x="157215" y="3495"/>
                              </a:lnTo>
                              <a:lnTo>
                                <a:pt x="160305" y="5581"/>
                              </a:lnTo>
                              <a:lnTo>
                                <a:pt x="162985" y="8334"/>
                              </a:lnTo>
                              <a:lnTo>
                                <a:pt x="165664" y="10934"/>
                              </a:lnTo>
                              <a:lnTo>
                                <a:pt x="167729" y="14068"/>
                              </a:lnTo>
                              <a:lnTo>
                                <a:pt x="170629" y="21059"/>
                              </a:lnTo>
                              <a:lnTo>
                                <a:pt x="171354" y="24784"/>
                              </a:lnTo>
                              <a:lnTo>
                                <a:pt x="171354" y="32299"/>
                              </a:lnTo>
                              <a:lnTo>
                                <a:pt x="150214" y="56254"/>
                              </a:lnTo>
                              <a:lnTo>
                                <a:pt x="146569" y="57073"/>
                              </a:lnTo>
                              <a:close/>
                            </a:path>
                            <a:path w="285750" h="57150">
                              <a:moveTo>
                                <a:pt x="260773" y="57073"/>
                              </a:moveTo>
                              <a:lnTo>
                                <a:pt x="253195" y="57073"/>
                              </a:lnTo>
                              <a:lnTo>
                                <a:pt x="249550" y="56254"/>
                              </a:lnTo>
                              <a:lnTo>
                                <a:pt x="228409" y="32299"/>
                              </a:lnTo>
                              <a:lnTo>
                                <a:pt x="228409" y="24784"/>
                              </a:lnTo>
                              <a:lnTo>
                                <a:pt x="229134" y="21059"/>
                              </a:lnTo>
                              <a:lnTo>
                                <a:pt x="232034" y="14068"/>
                              </a:lnTo>
                              <a:lnTo>
                                <a:pt x="234099" y="10934"/>
                              </a:lnTo>
                              <a:lnTo>
                                <a:pt x="236778" y="8334"/>
                              </a:lnTo>
                              <a:lnTo>
                                <a:pt x="239458" y="5581"/>
                              </a:lnTo>
                              <a:lnTo>
                                <a:pt x="242548" y="3495"/>
                              </a:lnTo>
                              <a:lnTo>
                                <a:pt x="249550" y="666"/>
                              </a:lnTo>
                              <a:lnTo>
                                <a:pt x="253195" y="0"/>
                              </a:lnTo>
                              <a:lnTo>
                                <a:pt x="260773" y="0"/>
                              </a:lnTo>
                              <a:lnTo>
                                <a:pt x="264418" y="666"/>
                              </a:lnTo>
                              <a:lnTo>
                                <a:pt x="271420" y="3495"/>
                              </a:lnTo>
                              <a:lnTo>
                                <a:pt x="274510" y="5581"/>
                              </a:lnTo>
                              <a:lnTo>
                                <a:pt x="277190" y="8334"/>
                              </a:lnTo>
                              <a:lnTo>
                                <a:pt x="279869" y="10934"/>
                              </a:lnTo>
                              <a:lnTo>
                                <a:pt x="281934" y="14068"/>
                              </a:lnTo>
                              <a:lnTo>
                                <a:pt x="284834" y="21059"/>
                              </a:lnTo>
                              <a:lnTo>
                                <a:pt x="285559" y="24784"/>
                              </a:lnTo>
                              <a:lnTo>
                                <a:pt x="285559" y="32299"/>
                              </a:lnTo>
                              <a:lnTo>
                                <a:pt x="264418" y="56254"/>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6.410353pt;width:22.5pt;height:4.5pt;mso-position-horizontal-relative:page;mso-position-vertical-relative:paragraph;z-index:-15660544;mso-wrap-distance-left:0;mso-wrap-distance-right:0" id="docshape204" coordorigin="1545,328" coordsize="450,90" path="m1596,418l1584,418,1578,417,1567,412,1562,409,1558,405,1554,401,1551,396,1546,385,1545,379,1545,367,1546,361,1551,350,1554,345,1558,341,1562,337,1567,334,1578,329,1584,328,1596,328,1602,329,1613,334,1618,337,1622,341,1626,345,1629,350,1634,361,1635,367,1635,379,1634,385,1629,396,1626,401,1622,405,1618,409,1613,412,1602,417,1596,418xm1776,418l1764,418,1758,417,1747,412,1742,409,1738,405,1734,401,1731,396,1726,385,1725,379,1725,367,1726,361,1731,350,1734,345,1738,341,1742,337,1747,334,1758,329,1764,328,1776,328,1782,329,1793,334,1797,337,1802,341,1806,345,1809,350,1814,361,1815,367,1815,379,1814,385,1809,396,1806,401,1802,405,1797,409,1793,412,1782,417,1776,418xm1956,418l1944,418,1938,417,1927,412,1922,409,1918,405,1914,401,1910,396,1906,385,1905,379,1905,367,1906,361,1910,350,1914,345,1918,341,1922,337,1927,334,1938,329,1944,328,1956,328,1961,329,1972,334,1977,337,1982,341,1986,345,1989,350,1994,361,1995,367,1995,379,1994,385,1989,396,1986,401,1982,405,1977,409,1972,412,1961,417,1956,418xe" filled="true" fillcolor="#bdb4d4" stroked="false">
                <v:path arrowok="t"/>
                <v:fill type="solid"/>
                <w10:wrap type="topAndBottom"/>
              </v:shape>
            </w:pict>
          </mc:Fallback>
        </mc:AlternateContent>
      </w:r>
    </w:p>
    <w:p>
      <w:pPr>
        <w:pStyle w:val="Heading3"/>
      </w:pPr>
      <w:r>
        <w:rPr>
          <w:color w:val="534089"/>
        </w:rPr>
        <w:t>BREAST</w:t>
      </w:r>
      <w:r>
        <w:rPr>
          <w:color w:val="534089"/>
          <w:spacing w:val="-5"/>
        </w:rPr>
        <w:t> </w:t>
      </w:r>
      <w:r>
        <w:rPr>
          <w:color w:val="534089"/>
        </w:rPr>
        <w:t>CANCER</w:t>
      </w:r>
      <w:r>
        <w:rPr>
          <w:color w:val="534089"/>
          <w:spacing w:val="-5"/>
        </w:rPr>
        <w:t> </w:t>
      </w:r>
      <w:r>
        <w:rPr>
          <w:color w:val="534089"/>
        </w:rPr>
        <w:t>AND</w:t>
      </w:r>
      <w:r>
        <w:rPr>
          <w:color w:val="534089"/>
          <w:spacing w:val="-4"/>
        </w:rPr>
        <w:t> </w:t>
      </w:r>
      <w:r>
        <w:rPr>
          <w:color w:val="534089"/>
        </w:rPr>
        <w:t>MENOPAUSAL</w:t>
      </w:r>
      <w:r>
        <w:rPr>
          <w:color w:val="534089"/>
          <w:spacing w:val="-5"/>
        </w:rPr>
        <w:t> </w:t>
      </w:r>
      <w:r>
        <w:rPr>
          <w:color w:val="534089"/>
        </w:rPr>
        <w:t>HORMONE</w:t>
      </w:r>
      <w:r>
        <w:rPr>
          <w:color w:val="534089"/>
          <w:spacing w:val="-4"/>
        </w:rPr>
        <w:t> </w:t>
      </w:r>
      <w:r>
        <w:rPr>
          <w:color w:val="534089"/>
          <w:spacing w:val="-2"/>
        </w:rPr>
        <w:t>THERAPY</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56448">
                <wp:simplePos x="0" y="0"/>
                <wp:positionH relativeFrom="page">
                  <wp:posOffset>981075</wp:posOffset>
                </wp:positionH>
                <wp:positionV relativeFrom="paragraph">
                  <wp:posOffset>45775</wp:posOffset>
                </wp:positionV>
                <wp:extent cx="5810250" cy="1905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4375pt;width:457.499964pt;height:1.5pt;mso-position-horizontal-relative:page;mso-position-vertical-relative:paragraph;z-index:-15660032;mso-wrap-distance-left:0;mso-wrap-distance-right:0" id="docshape205" filled="true" fillcolor="#534089" stroked="false">
                <v:fill type="solid"/>
                <w10:wrap type="topAndBottom"/>
              </v:rect>
            </w:pict>
          </mc:Fallback>
        </mc:AlternateContent>
      </w:r>
    </w:p>
    <w:p>
      <w:pPr>
        <w:pStyle w:val="BodyText"/>
        <w:spacing w:after="0"/>
        <w:jc w:val="left"/>
        <w:rPr>
          <w:rFonts w:ascii="Arial"/>
          <w:b/>
          <w:sz w:val="4"/>
        </w:rPr>
        <w:sectPr>
          <w:pgSz w:w="12240" w:h="15840"/>
          <w:pgMar w:top="1380" w:bottom="280" w:left="1440" w:right="1440"/>
        </w:sectPr>
      </w:pPr>
    </w:p>
    <w:p>
      <w:pPr>
        <w:pStyle w:val="BodyText"/>
        <w:spacing w:line="249" w:lineRule="auto"/>
        <w:ind w:right="98"/>
      </w:pPr>
      <w:r>
        <w:rPr/>
        <w:t>Women and clinicians are regularly reminded about the threat of breast cancer,</w:t>
      </w:r>
      <w:r>
        <w:rPr>
          <w:spacing w:val="-4"/>
        </w:rPr>
        <w:t> </w:t>
      </w:r>
      <w:r>
        <w:rPr/>
        <w:t>in</w:t>
      </w:r>
      <w:r>
        <w:rPr>
          <w:spacing w:val="-4"/>
        </w:rPr>
        <w:t> </w:t>
      </w:r>
      <w:r>
        <w:rPr/>
        <w:t>the</w:t>
      </w:r>
      <w:r>
        <w:rPr>
          <w:spacing w:val="-4"/>
        </w:rPr>
        <w:t> </w:t>
      </w:r>
      <w:r>
        <w:rPr/>
        <w:t>media,</w:t>
      </w:r>
      <w:r>
        <w:rPr>
          <w:spacing w:val="-4"/>
        </w:rPr>
        <w:t> </w:t>
      </w:r>
      <w:r>
        <w:rPr/>
        <w:t>by</w:t>
      </w:r>
      <w:r>
        <w:rPr>
          <w:spacing w:val="-4"/>
        </w:rPr>
        <w:t> </w:t>
      </w:r>
      <w:r>
        <w:rPr/>
        <w:t>advertisements,</w:t>
      </w:r>
      <w:r>
        <w:rPr>
          <w:spacing w:val="-4"/>
        </w:rPr>
        <w:t> </w:t>
      </w:r>
      <w:r>
        <w:rPr/>
        <w:t>and</w:t>
      </w:r>
      <w:r>
        <w:rPr>
          <w:spacing w:val="-4"/>
        </w:rPr>
        <w:t> </w:t>
      </w:r>
      <w:r>
        <w:rPr/>
        <w:t>by</w:t>
      </w:r>
      <w:r>
        <w:rPr>
          <w:spacing w:val="-4"/>
        </w:rPr>
        <w:t> </w:t>
      </w:r>
      <w:r>
        <w:rPr/>
        <w:t>the</w:t>
      </w:r>
      <w:r>
        <w:rPr>
          <w:spacing w:val="-4"/>
        </w:rPr>
        <w:t> </w:t>
      </w:r>
      <w:r>
        <w:rPr/>
        <w:t>experience</w:t>
      </w:r>
      <w:r>
        <w:rPr>
          <w:spacing w:val="-4"/>
        </w:rPr>
        <w:t> </w:t>
      </w:r>
      <w:r>
        <w:rPr/>
        <w:t>of</w:t>
      </w:r>
      <w:r>
        <w:rPr>
          <w:spacing w:val="-4"/>
        </w:rPr>
        <w:t> </w:t>
      </w:r>
      <w:r>
        <w:rPr/>
        <w:t>a</w:t>
      </w:r>
      <w:r>
        <w:rPr>
          <w:spacing w:val="-4"/>
        </w:rPr>
        <w:t> </w:t>
      </w:r>
      <w:r>
        <w:rPr/>
        <w:t>friend</w:t>
      </w:r>
      <w:r>
        <w:rPr>
          <w:spacing w:val="-4"/>
        </w:rPr>
        <w:t> </w:t>
      </w:r>
      <w:r>
        <w:rPr/>
        <w:t>or family member fighting this disease. Breast cancer is a major focus in the health concerns and care for postmenopausal women because it has an increasing frequency with age. About 95% of all breast cancers and 97% </w:t>
      </w:r>
      <w:r>
        <w:rPr/>
        <w:t>of breast cancer deaths in the United States occur in women over age 40.</w:t>
      </w:r>
      <w:r>
        <w:rPr>
          <w:vertAlign w:val="superscript"/>
        </w:rPr>
        <w:t>824</w:t>
      </w:r>
      <w:r>
        <w:rPr>
          <w:vertAlign w:val="baseline"/>
        </w:rPr>
        <w:t> Thus, there are good reasons why this medical condition is a prominent factor in clinical decision-making regarding postmenopausal HT.</w:t>
      </w:r>
    </w:p>
    <w:p>
      <w:pPr>
        <w:spacing w:line="249" w:lineRule="auto" w:before="9"/>
        <w:ind w:left="99" w:right="97" w:firstLine="450"/>
        <w:jc w:val="both"/>
        <w:rPr>
          <w:b/>
          <w:sz w:val="30"/>
        </w:rPr>
      </w:pPr>
      <w:r>
        <w:rPr>
          <w:sz w:val="30"/>
        </w:rPr>
        <w:t>The long-term use of postmenopausal HT has been challenged by data that have been interpreted to indicate that the risk of breast cancer is increased in hormone users. The debate and publicity over this issue </w:t>
      </w:r>
      <w:r>
        <w:rPr>
          <w:sz w:val="30"/>
        </w:rPr>
        <w:t>have made decision-making very difficult for both patients and clinicians. </w:t>
      </w:r>
      <w:r>
        <w:rPr>
          <w:b/>
          <w:sz w:val="30"/>
        </w:rPr>
        <w:t>The most important unanswered question is whether postmenopausal HT initiates the growth of new breast cancers or whether the epidemiologic results reflect an impact on preexisting tumors.</w:t>
      </w:r>
    </w:p>
    <w:p>
      <w:pPr>
        <w:pStyle w:val="BodyText"/>
        <w:spacing w:before="53"/>
        <w:ind w:left="0"/>
        <w:jc w:val="left"/>
        <w:rPr>
          <w:b/>
        </w:rPr>
      </w:pPr>
    </w:p>
    <w:p>
      <w:pPr>
        <w:spacing w:before="0"/>
        <w:ind w:left="99" w:right="0" w:firstLine="0"/>
        <w:jc w:val="both"/>
        <w:rPr>
          <w:rFonts w:ascii="Arial"/>
          <w:b/>
          <w:sz w:val="30"/>
        </w:rPr>
      </w:pPr>
      <w:r>
        <w:rPr>
          <w:rFonts w:ascii="Arial"/>
          <w:b/>
          <w:color w:val="2674AE"/>
          <w:sz w:val="30"/>
        </w:rPr>
        <w:t>Biologic </w:t>
      </w:r>
      <w:r>
        <w:rPr>
          <w:rFonts w:ascii="Arial"/>
          <w:b/>
          <w:color w:val="2674AE"/>
          <w:spacing w:val="-2"/>
          <w:sz w:val="30"/>
        </w:rPr>
        <w:t>Plausibility</w:t>
      </w:r>
    </w:p>
    <w:p>
      <w:pPr>
        <w:pStyle w:val="BodyText"/>
        <w:spacing w:line="249" w:lineRule="auto" w:before="166"/>
        <w:ind w:right="98"/>
      </w:pPr>
      <w:r>
        <w:rPr/>
        <w:t>The most compelling reason to believe that long-term use </w:t>
      </w:r>
      <w:r>
        <w:rPr/>
        <w:t>of postmenopausal estrogen increases the risk of breast cancer is the inherent biologic plausibility. Factors known to increase a woman’s exposure to estrogen are known to increase the risk of breast cancer; for example, there is a small decrease in risk with late menarche and a moderate increase in risk with late natural menopause.</w:t>
      </w:r>
      <w:r>
        <w:rPr>
          <w:vertAlign w:val="superscript"/>
        </w:rPr>
        <w:t>825</w:t>
      </w:r>
      <w:r>
        <w:rPr>
          <w:vertAlign w:val="baseline"/>
        </w:rPr>
        <w:t> In premenopausal women who are overweight, the risk of breast cancer is lower compared with normal weight individuals, and in postmenopausal women, excess weight is associated with</w:t>
      </w:r>
      <w:r>
        <w:rPr>
          <w:spacing w:val="-6"/>
          <w:vertAlign w:val="baseline"/>
        </w:rPr>
        <w:t> </w:t>
      </w:r>
      <w:r>
        <w:rPr>
          <w:vertAlign w:val="baseline"/>
        </w:rPr>
        <w:t>either</w:t>
      </w:r>
      <w:r>
        <w:rPr>
          <w:spacing w:val="-6"/>
          <w:vertAlign w:val="baseline"/>
        </w:rPr>
        <w:t> </w:t>
      </w:r>
      <w:r>
        <w:rPr>
          <w:vertAlign w:val="baseline"/>
        </w:rPr>
        <w:t>an</w:t>
      </w:r>
      <w:r>
        <w:rPr>
          <w:spacing w:val="-6"/>
          <w:vertAlign w:val="baseline"/>
        </w:rPr>
        <w:t> </w:t>
      </w:r>
      <w:r>
        <w:rPr>
          <w:vertAlign w:val="baseline"/>
        </w:rPr>
        <w:t>unchanged</w:t>
      </w:r>
      <w:r>
        <w:rPr>
          <w:spacing w:val="-6"/>
          <w:vertAlign w:val="baseline"/>
        </w:rPr>
        <w:t> </w:t>
      </w:r>
      <w:r>
        <w:rPr>
          <w:vertAlign w:val="baseline"/>
        </w:rPr>
        <w:t>or</w:t>
      </w:r>
      <w:r>
        <w:rPr>
          <w:spacing w:val="-6"/>
          <w:vertAlign w:val="baseline"/>
        </w:rPr>
        <w:t> </w:t>
      </w:r>
      <w:r>
        <w:rPr>
          <w:vertAlign w:val="baseline"/>
        </w:rPr>
        <w:t>slightly</w:t>
      </w:r>
      <w:r>
        <w:rPr>
          <w:spacing w:val="-6"/>
          <w:vertAlign w:val="baseline"/>
        </w:rPr>
        <w:t> </w:t>
      </w:r>
      <w:r>
        <w:rPr>
          <w:vertAlign w:val="baseline"/>
        </w:rPr>
        <w:t>increased</w:t>
      </w:r>
      <w:r>
        <w:rPr>
          <w:spacing w:val="-6"/>
          <w:vertAlign w:val="baseline"/>
        </w:rPr>
        <w:t> </w:t>
      </w:r>
      <w:r>
        <w:rPr>
          <w:vertAlign w:val="baseline"/>
        </w:rPr>
        <w:t>risk.</w:t>
      </w:r>
      <w:r>
        <w:rPr>
          <w:vertAlign w:val="superscript"/>
        </w:rPr>
        <w:t>826-828</w:t>
      </w:r>
      <w:r>
        <w:rPr>
          <w:spacing w:val="-7"/>
          <w:vertAlign w:val="baseline"/>
        </w:rPr>
        <w:t> </w:t>
      </w:r>
      <w:r>
        <w:rPr>
          <w:vertAlign w:val="baseline"/>
        </w:rPr>
        <w:t>This</w:t>
      </w:r>
      <w:r>
        <w:rPr>
          <w:spacing w:val="-6"/>
          <w:vertAlign w:val="baseline"/>
        </w:rPr>
        <w:t> </w:t>
      </w:r>
      <w:r>
        <w:rPr>
          <w:vertAlign w:val="baseline"/>
        </w:rPr>
        <w:t>is</w:t>
      </w:r>
      <w:r>
        <w:rPr>
          <w:spacing w:val="-6"/>
          <w:vertAlign w:val="baseline"/>
        </w:rPr>
        <w:t> </w:t>
      </w:r>
      <w:r>
        <w:rPr>
          <w:vertAlign w:val="baseline"/>
        </w:rPr>
        <w:t>attributed</w:t>
      </w:r>
      <w:r>
        <w:rPr>
          <w:spacing w:val="-6"/>
          <w:vertAlign w:val="baseline"/>
        </w:rPr>
        <w:t> </w:t>
      </w:r>
      <w:r>
        <w:rPr>
          <w:vertAlign w:val="baseline"/>
        </w:rPr>
        <w:t>to an increase in total and free estrogen levels in postmenopausal women who overweight, in contrast to lower levels with increasing weight in premenopausal women. Postmenopausal women who are obese have later menopause, higher estrone production rates and higher free estradiol levels (lower SHBG), and a slightly greater risk for breast cancer.</w:t>
      </w:r>
      <w:r>
        <w:rPr>
          <w:vertAlign w:val="superscript"/>
        </w:rPr>
        <w:t>829</w:t>
      </w:r>
      <w:r>
        <w:rPr>
          <w:vertAlign w:val="baseline"/>
        </w:rPr>
        <w:t> Greater bone density, believed to be a marker for estrogen exposure, is also associated with an increased risk of breast cancer.</w:t>
      </w:r>
      <w:r>
        <w:rPr>
          <w:vertAlign w:val="superscript"/>
        </w:rPr>
        <w:t>830-832</w:t>
      </w:r>
    </w:p>
    <w:p>
      <w:pPr>
        <w:pStyle w:val="BodyText"/>
        <w:spacing w:line="249" w:lineRule="auto" w:before="20"/>
        <w:ind w:right="99" w:firstLine="450"/>
      </w:pPr>
      <w:r>
        <w:rPr/>
        <w:t>Studies seeking a correlation between circulating levels of </w:t>
      </w:r>
      <w:r>
        <w:rPr/>
        <w:t>sex</w:t>
      </w:r>
      <w:r>
        <w:rPr>
          <w:spacing w:val="40"/>
        </w:rPr>
        <w:t> </w:t>
      </w:r>
      <w:r>
        <w:rPr/>
        <w:t>hormones</w:t>
      </w:r>
      <w:r>
        <w:rPr>
          <w:spacing w:val="15"/>
        </w:rPr>
        <w:t> </w:t>
      </w:r>
      <w:r>
        <w:rPr/>
        <w:t>and</w:t>
      </w:r>
      <w:r>
        <w:rPr>
          <w:spacing w:val="15"/>
        </w:rPr>
        <w:t> </w:t>
      </w:r>
      <w:r>
        <w:rPr/>
        <w:t>breast</w:t>
      </w:r>
      <w:r>
        <w:rPr>
          <w:spacing w:val="15"/>
        </w:rPr>
        <w:t> </w:t>
      </w:r>
      <w:r>
        <w:rPr/>
        <w:t>cancer</w:t>
      </w:r>
      <w:r>
        <w:rPr>
          <w:spacing w:val="15"/>
        </w:rPr>
        <w:t> </w:t>
      </w:r>
      <w:r>
        <w:rPr/>
        <w:t>have</w:t>
      </w:r>
      <w:r>
        <w:rPr>
          <w:spacing w:val="15"/>
        </w:rPr>
        <w:t> </w:t>
      </w:r>
      <w:r>
        <w:rPr/>
        <w:t>yielded</w:t>
      </w:r>
      <w:r>
        <w:rPr>
          <w:spacing w:val="15"/>
        </w:rPr>
        <w:t> </w:t>
      </w:r>
      <w:r>
        <w:rPr/>
        <w:t>conflicting</w:t>
      </w:r>
      <w:r>
        <w:rPr>
          <w:spacing w:val="15"/>
        </w:rPr>
        <w:t> </w:t>
      </w:r>
      <w:r>
        <w:rPr/>
        <w:t>results.</w:t>
      </w:r>
      <w:r>
        <w:rPr>
          <w:spacing w:val="14"/>
        </w:rPr>
        <w:t> </w:t>
      </w:r>
      <w:r>
        <w:rPr/>
        <w:t>In</w:t>
      </w:r>
      <w:r>
        <w:rPr>
          <w:spacing w:val="15"/>
        </w:rPr>
        <w:t> </w:t>
      </w:r>
      <w:r>
        <w:rPr/>
        <w:t>the</w:t>
      </w:r>
      <w:r>
        <w:rPr>
          <w:spacing w:val="15"/>
        </w:rPr>
        <w:t> </w:t>
      </w:r>
      <w:r>
        <w:rPr>
          <w:spacing w:val="-2"/>
        </w:rPr>
        <w:t>Rancho</w:t>
      </w:r>
    </w:p>
    <w:p>
      <w:pPr>
        <w:pStyle w:val="BodyText"/>
        <w:spacing w:after="0" w:line="249" w:lineRule="auto"/>
        <w:sectPr>
          <w:pgSz w:w="12240" w:h="15840"/>
          <w:pgMar w:top="1380" w:bottom="280" w:left="1440" w:right="1440"/>
        </w:sectPr>
      </w:pPr>
    </w:p>
    <w:p>
      <w:pPr>
        <w:pStyle w:val="BodyText"/>
        <w:spacing w:line="249" w:lineRule="auto"/>
        <w:ind w:right="97"/>
        <w:rPr>
          <w:b/>
        </w:rPr>
      </w:pPr>
      <w:r>
        <w:rPr/>
        <w:t>Bernardo cohort, no relationship between estrogen, androgen, and SHBG levels and the incidence of breast cancer could be demonstrated.</w:t>
      </w:r>
      <w:r>
        <w:rPr>
          <w:vertAlign w:val="superscript"/>
        </w:rPr>
        <w:t>833</w:t>
      </w:r>
      <w:r>
        <w:rPr>
          <w:vertAlign w:val="baseline"/>
        </w:rPr>
        <w:t> </w:t>
      </w:r>
      <w:r>
        <w:rPr>
          <w:vertAlign w:val="baseline"/>
        </w:rPr>
        <w:t>Using serum collected earlier in life, no differences in endogenous hormones</w:t>
      </w:r>
      <w:r>
        <w:rPr>
          <w:spacing w:val="40"/>
          <w:vertAlign w:val="baseline"/>
        </w:rPr>
        <w:t> </w:t>
      </w:r>
      <w:r>
        <w:rPr>
          <w:vertAlign w:val="baseline"/>
        </w:rPr>
        <w:t>could be detected in 51 women who subsequently developed breast cancer, including the various estrogens, progesterone, androstenedione, and even SHBG.</w:t>
      </w:r>
      <w:r>
        <w:rPr>
          <w:vertAlign w:val="superscript"/>
        </w:rPr>
        <w:t>834</w:t>
      </w:r>
      <w:r>
        <w:rPr>
          <w:vertAlign w:val="baseline"/>
        </w:rPr>
        <w:t> On the other hand, in a very large prospective study in Italy, estradiol, testosterone, and SHBG levels were higher in postmenopausal women who subsequently developed breast cancer.</w:t>
      </w:r>
      <w:r>
        <w:rPr>
          <w:vertAlign w:val="superscript"/>
        </w:rPr>
        <w:t>835</w:t>
      </w:r>
      <w:r>
        <w:rPr>
          <w:vertAlign w:val="baseline"/>
        </w:rPr>
        <w:t> In a British report, women who subsequently developed breast cancer had higher levels of estradiol.</w:t>
      </w:r>
      <w:r>
        <w:rPr>
          <w:vertAlign w:val="superscript"/>
        </w:rPr>
        <w:t>836</w:t>
      </w:r>
      <w:r>
        <w:rPr>
          <w:vertAlign w:val="baseline"/>
        </w:rPr>
        <w:t> Two North American prospective studies also found higher levels</w:t>
      </w:r>
      <w:r>
        <w:rPr>
          <w:spacing w:val="-4"/>
          <w:vertAlign w:val="baseline"/>
        </w:rPr>
        <w:t> </w:t>
      </w:r>
      <w:r>
        <w:rPr>
          <w:vertAlign w:val="baseline"/>
        </w:rPr>
        <w:t>of</w:t>
      </w:r>
      <w:r>
        <w:rPr>
          <w:spacing w:val="-4"/>
          <w:vertAlign w:val="baseline"/>
        </w:rPr>
        <w:t> </w:t>
      </w:r>
      <w:r>
        <w:rPr>
          <w:vertAlign w:val="baseline"/>
        </w:rPr>
        <w:t>estrogen</w:t>
      </w:r>
      <w:r>
        <w:rPr>
          <w:spacing w:val="-4"/>
          <w:vertAlign w:val="baseline"/>
        </w:rPr>
        <w:t> </w:t>
      </w:r>
      <w:r>
        <w:rPr>
          <w:vertAlign w:val="baseline"/>
        </w:rPr>
        <w:t>in</w:t>
      </w:r>
      <w:r>
        <w:rPr>
          <w:spacing w:val="-4"/>
          <w:vertAlign w:val="baseline"/>
        </w:rPr>
        <w:t> </w:t>
      </w:r>
      <w:r>
        <w:rPr>
          <w:vertAlign w:val="baseline"/>
        </w:rPr>
        <w:t>women</w:t>
      </w:r>
      <w:r>
        <w:rPr>
          <w:spacing w:val="-4"/>
          <w:vertAlign w:val="baseline"/>
        </w:rPr>
        <w:t> </w:t>
      </w:r>
      <w:r>
        <w:rPr>
          <w:vertAlign w:val="baseline"/>
        </w:rPr>
        <w:t>who</w:t>
      </w:r>
      <w:r>
        <w:rPr>
          <w:spacing w:val="-4"/>
          <w:vertAlign w:val="baseline"/>
        </w:rPr>
        <w:t> </w:t>
      </w:r>
      <w:r>
        <w:rPr>
          <w:vertAlign w:val="baseline"/>
        </w:rPr>
        <w:t>subsequently</w:t>
      </w:r>
      <w:r>
        <w:rPr>
          <w:spacing w:val="-4"/>
          <w:vertAlign w:val="baseline"/>
        </w:rPr>
        <w:t> </w:t>
      </w:r>
      <w:r>
        <w:rPr>
          <w:vertAlign w:val="baseline"/>
        </w:rPr>
        <w:t>developed</w:t>
      </w:r>
      <w:r>
        <w:rPr>
          <w:spacing w:val="-4"/>
          <w:vertAlign w:val="baseline"/>
        </w:rPr>
        <w:t> </w:t>
      </w:r>
      <w:r>
        <w:rPr>
          <w:vertAlign w:val="baseline"/>
        </w:rPr>
        <w:t>breast</w:t>
      </w:r>
      <w:r>
        <w:rPr>
          <w:spacing w:val="-4"/>
          <w:vertAlign w:val="baseline"/>
        </w:rPr>
        <w:t> </w:t>
      </w:r>
      <w:r>
        <w:rPr>
          <w:vertAlign w:val="baseline"/>
        </w:rPr>
        <w:t>cancer,</w:t>
      </w:r>
      <w:r>
        <w:rPr>
          <w:spacing w:val="-4"/>
          <w:vertAlign w:val="baseline"/>
        </w:rPr>
        <w:t> </w:t>
      </w:r>
      <w:r>
        <w:rPr>
          <w:vertAlign w:val="baseline"/>
        </w:rPr>
        <w:t>and most impressively, an increasing risk of breast cancer correlated with increasing levels of free estradiol.</w:t>
      </w:r>
      <w:r>
        <w:rPr>
          <w:vertAlign w:val="superscript"/>
        </w:rPr>
        <w:t>837,838</w:t>
      </w:r>
      <w:r>
        <w:rPr>
          <w:vertAlign w:val="baseline"/>
        </w:rPr>
        <w:t> In another study, women who developed breast cancer displayed higher levels of unbound, free estradiol and lower levels of SHBG.</w:t>
      </w:r>
      <w:r>
        <w:rPr>
          <w:vertAlign w:val="superscript"/>
        </w:rPr>
        <w:t>839</w:t>
      </w:r>
      <w:r>
        <w:rPr>
          <w:vertAlign w:val="baseline"/>
        </w:rPr>
        <w:t> In the Nurses’ Health Study, an association was</w:t>
      </w:r>
      <w:r>
        <w:rPr>
          <w:spacing w:val="-1"/>
          <w:vertAlign w:val="baseline"/>
        </w:rPr>
        <w:t> </w:t>
      </w:r>
      <w:r>
        <w:rPr>
          <w:vertAlign w:val="baseline"/>
        </w:rPr>
        <w:t>reported</w:t>
      </w:r>
      <w:r>
        <w:rPr>
          <w:spacing w:val="-1"/>
          <w:vertAlign w:val="baseline"/>
        </w:rPr>
        <w:t> </w:t>
      </w:r>
      <w:r>
        <w:rPr>
          <w:vertAlign w:val="baseline"/>
        </w:rPr>
        <w:t>between</w:t>
      </w:r>
      <w:r>
        <w:rPr>
          <w:spacing w:val="-1"/>
          <w:vertAlign w:val="baseline"/>
        </w:rPr>
        <w:t> </w:t>
      </w:r>
      <w:r>
        <w:rPr>
          <w:vertAlign w:val="baseline"/>
        </w:rPr>
        <w:t>an</w:t>
      </w:r>
      <w:r>
        <w:rPr>
          <w:spacing w:val="-1"/>
          <w:vertAlign w:val="baseline"/>
        </w:rPr>
        <w:t> </w:t>
      </w:r>
      <w:r>
        <w:rPr>
          <w:vertAlign w:val="baseline"/>
        </w:rPr>
        <w:t>increased</w:t>
      </w:r>
      <w:r>
        <w:rPr>
          <w:spacing w:val="-1"/>
          <w:vertAlign w:val="baseline"/>
        </w:rPr>
        <w:t> </w:t>
      </w:r>
      <w:r>
        <w:rPr>
          <w:vertAlign w:val="baseline"/>
        </w:rPr>
        <w:t>risk</w:t>
      </w:r>
      <w:r>
        <w:rPr>
          <w:spacing w:val="-1"/>
          <w:vertAlign w:val="baseline"/>
        </w:rPr>
        <w:t> </w:t>
      </w:r>
      <w:r>
        <w:rPr>
          <w:vertAlign w:val="baseline"/>
        </w:rPr>
        <w:t>of</w:t>
      </w:r>
      <w:r>
        <w:rPr>
          <w:spacing w:val="-1"/>
          <w:vertAlign w:val="baseline"/>
        </w:rPr>
        <w:t> </w:t>
      </w:r>
      <w:r>
        <w:rPr>
          <w:vertAlign w:val="baseline"/>
        </w:rPr>
        <w:t>breast</w:t>
      </w:r>
      <w:r>
        <w:rPr>
          <w:spacing w:val="-1"/>
          <w:vertAlign w:val="baseline"/>
        </w:rPr>
        <w:t> </w:t>
      </w:r>
      <w:r>
        <w:rPr>
          <w:vertAlign w:val="baseline"/>
        </w:rPr>
        <w:t>cancer</w:t>
      </w:r>
      <w:r>
        <w:rPr>
          <w:spacing w:val="-1"/>
          <w:vertAlign w:val="baseline"/>
        </w:rPr>
        <w:t> </w:t>
      </w:r>
      <w:r>
        <w:rPr>
          <w:vertAlign w:val="baseline"/>
        </w:rPr>
        <w:t>and</w:t>
      </w:r>
      <w:r>
        <w:rPr>
          <w:spacing w:val="-1"/>
          <w:vertAlign w:val="baseline"/>
        </w:rPr>
        <w:t> </w:t>
      </w:r>
      <w:r>
        <w:rPr>
          <w:vertAlign w:val="baseline"/>
        </w:rPr>
        <w:t>higher</w:t>
      </w:r>
      <w:r>
        <w:rPr>
          <w:spacing w:val="-1"/>
          <w:vertAlign w:val="baseline"/>
        </w:rPr>
        <w:t> </w:t>
      </w:r>
      <w:r>
        <w:rPr>
          <w:vertAlign w:val="baseline"/>
        </w:rPr>
        <w:t>levels</w:t>
      </w:r>
      <w:r>
        <w:rPr>
          <w:spacing w:val="-1"/>
          <w:vertAlign w:val="baseline"/>
        </w:rPr>
        <w:t> </w:t>
      </w:r>
      <w:r>
        <w:rPr>
          <w:vertAlign w:val="baseline"/>
        </w:rPr>
        <w:t>of estradiol, estrone, and DHEA-S, whereas no association could be demonstrated with the percent free or bioavailable levels of estradiol, androstenedione, testosterone, or DHEA.</w:t>
      </w:r>
      <w:r>
        <w:rPr>
          <w:vertAlign w:val="superscript"/>
        </w:rPr>
        <w:t>840</w:t>
      </w:r>
      <w:r>
        <w:rPr>
          <w:vertAlign w:val="baseline"/>
        </w:rPr>
        <w:t> </w:t>
      </w:r>
      <w:r>
        <w:rPr>
          <w:b/>
          <w:vertAlign w:val="baseline"/>
        </w:rPr>
        <w:t>The discrepancies among the various</w:t>
      </w:r>
      <w:r>
        <w:rPr>
          <w:b/>
          <w:spacing w:val="-1"/>
          <w:vertAlign w:val="baseline"/>
        </w:rPr>
        <w:t> </w:t>
      </w:r>
      <w:r>
        <w:rPr>
          <w:b/>
          <w:vertAlign w:val="baseline"/>
        </w:rPr>
        <w:t>studies</w:t>
      </w:r>
      <w:r>
        <w:rPr>
          <w:b/>
          <w:spacing w:val="-1"/>
          <w:vertAlign w:val="baseline"/>
        </w:rPr>
        <w:t> </w:t>
      </w:r>
      <w:r>
        <w:rPr>
          <w:b/>
          <w:vertAlign w:val="baseline"/>
        </w:rPr>
        <w:t>seeking</w:t>
      </w:r>
      <w:r>
        <w:rPr>
          <w:b/>
          <w:spacing w:val="-1"/>
          <w:vertAlign w:val="baseline"/>
        </w:rPr>
        <w:t> </w:t>
      </w:r>
      <w:r>
        <w:rPr>
          <w:b/>
          <w:vertAlign w:val="baseline"/>
        </w:rPr>
        <w:t>a</w:t>
      </w:r>
      <w:r>
        <w:rPr>
          <w:b/>
          <w:spacing w:val="-1"/>
          <w:vertAlign w:val="baseline"/>
        </w:rPr>
        <w:t> </w:t>
      </w:r>
      <w:r>
        <w:rPr>
          <w:b/>
          <w:vertAlign w:val="baseline"/>
        </w:rPr>
        <w:t>correlation</w:t>
      </w:r>
      <w:r>
        <w:rPr>
          <w:b/>
          <w:spacing w:val="-1"/>
          <w:vertAlign w:val="baseline"/>
        </w:rPr>
        <w:t> </w:t>
      </w:r>
      <w:r>
        <w:rPr>
          <w:b/>
          <w:vertAlign w:val="baseline"/>
        </w:rPr>
        <w:t>between</w:t>
      </w:r>
      <w:r>
        <w:rPr>
          <w:b/>
          <w:spacing w:val="-1"/>
          <w:vertAlign w:val="baseline"/>
        </w:rPr>
        <w:t> </w:t>
      </w:r>
      <w:r>
        <w:rPr>
          <w:b/>
          <w:vertAlign w:val="baseline"/>
        </w:rPr>
        <w:t>hormone</w:t>
      </w:r>
      <w:r>
        <w:rPr>
          <w:b/>
          <w:spacing w:val="-1"/>
          <w:vertAlign w:val="baseline"/>
        </w:rPr>
        <w:t> </w:t>
      </w:r>
      <w:r>
        <w:rPr>
          <w:b/>
          <w:vertAlign w:val="baseline"/>
        </w:rPr>
        <w:t>blood</w:t>
      </w:r>
      <w:r>
        <w:rPr>
          <w:b/>
          <w:spacing w:val="-1"/>
          <w:vertAlign w:val="baseline"/>
        </w:rPr>
        <w:t> </w:t>
      </w:r>
      <w:r>
        <w:rPr>
          <w:b/>
          <w:vertAlign w:val="baseline"/>
        </w:rPr>
        <w:t>levels</w:t>
      </w:r>
      <w:r>
        <w:rPr>
          <w:b/>
          <w:spacing w:val="-1"/>
          <w:vertAlign w:val="baseline"/>
        </w:rPr>
        <w:t> </w:t>
      </w:r>
      <w:r>
        <w:rPr>
          <w:b/>
          <w:vertAlign w:val="baseline"/>
        </w:rPr>
        <w:t>and the risk of breast cancer reflect the fact that the differences are very small, and it is a struggle to achieve statistical significance.</w:t>
      </w:r>
    </w:p>
    <w:p>
      <w:pPr>
        <w:pStyle w:val="BodyText"/>
        <w:spacing w:line="249" w:lineRule="auto" w:before="27"/>
        <w:ind w:right="100" w:firstLine="450"/>
      </w:pPr>
      <w:r>
        <w:rPr/>
        <w:t>Overall, the biologic plausibility for an estrogen link with breast </w:t>
      </w:r>
      <w:r>
        <w:rPr/>
        <w:t>cancer is an impressive argument. This argument is further strengthened by the proven benefit of reducing the incidence of breast cancer with the antiestrogen, tamoxifen. However, establishing a clinically real cause-and-effect relationship with epidemiologic data requires more than the rationale of biologic plausibility.</w:t>
      </w:r>
    </w:p>
    <w:p>
      <w:pPr>
        <w:pStyle w:val="BodyText"/>
        <w:spacing w:before="0"/>
        <w:ind w:left="0"/>
        <w:jc w:val="left"/>
        <w:rPr>
          <w:sz w:val="20"/>
        </w:rPr>
      </w:pPr>
    </w:p>
    <w:p>
      <w:pPr>
        <w:pStyle w:val="BodyText"/>
        <w:spacing w:before="118"/>
        <w:ind w:left="0"/>
        <w:jc w:val="left"/>
        <w:rPr>
          <w:sz w:val="20"/>
        </w:rPr>
      </w:pPr>
      <w:r>
        <w:rPr>
          <w:sz w:val="20"/>
        </w:rPr>
        <mc:AlternateContent>
          <mc:Choice Requires="wps">
            <w:drawing>
              <wp:anchor distT="0" distB="0" distL="0" distR="0" allowOverlap="1" layoutInCell="1" locked="0" behindDoc="1" simplePos="0" relativeHeight="487657472">
                <wp:simplePos x="0" y="0"/>
                <wp:positionH relativeFrom="page">
                  <wp:posOffset>981074</wp:posOffset>
                </wp:positionH>
                <wp:positionV relativeFrom="paragraph">
                  <wp:posOffset>236207</wp:posOffset>
                </wp:positionV>
                <wp:extent cx="5810250" cy="1448435"/>
                <wp:effectExtent l="0" t="0" r="0" b="0"/>
                <wp:wrapTopAndBottom/>
                <wp:docPr id="229" name="Group 229"/>
                <wp:cNvGraphicFramePr>
                  <a:graphicFrameLocks/>
                </wp:cNvGraphicFramePr>
                <a:graphic>
                  <a:graphicData uri="http://schemas.microsoft.com/office/word/2010/wordprocessingGroup">
                    <wpg:wgp>
                      <wpg:cNvPr id="229" name="Group 229"/>
                      <wpg:cNvGrpSpPr/>
                      <wpg:grpSpPr>
                        <a:xfrm>
                          <a:off x="0" y="0"/>
                          <a:ext cx="5810250" cy="1448435"/>
                          <a:chExt cx="5810250" cy="1448435"/>
                        </a:xfrm>
                      </wpg:grpSpPr>
                      <wps:wsp>
                        <wps:cNvPr id="230" name="Graphic 23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31" name="Graphic 231"/>
                        <wps:cNvSpPr/>
                        <wps:spPr>
                          <a:xfrm>
                            <a:off x="0" y="742949"/>
                            <a:ext cx="5810250" cy="705485"/>
                          </a:xfrm>
                          <a:custGeom>
                            <a:avLst/>
                            <a:gdLst/>
                            <a:ahLst/>
                            <a:cxnLst/>
                            <a:rect l="l" t="t" r="r" b="b"/>
                            <a:pathLst>
                              <a:path w="5810250" h="705485">
                                <a:moveTo>
                                  <a:pt x="0" y="704890"/>
                                </a:moveTo>
                                <a:lnTo>
                                  <a:pt x="5810249" y="704890"/>
                                </a:lnTo>
                                <a:lnTo>
                                  <a:pt x="5810249" y="0"/>
                                </a:lnTo>
                                <a:lnTo>
                                  <a:pt x="0" y="0"/>
                                </a:lnTo>
                                <a:lnTo>
                                  <a:pt x="0" y="704890"/>
                                </a:lnTo>
                                <a:close/>
                              </a:path>
                            </a:pathLst>
                          </a:custGeom>
                          <a:solidFill>
                            <a:srgbClr val="E9F1CD"/>
                          </a:solidFill>
                        </wps:spPr>
                        <wps:bodyPr wrap="square" lIns="0" tIns="0" rIns="0" bIns="0" rtlCol="0">
                          <a:prstTxWarp prst="textNoShape">
                            <a:avLst/>
                          </a:prstTxWarp>
                          <a:noAutofit/>
                        </wps:bodyPr>
                      </wps:wsp>
                      <wps:wsp>
                        <wps:cNvPr id="232" name="Graphic 232"/>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33" name="Graphic 233"/>
                        <wps:cNvSpPr/>
                        <wps:spPr>
                          <a:xfrm>
                            <a:off x="209550" y="228639"/>
                            <a:ext cx="371475" cy="57150"/>
                          </a:xfrm>
                          <a:custGeom>
                            <a:avLst/>
                            <a:gdLst/>
                            <a:ahLst/>
                            <a:cxnLst/>
                            <a:rect l="l" t="t" r="r" b="b"/>
                            <a:pathLst>
                              <a:path w="371475" h="57150">
                                <a:moveTo>
                                  <a:pt x="32364" y="57073"/>
                                </a:moveTo>
                                <a:lnTo>
                                  <a:pt x="24785" y="57073"/>
                                </a:lnTo>
                                <a:lnTo>
                                  <a:pt x="21140" y="56330"/>
                                </a:lnTo>
                                <a:lnTo>
                                  <a:pt x="0" y="32299"/>
                                </a:lnTo>
                                <a:lnTo>
                                  <a:pt x="0" y="24707"/>
                                </a:lnTo>
                                <a:lnTo>
                                  <a:pt x="725" y="20983"/>
                                </a:lnTo>
                                <a:lnTo>
                                  <a:pt x="3625" y="13992"/>
                                </a:lnTo>
                                <a:lnTo>
                                  <a:pt x="5689" y="10934"/>
                                </a:lnTo>
                                <a:lnTo>
                                  <a:pt x="8369" y="8334"/>
                                </a:lnTo>
                                <a:lnTo>
                                  <a:pt x="11048" y="5581"/>
                                </a:lnTo>
                                <a:lnTo>
                                  <a:pt x="14138" y="3495"/>
                                </a:lnTo>
                                <a:lnTo>
                                  <a:pt x="21140" y="666"/>
                                </a:lnTo>
                                <a:lnTo>
                                  <a:pt x="24785" y="0"/>
                                </a:lnTo>
                                <a:lnTo>
                                  <a:pt x="32364" y="0"/>
                                </a:lnTo>
                                <a:lnTo>
                                  <a:pt x="36009" y="666"/>
                                </a:lnTo>
                                <a:lnTo>
                                  <a:pt x="43011" y="3495"/>
                                </a:lnTo>
                                <a:lnTo>
                                  <a:pt x="46101" y="5581"/>
                                </a:lnTo>
                                <a:lnTo>
                                  <a:pt x="48780" y="8334"/>
                                </a:lnTo>
                                <a:lnTo>
                                  <a:pt x="51459" y="10934"/>
                                </a:lnTo>
                                <a:lnTo>
                                  <a:pt x="53524" y="13992"/>
                                </a:lnTo>
                                <a:lnTo>
                                  <a:pt x="56424" y="20983"/>
                                </a:lnTo>
                                <a:lnTo>
                                  <a:pt x="57149" y="24707"/>
                                </a:lnTo>
                                <a:lnTo>
                                  <a:pt x="57149" y="32299"/>
                                </a:lnTo>
                                <a:lnTo>
                                  <a:pt x="36009" y="56330"/>
                                </a:lnTo>
                                <a:lnTo>
                                  <a:pt x="32364" y="57073"/>
                                </a:lnTo>
                                <a:close/>
                              </a:path>
                              <a:path w="371475" h="57150">
                                <a:moveTo>
                                  <a:pt x="137044" y="57073"/>
                                </a:moveTo>
                                <a:lnTo>
                                  <a:pt x="129465" y="57073"/>
                                </a:lnTo>
                                <a:lnTo>
                                  <a:pt x="125820" y="56330"/>
                                </a:lnTo>
                                <a:lnTo>
                                  <a:pt x="104679" y="32299"/>
                                </a:lnTo>
                                <a:lnTo>
                                  <a:pt x="104679" y="24707"/>
                                </a:lnTo>
                                <a:lnTo>
                                  <a:pt x="105404" y="20983"/>
                                </a:lnTo>
                                <a:lnTo>
                                  <a:pt x="108304" y="13992"/>
                                </a:lnTo>
                                <a:lnTo>
                                  <a:pt x="110369" y="10934"/>
                                </a:lnTo>
                                <a:lnTo>
                                  <a:pt x="113049" y="8334"/>
                                </a:lnTo>
                                <a:lnTo>
                                  <a:pt x="115728" y="5581"/>
                                </a:lnTo>
                                <a:lnTo>
                                  <a:pt x="118818" y="3495"/>
                                </a:lnTo>
                                <a:lnTo>
                                  <a:pt x="125820" y="666"/>
                                </a:lnTo>
                                <a:lnTo>
                                  <a:pt x="129465" y="0"/>
                                </a:lnTo>
                                <a:lnTo>
                                  <a:pt x="137044" y="0"/>
                                </a:lnTo>
                                <a:lnTo>
                                  <a:pt x="140689" y="666"/>
                                </a:lnTo>
                                <a:lnTo>
                                  <a:pt x="147690" y="3495"/>
                                </a:lnTo>
                                <a:lnTo>
                                  <a:pt x="150780" y="5581"/>
                                </a:lnTo>
                                <a:lnTo>
                                  <a:pt x="153460" y="8334"/>
                                </a:lnTo>
                                <a:lnTo>
                                  <a:pt x="156139" y="10934"/>
                                </a:lnTo>
                                <a:lnTo>
                                  <a:pt x="158204" y="13992"/>
                                </a:lnTo>
                                <a:lnTo>
                                  <a:pt x="161104" y="20983"/>
                                </a:lnTo>
                                <a:lnTo>
                                  <a:pt x="161829" y="24707"/>
                                </a:lnTo>
                                <a:lnTo>
                                  <a:pt x="161829" y="32299"/>
                                </a:lnTo>
                                <a:lnTo>
                                  <a:pt x="140689" y="56330"/>
                                </a:lnTo>
                                <a:lnTo>
                                  <a:pt x="137044" y="57073"/>
                                </a:lnTo>
                                <a:close/>
                              </a:path>
                              <a:path w="371475" h="57150">
                                <a:moveTo>
                                  <a:pt x="241723" y="57073"/>
                                </a:moveTo>
                                <a:lnTo>
                                  <a:pt x="234145" y="57073"/>
                                </a:lnTo>
                                <a:lnTo>
                                  <a:pt x="230500" y="56330"/>
                                </a:lnTo>
                                <a:lnTo>
                                  <a:pt x="209359" y="32299"/>
                                </a:lnTo>
                                <a:lnTo>
                                  <a:pt x="209359" y="24707"/>
                                </a:lnTo>
                                <a:lnTo>
                                  <a:pt x="210084" y="20983"/>
                                </a:lnTo>
                                <a:lnTo>
                                  <a:pt x="212984" y="13992"/>
                                </a:lnTo>
                                <a:lnTo>
                                  <a:pt x="215049" y="10934"/>
                                </a:lnTo>
                                <a:lnTo>
                                  <a:pt x="217728" y="8334"/>
                                </a:lnTo>
                                <a:lnTo>
                                  <a:pt x="220408" y="5581"/>
                                </a:lnTo>
                                <a:lnTo>
                                  <a:pt x="223498" y="3495"/>
                                </a:lnTo>
                                <a:lnTo>
                                  <a:pt x="230500" y="666"/>
                                </a:lnTo>
                                <a:lnTo>
                                  <a:pt x="234145" y="0"/>
                                </a:lnTo>
                                <a:lnTo>
                                  <a:pt x="241723" y="0"/>
                                </a:lnTo>
                                <a:lnTo>
                                  <a:pt x="245368" y="666"/>
                                </a:lnTo>
                                <a:lnTo>
                                  <a:pt x="252370" y="3495"/>
                                </a:lnTo>
                                <a:lnTo>
                                  <a:pt x="255460" y="5581"/>
                                </a:lnTo>
                                <a:lnTo>
                                  <a:pt x="258140" y="8334"/>
                                </a:lnTo>
                                <a:lnTo>
                                  <a:pt x="260819" y="10934"/>
                                </a:lnTo>
                                <a:lnTo>
                                  <a:pt x="262884" y="13992"/>
                                </a:lnTo>
                                <a:lnTo>
                                  <a:pt x="265784" y="20983"/>
                                </a:lnTo>
                                <a:lnTo>
                                  <a:pt x="266509" y="24707"/>
                                </a:lnTo>
                                <a:lnTo>
                                  <a:pt x="266509" y="32299"/>
                                </a:lnTo>
                                <a:lnTo>
                                  <a:pt x="245368" y="56330"/>
                                </a:lnTo>
                                <a:lnTo>
                                  <a:pt x="241723" y="57073"/>
                                </a:lnTo>
                                <a:close/>
                              </a:path>
                              <a:path w="371475" h="57150">
                                <a:moveTo>
                                  <a:pt x="346403" y="57073"/>
                                </a:moveTo>
                                <a:lnTo>
                                  <a:pt x="338824" y="57073"/>
                                </a:lnTo>
                                <a:lnTo>
                                  <a:pt x="335179" y="56330"/>
                                </a:lnTo>
                                <a:lnTo>
                                  <a:pt x="314039" y="32299"/>
                                </a:lnTo>
                                <a:lnTo>
                                  <a:pt x="314039" y="24707"/>
                                </a:lnTo>
                                <a:lnTo>
                                  <a:pt x="314764" y="20983"/>
                                </a:lnTo>
                                <a:lnTo>
                                  <a:pt x="317664" y="13992"/>
                                </a:lnTo>
                                <a:lnTo>
                                  <a:pt x="319729" y="10934"/>
                                </a:lnTo>
                                <a:lnTo>
                                  <a:pt x="322408" y="8334"/>
                                </a:lnTo>
                                <a:lnTo>
                                  <a:pt x="325088" y="5581"/>
                                </a:lnTo>
                                <a:lnTo>
                                  <a:pt x="328178" y="3495"/>
                                </a:lnTo>
                                <a:lnTo>
                                  <a:pt x="335179" y="666"/>
                                </a:lnTo>
                                <a:lnTo>
                                  <a:pt x="338824" y="0"/>
                                </a:lnTo>
                                <a:lnTo>
                                  <a:pt x="346403" y="0"/>
                                </a:lnTo>
                                <a:lnTo>
                                  <a:pt x="350048" y="666"/>
                                </a:lnTo>
                                <a:lnTo>
                                  <a:pt x="357050" y="3495"/>
                                </a:lnTo>
                                <a:lnTo>
                                  <a:pt x="360140" y="5581"/>
                                </a:lnTo>
                                <a:lnTo>
                                  <a:pt x="362819" y="8334"/>
                                </a:lnTo>
                                <a:lnTo>
                                  <a:pt x="365499" y="10934"/>
                                </a:lnTo>
                                <a:lnTo>
                                  <a:pt x="367563" y="13992"/>
                                </a:lnTo>
                                <a:lnTo>
                                  <a:pt x="370464" y="20983"/>
                                </a:lnTo>
                                <a:lnTo>
                                  <a:pt x="371189" y="24707"/>
                                </a:lnTo>
                                <a:lnTo>
                                  <a:pt x="371189" y="32299"/>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234" name="Graphic 234"/>
                        <wps:cNvSpPr/>
                        <wps:spPr>
                          <a:xfrm>
                            <a:off x="133350" y="1000124"/>
                            <a:ext cx="47625" cy="47625"/>
                          </a:xfrm>
                          <a:custGeom>
                            <a:avLst/>
                            <a:gdLst/>
                            <a:ahLst/>
                            <a:cxnLst/>
                            <a:rect l="l" t="t" r="r" b="b"/>
                            <a:pathLst>
                              <a:path w="47625" h="47625">
                                <a:moveTo>
                                  <a:pt x="23812" y="47624"/>
                                </a:moveTo>
                                <a:lnTo>
                                  <a:pt x="0" y="26936"/>
                                </a:lnTo>
                                <a:lnTo>
                                  <a:pt x="0" y="20612"/>
                                </a:lnTo>
                                <a:lnTo>
                                  <a:pt x="20654" y="0"/>
                                </a:lnTo>
                                <a:lnTo>
                                  <a:pt x="26970" y="0"/>
                                </a:lnTo>
                                <a:lnTo>
                                  <a:pt x="47625" y="23812"/>
                                </a:lnTo>
                                <a:lnTo>
                                  <a:pt x="47624" y="26936"/>
                                </a:lnTo>
                                <a:lnTo>
                                  <a:pt x="23812" y="47624"/>
                                </a:lnTo>
                                <a:close/>
                              </a:path>
                            </a:pathLst>
                          </a:custGeom>
                          <a:solidFill>
                            <a:srgbClr val="2B816F"/>
                          </a:solidFill>
                        </wps:spPr>
                        <wps:bodyPr wrap="square" lIns="0" tIns="0" rIns="0" bIns="0" rtlCol="0">
                          <a:prstTxWarp prst="textNoShape">
                            <a:avLst/>
                          </a:prstTxWarp>
                          <a:noAutofit/>
                        </wps:bodyPr>
                      </wps:wsp>
                      <wps:wsp>
                        <wps:cNvPr id="235" name="Textbox 235"/>
                        <wps:cNvSpPr txBox="1"/>
                        <wps:spPr>
                          <a:xfrm>
                            <a:off x="0" y="742949"/>
                            <a:ext cx="5810250" cy="705485"/>
                          </a:xfrm>
                          <a:prstGeom prst="rect">
                            <a:avLst/>
                          </a:prstGeom>
                        </wps:spPr>
                        <wps:txbx>
                          <w:txbxContent>
                            <w:p>
                              <w:pPr>
                                <w:spacing w:line="240" w:lineRule="auto" w:before="51"/>
                                <w:rPr>
                                  <w:sz w:val="22"/>
                                </w:rPr>
                              </w:pPr>
                            </w:p>
                            <w:p>
                              <w:pPr>
                                <w:spacing w:line="256" w:lineRule="auto" w:before="0"/>
                                <w:ind w:left="444" w:right="774" w:firstLine="0"/>
                                <w:jc w:val="left"/>
                                <w:rPr>
                                  <w:b/>
                                  <w:sz w:val="22"/>
                                </w:rPr>
                              </w:pPr>
                              <w:r>
                                <w:rPr>
                                  <w:b/>
                                  <w:sz w:val="22"/>
                                </w:rPr>
                                <w:t>The risk of breast cancer is increased with increasing duration of lifelong </w:t>
                              </w:r>
                              <w:r>
                                <w:rPr>
                                  <w:b/>
                                  <w:sz w:val="22"/>
                                </w:rPr>
                                <w:t>exposure</w:t>
                              </w:r>
                              <w:r>
                                <w:rPr>
                                  <w:b/>
                                  <w:spacing w:val="40"/>
                                  <w:sz w:val="22"/>
                                </w:rPr>
                                <w:t> </w:t>
                              </w:r>
                              <w:r>
                                <w:rPr>
                                  <w:b/>
                                  <w:sz w:val="22"/>
                                </w:rPr>
                                <w:t>to estrogen.</w:t>
                              </w:r>
                            </w:p>
                          </w:txbxContent>
                        </wps:txbx>
                        <wps:bodyPr wrap="square" lIns="0" tIns="0" rIns="0" bIns="0" rtlCol="0">
                          <a:noAutofit/>
                        </wps:bodyPr>
                      </wps:wsp>
                      <wps:wsp>
                        <wps:cNvPr id="236" name="Textbox 236"/>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26"/>
                                  <w:sz w:val="33"/>
                                </w:rPr>
                                <w:t> </w:t>
                              </w:r>
                              <w:r>
                                <w:rPr>
                                  <w:rFonts w:ascii="Arial"/>
                                  <w:color w:val="FFFFFF"/>
                                  <w:sz w:val="33"/>
                                </w:rPr>
                                <w:t>Points:</w:t>
                              </w:r>
                              <w:r>
                                <w:rPr>
                                  <w:rFonts w:ascii="Arial"/>
                                  <w:color w:val="FFFFFF"/>
                                  <w:spacing w:val="26"/>
                                  <w:sz w:val="33"/>
                                </w:rPr>
                                <w:t> </w:t>
                              </w:r>
                              <w:r>
                                <w:rPr>
                                  <w:rFonts w:ascii="Arial"/>
                                  <w:color w:val="FFFFFF"/>
                                  <w:sz w:val="33"/>
                                </w:rPr>
                                <w:t>Postmenopausal</w:t>
                              </w:r>
                              <w:r>
                                <w:rPr>
                                  <w:rFonts w:ascii="Arial"/>
                                  <w:color w:val="FFFFFF"/>
                                  <w:spacing w:val="26"/>
                                  <w:sz w:val="33"/>
                                </w:rPr>
                                <w:t> </w:t>
                              </w:r>
                              <w:r>
                                <w:rPr>
                                  <w:rFonts w:ascii="Arial"/>
                                  <w:color w:val="FFFFFF"/>
                                  <w:sz w:val="33"/>
                                </w:rPr>
                                <w:t>Breast</w:t>
                              </w:r>
                              <w:r>
                                <w:rPr>
                                  <w:rFonts w:ascii="Arial"/>
                                  <w:color w:val="FFFFFF"/>
                                  <w:spacing w:val="26"/>
                                  <w:sz w:val="33"/>
                                </w:rPr>
                                <w:t> </w:t>
                              </w:r>
                              <w:r>
                                <w:rPr>
                                  <w:rFonts w:ascii="Arial"/>
                                  <w:color w:val="FFFFFF"/>
                                  <w:sz w:val="33"/>
                                </w:rPr>
                                <w:t>Cancer</w:t>
                              </w:r>
                              <w:r>
                                <w:rPr>
                                  <w:rFonts w:ascii="Arial"/>
                                  <w:color w:val="FFFFFF"/>
                                  <w:spacing w:val="27"/>
                                  <w:sz w:val="33"/>
                                </w:rPr>
                                <w:t> </w:t>
                              </w:r>
                              <w:r>
                                <w:rPr>
                                  <w:rFonts w:ascii="Arial"/>
                                  <w:color w:val="FFFFFF"/>
                                  <w:spacing w:val="-4"/>
                                  <w:sz w:val="33"/>
                                </w:rPr>
                                <w:t>Risk</w:t>
                              </w:r>
                            </w:p>
                          </w:txbxContent>
                        </wps:txbx>
                        <wps:bodyPr wrap="square" lIns="0" tIns="0" rIns="0" bIns="0" rtlCol="0">
                          <a:noAutofit/>
                        </wps:bodyPr>
                      </wps:wsp>
                    </wpg:wgp>
                  </a:graphicData>
                </a:graphic>
              </wp:anchor>
            </w:drawing>
          </mc:Choice>
          <mc:Fallback>
            <w:pict>
              <v:group style="position:absolute;margin-left:77.249992pt;margin-top:18.599024pt;width:457.5pt;height:114.05pt;mso-position-horizontal-relative:page;mso-position-vertical-relative:paragraph;z-index:-15659008;mso-wrap-distance-left:0;mso-wrap-distance-right:0" id="docshapegroup206" coordorigin="1545,372" coordsize="9150,2281">
                <v:rect style="position:absolute;left:1545;top:371;width:9150;height:30" id="docshape207" filled="true" fillcolor="#d5e699" stroked="false">
                  <v:fill type="solid"/>
                </v:rect>
                <v:rect style="position:absolute;left:1545;top:1541;width:9150;height:1111" id="docshape208" filled="true" fillcolor="#e9f1cd" stroked="false">
                  <v:fill type="solid"/>
                </v:rect>
                <v:rect style="position:absolute;left:1545;top:461;width:9150;height:1080" id="docshape209" filled="true" fillcolor="#2b816f" stroked="false">
                  <v:fill type="solid"/>
                </v:rect>
                <v:shape style="position:absolute;left:1875;top:732;width:585;height:90" id="docshape210" coordorigin="1875,732" coordsize="585,90" path="m1926,822l1914,822,1908,821,1897,816,1892,813,1888,809,1884,804,1881,800,1876,789,1875,783,1875,771,1876,765,1881,754,1884,749,1888,745,1892,741,1897,738,1908,733,1914,732,1926,732,1932,733,1943,738,1948,741,1952,745,1956,749,1959,754,1964,765,1965,771,1965,783,1964,789,1959,800,1956,804,1952,809,1948,813,1943,816,1932,821,1926,822xm2091,822l2079,822,2073,821,2062,816,2057,813,2053,809,2049,804,2046,800,2041,789,2040,783,2040,771,2041,765,2046,754,2049,749,2053,745,2057,741,2062,738,2073,733,2079,732,2091,732,2097,733,2108,738,2112,741,2117,745,2121,749,2124,754,2129,765,2130,771,2130,783,2129,789,2124,800,2121,804,2117,809,2112,813,2108,816,2097,821,2091,822xm2256,822l2244,822,2238,821,2227,816,2222,813,2218,809,2214,804,2210,800,2206,789,2205,783,2205,771,2206,765,2210,754,2214,749,2218,745,2222,741,2227,738,2238,733,2244,732,2256,732,2261,733,2272,738,2277,741,2282,745,2286,749,2289,754,2294,765,2295,771,2295,783,2294,789,2289,800,2286,804,2282,809,2277,813,2272,816,2261,821,2256,822xm2421,822l2409,822,2403,821,2392,816,2387,813,2383,809,2379,804,2375,800,2371,789,2370,783,2370,771,2371,765,2375,754,2379,749,2383,745,2387,741,2392,738,2403,733,2409,732,2421,732,2426,733,2437,738,2442,741,2446,745,2451,749,2454,754,2458,765,2460,771,2460,783,2458,789,2454,800,2451,804,2446,809,2442,813,2437,816,2426,821,2421,822xe" filled="true" fillcolor="#d0e399" stroked="false">
                  <v:path arrowok="t"/>
                  <v:fill type="solid"/>
                </v:shape>
                <v:shape style="position:absolute;left:1755;top:1946;width:75;height:75" id="docshape211" coordorigin="1755,1947" coordsize="75,75" path="m1792,2022l1755,1989,1755,1979,1788,1947,1797,1947,1830,1984,1830,1989,1792,2022xe" filled="true" fillcolor="#2b816f" stroked="false">
                  <v:path arrowok="t"/>
                  <v:fill type="solid"/>
                </v:shape>
                <v:shape style="position:absolute;left:1545;top:1541;width:9150;height:1111" type="#_x0000_t202" id="docshape212" filled="false" stroked="false">
                  <v:textbox inset="0,0,0,0">
                    <w:txbxContent>
                      <w:p>
                        <w:pPr>
                          <w:spacing w:line="240" w:lineRule="auto" w:before="51"/>
                          <w:rPr>
                            <w:sz w:val="22"/>
                          </w:rPr>
                        </w:pPr>
                      </w:p>
                      <w:p>
                        <w:pPr>
                          <w:spacing w:line="256" w:lineRule="auto" w:before="0"/>
                          <w:ind w:left="444" w:right="774" w:firstLine="0"/>
                          <w:jc w:val="left"/>
                          <w:rPr>
                            <w:b/>
                            <w:sz w:val="22"/>
                          </w:rPr>
                        </w:pPr>
                        <w:r>
                          <w:rPr>
                            <w:b/>
                            <w:sz w:val="22"/>
                          </w:rPr>
                          <w:t>The risk of breast cancer is increased with increasing duration of lifelong </w:t>
                        </w:r>
                        <w:r>
                          <w:rPr>
                            <w:b/>
                            <w:sz w:val="22"/>
                          </w:rPr>
                          <w:t>exposure</w:t>
                        </w:r>
                        <w:r>
                          <w:rPr>
                            <w:b/>
                            <w:spacing w:val="40"/>
                            <w:sz w:val="22"/>
                          </w:rPr>
                          <w:t> </w:t>
                        </w:r>
                        <w:r>
                          <w:rPr>
                            <w:b/>
                            <w:sz w:val="22"/>
                          </w:rPr>
                          <w:t>to estrogen.</w:t>
                        </w:r>
                      </w:p>
                    </w:txbxContent>
                  </v:textbox>
                  <w10:wrap type="none"/>
                </v:shape>
                <v:shape style="position:absolute;left:1545;top:461;width:9150;height:1080" type="#_x0000_t202" id="docshape213"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26"/>
                            <w:sz w:val="33"/>
                          </w:rPr>
                          <w:t> </w:t>
                        </w:r>
                        <w:r>
                          <w:rPr>
                            <w:rFonts w:ascii="Arial"/>
                            <w:color w:val="FFFFFF"/>
                            <w:sz w:val="33"/>
                          </w:rPr>
                          <w:t>Points:</w:t>
                        </w:r>
                        <w:r>
                          <w:rPr>
                            <w:rFonts w:ascii="Arial"/>
                            <w:color w:val="FFFFFF"/>
                            <w:spacing w:val="26"/>
                            <w:sz w:val="33"/>
                          </w:rPr>
                          <w:t> </w:t>
                        </w:r>
                        <w:r>
                          <w:rPr>
                            <w:rFonts w:ascii="Arial"/>
                            <w:color w:val="FFFFFF"/>
                            <w:sz w:val="33"/>
                          </w:rPr>
                          <w:t>Postmenopausal</w:t>
                        </w:r>
                        <w:r>
                          <w:rPr>
                            <w:rFonts w:ascii="Arial"/>
                            <w:color w:val="FFFFFF"/>
                            <w:spacing w:val="26"/>
                            <w:sz w:val="33"/>
                          </w:rPr>
                          <w:t> </w:t>
                        </w:r>
                        <w:r>
                          <w:rPr>
                            <w:rFonts w:ascii="Arial"/>
                            <w:color w:val="FFFFFF"/>
                            <w:sz w:val="33"/>
                          </w:rPr>
                          <w:t>Breast</w:t>
                        </w:r>
                        <w:r>
                          <w:rPr>
                            <w:rFonts w:ascii="Arial"/>
                            <w:color w:val="FFFFFF"/>
                            <w:spacing w:val="26"/>
                            <w:sz w:val="33"/>
                          </w:rPr>
                          <w:t> </w:t>
                        </w:r>
                        <w:r>
                          <w:rPr>
                            <w:rFonts w:ascii="Arial"/>
                            <w:color w:val="FFFFFF"/>
                            <w:sz w:val="33"/>
                          </w:rPr>
                          <w:t>Cancer</w:t>
                        </w:r>
                        <w:r>
                          <w:rPr>
                            <w:rFonts w:ascii="Arial"/>
                            <w:color w:val="FFFFFF"/>
                            <w:spacing w:val="27"/>
                            <w:sz w:val="33"/>
                          </w:rPr>
                          <w:t> </w:t>
                        </w:r>
                        <w:r>
                          <w:rPr>
                            <w:rFonts w:ascii="Arial"/>
                            <w:color w:val="FFFFFF"/>
                            <w:spacing w:val="-4"/>
                            <w:sz w:val="33"/>
                          </w:rPr>
                          <w:t>Risk</w:t>
                        </w:r>
                      </w:p>
                    </w:txbxContent>
                  </v:textbox>
                  <w10:wrap type="none"/>
                </v:shape>
                <w10:wrap type="topAndBottom"/>
              </v:group>
            </w:pict>
          </mc:Fallback>
        </mc:AlternateContent>
      </w:r>
    </w:p>
    <w:p>
      <w:pPr>
        <w:pStyle w:val="BodyText"/>
        <w:spacing w:after="0"/>
        <w:jc w:val="left"/>
        <w:rPr>
          <w:sz w:val="20"/>
        </w:rPr>
        <w:sectPr>
          <w:pgSz w:w="12240" w:h="15840"/>
          <w:pgMar w:top="1380" w:bottom="280" w:left="1440" w:right="1440"/>
        </w:sectPr>
      </w:pPr>
    </w:p>
    <w:p>
      <w:pPr>
        <w:spacing w:line="240" w:lineRule="auto"/>
        <w:ind w:left="105" w:right="0" w:firstLine="0"/>
        <w:rPr>
          <w:sz w:val="20"/>
        </w:rPr>
      </w:pPr>
      <w:r>
        <w:rPr>
          <w:sz w:val="20"/>
        </w:rPr>
        <mc:AlternateContent>
          <mc:Choice Requires="wps">
            <w:drawing>
              <wp:inline distT="0" distB="0" distL="0" distR="0">
                <wp:extent cx="5810250" cy="723900"/>
                <wp:effectExtent l="0" t="0" r="0" b="0"/>
                <wp:docPr id="237" name="Group 237"/>
                <wp:cNvGraphicFramePr>
                  <a:graphicFrameLocks/>
                </wp:cNvGraphicFramePr>
                <a:graphic>
                  <a:graphicData uri="http://schemas.microsoft.com/office/word/2010/wordprocessingGroup">
                    <wpg:wgp>
                      <wpg:cNvPr id="237" name="Group 237"/>
                      <wpg:cNvGrpSpPr/>
                      <wpg:grpSpPr>
                        <a:xfrm>
                          <a:off x="0" y="0"/>
                          <a:ext cx="5810250" cy="723900"/>
                          <a:chExt cx="5810250" cy="723900"/>
                        </a:xfrm>
                      </wpg:grpSpPr>
                      <wps:wsp>
                        <wps:cNvPr id="238" name="Graphic 238"/>
                        <wps:cNvSpPr/>
                        <wps:spPr>
                          <a:xfrm>
                            <a:off x="0" y="0"/>
                            <a:ext cx="5810250" cy="723900"/>
                          </a:xfrm>
                          <a:custGeom>
                            <a:avLst/>
                            <a:gdLst/>
                            <a:ahLst/>
                            <a:cxnLst/>
                            <a:rect l="l" t="t" r="r" b="b"/>
                            <a:pathLst>
                              <a:path w="5810250" h="723900">
                                <a:moveTo>
                                  <a:pt x="5810249" y="723861"/>
                                </a:moveTo>
                                <a:lnTo>
                                  <a:pt x="0" y="723861"/>
                                </a:lnTo>
                                <a:lnTo>
                                  <a:pt x="0" y="0"/>
                                </a:lnTo>
                                <a:lnTo>
                                  <a:pt x="5810249" y="0"/>
                                </a:lnTo>
                                <a:lnTo>
                                  <a:pt x="5810249" y="723861"/>
                                </a:lnTo>
                                <a:close/>
                              </a:path>
                            </a:pathLst>
                          </a:custGeom>
                          <a:solidFill>
                            <a:srgbClr val="E9F1CD"/>
                          </a:solidFill>
                        </wps:spPr>
                        <wps:bodyPr wrap="square" lIns="0" tIns="0" rIns="0" bIns="0" rtlCol="0">
                          <a:prstTxWarp prst="textNoShape">
                            <a:avLst/>
                          </a:prstTxWarp>
                          <a:noAutofit/>
                        </wps:bodyPr>
                      </wps:wsp>
                      <wps:wsp>
                        <wps:cNvPr id="239" name="Graphic 239"/>
                        <wps:cNvSpPr/>
                        <wps:spPr>
                          <a:xfrm>
                            <a:off x="133350" y="66634"/>
                            <a:ext cx="47625" cy="47625"/>
                          </a:xfrm>
                          <a:custGeom>
                            <a:avLst/>
                            <a:gdLst/>
                            <a:ahLst/>
                            <a:cxnLst/>
                            <a:rect l="l" t="t" r="r" b="b"/>
                            <a:pathLst>
                              <a:path w="47625" h="47625">
                                <a:moveTo>
                                  <a:pt x="23812" y="47624"/>
                                </a:moveTo>
                                <a:lnTo>
                                  <a:pt x="0" y="26860"/>
                                </a:lnTo>
                                <a:lnTo>
                                  <a:pt x="0" y="20612"/>
                                </a:lnTo>
                                <a:lnTo>
                                  <a:pt x="20654" y="0"/>
                                </a:lnTo>
                                <a:lnTo>
                                  <a:pt x="26970" y="0"/>
                                </a:lnTo>
                                <a:lnTo>
                                  <a:pt x="47625" y="23812"/>
                                </a:lnTo>
                                <a:lnTo>
                                  <a:pt x="47624" y="26860"/>
                                </a:lnTo>
                                <a:lnTo>
                                  <a:pt x="23812" y="47624"/>
                                </a:lnTo>
                                <a:close/>
                              </a:path>
                            </a:pathLst>
                          </a:custGeom>
                          <a:solidFill>
                            <a:srgbClr val="2B816F"/>
                          </a:solidFill>
                        </wps:spPr>
                        <wps:bodyPr wrap="square" lIns="0" tIns="0" rIns="0" bIns="0" rtlCol="0">
                          <a:prstTxWarp prst="textNoShape">
                            <a:avLst/>
                          </a:prstTxWarp>
                          <a:noAutofit/>
                        </wps:bodyPr>
                      </wps:wsp>
                      <wps:wsp>
                        <wps:cNvPr id="240" name="Textbox 240"/>
                        <wps:cNvSpPr txBox="1"/>
                        <wps:spPr>
                          <a:xfrm>
                            <a:off x="0" y="0"/>
                            <a:ext cx="5810250" cy="723900"/>
                          </a:xfrm>
                          <a:prstGeom prst="rect">
                            <a:avLst/>
                          </a:prstGeom>
                        </wps:spPr>
                        <wps:txbx>
                          <w:txbxContent>
                            <w:p>
                              <w:pPr>
                                <w:spacing w:line="256" w:lineRule="auto" w:before="4"/>
                                <w:ind w:left="444" w:right="610" w:firstLine="0"/>
                                <w:jc w:val="left"/>
                                <w:rPr>
                                  <w:b/>
                                  <w:sz w:val="22"/>
                                </w:rPr>
                              </w:pPr>
                              <w:r>
                                <w:rPr>
                                  <w:b/>
                                  <w:sz w:val="22"/>
                                </w:rPr>
                                <w:t>Postmenopausal</w:t>
                              </w:r>
                              <w:r>
                                <w:rPr>
                                  <w:b/>
                                  <w:spacing w:val="74"/>
                                  <w:sz w:val="22"/>
                                </w:rPr>
                                <w:t> </w:t>
                              </w:r>
                              <w:r>
                                <w:rPr>
                                  <w:b/>
                                  <w:sz w:val="22"/>
                                </w:rPr>
                                <w:t>women</w:t>
                              </w:r>
                              <w:r>
                                <w:rPr>
                                  <w:b/>
                                  <w:spacing w:val="74"/>
                                  <w:sz w:val="22"/>
                                </w:rPr>
                                <w:t> </w:t>
                              </w:r>
                              <w:r>
                                <w:rPr>
                                  <w:b/>
                                  <w:sz w:val="22"/>
                                </w:rPr>
                                <w:t>who</w:t>
                              </w:r>
                              <w:r>
                                <w:rPr>
                                  <w:b/>
                                  <w:spacing w:val="74"/>
                                  <w:sz w:val="22"/>
                                </w:rPr>
                                <w:t> </w:t>
                              </w:r>
                              <w:r>
                                <w:rPr>
                                  <w:b/>
                                  <w:sz w:val="22"/>
                                </w:rPr>
                                <w:t>are</w:t>
                              </w:r>
                              <w:r>
                                <w:rPr>
                                  <w:b/>
                                  <w:spacing w:val="74"/>
                                  <w:sz w:val="22"/>
                                </w:rPr>
                                <w:t> </w:t>
                              </w:r>
                              <w:r>
                                <w:rPr>
                                  <w:b/>
                                  <w:sz w:val="22"/>
                                </w:rPr>
                                <w:t>overweight</w:t>
                              </w:r>
                              <w:r>
                                <w:rPr>
                                  <w:b/>
                                  <w:spacing w:val="74"/>
                                  <w:sz w:val="22"/>
                                </w:rPr>
                                <w:t> </w:t>
                              </w:r>
                              <w:r>
                                <w:rPr>
                                  <w:b/>
                                  <w:sz w:val="22"/>
                                </w:rPr>
                                <w:t>have</w:t>
                              </w:r>
                              <w:r>
                                <w:rPr>
                                  <w:b/>
                                  <w:spacing w:val="74"/>
                                  <w:sz w:val="22"/>
                                </w:rPr>
                                <w:t> </w:t>
                              </w:r>
                              <w:r>
                                <w:rPr>
                                  <w:b/>
                                  <w:sz w:val="22"/>
                                </w:rPr>
                                <w:t>a</w:t>
                              </w:r>
                              <w:r>
                                <w:rPr>
                                  <w:b/>
                                  <w:spacing w:val="74"/>
                                  <w:sz w:val="22"/>
                                </w:rPr>
                                <w:t> </w:t>
                              </w:r>
                              <w:r>
                                <w:rPr>
                                  <w:b/>
                                  <w:sz w:val="22"/>
                                </w:rPr>
                                <w:t>slightly</w:t>
                              </w:r>
                              <w:r>
                                <w:rPr>
                                  <w:b/>
                                  <w:spacing w:val="74"/>
                                  <w:sz w:val="22"/>
                                </w:rPr>
                                <w:t> </w:t>
                              </w:r>
                              <w:r>
                                <w:rPr>
                                  <w:b/>
                                  <w:sz w:val="22"/>
                                </w:rPr>
                                <w:t>increased</w:t>
                              </w:r>
                              <w:r>
                                <w:rPr>
                                  <w:b/>
                                  <w:spacing w:val="74"/>
                                  <w:sz w:val="22"/>
                                </w:rPr>
                                <w:t> </w:t>
                              </w:r>
                              <w:r>
                                <w:rPr>
                                  <w:b/>
                                  <w:sz w:val="22"/>
                                </w:rPr>
                                <w:t>risk</w:t>
                              </w:r>
                              <w:r>
                                <w:rPr>
                                  <w:b/>
                                  <w:spacing w:val="74"/>
                                  <w:sz w:val="22"/>
                                </w:rPr>
                                <w:t> </w:t>
                              </w:r>
                              <w:r>
                                <w:rPr>
                                  <w:b/>
                                  <w:sz w:val="22"/>
                                </w:rPr>
                                <w:t>of breast cancer.</w:t>
                              </w:r>
                            </w:p>
                          </w:txbxContent>
                        </wps:txbx>
                        <wps:bodyPr wrap="square" lIns="0" tIns="0" rIns="0" bIns="0" rtlCol="0">
                          <a:noAutofit/>
                        </wps:bodyPr>
                      </wps:wsp>
                    </wpg:wgp>
                  </a:graphicData>
                </a:graphic>
              </wp:inline>
            </w:drawing>
          </mc:Choice>
          <mc:Fallback>
            <w:pict>
              <v:group style="width:457.5pt;height:57pt;mso-position-horizontal-relative:char;mso-position-vertical-relative:line" id="docshapegroup214" coordorigin="0,0" coordsize="9150,1140">
                <v:rect style="position:absolute;left:0;top:0;width:9150;height:1140" id="docshape215" filled="true" fillcolor="#e9f1cd" stroked="false">
                  <v:fill type="solid"/>
                </v:rect>
                <v:shape style="position:absolute;left:210;top:104;width:75;height:75" id="docshape216" coordorigin="210,105" coordsize="75,75" path="m248,180l210,147,210,137,243,105,252,105,285,142,285,147,248,180xe" filled="true" fillcolor="#2b816f" stroked="false">
                  <v:path arrowok="t"/>
                  <v:fill type="solid"/>
                </v:shape>
                <v:shape style="position:absolute;left:0;top:0;width:9150;height:1140" type="#_x0000_t202" id="docshape217" filled="false" stroked="false">
                  <v:textbox inset="0,0,0,0">
                    <w:txbxContent>
                      <w:p>
                        <w:pPr>
                          <w:spacing w:line="256" w:lineRule="auto" w:before="4"/>
                          <w:ind w:left="444" w:right="610" w:firstLine="0"/>
                          <w:jc w:val="left"/>
                          <w:rPr>
                            <w:b/>
                            <w:sz w:val="22"/>
                          </w:rPr>
                        </w:pPr>
                        <w:r>
                          <w:rPr>
                            <w:b/>
                            <w:sz w:val="22"/>
                          </w:rPr>
                          <w:t>Postmenopausal</w:t>
                        </w:r>
                        <w:r>
                          <w:rPr>
                            <w:b/>
                            <w:spacing w:val="74"/>
                            <w:sz w:val="22"/>
                          </w:rPr>
                          <w:t> </w:t>
                        </w:r>
                        <w:r>
                          <w:rPr>
                            <w:b/>
                            <w:sz w:val="22"/>
                          </w:rPr>
                          <w:t>women</w:t>
                        </w:r>
                        <w:r>
                          <w:rPr>
                            <w:b/>
                            <w:spacing w:val="74"/>
                            <w:sz w:val="22"/>
                          </w:rPr>
                          <w:t> </w:t>
                        </w:r>
                        <w:r>
                          <w:rPr>
                            <w:b/>
                            <w:sz w:val="22"/>
                          </w:rPr>
                          <w:t>who</w:t>
                        </w:r>
                        <w:r>
                          <w:rPr>
                            <w:b/>
                            <w:spacing w:val="74"/>
                            <w:sz w:val="22"/>
                          </w:rPr>
                          <w:t> </w:t>
                        </w:r>
                        <w:r>
                          <w:rPr>
                            <w:b/>
                            <w:sz w:val="22"/>
                          </w:rPr>
                          <w:t>are</w:t>
                        </w:r>
                        <w:r>
                          <w:rPr>
                            <w:b/>
                            <w:spacing w:val="74"/>
                            <w:sz w:val="22"/>
                          </w:rPr>
                          <w:t> </w:t>
                        </w:r>
                        <w:r>
                          <w:rPr>
                            <w:b/>
                            <w:sz w:val="22"/>
                          </w:rPr>
                          <w:t>overweight</w:t>
                        </w:r>
                        <w:r>
                          <w:rPr>
                            <w:b/>
                            <w:spacing w:val="74"/>
                            <w:sz w:val="22"/>
                          </w:rPr>
                          <w:t> </w:t>
                        </w:r>
                        <w:r>
                          <w:rPr>
                            <w:b/>
                            <w:sz w:val="22"/>
                          </w:rPr>
                          <w:t>have</w:t>
                        </w:r>
                        <w:r>
                          <w:rPr>
                            <w:b/>
                            <w:spacing w:val="74"/>
                            <w:sz w:val="22"/>
                          </w:rPr>
                          <w:t> </w:t>
                        </w:r>
                        <w:r>
                          <w:rPr>
                            <w:b/>
                            <w:sz w:val="22"/>
                          </w:rPr>
                          <w:t>a</w:t>
                        </w:r>
                        <w:r>
                          <w:rPr>
                            <w:b/>
                            <w:spacing w:val="74"/>
                            <w:sz w:val="22"/>
                          </w:rPr>
                          <w:t> </w:t>
                        </w:r>
                        <w:r>
                          <w:rPr>
                            <w:b/>
                            <w:sz w:val="22"/>
                          </w:rPr>
                          <w:t>slightly</w:t>
                        </w:r>
                        <w:r>
                          <w:rPr>
                            <w:b/>
                            <w:spacing w:val="74"/>
                            <w:sz w:val="22"/>
                          </w:rPr>
                          <w:t> </w:t>
                        </w:r>
                        <w:r>
                          <w:rPr>
                            <w:b/>
                            <w:sz w:val="22"/>
                          </w:rPr>
                          <w:t>increased</w:t>
                        </w:r>
                        <w:r>
                          <w:rPr>
                            <w:b/>
                            <w:spacing w:val="74"/>
                            <w:sz w:val="22"/>
                          </w:rPr>
                          <w:t> </w:t>
                        </w:r>
                        <w:r>
                          <w:rPr>
                            <w:b/>
                            <w:sz w:val="22"/>
                          </w:rPr>
                          <w:t>risk</w:t>
                        </w:r>
                        <w:r>
                          <w:rPr>
                            <w:b/>
                            <w:spacing w:val="74"/>
                            <w:sz w:val="22"/>
                          </w:rPr>
                          <w:t> </w:t>
                        </w:r>
                        <w:r>
                          <w:rPr>
                            <w:b/>
                            <w:sz w:val="22"/>
                          </w:rPr>
                          <w:t>of breast cancer.</w:t>
                        </w:r>
                      </w:p>
                    </w:txbxContent>
                  </v:textbox>
                  <w10:wrap type="none"/>
                </v:shape>
              </v:group>
            </w:pict>
          </mc:Fallback>
        </mc:AlternateContent>
      </w:r>
      <w:r>
        <w:rPr>
          <w:sz w:val="20"/>
        </w:rPr>
      </w:r>
    </w:p>
    <w:p>
      <w:pPr>
        <w:pStyle w:val="BodyText"/>
        <w:spacing w:before="0"/>
        <w:ind w:left="0"/>
        <w:jc w:val="left"/>
      </w:pPr>
    </w:p>
    <w:p>
      <w:pPr>
        <w:pStyle w:val="BodyText"/>
        <w:spacing w:before="188"/>
        <w:ind w:left="0"/>
        <w:jc w:val="left"/>
      </w:pPr>
    </w:p>
    <w:p>
      <w:pPr>
        <w:spacing w:before="0"/>
        <w:ind w:left="99" w:right="0" w:firstLine="0"/>
        <w:jc w:val="both"/>
        <w:rPr>
          <w:rFonts w:ascii="Arial"/>
          <w:b/>
          <w:sz w:val="30"/>
        </w:rPr>
      </w:pPr>
      <w:r>
        <w:rPr>
          <w:rFonts w:ascii="Arial"/>
          <w:b/>
          <w:color w:val="2674AE"/>
          <w:sz w:val="30"/>
        </w:rPr>
        <w:t>Results From Observational </w:t>
      </w:r>
      <w:r>
        <w:rPr>
          <w:rFonts w:ascii="Arial"/>
          <w:b/>
          <w:color w:val="2674AE"/>
          <w:spacing w:val="-2"/>
          <w:sz w:val="30"/>
        </w:rPr>
        <w:t>Studies</w:t>
      </w:r>
    </w:p>
    <w:p>
      <w:pPr>
        <w:pStyle w:val="BodyText"/>
        <w:spacing w:line="249" w:lineRule="auto" w:before="167"/>
        <w:ind w:right="98"/>
      </w:pPr>
      <w:r>
        <w:rPr/>
        <w:t>In the past decade, a large number of case-control and cohort </w:t>
      </w:r>
      <w:r>
        <w:rPr/>
        <w:t>studies indicated a slightly increased risk of breast cancer with postmenopausal use of</w:t>
      </w:r>
      <w:r>
        <w:rPr>
          <w:spacing w:val="-5"/>
        </w:rPr>
        <w:t> </w:t>
      </w:r>
      <w:r>
        <w:rPr/>
        <w:t>HT.</w:t>
      </w:r>
      <w:r>
        <w:rPr>
          <w:spacing w:val="-6"/>
        </w:rPr>
        <w:t> </w:t>
      </w:r>
      <w:r>
        <w:rPr/>
        <w:t>Overall,</w:t>
      </w:r>
      <w:r>
        <w:rPr>
          <w:spacing w:val="-4"/>
        </w:rPr>
        <w:t> </w:t>
      </w:r>
      <w:r>
        <w:rPr/>
        <w:t>most</w:t>
      </w:r>
      <w:r>
        <w:rPr>
          <w:spacing w:val="-4"/>
        </w:rPr>
        <w:t> </w:t>
      </w:r>
      <w:r>
        <w:rPr/>
        <w:t>of</w:t>
      </w:r>
      <w:r>
        <w:rPr>
          <w:spacing w:val="-4"/>
        </w:rPr>
        <w:t> </w:t>
      </w:r>
      <w:r>
        <w:rPr/>
        <w:t>these</w:t>
      </w:r>
      <w:r>
        <w:rPr>
          <w:spacing w:val="-4"/>
        </w:rPr>
        <w:t> </w:t>
      </w:r>
      <w:r>
        <w:rPr/>
        <w:t>studies</w:t>
      </w:r>
      <w:r>
        <w:rPr>
          <w:spacing w:val="-4"/>
        </w:rPr>
        <w:t> </w:t>
      </w:r>
      <w:r>
        <w:rPr/>
        <w:t>indicated</w:t>
      </w:r>
      <w:r>
        <w:rPr>
          <w:spacing w:val="-4"/>
        </w:rPr>
        <w:t> </w:t>
      </w:r>
      <w:r>
        <w:rPr/>
        <w:t>a</w:t>
      </w:r>
      <w:r>
        <w:rPr>
          <w:spacing w:val="-4"/>
        </w:rPr>
        <w:t> </w:t>
      </w:r>
      <w:r>
        <w:rPr/>
        <w:t>greater</w:t>
      </w:r>
      <w:r>
        <w:rPr>
          <w:spacing w:val="-4"/>
        </w:rPr>
        <w:t> </w:t>
      </w:r>
      <w:r>
        <w:rPr/>
        <w:t>risk</w:t>
      </w:r>
      <w:r>
        <w:rPr>
          <w:spacing w:val="-4"/>
        </w:rPr>
        <w:t> </w:t>
      </w:r>
      <w:r>
        <w:rPr/>
        <w:t>associated</w:t>
      </w:r>
      <w:r>
        <w:rPr>
          <w:spacing w:val="-4"/>
        </w:rPr>
        <w:t> </w:t>
      </w:r>
      <w:r>
        <w:rPr/>
        <w:t>with estrogen-progestin compared with unopposed estrogen treatment.</w:t>
      </w:r>
      <w:r>
        <w:rPr>
          <w:vertAlign w:val="superscript"/>
        </w:rPr>
        <w:t>841-857</w:t>
      </w:r>
    </w:p>
    <w:p>
      <w:pPr>
        <w:spacing w:before="303"/>
        <w:ind w:left="99" w:right="0" w:firstLine="0"/>
        <w:jc w:val="both"/>
        <w:rPr>
          <w:rFonts w:ascii="Arial" w:hAnsi="Arial"/>
          <w:b/>
          <w:i/>
          <w:sz w:val="22"/>
        </w:rPr>
      </w:pPr>
      <w:r>
        <w:rPr>
          <w:rFonts w:ascii="Arial" w:hAnsi="Arial"/>
          <w:b/>
          <w:i/>
          <w:color w:val="A0234E"/>
          <w:sz w:val="22"/>
        </w:rPr>
        <w:t>A</w:t>
      </w:r>
      <w:r>
        <w:rPr>
          <w:rFonts w:ascii="Arial" w:hAnsi="Arial"/>
          <w:b/>
          <w:i/>
          <w:color w:val="A0234E"/>
          <w:spacing w:val="9"/>
          <w:sz w:val="22"/>
        </w:rPr>
        <w:t> </w:t>
      </w:r>
      <w:r>
        <w:rPr>
          <w:rFonts w:ascii="Arial" w:hAnsi="Arial"/>
          <w:b/>
          <w:i/>
          <w:color w:val="A0234E"/>
          <w:sz w:val="22"/>
        </w:rPr>
        <w:t>Reanalysis</w:t>
      </w:r>
      <w:r>
        <w:rPr>
          <w:rFonts w:ascii="Arial" w:hAnsi="Arial"/>
          <w:b/>
          <w:i/>
          <w:color w:val="A0234E"/>
          <w:spacing w:val="10"/>
          <w:sz w:val="22"/>
        </w:rPr>
        <w:t> </w:t>
      </w:r>
      <w:r>
        <w:rPr>
          <w:rFonts w:ascii="Arial" w:hAnsi="Arial"/>
          <w:b/>
          <w:i/>
          <w:color w:val="A0234E"/>
          <w:sz w:val="22"/>
        </w:rPr>
        <w:t>of</w:t>
      </w:r>
      <w:r>
        <w:rPr>
          <w:rFonts w:ascii="Arial" w:hAnsi="Arial"/>
          <w:b/>
          <w:i/>
          <w:color w:val="A0234E"/>
          <w:spacing w:val="9"/>
          <w:sz w:val="22"/>
        </w:rPr>
        <w:t> </w:t>
      </w:r>
      <w:r>
        <w:rPr>
          <w:rFonts w:ascii="Arial" w:hAnsi="Arial"/>
          <w:b/>
          <w:i/>
          <w:color w:val="A0234E"/>
          <w:sz w:val="22"/>
        </w:rPr>
        <w:t>the</w:t>
      </w:r>
      <w:r>
        <w:rPr>
          <w:rFonts w:ascii="Arial" w:hAnsi="Arial"/>
          <w:b/>
          <w:i/>
          <w:color w:val="A0234E"/>
          <w:spacing w:val="10"/>
          <w:sz w:val="22"/>
        </w:rPr>
        <w:t> </w:t>
      </w:r>
      <w:r>
        <w:rPr>
          <w:rFonts w:ascii="Arial" w:hAnsi="Arial"/>
          <w:b/>
          <w:i/>
          <w:color w:val="A0234E"/>
          <w:sz w:val="22"/>
        </w:rPr>
        <w:t>World’s</w:t>
      </w:r>
      <w:r>
        <w:rPr>
          <w:rFonts w:ascii="Arial" w:hAnsi="Arial"/>
          <w:b/>
          <w:i/>
          <w:color w:val="A0234E"/>
          <w:spacing w:val="10"/>
          <w:sz w:val="22"/>
        </w:rPr>
        <w:t> </w:t>
      </w:r>
      <w:r>
        <w:rPr>
          <w:rFonts w:ascii="Arial" w:hAnsi="Arial"/>
          <w:b/>
          <w:i/>
          <w:color w:val="A0234E"/>
          <w:spacing w:val="-2"/>
          <w:sz w:val="22"/>
        </w:rPr>
        <w:t>Literature</w:t>
      </w:r>
    </w:p>
    <w:p>
      <w:pPr>
        <w:pStyle w:val="BodyText"/>
        <w:spacing w:line="249" w:lineRule="auto" w:before="124"/>
        <w:ind w:right="100"/>
      </w:pPr>
      <w:r>
        <w:rPr/>
        <w:t>Prior to the publications from the WHI, the 1997 report of a reanalysis of the</w:t>
      </w:r>
      <w:r>
        <w:rPr>
          <w:spacing w:val="-3"/>
        </w:rPr>
        <w:t> </w:t>
      </w:r>
      <w:r>
        <w:rPr/>
        <w:t>world’s</w:t>
      </w:r>
      <w:r>
        <w:rPr>
          <w:spacing w:val="-3"/>
        </w:rPr>
        <w:t> </w:t>
      </w:r>
      <w:r>
        <w:rPr/>
        <w:t>literature</w:t>
      </w:r>
      <w:r>
        <w:rPr>
          <w:spacing w:val="-3"/>
        </w:rPr>
        <w:t> </w:t>
      </w:r>
      <w:r>
        <w:rPr/>
        <w:t>was</w:t>
      </w:r>
      <w:r>
        <w:rPr>
          <w:spacing w:val="-3"/>
        </w:rPr>
        <w:t> </w:t>
      </w:r>
      <w:r>
        <w:rPr/>
        <w:t>the</w:t>
      </w:r>
      <w:r>
        <w:rPr>
          <w:spacing w:val="-3"/>
        </w:rPr>
        <w:t> </w:t>
      </w:r>
      <w:r>
        <w:rPr/>
        <w:t>most</w:t>
      </w:r>
      <w:r>
        <w:rPr>
          <w:spacing w:val="-3"/>
        </w:rPr>
        <w:t> </w:t>
      </w:r>
      <w:r>
        <w:rPr/>
        <w:t>referenced</w:t>
      </w:r>
      <w:r>
        <w:rPr>
          <w:spacing w:val="-3"/>
        </w:rPr>
        <w:t> </w:t>
      </w:r>
      <w:r>
        <w:rPr/>
        <w:t>article</w:t>
      </w:r>
      <w:r>
        <w:rPr>
          <w:spacing w:val="-3"/>
        </w:rPr>
        <w:t> </w:t>
      </w:r>
      <w:r>
        <w:rPr/>
        <w:t>on</w:t>
      </w:r>
      <w:r>
        <w:rPr>
          <w:spacing w:val="-3"/>
        </w:rPr>
        <w:t> </w:t>
      </w:r>
      <w:r>
        <w:rPr/>
        <w:t>this</w:t>
      </w:r>
      <w:r>
        <w:rPr>
          <w:spacing w:val="-3"/>
        </w:rPr>
        <w:t> </w:t>
      </w:r>
      <w:r>
        <w:rPr/>
        <w:t>subject.</w:t>
      </w:r>
      <w:r>
        <w:rPr>
          <w:spacing w:val="-3"/>
        </w:rPr>
        <w:t> </w:t>
      </w:r>
      <w:r>
        <w:rPr/>
        <w:t>A</w:t>
      </w:r>
      <w:r>
        <w:rPr>
          <w:spacing w:val="-4"/>
        </w:rPr>
        <w:t> </w:t>
      </w:r>
      <w:r>
        <w:rPr/>
        <w:t>team of epidemiologists invited all investigators who had previously studied the association of postmenopausal hormone use and the risk of breast cancer (51 studies) to submit their original data for a collaborative </w:t>
      </w:r>
      <w:r>
        <w:rPr/>
        <w:t>combined reanalysis, an undertaking more rigorous than a standard meta-analysis. This analysis reached the following conclusions</w:t>
      </w:r>
      <w:r>
        <w:rPr>
          <w:vertAlign w:val="superscript"/>
        </w:rPr>
        <w:t>858</w:t>
      </w:r>
      <w:r>
        <w:rPr>
          <w:vertAlign w:val="baseline"/>
        </w:rPr>
        <w:t>:</w:t>
      </w:r>
    </w:p>
    <w:p>
      <w:pPr>
        <w:pStyle w:val="ListParagraph"/>
        <w:numPr>
          <w:ilvl w:val="0"/>
          <w:numId w:val="14"/>
        </w:numPr>
        <w:tabs>
          <w:tab w:pos="399" w:val="left" w:leader="none"/>
        </w:tabs>
        <w:spacing w:line="280" w:lineRule="auto" w:before="263" w:after="0"/>
        <w:ind w:left="399" w:right="107" w:hanging="280"/>
        <w:jc w:val="left"/>
        <w:rPr>
          <w:sz w:val="30"/>
        </w:rPr>
      </w:pPr>
      <w:r>
        <w:rPr>
          <w:sz w:val="30"/>
        </w:rPr>
        <w:t>Ever</w:t>
      </w:r>
      <w:r>
        <w:rPr>
          <w:spacing w:val="40"/>
          <w:sz w:val="30"/>
        </w:rPr>
        <w:t> </w:t>
      </w:r>
      <w:r>
        <w:rPr>
          <w:sz w:val="30"/>
        </w:rPr>
        <w:t>users</w:t>
      </w:r>
      <w:r>
        <w:rPr>
          <w:spacing w:val="40"/>
          <w:sz w:val="30"/>
        </w:rPr>
        <w:t> </w:t>
      </w:r>
      <w:r>
        <w:rPr>
          <w:sz w:val="30"/>
        </w:rPr>
        <w:t>of</w:t>
      </w:r>
      <w:r>
        <w:rPr>
          <w:spacing w:val="40"/>
          <w:sz w:val="30"/>
        </w:rPr>
        <w:t> </w:t>
      </w:r>
      <w:r>
        <w:rPr>
          <w:sz w:val="30"/>
        </w:rPr>
        <w:t>menopausal</w:t>
      </w:r>
      <w:r>
        <w:rPr>
          <w:spacing w:val="40"/>
          <w:sz w:val="30"/>
        </w:rPr>
        <w:t> </w:t>
      </w:r>
      <w:r>
        <w:rPr>
          <w:sz w:val="30"/>
        </w:rPr>
        <w:t>hormones</w:t>
      </w:r>
      <w:r>
        <w:rPr>
          <w:spacing w:val="40"/>
          <w:sz w:val="30"/>
        </w:rPr>
        <w:t> </w:t>
      </w:r>
      <w:r>
        <w:rPr>
          <w:sz w:val="30"/>
        </w:rPr>
        <w:t>had</w:t>
      </w:r>
      <w:r>
        <w:rPr>
          <w:spacing w:val="40"/>
          <w:sz w:val="30"/>
        </w:rPr>
        <w:t> </w:t>
      </w:r>
      <w:r>
        <w:rPr>
          <w:sz w:val="30"/>
        </w:rPr>
        <w:t>an</w:t>
      </w:r>
      <w:r>
        <w:rPr>
          <w:spacing w:val="40"/>
          <w:sz w:val="30"/>
        </w:rPr>
        <w:t> </w:t>
      </w:r>
      <w:r>
        <w:rPr>
          <w:sz w:val="30"/>
        </w:rPr>
        <w:t>overall</w:t>
      </w:r>
      <w:r>
        <w:rPr>
          <w:spacing w:val="40"/>
          <w:sz w:val="30"/>
        </w:rPr>
        <w:t> </w:t>
      </w:r>
      <w:r>
        <w:rPr>
          <w:sz w:val="30"/>
        </w:rPr>
        <w:t>increased</w:t>
      </w:r>
      <w:r>
        <w:rPr>
          <w:spacing w:val="40"/>
          <w:sz w:val="30"/>
        </w:rPr>
        <w:t> </w:t>
      </w:r>
      <w:r>
        <w:rPr>
          <w:sz w:val="30"/>
        </w:rPr>
        <w:t>RR</w:t>
      </w:r>
      <w:r>
        <w:rPr>
          <w:spacing w:val="40"/>
          <w:sz w:val="30"/>
        </w:rPr>
        <w:t> </w:t>
      </w:r>
      <w:r>
        <w:rPr>
          <w:sz w:val="30"/>
        </w:rPr>
        <w:t>of</w:t>
      </w:r>
      <w:r>
        <w:rPr>
          <w:spacing w:val="80"/>
          <w:sz w:val="30"/>
        </w:rPr>
        <w:t> </w:t>
      </w:r>
      <w:r>
        <w:rPr>
          <w:sz w:val="30"/>
        </w:rPr>
        <w:t>breast cancer of 1.14.</w:t>
      </w:r>
    </w:p>
    <w:p>
      <w:pPr>
        <w:pStyle w:val="ListParagraph"/>
        <w:numPr>
          <w:ilvl w:val="0"/>
          <w:numId w:val="14"/>
        </w:numPr>
        <w:tabs>
          <w:tab w:pos="399" w:val="left" w:leader="none"/>
        </w:tabs>
        <w:spacing w:line="280" w:lineRule="auto" w:before="3" w:after="0"/>
        <w:ind w:left="399" w:right="105" w:hanging="280"/>
        <w:jc w:val="left"/>
        <w:rPr>
          <w:sz w:val="30"/>
        </w:rPr>
      </w:pPr>
      <w:r>
        <w:rPr>
          <w:sz w:val="30"/>
        </w:rPr>
        <w:t>Current</w:t>
      </w:r>
      <w:r>
        <w:rPr>
          <w:spacing w:val="32"/>
          <w:sz w:val="30"/>
        </w:rPr>
        <w:t> </w:t>
      </w:r>
      <w:r>
        <w:rPr>
          <w:sz w:val="30"/>
        </w:rPr>
        <w:t>users</w:t>
      </w:r>
      <w:r>
        <w:rPr>
          <w:spacing w:val="32"/>
          <w:sz w:val="30"/>
        </w:rPr>
        <w:t> </w:t>
      </w:r>
      <w:r>
        <w:rPr>
          <w:sz w:val="30"/>
        </w:rPr>
        <w:t>for</w:t>
      </w:r>
      <w:r>
        <w:rPr>
          <w:spacing w:val="32"/>
          <w:sz w:val="30"/>
        </w:rPr>
        <w:t> </w:t>
      </w:r>
      <w:r>
        <w:rPr>
          <w:sz w:val="30"/>
        </w:rPr>
        <w:t>5</w:t>
      </w:r>
      <w:r>
        <w:rPr>
          <w:spacing w:val="32"/>
          <w:sz w:val="30"/>
        </w:rPr>
        <w:t> </w:t>
      </w:r>
      <w:r>
        <w:rPr>
          <w:sz w:val="30"/>
        </w:rPr>
        <w:t>years</w:t>
      </w:r>
      <w:r>
        <w:rPr>
          <w:spacing w:val="32"/>
          <w:sz w:val="30"/>
        </w:rPr>
        <w:t> </w:t>
      </w:r>
      <w:r>
        <w:rPr>
          <w:sz w:val="30"/>
        </w:rPr>
        <w:t>or</w:t>
      </w:r>
      <w:r>
        <w:rPr>
          <w:spacing w:val="32"/>
          <w:sz w:val="30"/>
        </w:rPr>
        <w:t> </w:t>
      </w:r>
      <w:r>
        <w:rPr>
          <w:sz w:val="30"/>
        </w:rPr>
        <w:t>more</w:t>
      </w:r>
      <w:r>
        <w:rPr>
          <w:spacing w:val="32"/>
          <w:sz w:val="30"/>
        </w:rPr>
        <w:t> </w:t>
      </w:r>
      <w:r>
        <w:rPr>
          <w:sz w:val="30"/>
        </w:rPr>
        <w:t>had</w:t>
      </w:r>
      <w:r>
        <w:rPr>
          <w:spacing w:val="32"/>
          <w:sz w:val="30"/>
        </w:rPr>
        <w:t> </w:t>
      </w:r>
      <w:r>
        <w:rPr>
          <w:sz w:val="30"/>
        </w:rPr>
        <w:t>an</w:t>
      </w:r>
      <w:r>
        <w:rPr>
          <w:spacing w:val="32"/>
          <w:sz w:val="30"/>
        </w:rPr>
        <w:t> </w:t>
      </w:r>
      <w:r>
        <w:rPr>
          <w:sz w:val="30"/>
        </w:rPr>
        <w:t>RR</w:t>
      </w:r>
      <w:r>
        <w:rPr>
          <w:spacing w:val="32"/>
          <w:sz w:val="30"/>
        </w:rPr>
        <w:t> </w:t>
      </w:r>
      <w:r>
        <w:rPr>
          <w:sz w:val="30"/>
        </w:rPr>
        <w:t>of</w:t>
      </w:r>
      <w:r>
        <w:rPr>
          <w:spacing w:val="32"/>
          <w:sz w:val="30"/>
        </w:rPr>
        <w:t> </w:t>
      </w:r>
      <w:r>
        <w:rPr>
          <w:sz w:val="30"/>
        </w:rPr>
        <w:t>1.35</w:t>
      </w:r>
      <w:r>
        <w:rPr>
          <w:spacing w:val="32"/>
          <w:sz w:val="30"/>
        </w:rPr>
        <w:t> </w:t>
      </w:r>
      <w:r>
        <w:rPr>
          <w:sz w:val="30"/>
        </w:rPr>
        <w:t>(CI</w:t>
      </w:r>
      <w:r>
        <w:rPr>
          <w:spacing w:val="32"/>
          <w:sz w:val="30"/>
        </w:rPr>
        <w:t> </w:t>
      </w:r>
      <w:r>
        <w:rPr>
          <w:sz w:val="30"/>
        </w:rPr>
        <w:t>=</w:t>
      </w:r>
      <w:r>
        <w:rPr>
          <w:spacing w:val="32"/>
          <w:sz w:val="30"/>
        </w:rPr>
        <w:t> </w:t>
      </w:r>
      <w:r>
        <w:rPr>
          <w:sz w:val="30"/>
        </w:rPr>
        <w:t>1.21-</w:t>
      </w:r>
      <w:r>
        <w:rPr>
          <w:sz w:val="30"/>
        </w:rPr>
        <w:t>1.49), and the risk increased with increasing duration of use.</w:t>
      </w:r>
    </w:p>
    <w:p>
      <w:pPr>
        <w:pStyle w:val="ListParagraph"/>
        <w:numPr>
          <w:ilvl w:val="0"/>
          <w:numId w:val="14"/>
        </w:numPr>
        <w:tabs>
          <w:tab w:pos="399" w:val="left" w:leader="none"/>
        </w:tabs>
        <w:spacing w:line="280" w:lineRule="auto" w:before="3" w:after="0"/>
        <w:ind w:left="399" w:right="101" w:hanging="280"/>
        <w:jc w:val="left"/>
        <w:rPr>
          <w:sz w:val="30"/>
        </w:rPr>
      </w:pPr>
      <w:r>
        <w:rPr>
          <w:sz w:val="30"/>
        </w:rPr>
        <w:t>Current and recent users had evidence of having only localized </w:t>
      </w:r>
      <w:r>
        <w:rPr>
          <w:sz w:val="30"/>
        </w:rPr>
        <w:t>disease</w:t>
      </w:r>
      <w:r>
        <w:rPr>
          <w:spacing w:val="80"/>
          <w:w w:val="150"/>
          <w:sz w:val="30"/>
        </w:rPr>
        <w:t> </w:t>
      </w:r>
      <w:r>
        <w:rPr>
          <w:sz w:val="30"/>
        </w:rPr>
        <w:t>(no metastatic disease), and ever users had less metastatic disease.</w:t>
      </w:r>
    </w:p>
    <w:p>
      <w:pPr>
        <w:pStyle w:val="ListParagraph"/>
        <w:numPr>
          <w:ilvl w:val="0"/>
          <w:numId w:val="14"/>
        </w:numPr>
        <w:tabs>
          <w:tab w:pos="398" w:val="left" w:leader="none"/>
        </w:tabs>
        <w:spacing w:line="240" w:lineRule="auto" w:before="3" w:after="0"/>
        <w:ind w:left="398" w:right="0" w:hanging="279"/>
        <w:jc w:val="left"/>
        <w:rPr>
          <w:sz w:val="30"/>
        </w:rPr>
      </w:pPr>
      <w:r>
        <w:rPr>
          <w:sz w:val="30"/>
        </w:rPr>
        <w:t>There</w:t>
      </w:r>
      <w:r>
        <w:rPr>
          <w:spacing w:val="-3"/>
          <w:sz w:val="30"/>
        </w:rPr>
        <w:t> </w:t>
      </w:r>
      <w:r>
        <w:rPr>
          <w:sz w:val="30"/>
        </w:rPr>
        <w:t>was</w:t>
      </w:r>
      <w:r>
        <w:rPr>
          <w:spacing w:val="-1"/>
          <w:sz w:val="30"/>
        </w:rPr>
        <w:t> </w:t>
      </w:r>
      <w:r>
        <w:rPr>
          <w:sz w:val="30"/>
        </w:rPr>
        <w:t>no effect</w:t>
      </w:r>
      <w:r>
        <w:rPr>
          <w:spacing w:val="-1"/>
          <w:sz w:val="30"/>
        </w:rPr>
        <w:t> </w:t>
      </w:r>
      <w:r>
        <w:rPr>
          <w:sz w:val="30"/>
        </w:rPr>
        <w:t>of a</w:t>
      </w:r>
      <w:r>
        <w:rPr>
          <w:spacing w:val="-1"/>
          <w:sz w:val="30"/>
        </w:rPr>
        <w:t> </w:t>
      </w:r>
      <w:r>
        <w:rPr>
          <w:sz w:val="30"/>
        </w:rPr>
        <w:t>family</w:t>
      </w:r>
      <w:r>
        <w:rPr>
          <w:spacing w:val="-1"/>
          <w:sz w:val="30"/>
        </w:rPr>
        <w:t> </w:t>
      </w:r>
      <w:r>
        <w:rPr>
          <w:sz w:val="30"/>
        </w:rPr>
        <w:t>history of</w:t>
      </w:r>
      <w:r>
        <w:rPr>
          <w:spacing w:val="-1"/>
          <w:sz w:val="30"/>
        </w:rPr>
        <w:t> </w:t>
      </w:r>
      <w:r>
        <w:rPr>
          <w:sz w:val="30"/>
        </w:rPr>
        <w:t>breast </w:t>
      </w:r>
      <w:r>
        <w:rPr>
          <w:spacing w:val="-2"/>
          <w:sz w:val="30"/>
        </w:rPr>
        <w:t>cancer.</w:t>
      </w:r>
    </w:p>
    <w:p>
      <w:pPr>
        <w:pStyle w:val="BodyText"/>
        <w:spacing w:line="249" w:lineRule="auto" w:before="270"/>
        <w:ind w:right="97" w:firstLine="450"/>
      </w:pPr>
      <w:r>
        <w:rPr/>
        <w:t>This was the first important indication that women with a </w:t>
      </w:r>
      <w:r>
        <w:rPr/>
        <w:t>positive family history of breast cancer do not have a further increase in risk with HT, a finding also reported in the WHI.</w:t>
      </w:r>
      <w:r>
        <w:rPr>
          <w:vertAlign w:val="superscript"/>
        </w:rPr>
        <w:t>859</w:t>
      </w:r>
      <w:r>
        <w:rPr>
          <w:vertAlign w:val="baseline"/>
        </w:rPr>
        <w:t> There were two other notable conclusions: All of the increase in risk was localized disease, and women who used HT and developed breast cancer had better survival rates than nonusers; these observations have been repeatedly confirmed.</w:t>
      </w:r>
    </w:p>
    <w:p>
      <w:pPr>
        <w:pStyle w:val="BodyText"/>
        <w:spacing w:after="0" w:line="249" w:lineRule="auto"/>
        <w:sectPr>
          <w:pgSz w:w="12240" w:h="15840"/>
          <w:pgMar w:top="1440" w:bottom="280" w:left="1440" w:right="1440"/>
        </w:sectPr>
      </w:pPr>
    </w:p>
    <w:p>
      <w:pPr>
        <w:spacing w:before="83"/>
        <w:ind w:left="99" w:right="0" w:firstLine="0"/>
        <w:jc w:val="both"/>
        <w:rPr>
          <w:rFonts w:ascii="Arial"/>
          <w:b/>
          <w:i/>
          <w:sz w:val="22"/>
        </w:rPr>
      </w:pPr>
      <w:r>
        <w:rPr>
          <w:rFonts w:ascii="Arial"/>
          <w:b/>
          <w:i/>
          <w:color w:val="A0234E"/>
          <w:sz w:val="22"/>
        </w:rPr>
        <w:t>The</w:t>
      </w:r>
      <w:r>
        <w:rPr>
          <w:rFonts w:ascii="Arial"/>
          <w:b/>
          <w:i/>
          <w:color w:val="A0234E"/>
          <w:spacing w:val="11"/>
          <w:sz w:val="22"/>
        </w:rPr>
        <w:t> </w:t>
      </w:r>
      <w:r>
        <w:rPr>
          <w:rFonts w:ascii="Arial"/>
          <w:b/>
          <w:i/>
          <w:color w:val="A0234E"/>
          <w:sz w:val="22"/>
        </w:rPr>
        <w:t>Million</w:t>
      </w:r>
      <w:r>
        <w:rPr>
          <w:rFonts w:ascii="Arial"/>
          <w:b/>
          <w:i/>
          <w:color w:val="A0234E"/>
          <w:spacing w:val="12"/>
          <w:sz w:val="22"/>
        </w:rPr>
        <w:t> </w:t>
      </w:r>
      <w:r>
        <w:rPr>
          <w:rFonts w:ascii="Arial"/>
          <w:b/>
          <w:i/>
          <w:color w:val="A0234E"/>
          <w:sz w:val="22"/>
        </w:rPr>
        <w:t>Women</w:t>
      </w:r>
      <w:r>
        <w:rPr>
          <w:rFonts w:ascii="Arial"/>
          <w:b/>
          <w:i/>
          <w:color w:val="A0234E"/>
          <w:spacing w:val="12"/>
          <w:sz w:val="22"/>
        </w:rPr>
        <w:t> </w:t>
      </w:r>
      <w:r>
        <w:rPr>
          <w:rFonts w:ascii="Arial"/>
          <w:b/>
          <w:i/>
          <w:color w:val="A0234E"/>
          <w:spacing w:val="-2"/>
          <w:sz w:val="22"/>
        </w:rPr>
        <w:t>Study</w:t>
      </w:r>
    </w:p>
    <w:p>
      <w:pPr>
        <w:pStyle w:val="BodyText"/>
        <w:spacing w:line="249" w:lineRule="auto" w:before="139"/>
        <w:ind w:right="98"/>
      </w:pPr>
      <w:r>
        <w:rPr/>
        <w:t>The Million Women Study recruited 1,084,110 women between 1996 and 2001 from those invited by the UK National Health Service Breast Screening Programme to have screening mammography every 3 years (about half had ever used postmenopausal HT).</w:t>
      </w:r>
      <w:r>
        <w:rPr>
          <w:vertAlign w:val="superscript"/>
        </w:rPr>
        <w:t>852</w:t>
      </w:r>
      <w:r>
        <w:rPr>
          <w:vertAlign w:val="baseline"/>
        </w:rPr>
        <w:t> The study data </w:t>
      </w:r>
      <w:r>
        <w:rPr>
          <w:vertAlign w:val="baseline"/>
        </w:rPr>
        <w:t>were recorded from questionnaires returned prior to the initial mammography, and</w:t>
      </w:r>
      <w:r>
        <w:rPr>
          <w:spacing w:val="-3"/>
          <w:vertAlign w:val="baseline"/>
        </w:rPr>
        <w:t> </w:t>
      </w:r>
      <w:r>
        <w:rPr>
          <w:vertAlign w:val="baseline"/>
        </w:rPr>
        <w:t>the</w:t>
      </w:r>
      <w:r>
        <w:rPr>
          <w:spacing w:val="-3"/>
          <w:vertAlign w:val="baseline"/>
        </w:rPr>
        <w:t> </w:t>
      </w:r>
      <w:r>
        <w:rPr>
          <w:vertAlign w:val="baseline"/>
        </w:rPr>
        <w:t>women</w:t>
      </w:r>
      <w:r>
        <w:rPr>
          <w:spacing w:val="-3"/>
          <w:vertAlign w:val="baseline"/>
        </w:rPr>
        <w:t> </w:t>
      </w:r>
      <w:r>
        <w:rPr>
          <w:vertAlign w:val="baseline"/>
        </w:rPr>
        <w:t>were</w:t>
      </w:r>
      <w:r>
        <w:rPr>
          <w:spacing w:val="-3"/>
          <w:vertAlign w:val="baseline"/>
        </w:rPr>
        <w:t> </w:t>
      </w:r>
      <w:r>
        <w:rPr>
          <w:vertAlign w:val="baseline"/>
        </w:rPr>
        <w:t>followed</w:t>
      </w:r>
      <w:r>
        <w:rPr>
          <w:spacing w:val="-3"/>
          <w:vertAlign w:val="baseline"/>
        </w:rPr>
        <w:t> </w:t>
      </w:r>
      <w:r>
        <w:rPr>
          <w:vertAlign w:val="baseline"/>
        </w:rPr>
        <w:t>to</w:t>
      </w:r>
      <w:r>
        <w:rPr>
          <w:spacing w:val="-3"/>
          <w:vertAlign w:val="baseline"/>
        </w:rPr>
        <w:t> </w:t>
      </w:r>
      <w:r>
        <w:rPr>
          <w:vertAlign w:val="baseline"/>
        </w:rPr>
        <w:t>determine</w:t>
      </w:r>
      <w:r>
        <w:rPr>
          <w:spacing w:val="-3"/>
          <w:vertAlign w:val="baseline"/>
        </w:rPr>
        <w:t> </w:t>
      </w:r>
      <w:r>
        <w:rPr>
          <w:vertAlign w:val="baseline"/>
        </w:rPr>
        <w:t>cancer</w:t>
      </w:r>
      <w:r>
        <w:rPr>
          <w:spacing w:val="-3"/>
          <w:vertAlign w:val="baseline"/>
        </w:rPr>
        <w:t> </w:t>
      </w:r>
      <w:r>
        <w:rPr>
          <w:vertAlign w:val="baseline"/>
        </w:rPr>
        <w:t>incidence</w:t>
      </w:r>
      <w:r>
        <w:rPr>
          <w:spacing w:val="-3"/>
          <w:vertAlign w:val="baseline"/>
        </w:rPr>
        <w:t> </w:t>
      </w:r>
      <w:r>
        <w:rPr>
          <w:vertAlign w:val="baseline"/>
        </w:rPr>
        <w:t>and</w:t>
      </w:r>
      <w:r>
        <w:rPr>
          <w:spacing w:val="-3"/>
          <w:vertAlign w:val="baseline"/>
        </w:rPr>
        <w:t> </w:t>
      </w:r>
      <w:r>
        <w:rPr>
          <w:vertAlign w:val="baseline"/>
        </w:rPr>
        <w:t>death.</w:t>
      </w:r>
      <w:r>
        <w:rPr>
          <w:spacing w:val="-3"/>
          <w:vertAlign w:val="baseline"/>
        </w:rPr>
        <w:t> </w:t>
      </w:r>
      <w:r>
        <w:rPr>
          <w:vertAlign w:val="baseline"/>
        </w:rPr>
        <w:t>The study is noteworthy for its large numbers and adjustments for the well-recognized factors associated with risk of breast cancer. No increase in the risk of breast cancer was measured in past users of any hormone preparation,</w:t>
      </w:r>
      <w:r>
        <w:rPr>
          <w:spacing w:val="-1"/>
          <w:vertAlign w:val="baseline"/>
        </w:rPr>
        <w:t> </w:t>
      </w:r>
      <w:r>
        <w:rPr>
          <w:vertAlign w:val="baseline"/>
        </w:rPr>
        <w:t>regardless</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length</w:t>
      </w:r>
      <w:r>
        <w:rPr>
          <w:spacing w:val="-1"/>
          <w:vertAlign w:val="baseline"/>
        </w:rPr>
        <w:t> </w:t>
      </w:r>
      <w:r>
        <w:rPr>
          <w:vertAlign w:val="baseline"/>
        </w:rPr>
        <w:t>of</w:t>
      </w:r>
      <w:r>
        <w:rPr>
          <w:spacing w:val="-1"/>
          <w:vertAlign w:val="baseline"/>
        </w:rPr>
        <w:t> </w:t>
      </w:r>
      <w:r>
        <w:rPr>
          <w:vertAlign w:val="baseline"/>
        </w:rPr>
        <w:t>time</w:t>
      </w:r>
      <w:r>
        <w:rPr>
          <w:spacing w:val="-1"/>
          <w:vertAlign w:val="baseline"/>
        </w:rPr>
        <w:t> </w:t>
      </w:r>
      <w:r>
        <w:rPr>
          <w:vertAlign w:val="baseline"/>
        </w:rPr>
        <w:t>since</w:t>
      </w:r>
      <w:r>
        <w:rPr>
          <w:spacing w:val="-1"/>
          <w:vertAlign w:val="baseline"/>
        </w:rPr>
        <w:t> </w:t>
      </w:r>
      <w:r>
        <w:rPr>
          <w:vertAlign w:val="baseline"/>
        </w:rPr>
        <w:t>discontinuation,</w:t>
      </w:r>
      <w:r>
        <w:rPr>
          <w:spacing w:val="-1"/>
          <w:vertAlign w:val="baseline"/>
        </w:rPr>
        <w:t> </w:t>
      </w:r>
      <w:r>
        <w:rPr>
          <w:vertAlign w:val="baseline"/>
        </w:rPr>
        <w:t>from</w:t>
      </w:r>
      <w:r>
        <w:rPr>
          <w:spacing w:val="-1"/>
          <w:vertAlign w:val="baseline"/>
        </w:rPr>
        <w:t> </w:t>
      </w:r>
      <w:r>
        <w:rPr>
          <w:vertAlign w:val="baseline"/>
        </w:rPr>
        <w:t>less than</w:t>
      </w:r>
      <w:r>
        <w:rPr>
          <w:spacing w:val="-1"/>
          <w:vertAlign w:val="baseline"/>
        </w:rPr>
        <w:t> </w:t>
      </w:r>
      <w:r>
        <w:rPr>
          <w:vertAlign w:val="baseline"/>
        </w:rPr>
        <w:t>5</w:t>
      </w:r>
      <w:r>
        <w:rPr>
          <w:spacing w:val="-1"/>
          <w:vertAlign w:val="baseline"/>
        </w:rPr>
        <w:t> </w:t>
      </w:r>
      <w:r>
        <w:rPr>
          <w:vertAlign w:val="baseline"/>
        </w:rPr>
        <w:t>to</w:t>
      </w:r>
      <w:r>
        <w:rPr>
          <w:spacing w:val="-1"/>
          <w:vertAlign w:val="baseline"/>
        </w:rPr>
        <w:t> </w:t>
      </w:r>
      <w:r>
        <w:rPr>
          <w:vertAlign w:val="baseline"/>
        </w:rPr>
        <w:t>10</w:t>
      </w:r>
      <w:r>
        <w:rPr>
          <w:spacing w:val="-1"/>
          <w:vertAlign w:val="baseline"/>
        </w:rPr>
        <w:t> </w:t>
      </w:r>
      <w:r>
        <w:rPr>
          <w:vertAlign w:val="baseline"/>
        </w:rPr>
        <w:t>years</w:t>
      </w:r>
      <w:r>
        <w:rPr>
          <w:spacing w:val="-1"/>
          <w:vertAlign w:val="baseline"/>
        </w:rPr>
        <w:t> </w:t>
      </w:r>
      <w:r>
        <w:rPr>
          <w:vertAlign w:val="baseline"/>
        </w:rPr>
        <w:t>or</w:t>
      </w:r>
      <w:r>
        <w:rPr>
          <w:spacing w:val="-1"/>
          <w:vertAlign w:val="baseline"/>
        </w:rPr>
        <w:t> </w:t>
      </w:r>
      <w:r>
        <w:rPr>
          <w:vertAlign w:val="baseline"/>
        </w:rPr>
        <w:t>more</w:t>
      </w:r>
      <w:r>
        <w:rPr>
          <w:spacing w:val="-1"/>
          <w:vertAlign w:val="baseline"/>
        </w:rPr>
        <w:t> </w:t>
      </w:r>
      <w:r>
        <w:rPr>
          <w:vertAlign w:val="baseline"/>
        </w:rPr>
        <w:t>(with</w:t>
      </w:r>
      <w:r>
        <w:rPr>
          <w:spacing w:val="-1"/>
          <w:vertAlign w:val="baseline"/>
        </w:rPr>
        <w:t> </w:t>
      </w:r>
      <w:r>
        <w:rPr>
          <w:vertAlign w:val="baseline"/>
        </w:rPr>
        <w:t>the</w:t>
      </w:r>
      <w:r>
        <w:rPr>
          <w:spacing w:val="-1"/>
          <w:vertAlign w:val="baseline"/>
        </w:rPr>
        <w:t> </w:t>
      </w:r>
      <w:r>
        <w:rPr>
          <w:vertAlign w:val="baseline"/>
        </w:rPr>
        <w:t>exception</w:t>
      </w:r>
      <w:r>
        <w:rPr>
          <w:spacing w:val="-1"/>
          <w:vertAlign w:val="baseline"/>
        </w:rPr>
        <w:t> </w:t>
      </w:r>
      <w:r>
        <w:rPr>
          <w:vertAlign w:val="baseline"/>
        </w:rPr>
        <w:t>of</w:t>
      </w:r>
      <w:r>
        <w:rPr>
          <w:spacing w:val="-1"/>
          <w:vertAlign w:val="baseline"/>
        </w:rPr>
        <w:t> </w:t>
      </w:r>
      <w:r>
        <w:rPr>
          <w:vertAlign w:val="baseline"/>
        </w:rPr>
        <w:t>discontinuation</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year previous to diagnosis), and regardless of the duration of use. Based on an average follow-up of 2.6 years (a very short exposure; indeed, the breast cancers were diagnosed on an average of 1.2 years after the study began), the RR for invasive breast cancer in current users of estrogen only was 1.30 (CI = 1.22-1.38) and for current users of estrogen-progestin was 2.00 (CI = </w:t>
      </w:r>
      <w:r>
        <w:rPr>
          <w:spacing w:val="-2"/>
          <w:vertAlign w:val="baseline"/>
        </w:rPr>
        <w:t>1.91-2.09).</w:t>
      </w:r>
    </w:p>
    <w:p>
      <w:pPr>
        <w:pStyle w:val="BodyText"/>
        <w:spacing w:line="249" w:lineRule="auto" w:before="21"/>
        <w:ind w:right="98" w:firstLine="450"/>
      </w:pPr>
      <w:r>
        <w:rPr/>
        <w:t>There are many criticisms of the Million Women Study. For example, the study reported a lower risk of breast cancer for perimenopausal and postmenopausal women compared with premenopausal women despite the well-established fact that breast cancer risk increases with aging. There were many differences comparing users and nonusers, requiring multiple adjustments. Hormone use or nonuse was established at entry and not changed during follow-up despite multiple crossovers in treatment among the women. Validation of the questionnaire data was claimed based </w:t>
      </w:r>
      <w:r>
        <w:rPr/>
        <w:t>on information obtained from only 570 women. Breast cancer mortality was assessed after an average of 4.1 years of follow-up, based on a total of 517 deaths; however, breast cancer was diagnosed very rapidly (an average of 1.2 years), and deaths occurred swiftly (within an average of 1.7 years). Current users and past users were compared with the never users, and, although the risk of mortality was increased, it did not reach statistical significance (1.22; CI = 1.00-1.48). This finding was highlighted because it differed with a consistent story reported in the literature over a decade that hormone</w:t>
      </w:r>
      <w:r>
        <w:rPr>
          <w:spacing w:val="79"/>
          <w:w w:val="150"/>
        </w:rPr>
        <w:t> </w:t>
      </w:r>
      <w:r>
        <w:rPr/>
        <w:t>users</w:t>
      </w:r>
      <w:r>
        <w:rPr>
          <w:spacing w:val="21"/>
        </w:rPr>
        <w:t>  </w:t>
      </w:r>
      <w:r>
        <w:rPr/>
        <w:t>had</w:t>
      </w:r>
      <w:r>
        <w:rPr>
          <w:spacing w:val="21"/>
        </w:rPr>
        <w:t>  </w:t>
      </w:r>
      <w:r>
        <w:rPr/>
        <w:t>better</w:t>
      </w:r>
      <w:r>
        <w:rPr>
          <w:spacing w:val="21"/>
        </w:rPr>
        <w:t>  </w:t>
      </w:r>
      <w:r>
        <w:rPr/>
        <w:t>survival</w:t>
      </w:r>
      <w:r>
        <w:rPr>
          <w:spacing w:val="21"/>
        </w:rPr>
        <w:t>  </w:t>
      </w:r>
      <w:r>
        <w:rPr/>
        <w:t>rates.</w:t>
      </w:r>
      <w:r>
        <w:rPr>
          <w:spacing w:val="21"/>
        </w:rPr>
        <w:t>  </w:t>
      </w:r>
      <w:r>
        <w:rPr/>
        <w:t>The</w:t>
      </w:r>
      <w:r>
        <w:rPr>
          <w:spacing w:val="21"/>
        </w:rPr>
        <w:t>  </w:t>
      </w:r>
      <w:r>
        <w:rPr/>
        <w:t>Million</w:t>
      </w:r>
      <w:r>
        <w:rPr>
          <w:spacing w:val="21"/>
        </w:rPr>
        <w:t>  </w:t>
      </w:r>
      <w:r>
        <w:rPr/>
        <w:t>Women</w:t>
      </w:r>
      <w:r>
        <w:rPr>
          <w:spacing w:val="21"/>
        </w:rPr>
        <w:t>  </w:t>
      </w:r>
      <w:r>
        <w:rPr>
          <w:spacing w:val="-2"/>
        </w:rPr>
        <w:t>Study</w:t>
      </w:r>
    </w:p>
    <w:p>
      <w:pPr>
        <w:pStyle w:val="BodyText"/>
        <w:spacing w:after="0" w:line="249" w:lineRule="auto"/>
        <w:sectPr>
          <w:pgSz w:w="12240" w:h="15840"/>
          <w:pgMar w:top="1360" w:bottom="280" w:left="1440" w:right="1440"/>
        </w:sectPr>
      </w:pPr>
    </w:p>
    <w:p>
      <w:pPr>
        <w:pStyle w:val="BodyText"/>
        <w:spacing w:line="249" w:lineRule="auto"/>
        <w:ind w:right="104"/>
        <w:rPr>
          <w:b/>
        </w:rPr>
      </w:pPr>
      <w:r>
        <w:rPr/>
        <w:t>calculated their risk of mortality by dividing deaths from breast cancer by the total number of users or nonusers. When the data are </w:t>
      </w:r>
      <w:r>
        <w:rPr/>
        <w:t>recalculated appropriately by dividing deaths from breast cancer by the total number of cases of breast cancer in the user and nonuser groups, the results agree with the literature—</w:t>
      </w:r>
      <w:r>
        <w:rPr>
          <w:b/>
        </w:rPr>
        <w:t>the risk of mortality was reduced about 27% in the hormone users.</w:t>
      </w:r>
    </w:p>
    <w:p>
      <w:pPr>
        <w:spacing w:before="306"/>
        <w:ind w:left="99" w:right="0" w:firstLine="0"/>
        <w:jc w:val="both"/>
        <w:rPr>
          <w:rFonts w:ascii="Arial"/>
          <w:b/>
          <w:i/>
          <w:sz w:val="22"/>
        </w:rPr>
      </w:pPr>
      <w:r>
        <w:rPr>
          <w:rFonts w:ascii="Arial"/>
          <w:b/>
          <w:i/>
          <w:color w:val="A0234E"/>
          <w:sz w:val="22"/>
        </w:rPr>
        <w:t>The</w:t>
      </w:r>
      <w:r>
        <w:rPr>
          <w:rFonts w:ascii="Arial"/>
          <w:b/>
          <w:i/>
          <w:color w:val="A0234E"/>
          <w:spacing w:val="12"/>
          <w:sz w:val="22"/>
        </w:rPr>
        <w:t> </w:t>
      </w:r>
      <w:r>
        <w:rPr>
          <w:rFonts w:ascii="Arial"/>
          <w:b/>
          <w:i/>
          <w:color w:val="A0234E"/>
          <w:sz w:val="22"/>
        </w:rPr>
        <w:t>Danish</w:t>
      </w:r>
      <w:r>
        <w:rPr>
          <w:rFonts w:ascii="Arial"/>
          <w:b/>
          <w:i/>
          <w:color w:val="A0234E"/>
          <w:spacing w:val="13"/>
          <w:sz w:val="22"/>
        </w:rPr>
        <w:t> </w:t>
      </w:r>
      <w:r>
        <w:rPr>
          <w:rFonts w:ascii="Arial"/>
          <w:b/>
          <w:i/>
          <w:color w:val="A0234E"/>
          <w:sz w:val="22"/>
        </w:rPr>
        <w:t>Nurse</w:t>
      </w:r>
      <w:r>
        <w:rPr>
          <w:rFonts w:ascii="Arial"/>
          <w:b/>
          <w:i/>
          <w:color w:val="A0234E"/>
          <w:spacing w:val="12"/>
          <w:sz w:val="22"/>
        </w:rPr>
        <w:t> </w:t>
      </w:r>
      <w:r>
        <w:rPr>
          <w:rFonts w:ascii="Arial"/>
          <w:b/>
          <w:i/>
          <w:color w:val="A0234E"/>
          <w:spacing w:val="-2"/>
          <w:sz w:val="22"/>
        </w:rPr>
        <w:t>Cohort</w:t>
      </w:r>
    </w:p>
    <w:p>
      <w:pPr>
        <w:pStyle w:val="BodyText"/>
        <w:spacing w:line="249" w:lineRule="auto" w:before="123"/>
        <w:ind w:right="99"/>
      </w:pPr>
      <w:r>
        <w:rPr/>
        <w:t>The Danish Nurse Cohort of 10,874 women was established in 1993.</w:t>
      </w:r>
      <w:r>
        <w:rPr>
          <w:vertAlign w:val="superscript"/>
        </w:rPr>
        <w:t>860</w:t>
      </w:r>
      <w:r>
        <w:rPr>
          <w:spacing w:val="-5"/>
          <w:vertAlign w:val="baseline"/>
        </w:rPr>
        <w:t> </w:t>
      </w:r>
      <w:r>
        <w:rPr>
          <w:vertAlign w:val="baseline"/>
        </w:rPr>
        <w:t>The results reflected a variety of hormone products and regimens, and </w:t>
      </w:r>
      <w:r>
        <w:rPr>
          <w:vertAlign w:val="baseline"/>
        </w:rPr>
        <w:t>an increased HR for breast cancer was associated with HT (HR = 2.42; CI = 1.81-3.26), with a 2-fold increase in breast cancer mortality. Stated simply, hormone users had a greater mortality rate from breast cancer because they had</w:t>
      </w:r>
      <w:r>
        <w:rPr>
          <w:spacing w:val="-2"/>
          <w:vertAlign w:val="baseline"/>
        </w:rPr>
        <w:t> </w:t>
      </w:r>
      <w:r>
        <w:rPr>
          <w:vertAlign w:val="baseline"/>
        </w:rPr>
        <w:t>more</w:t>
      </w:r>
      <w:r>
        <w:rPr>
          <w:spacing w:val="-2"/>
          <w:vertAlign w:val="baseline"/>
        </w:rPr>
        <w:t> </w:t>
      </w:r>
      <w:r>
        <w:rPr>
          <w:vertAlign w:val="baseline"/>
        </w:rPr>
        <w:t>breast</w:t>
      </w:r>
      <w:r>
        <w:rPr>
          <w:spacing w:val="-2"/>
          <w:vertAlign w:val="baseline"/>
        </w:rPr>
        <w:t> </w:t>
      </w:r>
      <w:r>
        <w:rPr>
          <w:vertAlign w:val="baseline"/>
        </w:rPr>
        <w:t>cancers.</w:t>
      </w:r>
      <w:r>
        <w:rPr>
          <w:spacing w:val="-3"/>
          <w:vertAlign w:val="baseline"/>
        </w:rPr>
        <w:t> </w:t>
      </w:r>
      <w:r>
        <w:rPr>
          <w:vertAlign w:val="baseline"/>
        </w:rPr>
        <w:t>Even</w:t>
      </w:r>
      <w:r>
        <w:rPr>
          <w:spacing w:val="-1"/>
          <w:vertAlign w:val="baseline"/>
        </w:rPr>
        <w:t> </w:t>
      </w:r>
      <w:r>
        <w:rPr>
          <w:vertAlign w:val="baseline"/>
        </w:rPr>
        <w:t>though</w:t>
      </w:r>
      <w:r>
        <w:rPr>
          <w:spacing w:val="-1"/>
          <w:vertAlign w:val="baseline"/>
        </w:rPr>
        <w:t> </w:t>
      </w:r>
      <w:r>
        <w:rPr>
          <w:vertAlign w:val="baseline"/>
        </w:rPr>
        <w:t>the</w:t>
      </w:r>
      <w:r>
        <w:rPr>
          <w:spacing w:val="-1"/>
          <w:vertAlign w:val="baseline"/>
        </w:rPr>
        <w:t> </w:t>
      </w:r>
      <w:r>
        <w:rPr>
          <w:vertAlign w:val="baseline"/>
        </w:rPr>
        <w:t>case</w:t>
      </w:r>
      <w:r>
        <w:rPr>
          <w:spacing w:val="-1"/>
          <w:vertAlign w:val="baseline"/>
        </w:rPr>
        <w:t> </w:t>
      </w:r>
      <w:r>
        <w:rPr>
          <w:vertAlign w:val="baseline"/>
        </w:rPr>
        <w:t>fatality</w:t>
      </w:r>
      <w:r>
        <w:rPr>
          <w:spacing w:val="-1"/>
          <w:vertAlign w:val="baseline"/>
        </w:rPr>
        <w:t> </w:t>
      </w:r>
      <w:r>
        <w:rPr>
          <w:vertAlign w:val="baseline"/>
        </w:rPr>
        <w:t>rate</w:t>
      </w:r>
      <w:r>
        <w:rPr>
          <w:spacing w:val="-1"/>
          <w:vertAlign w:val="baseline"/>
        </w:rPr>
        <w:t> </w:t>
      </w:r>
      <w:r>
        <w:rPr>
          <w:vertAlign w:val="baseline"/>
        </w:rPr>
        <w:t>was</w:t>
      </w:r>
      <w:r>
        <w:rPr>
          <w:spacing w:val="-1"/>
          <w:vertAlign w:val="baseline"/>
        </w:rPr>
        <w:t> </w:t>
      </w:r>
      <w:r>
        <w:rPr>
          <w:vertAlign w:val="baseline"/>
        </w:rPr>
        <w:t>better</w:t>
      </w:r>
      <w:r>
        <w:rPr>
          <w:spacing w:val="-1"/>
          <w:vertAlign w:val="baseline"/>
        </w:rPr>
        <w:t> </w:t>
      </w:r>
      <w:r>
        <w:rPr>
          <w:vertAlign w:val="baseline"/>
        </w:rPr>
        <w:t>(more favorable prognosis), the increased incidence produced a net effect of an increase in mortality.</w:t>
      </w:r>
    </w:p>
    <w:p>
      <w:pPr>
        <w:pStyle w:val="BodyText"/>
        <w:spacing w:line="249" w:lineRule="auto" w:before="10"/>
        <w:ind w:right="97" w:firstLine="450"/>
      </w:pPr>
      <w:r>
        <w:rPr/>
        <w:t>Danish case-control and cohort studies are noted for their ability to accurately obtain information from the national registries. Nevertheless, there were important limitations to this study. The most glaring problem was that not all causes of death could be verified and a death in a </w:t>
      </w:r>
      <w:r>
        <w:rPr/>
        <w:t>woman with a diagnosis of breast cancer was assumed to be a breast cancer death. The authors state that this problem would be balanced by similar numbers</w:t>
      </w:r>
      <w:r>
        <w:rPr>
          <w:spacing w:val="40"/>
        </w:rPr>
        <w:t> </w:t>
      </w:r>
      <w:r>
        <w:rPr/>
        <w:t>in the user and nonuser groups, but this is an assumption. In this population of older women, one would expect deaths from other causes to outnumber deaths from breast cancer. This single assumption by the epidemiologists could have skewed the results.</w:t>
      </w:r>
    </w:p>
    <w:p>
      <w:pPr>
        <w:pStyle w:val="BodyText"/>
        <w:spacing w:line="249" w:lineRule="auto" w:before="12"/>
        <w:ind w:right="101" w:firstLine="450"/>
      </w:pPr>
      <w:r>
        <w:rPr/>
        <w:t>In addition, the case fatality and breast cancer mortality </w:t>
      </w:r>
      <w:r>
        <w:rPr/>
        <w:t>calculations were adjusted only for age. The authors stated that a relatively small</w:t>
      </w:r>
      <w:r>
        <w:rPr>
          <w:spacing w:val="40"/>
        </w:rPr>
        <w:t> </w:t>
      </w:r>
      <w:r>
        <w:rPr/>
        <w:t>number of deaths precluded multiple adjusting. However,</w:t>
      </w:r>
      <w:r>
        <w:rPr>
          <w:spacing w:val="-1"/>
        </w:rPr>
        <w:t> </w:t>
      </w:r>
      <w:r>
        <w:rPr/>
        <w:t>there</w:t>
      </w:r>
      <w:r>
        <w:rPr>
          <w:spacing w:val="-1"/>
        </w:rPr>
        <w:t> </w:t>
      </w:r>
      <w:r>
        <w:rPr/>
        <w:t>are</w:t>
      </w:r>
      <w:r>
        <w:rPr>
          <w:spacing w:val="-1"/>
        </w:rPr>
        <w:t> </w:t>
      </w:r>
      <w:r>
        <w:rPr/>
        <w:t>so</w:t>
      </w:r>
      <w:r>
        <w:rPr>
          <w:spacing w:val="-1"/>
        </w:rPr>
        <w:t> </w:t>
      </w:r>
      <w:r>
        <w:rPr/>
        <w:t>many factors that influence the risk of breast cancer, including age of menarche, age at menopause, age at first full-term pregnancy, parity and age at diagnosis, use of mammography, presence of benign breast disease (specifically with atypical hyperplasia), body size, and alcohol intake How can we know that the results did not reflect an imbalance in some of these </w:t>
      </w:r>
      <w:r>
        <w:rPr>
          <w:spacing w:val="-2"/>
        </w:rPr>
        <w:t>factors?</w:t>
      </w:r>
    </w:p>
    <w:p>
      <w:pPr>
        <w:pStyle w:val="BodyText"/>
        <w:spacing w:after="0" w:line="249" w:lineRule="auto"/>
        <w:sectPr>
          <w:pgSz w:w="12240" w:h="15840"/>
          <w:pgMar w:top="1380" w:bottom="280" w:left="1440" w:right="1440"/>
        </w:sectPr>
      </w:pPr>
    </w:p>
    <w:p>
      <w:pPr>
        <w:spacing w:before="83"/>
        <w:ind w:left="99" w:right="0" w:firstLine="0"/>
        <w:jc w:val="both"/>
        <w:rPr>
          <w:rFonts w:ascii="Arial"/>
          <w:b/>
          <w:i/>
          <w:sz w:val="22"/>
        </w:rPr>
      </w:pPr>
      <w:r>
        <w:rPr>
          <w:rFonts w:ascii="Arial"/>
          <w:b/>
          <w:i/>
          <w:color w:val="A0234E"/>
          <w:sz w:val="22"/>
        </w:rPr>
        <w:t>Hormone</w:t>
      </w:r>
      <w:r>
        <w:rPr>
          <w:rFonts w:ascii="Arial"/>
          <w:b/>
          <w:i/>
          <w:color w:val="A0234E"/>
          <w:spacing w:val="15"/>
          <w:sz w:val="22"/>
        </w:rPr>
        <w:t> </w:t>
      </w:r>
      <w:r>
        <w:rPr>
          <w:rFonts w:ascii="Arial"/>
          <w:b/>
          <w:i/>
          <w:color w:val="A0234E"/>
          <w:sz w:val="22"/>
        </w:rPr>
        <w:t>Therapy</w:t>
      </w:r>
      <w:r>
        <w:rPr>
          <w:rFonts w:ascii="Arial"/>
          <w:b/>
          <w:i/>
          <w:color w:val="A0234E"/>
          <w:spacing w:val="16"/>
          <w:sz w:val="22"/>
        </w:rPr>
        <w:t> </w:t>
      </w:r>
      <w:r>
        <w:rPr>
          <w:rFonts w:ascii="Arial"/>
          <w:b/>
          <w:i/>
          <w:color w:val="A0234E"/>
          <w:sz w:val="22"/>
        </w:rPr>
        <w:t>and</w:t>
      </w:r>
      <w:r>
        <w:rPr>
          <w:rFonts w:ascii="Arial"/>
          <w:b/>
          <w:i/>
          <w:color w:val="A0234E"/>
          <w:spacing w:val="16"/>
          <w:sz w:val="22"/>
        </w:rPr>
        <w:t> </w:t>
      </w:r>
      <w:r>
        <w:rPr>
          <w:rFonts w:ascii="Arial"/>
          <w:b/>
          <w:i/>
          <w:color w:val="A0234E"/>
          <w:sz w:val="22"/>
        </w:rPr>
        <w:t>Lobular</w:t>
      </w:r>
      <w:r>
        <w:rPr>
          <w:rFonts w:ascii="Arial"/>
          <w:b/>
          <w:i/>
          <w:color w:val="A0234E"/>
          <w:spacing w:val="16"/>
          <w:sz w:val="22"/>
        </w:rPr>
        <w:t> </w:t>
      </w:r>
      <w:r>
        <w:rPr>
          <w:rFonts w:ascii="Arial"/>
          <w:b/>
          <w:i/>
          <w:color w:val="A0234E"/>
          <w:sz w:val="22"/>
        </w:rPr>
        <w:t>Breast</w:t>
      </w:r>
      <w:r>
        <w:rPr>
          <w:rFonts w:ascii="Arial"/>
          <w:b/>
          <w:i/>
          <w:color w:val="A0234E"/>
          <w:spacing w:val="16"/>
          <w:sz w:val="22"/>
        </w:rPr>
        <w:t> </w:t>
      </w:r>
      <w:r>
        <w:rPr>
          <w:rFonts w:ascii="Arial"/>
          <w:b/>
          <w:i/>
          <w:color w:val="A0234E"/>
          <w:spacing w:val="-2"/>
          <w:sz w:val="22"/>
        </w:rPr>
        <w:t>Cancer</w:t>
      </w:r>
    </w:p>
    <w:p>
      <w:pPr>
        <w:pStyle w:val="BodyText"/>
        <w:spacing w:line="249" w:lineRule="auto" w:before="139"/>
        <w:ind w:right="98"/>
      </w:pPr>
      <w:r>
        <w:rPr/>
        <w:t>A population-based, case-control study adds to the previous reports </w:t>
      </w:r>
      <w:r>
        <w:rPr/>
        <w:t>from this Seattle group of epidemiologists focusing on the relationship between postmenopausal</w:t>
      </w:r>
      <w:r>
        <w:rPr>
          <w:spacing w:val="-5"/>
        </w:rPr>
        <w:t> </w:t>
      </w:r>
      <w:r>
        <w:rPr/>
        <w:t>HT</w:t>
      </w:r>
      <w:r>
        <w:rPr>
          <w:spacing w:val="-5"/>
        </w:rPr>
        <w:t> </w:t>
      </w:r>
      <w:r>
        <w:rPr/>
        <w:t>and</w:t>
      </w:r>
      <w:r>
        <w:rPr>
          <w:spacing w:val="-5"/>
        </w:rPr>
        <w:t> </w:t>
      </w:r>
      <w:r>
        <w:rPr/>
        <w:t>the</w:t>
      </w:r>
      <w:r>
        <w:rPr>
          <w:spacing w:val="-5"/>
        </w:rPr>
        <w:t> </w:t>
      </w:r>
      <w:r>
        <w:rPr/>
        <w:t>histologic</w:t>
      </w:r>
      <w:r>
        <w:rPr>
          <w:spacing w:val="-5"/>
        </w:rPr>
        <w:t> </w:t>
      </w:r>
      <w:r>
        <w:rPr/>
        <w:t>subtype</w:t>
      </w:r>
      <w:r>
        <w:rPr>
          <w:spacing w:val="-5"/>
        </w:rPr>
        <w:t> </w:t>
      </w:r>
      <w:r>
        <w:rPr/>
        <w:t>of</w:t>
      </w:r>
      <w:r>
        <w:rPr>
          <w:spacing w:val="-5"/>
        </w:rPr>
        <w:t> </w:t>
      </w:r>
      <w:r>
        <w:rPr/>
        <w:t>breast</w:t>
      </w:r>
      <w:r>
        <w:rPr>
          <w:spacing w:val="-5"/>
        </w:rPr>
        <w:t> </w:t>
      </w:r>
      <w:r>
        <w:rPr/>
        <w:t>cancer.</w:t>
      </w:r>
      <w:r>
        <w:rPr>
          <w:vertAlign w:val="superscript"/>
        </w:rPr>
        <w:t>861</w:t>
      </w:r>
      <w:r>
        <w:rPr>
          <w:spacing w:val="-7"/>
          <w:vertAlign w:val="baseline"/>
        </w:rPr>
        <w:t> </w:t>
      </w:r>
      <w:r>
        <w:rPr>
          <w:vertAlign w:val="baseline"/>
        </w:rPr>
        <w:t>The</w:t>
      </w:r>
      <w:r>
        <w:rPr>
          <w:spacing w:val="-6"/>
          <w:vertAlign w:val="baseline"/>
        </w:rPr>
        <w:t> </w:t>
      </w:r>
      <w:r>
        <w:rPr>
          <w:vertAlign w:val="baseline"/>
        </w:rPr>
        <w:t>main conclusions are an increased risk of tumors of the lobular type or with a lobular component and an increase in the OR that appeared with 3 or more years of use with combined estrogen-progestin therapy. Similar results</w:t>
      </w:r>
      <w:r>
        <w:rPr>
          <w:spacing w:val="80"/>
          <w:vertAlign w:val="baseline"/>
        </w:rPr>
        <w:t> </w:t>
      </w:r>
      <w:r>
        <w:rPr>
          <w:vertAlign w:val="baseline"/>
        </w:rPr>
        <w:t>were reported in Swedish and German case-control studies.</w:t>
      </w:r>
      <w:r>
        <w:rPr>
          <w:vertAlign w:val="superscript"/>
        </w:rPr>
        <w:t>855,862</w:t>
      </w:r>
    </w:p>
    <w:p>
      <w:pPr>
        <w:pStyle w:val="BodyText"/>
        <w:spacing w:line="249" w:lineRule="auto" w:before="8"/>
        <w:ind w:right="102" w:firstLine="450"/>
      </w:pPr>
      <w:r>
        <w:rPr/>
        <w:t>It</w:t>
      </w:r>
      <w:r>
        <w:rPr>
          <w:spacing w:val="-2"/>
        </w:rPr>
        <w:t> </w:t>
      </w:r>
      <w:r>
        <w:rPr/>
        <w:t>is</w:t>
      </w:r>
      <w:r>
        <w:rPr>
          <w:spacing w:val="-2"/>
        </w:rPr>
        <w:t> </w:t>
      </w:r>
      <w:r>
        <w:rPr/>
        <w:t>a</w:t>
      </w:r>
      <w:r>
        <w:rPr>
          <w:spacing w:val="-2"/>
        </w:rPr>
        <w:t> </w:t>
      </w:r>
      <w:r>
        <w:rPr/>
        <w:t>logical</w:t>
      </w:r>
      <w:r>
        <w:rPr>
          <w:spacing w:val="-2"/>
        </w:rPr>
        <w:t> </w:t>
      </w:r>
      <w:r>
        <w:rPr/>
        <w:t>conclusion</w:t>
      </w:r>
      <w:r>
        <w:rPr>
          <w:spacing w:val="-2"/>
        </w:rPr>
        <w:t> </w:t>
      </w:r>
      <w:r>
        <w:rPr/>
        <w:t>that</w:t>
      </w:r>
      <w:r>
        <w:rPr>
          <w:spacing w:val="-2"/>
        </w:rPr>
        <w:t> </w:t>
      </w:r>
      <w:r>
        <w:rPr/>
        <w:t>the</w:t>
      </w:r>
      <w:r>
        <w:rPr>
          <w:spacing w:val="-2"/>
        </w:rPr>
        <w:t> </w:t>
      </w:r>
      <w:r>
        <w:rPr/>
        <w:t>results</w:t>
      </w:r>
      <w:r>
        <w:rPr>
          <w:spacing w:val="-2"/>
        </w:rPr>
        <w:t> </w:t>
      </w:r>
      <w:r>
        <w:rPr/>
        <w:t>reflect</w:t>
      </w:r>
      <w:r>
        <w:rPr>
          <w:spacing w:val="-2"/>
        </w:rPr>
        <w:t> </w:t>
      </w:r>
      <w:r>
        <w:rPr/>
        <w:t>increasing</w:t>
      </w:r>
      <w:r>
        <w:rPr>
          <w:spacing w:val="-2"/>
        </w:rPr>
        <w:t> </w:t>
      </w:r>
      <w:r>
        <w:rPr/>
        <w:t>proportions</w:t>
      </w:r>
      <w:r>
        <w:rPr>
          <w:spacing w:val="-2"/>
        </w:rPr>
        <w:t> </w:t>
      </w:r>
      <w:r>
        <w:rPr/>
        <w:t>of hormonally sensitive tissue. Lobular tumors are characteristically ER-positive and more hormone sensitive. If HT is affecting preexisting tumors, one would expect the hormonally sensitive lobular cancers to be detected </w:t>
      </w:r>
      <w:r>
        <w:rPr>
          <w:spacing w:val="-2"/>
        </w:rPr>
        <w:t>earlier.</w:t>
      </w:r>
    </w:p>
    <w:p>
      <w:pPr>
        <w:pStyle w:val="BodyText"/>
        <w:spacing w:before="0"/>
        <w:ind w:left="0"/>
        <w:jc w:val="left"/>
        <w:rPr>
          <w:sz w:val="20"/>
        </w:rPr>
      </w:pPr>
    </w:p>
    <w:p>
      <w:pPr>
        <w:pStyle w:val="BodyText"/>
        <w:spacing w:before="117"/>
        <w:ind w:left="0"/>
        <w:jc w:val="left"/>
        <w:rPr>
          <w:sz w:val="20"/>
        </w:rPr>
      </w:pPr>
      <w:r>
        <w:rPr>
          <w:sz w:val="20"/>
        </w:rPr>
        <mc:AlternateContent>
          <mc:Choice Requires="wps">
            <w:drawing>
              <wp:anchor distT="0" distB="0" distL="0" distR="0" allowOverlap="1" layoutInCell="1" locked="0" behindDoc="1" simplePos="0" relativeHeight="487658496">
                <wp:simplePos x="0" y="0"/>
                <wp:positionH relativeFrom="page">
                  <wp:posOffset>981075</wp:posOffset>
                </wp:positionH>
                <wp:positionV relativeFrom="paragraph">
                  <wp:posOffset>236058</wp:posOffset>
                </wp:positionV>
                <wp:extent cx="5810250" cy="2343150"/>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5810250" cy="2343150"/>
                          <a:chExt cx="5810250" cy="2343150"/>
                        </a:xfrm>
                      </wpg:grpSpPr>
                      <wps:wsp>
                        <wps:cNvPr id="242" name="Graphic 24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43" name="Graphic 243"/>
                        <wps:cNvSpPr/>
                        <wps:spPr>
                          <a:xfrm>
                            <a:off x="0" y="742949"/>
                            <a:ext cx="5810250" cy="1600200"/>
                          </a:xfrm>
                          <a:custGeom>
                            <a:avLst/>
                            <a:gdLst/>
                            <a:ahLst/>
                            <a:cxnLst/>
                            <a:rect l="l" t="t" r="r" b="b"/>
                            <a:pathLst>
                              <a:path w="5810250" h="1600200">
                                <a:moveTo>
                                  <a:pt x="0" y="1600199"/>
                                </a:moveTo>
                                <a:lnTo>
                                  <a:pt x="5810249" y="1600199"/>
                                </a:lnTo>
                                <a:lnTo>
                                  <a:pt x="5810249" y="0"/>
                                </a:lnTo>
                                <a:lnTo>
                                  <a:pt x="0" y="0"/>
                                </a:lnTo>
                                <a:lnTo>
                                  <a:pt x="0" y="1600199"/>
                                </a:lnTo>
                                <a:close/>
                              </a:path>
                            </a:pathLst>
                          </a:custGeom>
                          <a:solidFill>
                            <a:srgbClr val="E9F1CD"/>
                          </a:solidFill>
                        </wps:spPr>
                        <wps:bodyPr wrap="square" lIns="0" tIns="0" rIns="0" bIns="0" rtlCol="0">
                          <a:prstTxWarp prst="textNoShape">
                            <a:avLst/>
                          </a:prstTxWarp>
                          <a:noAutofit/>
                        </wps:bodyPr>
                      </wps:wsp>
                      <wps:wsp>
                        <wps:cNvPr id="244" name="Graphic 244"/>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45" name="Graphic 245"/>
                        <wps:cNvSpPr/>
                        <wps:spPr>
                          <a:xfrm>
                            <a:off x="209549" y="219116"/>
                            <a:ext cx="371475" cy="57150"/>
                          </a:xfrm>
                          <a:custGeom>
                            <a:avLst/>
                            <a:gdLst/>
                            <a:ahLst/>
                            <a:cxnLst/>
                            <a:rect l="l" t="t" r="r" b="b"/>
                            <a:pathLst>
                              <a:path w="371475" h="57150">
                                <a:moveTo>
                                  <a:pt x="32364" y="57073"/>
                                </a:moveTo>
                                <a:lnTo>
                                  <a:pt x="24785" y="57073"/>
                                </a:lnTo>
                                <a:lnTo>
                                  <a:pt x="21140" y="56254"/>
                                </a:lnTo>
                                <a:lnTo>
                                  <a:pt x="17639" y="54768"/>
                                </a:lnTo>
                                <a:lnTo>
                                  <a:pt x="14138" y="53359"/>
                                </a:lnTo>
                                <a:lnTo>
                                  <a:pt x="2175" y="39290"/>
                                </a:lnTo>
                                <a:lnTo>
                                  <a:pt x="725" y="35871"/>
                                </a:lnTo>
                                <a:lnTo>
                                  <a:pt x="0" y="32299"/>
                                </a:lnTo>
                                <a:lnTo>
                                  <a:pt x="0" y="24707"/>
                                </a:lnTo>
                                <a:lnTo>
                                  <a:pt x="725" y="20983"/>
                                </a:lnTo>
                                <a:lnTo>
                                  <a:pt x="3625" y="13992"/>
                                </a:lnTo>
                                <a:lnTo>
                                  <a:pt x="5689" y="10868"/>
                                </a:lnTo>
                                <a:lnTo>
                                  <a:pt x="8369" y="8258"/>
                                </a:lnTo>
                                <a:lnTo>
                                  <a:pt x="11048" y="5505"/>
                                </a:lnTo>
                                <a:lnTo>
                                  <a:pt x="14138" y="3495"/>
                                </a:lnTo>
                                <a:lnTo>
                                  <a:pt x="21140" y="666"/>
                                </a:lnTo>
                                <a:lnTo>
                                  <a:pt x="24785" y="0"/>
                                </a:lnTo>
                                <a:lnTo>
                                  <a:pt x="32364" y="0"/>
                                </a:lnTo>
                                <a:lnTo>
                                  <a:pt x="36009" y="666"/>
                                </a:lnTo>
                                <a:lnTo>
                                  <a:pt x="43011" y="3495"/>
                                </a:lnTo>
                                <a:lnTo>
                                  <a:pt x="46101" y="5505"/>
                                </a:lnTo>
                                <a:lnTo>
                                  <a:pt x="48780" y="8258"/>
                                </a:lnTo>
                                <a:lnTo>
                                  <a:pt x="51459" y="10868"/>
                                </a:lnTo>
                                <a:lnTo>
                                  <a:pt x="53524" y="13992"/>
                                </a:lnTo>
                                <a:lnTo>
                                  <a:pt x="56424" y="20983"/>
                                </a:lnTo>
                                <a:lnTo>
                                  <a:pt x="57149" y="24707"/>
                                </a:lnTo>
                                <a:lnTo>
                                  <a:pt x="57149" y="32299"/>
                                </a:lnTo>
                                <a:lnTo>
                                  <a:pt x="56424" y="35871"/>
                                </a:lnTo>
                                <a:lnTo>
                                  <a:pt x="54974" y="39290"/>
                                </a:lnTo>
                                <a:lnTo>
                                  <a:pt x="53524" y="42786"/>
                                </a:lnTo>
                                <a:lnTo>
                                  <a:pt x="39510" y="54768"/>
                                </a:lnTo>
                                <a:lnTo>
                                  <a:pt x="36009" y="56254"/>
                                </a:lnTo>
                                <a:lnTo>
                                  <a:pt x="32364" y="57073"/>
                                </a:lnTo>
                                <a:close/>
                              </a:path>
                              <a:path w="371475" h="57150">
                                <a:moveTo>
                                  <a:pt x="137044" y="57073"/>
                                </a:moveTo>
                                <a:lnTo>
                                  <a:pt x="129465" y="57073"/>
                                </a:lnTo>
                                <a:lnTo>
                                  <a:pt x="125820" y="56254"/>
                                </a:lnTo>
                                <a:lnTo>
                                  <a:pt x="122319" y="54768"/>
                                </a:lnTo>
                                <a:lnTo>
                                  <a:pt x="118818" y="53359"/>
                                </a:lnTo>
                                <a:lnTo>
                                  <a:pt x="106854" y="39290"/>
                                </a:lnTo>
                                <a:lnTo>
                                  <a:pt x="105404" y="35871"/>
                                </a:lnTo>
                                <a:lnTo>
                                  <a:pt x="104679" y="32299"/>
                                </a:lnTo>
                                <a:lnTo>
                                  <a:pt x="104679" y="24707"/>
                                </a:lnTo>
                                <a:lnTo>
                                  <a:pt x="105404" y="20983"/>
                                </a:lnTo>
                                <a:lnTo>
                                  <a:pt x="108304" y="13992"/>
                                </a:lnTo>
                                <a:lnTo>
                                  <a:pt x="110369" y="10868"/>
                                </a:lnTo>
                                <a:lnTo>
                                  <a:pt x="113049" y="8258"/>
                                </a:lnTo>
                                <a:lnTo>
                                  <a:pt x="115728" y="5505"/>
                                </a:lnTo>
                                <a:lnTo>
                                  <a:pt x="118818" y="3495"/>
                                </a:lnTo>
                                <a:lnTo>
                                  <a:pt x="125820" y="666"/>
                                </a:lnTo>
                                <a:lnTo>
                                  <a:pt x="129465" y="0"/>
                                </a:lnTo>
                                <a:lnTo>
                                  <a:pt x="137044" y="0"/>
                                </a:lnTo>
                                <a:lnTo>
                                  <a:pt x="140689" y="666"/>
                                </a:lnTo>
                                <a:lnTo>
                                  <a:pt x="147690" y="3495"/>
                                </a:lnTo>
                                <a:lnTo>
                                  <a:pt x="150780" y="5505"/>
                                </a:lnTo>
                                <a:lnTo>
                                  <a:pt x="153460" y="8258"/>
                                </a:lnTo>
                                <a:lnTo>
                                  <a:pt x="156139" y="10868"/>
                                </a:lnTo>
                                <a:lnTo>
                                  <a:pt x="158204" y="13992"/>
                                </a:lnTo>
                                <a:lnTo>
                                  <a:pt x="161104" y="20983"/>
                                </a:lnTo>
                                <a:lnTo>
                                  <a:pt x="161829" y="24707"/>
                                </a:lnTo>
                                <a:lnTo>
                                  <a:pt x="161829" y="32299"/>
                                </a:lnTo>
                                <a:lnTo>
                                  <a:pt x="161104" y="35871"/>
                                </a:lnTo>
                                <a:lnTo>
                                  <a:pt x="159654" y="39290"/>
                                </a:lnTo>
                                <a:lnTo>
                                  <a:pt x="158204" y="42786"/>
                                </a:lnTo>
                                <a:lnTo>
                                  <a:pt x="144189" y="54768"/>
                                </a:lnTo>
                                <a:lnTo>
                                  <a:pt x="140689" y="56254"/>
                                </a:lnTo>
                                <a:lnTo>
                                  <a:pt x="137044" y="57073"/>
                                </a:lnTo>
                                <a:close/>
                              </a:path>
                              <a:path w="371475" h="57150">
                                <a:moveTo>
                                  <a:pt x="241723" y="57073"/>
                                </a:moveTo>
                                <a:lnTo>
                                  <a:pt x="234145" y="57073"/>
                                </a:lnTo>
                                <a:lnTo>
                                  <a:pt x="230500" y="56254"/>
                                </a:lnTo>
                                <a:lnTo>
                                  <a:pt x="226999" y="54768"/>
                                </a:lnTo>
                                <a:lnTo>
                                  <a:pt x="223498" y="53359"/>
                                </a:lnTo>
                                <a:lnTo>
                                  <a:pt x="211534" y="39290"/>
                                </a:lnTo>
                                <a:lnTo>
                                  <a:pt x="210084" y="35871"/>
                                </a:lnTo>
                                <a:lnTo>
                                  <a:pt x="209359" y="32299"/>
                                </a:lnTo>
                                <a:lnTo>
                                  <a:pt x="209359" y="24707"/>
                                </a:lnTo>
                                <a:lnTo>
                                  <a:pt x="210084" y="20983"/>
                                </a:lnTo>
                                <a:lnTo>
                                  <a:pt x="212984" y="13992"/>
                                </a:lnTo>
                                <a:lnTo>
                                  <a:pt x="215049" y="10868"/>
                                </a:lnTo>
                                <a:lnTo>
                                  <a:pt x="217728" y="8258"/>
                                </a:lnTo>
                                <a:lnTo>
                                  <a:pt x="220408" y="5505"/>
                                </a:lnTo>
                                <a:lnTo>
                                  <a:pt x="223498" y="3495"/>
                                </a:lnTo>
                                <a:lnTo>
                                  <a:pt x="230500" y="666"/>
                                </a:lnTo>
                                <a:lnTo>
                                  <a:pt x="234145" y="0"/>
                                </a:lnTo>
                                <a:lnTo>
                                  <a:pt x="241723" y="0"/>
                                </a:lnTo>
                                <a:lnTo>
                                  <a:pt x="245368" y="666"/>
                                </a:lnTo>
                                <a:lnTo>
                                  <a:pt x="252370" y="3495"/>
                                </a:lnTo>
                                <a:lnTo>
                                  <a:pt x="255460" y="5505"/>
                                </a:lnTo>
                                <a:lnTo>
                                  <a:pt x="258140" y="8258"/>
                                </a:lnTo>
                                <a:lnTo>
                                  <a:pt x="260819" y="10868"/>
                                </a:lnTo>
                                <a:lnTo>
                                  <a:pt x="262884" y="13992"/>
                                </a:lnTo>
                                <a:lnTo>
                                  <a:pt x="265784" y="20983"/>
                                </a:lnTo>
                                <a:lnTo>
                                  <a:pt x="266509" y="24707"/>
                                </a:lnTo>
                                <a:lnTo>
                                  <a:pt x="266509" y="32299"/>
                                </a:lnTo>
                                <a:lnTo>
                                  <a:pt x="265784" y="35871"/>
                                </a:lnTo>
                                <a:lnTo>
                                  <a:pt x="264334" y="39290"/>
                                </a:lnTo>
                                <a:lnTo>
                                  <a:pt x="262884" y="42786"/>
                                </a:lnTo>
                                <a:lnTo>
                                  <a:pt x="248869" y="54768"/>
                                </a:lnTo>
                                <a:lnTo>
                                  <a:pt x="245368" y="56254"/>
                                </a:lnTo>
                                <a:lnTo>
                                  <a:pt x="241723" y="57073"/>
                                </a:lnTo>
                                <a:close/>
                              </a:path>
                              <a:path w="371475" h="57150">
                                <a:moveTo>
                                  <a:pt x="346403" y="57073"/>
                                </a:moveTo>
                                <a:lnTo>
                                  <a:pt x="338824" y="57073"/>
                                </a:lnTo>
                                <a:lnTo>
                                  <a:pt x="335179" y="56254"/>
                                </a:lnTo>
                                <a:lnTo>
                                  <a:pt x="331679" y="54768"/>
                                </a:lnTo>
                                <a:lnTo>
                                  <a:pt x="328178" y="53359"/>
                                </a:lnTo>
                                <a:lnTo>
                                  <a:pt x="316214" y="39290"/>
                                </a:lnTo>
                                <a:lnTo>
                                  <a:pt x="314764" y="35871"/>
                                </a:lnTo>
                                <a:lnTo>
                                  <a:pt x="314039" y="32299"/>
                                </a:lnTo>
                                <a:lnTo>
                                  <a:pt x="314039" y="24707"/>
                                </a:lnTo>
                                <a:lnTo>
                                  <a:pt x="314764" y="20983"/>
                                </a:lnTo>
                                <a:lnTo>
                                  <a:pt x="317664" y="13992"/>
                                </a:lnTo>
                                <a:lnTo>
                                  <a:pt x="319729" y="10868"/>
                                </a:lnTo>
                                <a:lnTo>
                                  <a:pt x="322408" y="8258"/>
                                </a:lnTo>
                                <a:lnTo>
                                  <a:pt x="325088" y="5505"/>
                                </a:lnTo>
                                <a:lnTo>
                                  <a:pt x="328178" y="3495"/>
                                </a:lnTo>
                                <a:lnTo>
                                  <a:pt x="335179" y="666"/>
                                </a:lnTo>
                                <a:lnTo>
                                  <a:pt x="338824" y="0"/>
                                </a:lnTo>
                                <a:lnTo>
                                  <a:pt x="346403" y="0"/>
                                </a:lnTo>
                                <a:lnTo>
                                  <a:pt x="350048" y="666"/>
                                </a:lnTo>
                                <a:lnTo>
                                  <a:pt x="357050" y="3495"/>
                                </a:lnTo>
                                <a:lnTo>
                                  <a:pt x="360140" y="5505"/>
                                </a:lnTo>
                                <a:lnTo>
                                  <a:pt x="362819" y="8258"/>
                                </a:lnTo>
                                <a:lnTo>
                                  <a:pt x="365499" y="10868"/>
                                </a:lnTo>
                                <a:lnTo>
                                  <a:pt x="367563" y="13992"/>
                                </a:lnTo>
                                <a:lnTo>
                                  <a:pt x="370464" y="20983"/>
                                </a:lnTo>
                                <a:lnTo>
                                  <a:pt x="371189" y="24707"/>
                                </a:lnTo>
                                <a:lnTo>
                                  <a:pt x="371189" y="32299"/>
                                </a:lnTo>
                                <a:lnTo>
                                  <a:pt x="370464" y="35871"/>
                                </a:lnTo>
                                <a:lnTo>
                                  <a:pt x="369014" y="39290"/>
                                </a:lnTo>
                                <a:lnTo>
                                  <a:pt x="367563" y="42786"/>
                                </a:lnTo>
                                <a:lnTo>
                                  <a:pt x="353549" y="54768"/>
                                </a:lnTo>
                                <a:lnTo>
                                  <a:pt x="350048" y="56254"/>
                                </a:lnTo>
                                <a:lnTo>
                                  <a:pt x="346403" y="57073"/>
                                </a:lnTo>
                                <a:close/>
                              </a:path>
                            </a:pathLst>
                          </a:custGeom>
                          <a:solidFill>
                            <a:srgbClr val="D0E399"/>
                          </a:solidFill>
                        </wps:spPr>
                        <wps:bodyPr wrap="square" lIns="0" tIns="0" rIns="0" bIns="0" rtlCol="0">
                          <a:prstTxWarp prst="textNoShape">
                            <a:avLst/>
                          </a:prstTxWarp>
                          <a:noAutofit/>
                        </wps:bodyPr>
                      </wps:wsp>
                      <wps:wsp>
                        <wps:cNvPr id="246" name="Graphic 246"/>
                        <wps:cNvSpPr/>
                        <wps:spPr>
                          <a:xfrm>
                            <a:off x="133337" y="1000125"/>
                            <a:ext cx="47625" cy="733425"/>
                          </a:xfrm>
                          <a:custGeom>
                            <a:avLst/>
                            <a:gdLst/>
                            <a:ahLst/>
                            <a:cxnLst/>
                            <a:rect l="l" t="t" r="r" b="b"/>
                            <a:pathLst>
                              <a:path w="47625" h="733425">
                                <a:moveTo>
                                  <a:pt x="47625" y="706335"/>
                                </a:moveTo>
                                <a:lnTo>
                                  <a:pt x="47028" y="703287"/>
                                </a:lnTo>
                                <a:lnTo>
                                  <a:pt x="44615" y="697407"/>
                                </a:lnTo>
                                <a:lnTo>
                                  <a:pt x="42887" y="694804"/>
                                </a:lnTo>
                                <a:lnTo>
                                  <a:pt x="40652" y="692645"/>
                                </a:lnTo>
                                <a:lnTo>
                                  <a:pt x="38430" y="690346"/>
                                </a:lnTo>
                                <a:lnTo>
                                  <a:pt x="35852" y="688632"/>
                                </a:lnTo>
                                <a:lnTo>
                                  <a:pt x="30010" y="686320"/>
                                </a:lnTo>
                                <a:lnTo>
                                  <a:pt x="26974" y="685800"/>
                                </a:lnTo>
                                <a:lnTo>
                                  <a:pt x="20662" y="685800"/>
                                </a:lnTo>
                                <a:lnTo>
                                  <a:pt x="17627" y="686396"/>
                                </a:lnTo>
                                <a:lnTo>
                                  <a:pt x="11785" y="688632"/>
                                </a:lnTo>
                                <a:lnTo>
                                  <a:pt x="9207" y="690346"/>
                                </a:lnTo>
                                <a:lnTo>
                                  <a:pt x="6985" y="692645"/>
                                </a:lnTo>
                                <a:lnTo>
                                  <a:pt x="4749" y="694804"/>
                                </a:lnTo>
                                <a:lnTo>
                                  <a:pt x="3022" y="697407"/>
                                </a:lnTo>
                                <a:lnTo>
                                  <a:pt x="609" y="703211"/>
                                </a:lnTo>
                                <a:lnTo>
                                  <a:pt x="0" y="706335"/>
                                </a:lnTo>
                                <a:lnTo>
                                  <a:pt x="0" y="712660"/>
                                </a:lnTo>
                                <a:lnTo>
                                  <a:pt x="23812" y="733425"/>
                                </a:lnTo>
                                <a:lnTo>
                                  <a:pt x="26974" y="733348"/>
                                </a:lnTo>
                                <a:lnTo>
                                  <a:pt x="47625" y="712660"/>
                                </a:lnTo>
                                <a:lnTo>
                                  <a:pt x="47625" y="709612"/>
                                </a:lnTo>
                                <a:lnTo>
                                  <a:pt x="47625" y="706335"/>
                                </a:lnTo>
                                <a:close/>
                              </a:path>
                              <a:path w="47625" h="733425">
                                <a:moveTo>
                                  <a:pt x="47625" y="363512"/>
                                </a:moveTo>
                                <a:lnTo>
                                  <a:pt x="47028" y="360387"/>
                                </a:lnTo>
                                <a:lnTo>
                                  <a:pt x="44615" y="354507"/>
                                </a:lnTo>
                                <a:lnTo>
                                  <a:pt x="42887" y="351980"/>
                                </a:lnTo>
                                <a:lnTo>
                                  <a:pt x="40652" y="349821"/>
                                </a:lnTo>
                                <a:lnTo>
                                  <a:pt x="38430" y="347510"/>
                                </a:lnTo>
                                <a:lnTo>
                                  <a:pt x="35852" y="345808"/>
                                </a:lnTo>
                                <a:lnTo>
                                  <a:pt x="30010" y="343496"/>
                                </a:lnTo>
                                <a:lnTo>
                                  <a:pt x="26974" y="342900"/>
                                </a:lnTo>
                                <a:lnTo>
                                  <a:pt x="20662" y="342900"/>
                                </a:lnTo>
                                <a:lnTo>
                                  <a:pt x="17627" y="343496"/>
                                </a:lnTo>
                                <a:lnTo>
                                  <a:pt x="11785" y="345808"/>
                                </a:lnTo>
                                <a:lnTo>
                                  <a:pt x="9207" y="347510"/>
                                </a:lnTo>
                                <a:lnTo>
                                  <a:pt x="6985" y="349821"/>
                                </a:lnTo>
                                <a:lnTo>
                                  <a:pt x="4749" y="351980"/>
                                </a:lnTo>
                                <a:lnTo>
                                  <a:pt x="3022" y="354507"/>
                                </a:lnTo>
                                <a:lnTo>
                                  <a:pt x="609" y="360387"/>
                                </a:lnTo>
                                <a:lnTo>
                                  <a:pt x="0" y="363512"/>
                                </a:lnTo>
                                <a:lnTo>
                                  <a:pt x="0" y="369836"/>
                                </a:lnTo>
                                <a:lnTo>
                                  <a:pt x="23812" y="390525"/>
                                </a:lnTo>
                                <a:lnTo>
                                  <a:pt x="26974" y="390448"/>
                                </a:lnTo>
                                <a:lnTo>
                                  <a:pt x="47625" y="369836"/>
                                </a:lnTo>
                                <a:lnTo>
                                  <a:pt x="47625" y="366712"/>
                                </a:lnTo>
                                <a:lnTo>
                                  <a:pt x="47625" y="363512"/>
                                </a:lnTo>
                                <a:close/>
                              </a:path>
                              <a:path w="47625" h="733425">
                                <a:moveTo>
                                  <a:pt x="47625" y="20612"/>
                                </a:moveTo>
                                <a:lnTo>
                                  <a:pt x="47028" y="17487"/>
                                </a:lnTo>
                                <a:lnTo>
                                  <a:pt x="44615" y="11696"/>
                                </a:lnTo>
                                <a:lnTo>
                                  <a:pt x="42887" y="9080"/>
                                </a:lnTo>
                                <a:lnTo>
                                  <a:pt x="40652" y="6934"/>
                                </a:lnTo>
                                <a:lnTo>
                                  <a:pt x="38430" y="4610"/>
                                </a:lnTo>
                                <a:lnTo>
                                  <a:pt x="35852" y="2908"/>
                                </a:lnTo>
                                <a:lnTo>
                                  <a:pt x="30010" y="609"/>
                                </a:lnTo>
                                <a:lnTo>
                                  <a:pt x="26974" y="0"/>
                                </a:lnTo>
                                <a:lnTo>
                                  <a:pt x="20662" y="0"/>
                                </a:lnTo>
                                <a:lnTo>
                                  <a:pt x="17627" y="609"/>
                                </a:lnTo>
                                <a:lnTo>
                                  <a:pt x="11785" y="2908"/>
                                </a:lnTo>
                                <a:lnTo>
                                  <a:pt x="9207" y="4610"/>
                                </a:lnTo>
                                <a:lnTo>
                                  <a:pt x="6985" y="6934"/>
                                </a:lnTo>
                                <a:lnTo>
                                  <a:pt x="4749" y="9080"/>
                                </a:lnTo>
                                <a:lnTo>
                                  <a:pt x="3022" y="11696"/>
                                </a:lnTo>
                                <a:lnTo>
                                  <a:pt x="609" y="17487"/>
                                </a:lnTo>
                                <a:lnTo>
                                  <a:pt x="0" y="20612"/>
                                </a:lnTo>
                                <a:lnTo>
                                  <a:pt x="0" y="26860"/>
                                </a:lnTo>
                                <a:lnTo>
                                  <a:pt x="23812" y="47625"/>
                                </a:lnTo>
                                <a:lnTo>
                                  <a:pt x="26974" y="47548"/>
                                </a:lnTo>
                                <a:lnTo>
                                  <a:pt x="47625" y="26860"/>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247" name="Textbox 247"/>
                        <wps:cNvSpPr txBox="1"/>
                        <wps:spPr>
                          <a:xfrm>
                            <a:off x="0" y="742949"/>
                            <a:ext cx="5810250" cy="1600200"/>
                          </a:xfrm>
                          <a:prstGeom prst="rect">
                            <a:avLst/>
                          </a:prstGeom>
                        </wps:spPr>
                        <wps:txbx>
                          <w:txbxContent>
                            <w:p>
                              <w:pPr>
                                <w:spacing w:line="240" w:lineRule="auto" w:before="51"/>
                                <w:rPr>
                                  <w:sz w:val="22"/>
                                </w:rPr>
                              </w:pPr>
                            </w:p>
                            <w:p>
                              <w:pPr>
                                <w:spacing w:line="256" w:lineRule="auto" w:before="0"/>
                                <w:ind w:left="444" w:right="610" w:firstLine="0"/>
                                <w:jc w:val="left"/>
                                <w:rPr>
                                  <w:b/>
                                  <w:sz w:val="22"/>
                                </w:rPr>
                              </w:pPr>
                              <w:r>
                                <w:rPr>
                                  <w:b/>
                                  <w:sz w:val="22"/>
                                </w:rPr>
                                <w:t>Case-control and cohort studies have identified an increased risk of breast </w:t>
                              </w:r>
                              <w:r>
                                <w:rPr>
                                  <w:b/>
                                  <w:sz w:val="22"/>
                                </w:rPr>
                                <w:t>cancer</w:t>
                              </w:r>
                              <w:r>
                                <w:rPr>
                                  <w:b/>
                                  <w:spacing w:val="80"/>
                                  <w:w w:val="150"/>
                                  <w:sz w:val="22"/>
                                </w:rPr>
                                <w:t> </w:t>
                              </w:r>
                              <w:r>
                                <w:rPr>
                                  <w:b/>
                                  <w:sz w:val="22"/>
                                </w:rPr>
                                <w:t>associated with HT, greater with combined estrogen-progestin regimens.</w:t>
                              </w:r>
                            </w:p>
                            <w:p>
                              <w:pPr>
                                <w:spacing w:line="256" w:lineRule="auto" w:before="0"/>
                                <w:ind w:left="444" w:right="610" w:firstLine="0"/>
                                <w:jc w:val="left"/>
                                <w:rPr>
                                  <w:b/>
                                  <w:sz w:val="22"/>
                                </w:rPr>
                              </w:pPr>
                              <w:r>
                                <w:rPr>
                                  <w:b/>
                                  <w:sz w:val="22"/>
                                </w:rPr>
                                <w:t>The</w:t>
                              </w:r>
                              <w:r>
                                <w:rPr>
                                  <w:b/>
                                  <w:spacing w:val="15"/>
                                  <w:sz w:val="22"/>
                                </w:rPr>
                                <w:t> </w:t>
                              </w:r>
                              <w:r>
                                <w:rPr>
                                  <w:b/>
                                  <w:sz w:val="22"/>
                                </w:rPr>
                                <w:t>incident</w:t>
                              </w:r>
                              <w:r>
                                <w:rPr>
                                  <w:b/>
                                  <w:spacing w:val="15"/>
                                  <w:sz w:val="22"/>
                                </w:rPr>
                                <w:t> </w:t>
                              </w:r>
                              <w:r>
                                <w:rPr>
                                  <w:b/>
                                  <w:sz w:val="22"/>
                                </w:rPr>
                                <w:t>cases</w:t>
                              </w:r>
                              <w:r>
                                <w:rPr>
                                  <w:b/>
                                  <w:spacing w:val="15"/>
                                  <w:sz w:val="22"/>
                                </w:rPr>
                                <w:t> </w:t>
                              </w:r>
                              <w:r>
                                <w:rPr>
                                  <w:b/>
                                  <w:sz w:val="22"/>
                                </w:rPr>
                                <w:t>of</w:t>
                              </w:r>
                              <w:r>
                                <w:rPr>
                                  <w:b/>
                                  <w:spacing w:val="15"/>
                                  <w:sz w:val="22"/>
                                </w:rPr>
                                <w:t> </w:t>
                              </w:r>
                              <w:r>
                                <w:rPr>
                                  <w:b/>
                                  <w:sz w:val="22"/>
                                </w:rPr>
                                <w:t>breast</w:t>
                              </w:r>
                              <w:r>
                                <w:rPr>
                                  <w:b/>
                                  <w:spacing w:val="15"/>
                                  <w:sz w:val="22"/>
                                </w:rPr>
                                <w:t> </w:t>
                              </w:r>
                              <w:r>
                                <w:rPr>
                                  <w:b/>
                                  <w:sz w:val="22"/>
                                </w:rPr>
                                <w:t>cancer</w:t>
                              </w:r>
                              <w:r>
                                <w:rPr>
                                  <w:b/>
                                  <w:spacing w:val="15"/>
                                  <w:sz w:val="22"/>
                                </w:rPr>
                                <w:t> </w:t>
                              </w:r>
                              <w:r>
                                <w:rPr>
                                  <w:b/>
                                  <w:sz w:val="22"/>
                                </w:rPr>
                                <w:t>associated</w:t>
                              </w:r>
                              <w:r>
                                <w:rPr>
                                  <w:b/>
                                  <w:spacing w:val="15"/>
                                  <w:sz w:val="22"/>
                                </w:rPr>
                                <w:t> </w:t>
                              </w:r>
                              <w:r>
                                <w:rPr>
                                  <w:b/>
                                  <w:sz w:val="22"/>
                                </w:rPr>
                                <w:t>with</w:t>
                              </w:r>
                              <w:r>
                                <w:rPr>
                                  <w:b/>
                                  <w:spacing w:val="15"/>
                                  <w:sz w:val="22"/>
                                </w:rPr>
                                <w:t> </w:t>
                              </w:r>
                              <w:r>
                                <w:rPr>
                                  <w:b/>
                                  <w:sz w:val="22"/>
                                </w:rPr>
                                <w:t>HT</w:t>
                              </w:r>
                              <w:r>
                                <w:rPr>
                                  <w:b/>
                                  <w:spacing w:val="15"/>
                                  <w:sz w:val="22"/>
                                </w:rPr>
                                <w:t> </w:t>
                              </w:r>
                              <w:r>
                                <w:rPr>
                                  <w:b/>
                                  <w:sz w:val="22"/>
                                </w:rPr>
                                <w:t>use</w:t>
                              </w:r>
                              <w:r>
                                <w:rPr>
                                  <w:b/>
                                  <w:spacing w:val="15"/>
                                  <w:sz w:val="22"/>
                                </w:rPr>
                                <w:t> </w:t>
                              </w:r>
                              <w:r>
                                <w:rPr>
                                  <w:b/>
                                  <w:sz w:val="22"/>
                                </w:rPr>
                                <w:t>are</w:t>
                              </w:r>
                              <w:r>
                                <w:rPr>
                                  <w:b/>
                                  <w:spacing w:val="15"/>
                                  <w:sz w:val="22"/>
                                </w:rPr>
                                <w:t> </w:t>
                              </w:r>
                              <w:r>
                                <w:rPr>
                                  <w:b/>
                                  <w:sz w:val="22"/>
                                </w:rPr>
                                <w:t>predominantly</w:t>
                              </w:r>
                              <w:r>
                                <w:rPr>
                                  <w:b/>
                                  <w:spacing w:val="15"/>
                                  <w:sz w:val="22"/>
                                </w:rPr>
                                <w:t> </w:t>
                              </w:r>
                              <w:r>
                                <w:rPr>
                                  <w:b/>
                                  <w:sz w:val="22"/>
                                </w:rPr>
                                <w:t>ER-positive tumors, perhaps mostly tumors with lobular tissue.</w:t>
                              </w:r>
                            </w:p>
                            <w:p>
                              <w:pPr>
                                <w:spacing w:line="256" w:lineRule="auto" w:before="0"/>
                                <w:ind w:left="444" w:right="610" w:firstLine="0"/>
                                <w:jc w:val="left"/>
                                <w:rPr>
                                  <w:b/>
                                  <w:sz w:val="22"/>
                                </w:rPr>
                              </w:pPr>
                              <w:r>
                                <w:rPr>
                                  <w:b/>
                                  <w:sz w:val="22"/>
                                </w:rPr>
                                <w:t>An increased risk of breast cancer is predominantly observed only in current users and is detected relatively rapidly.</w:t>
                              </w:r>
                            </w:p>
                          </w:txbxContent>
                        </wps:txbx>
                        <wps:bodyPr wrap="square" lIns="0" tIns="0" rIns="0" bIns="0" rtlCol="0">
                          <a:noAutofit/>
                        </wps:bodyPr>
                      </wps:wsp>
                      <wps:wsp>
                        <wps:cNvPr id="248" name="Textbox 248"/>
                        <wps:cNvSpPr txBox="1"/>
                        <wps:spPr>
                          <a:xfrm>
                            <a:off x="0" y="57149"/>
                            <a:ext cx="5810250" cy="685800"/>
                          </a:xfrm>
                          <a:prstGeom prst="rect">
                            <a:avLst/>
                          </a:prstGeom>
                        </wps:spPr>
                        <wps:txbx>
                          <w:txbxContent>
                            <w:p>
                              <w:pPr>
                                <w:spacing w:before="335"/>
                                <w:ind w:left="332" w:right="0" w:firstLine="0"/>
                                <w:jc w:val="left"/>
                                <w:rPr>
                                  <w:rFonts w:ascii="Arial"/>
                                  <w:sz w:val="33"/>
                                </w:rPr>
                              </w:pPr>
                              <w:r>
                                <w:rPr>
                                  <w:rFonts w:ascii="Arial"/>
                                  <w:color w:val="FFFFFF"/>
                                  <w:sz w:val="33"/>
                                </w:rPr>
                                <w:t>Key</w:t>
                              </w:r>
                              <w:r>
                                <w:rPr>
                                  <w:rFonts w:ascii="Arial"/>
                                  <w:color w:val="FFFFFF"/>
                                  <w:spacing w:val="18"/>
                                  <w:sz w:val="33"/>
                                </w:rPr>
                                <w:t> </w:t>
                              </w:r>
                              <w:r>
                                <w:rPr>
                                  <w:rFonts w:ascii="Arial"/>
                                  <w:color w:val="FFFFFF"/>
                                  <w:sz w:val="33"/>
                                </w:rPr>
                                <w:t>Points:</w:t>
                              </w:r>
                              <w:r>
                                <w:rPr>
                                  <w:rFonts w:ascii="Arial"/>
                                  <w:color w:val="FFFFFF"/>
                                  <w:spacing w:val="19"/>
                                  <w:sz w:val="33"/>
                                </w:rPr>
                                <w:t> </w:t>
                              </w:r>
                              <w:r>
                                <w:rPr>
                                  <w:rFonts w:ascii="Arial"/>
                                  <w:color w:val="FFFFFF"/>
                                  <w:sz w:val="33"/>
                                </w:rPr>
                                <w:t>Hormone</w:t>
                              </w:r>
                              <w:r>
                                <w:rPr>
                                  <w:rFonts w:ascii="Arial"/>
                                  <w:color w:val="FFFFFF"/>
                                  <w:spacing w:val="19"/>
                                  <w:sz w:val="33"/>
                                </w:rPr>
                                <w:t> </w:t>
                              </w:r>
                              <w:r>
                                <w:rPr>
                                  <w:rFonts w:ascii="Arial"/>
                                  <w:color w:val="FFFFFF"/>
                                  <w:sz w:val="33"/>
                                </w:rPr>
                                <w:t>Use</w:t>
                              </w:r>
                              <w:r>
                                <w:rPr>
                                  <w:rFonts w:ascii="Arial"/>
                                  <w:color w:val="FFFFFF"/>
                                  <w:spacing w:val="19"/>
                                  <w:sz w:val="33"/>
                                </w:rPr>
                                <w:t> </w:t>
                              </w:r>
                              <w:r>
                                <w:rPr>
                                  <w:rFonts w:ascii="Arial"/>
                                  <w:color w:val="FFFFFF"/>
                                  <w:sz w:val="33"/>
                                </w:rPr>
                                <w:t>and</w:t>
                              </w:r>
                              <w:r>
                                <w:rPr>
                                  <w:rFonts w:ascii="Arial"/>
                                  <w:color w:val="FFFFFF"/>
                                  <w:spacing w:val="18"/>
                                  <w:sz w:val="33"/>
                                </w:rPr>
                                <w:t> </w:t>
                              </w:r>
                              <w:r>
                                <w:rPr>
                                  <w:rFonts w:ascii="Arial"/>
                                  <w:color w:val="FFFFFF"/>
                                  <w:sz w:val="33"/>
                                </w:rPr>
                                <w:t>Breast</w:t>
                              </w:r>
                              <w:r>
                                <w:rPr>
                                  <w:rFonts w:ascii="Arial"/>
                                  <w:color w:val="FFFFFF"/>
                                  <w:spacing w:val="19"/>
                                  <w:sz w:val="33"/>
                                </w:rPr>
                                <w:t> </w:t>
                              </w:r>
                              <w:r>
                                <w:rPr>
                                  <w:rFonts w:ascii="Arial"/>
                                  <w:color w:val="FFFFFF"/>
                                  <w:spacing w:val="-2"/>
                                  <w:sz w:val="33"/>
                                </w:rPr>
                                <w:t>Cancer</w:t>
                              </w:r>
                            </w:p>
                          </w:txbxContent>
                        </wps:txbx>
                        <wps:bodyPr wrap="square" lIns="0" tIns="0" rIns="0" bIns="0" rtlCol="0">
                          <a:noAutofit/>
                        </wps:bodyPr>
                      </wps:wsp>
                    </wpg:wgp>
                  </a:graphicData>
                </a:graphic>
              </wp:anchor>
            </w:drawing>
          </mc:Choice>
          <mc:Fallback>
            <w:pict>
              <v:group style="position:absolute;margin-left:77.25pt;margin-top:18.587246pt;width:457.5pt;height:184.5pt;mso-position-horizontal-relative:page;mso-position-vertical-relative:paragraph;z-index:-15657984;mso-wrap-distance-left:0;mso-wrap-distance-right:0" id="docshapegroup218" coordorigin="1545,372" coordsize="9150,3690">
                <v:rect style="position:absolute;left:1545;top:371;width:9150;height:30" id="docshape219" filled="true" fillcolor="#d5e699" stroked="false">
                  <v:fill type="solid"/>
                </v:rect>
                <v:rect style="position:absolute;left:1545;top:1541;width:9150;height:2520" id="docshape220" filled="true" fillcolor="#e9f1cd" stroked="false">
                  <v:fill type="solid"/>
                </v:rect>
                <v:rect style="position:absolute;left:1545;top:461;width:9150;height:1080" id="docshape221" filled="true" fillcolor="#2b816f" stroked="false">
                  <v:fill type="solid"/>
                </v:rect>
                <v:shape style="position:absolute;left:1875;top:716;width:585;height:90" id="docshape222" coordorigin="1875,717" coordsize="585,90" path="m1926,807l1914,807,1908,805,1903,803,1897,801,1892,798,1888,793,1884,789,1881,784,1878,779,1876,773,1875,768,1875,756,1876,750,1881,739,1884,734,1888,730,1892,725,1897,722,1908,718,1914,717,1926,717,1932,718,1943,722,1948,725,1952,730,1956,734,1959,739,1964,750,1965,756,1965,768,1964,773,1962,779,1959,784,1956,789,1952,793,1948,798,1943,801,1937,803,1932,805,1926,807xm2091,807l2079,807,2073,805,2068,803,2062,801,2057,798,2053,793,2049,789,2046,784,2043,779,2041,773,2040,768,2040,756,2041,750,2046,739,2049,734,2053,730,2057,725,2062,722,2073,718,2079,717,2091,717,2097,718,2108,722,2112,725,2117,730,2121,734,2124,739,2129,750,2130,756,2130,768,2129,773,2126,779,2124,784,2121,789,2117,793,2112,798,2108,801,2102,803,2097,805,2091,807xm2256,807l2244,807,2238,805,2232,803,2227,801,2222,798,2218,793,2214,789,2210,784,2208,779,2206,773,2205,768,2205,756,2206,750,2210,739,2214,734,2218,730,2222,725,2227,722,2238,718,2244,717,2256,717,2261,718,2272,722,2277,725,2282,730,2286,734,2289,739,2294,750,2295,756,2295,768,2294,773,2291,779,2289,784,2286,789,2282,793,2277,798,2272,801,2267,803,2261,805,2256,807xm2421,807l2409,807,2403,805,2397,803,2392,801,2387,798,2383,793,2379,789,2375,784,2373,779,2371,773,2370,768,2370,756,2371,750,2375,739,2379,734,2383,730,2387,725,2392,722,2403,718,2409,717,2421,717,2426,718,2437,722,2442,725,2446,730,2451,734,2454,739,2458,750,2460,756,2460,768,2458,773,2456,779,2454,784,2451,789,2446,793,2442,798,2437,801,2432,803,2426,805,2421,807xe" filled="true" fillcolor="#d0e399" stroked="false">
                  <v:path arrowok="t"/>
                  <v:fill type="solid"/>
                </v:shape>
                <v:shape style="position:absolute;left:1754;top:1946;width:75;height:1155" id="docshape223" coordorigin="1755,1947" coordsize="75,1155" path="m1830,3059l1829,3054,1825,3045,1823,3041,1819,3038,1816,3034,1811,3031,1802,3028,1797,3027,1788,3027,1783,3028,1774,3031,1769,3034,1766,3038,1762,3041,1760,3045,1756,3054,1755,3059,1755,3069,1756,3074,1760,3083,1762,3087,1766,3091,1769,3094,1774,3097,1783,3101,1788,3102,1792,3102,1797,3102,1802,3101,1811,3097,1816,3094,1819,3091,1823,3087,1825,3083,1829,3074,1830,3069,1830,3064,1830,3059xm1830,2519l1829,2514,1825,2505,1823,2501,1819,2498,1816,2494,1811,2491,1802,2488,1797,2487,1788,2487,1783,2488,1774,2491,1769,2494,1766,2498,1762,2501,1760,2505,1756,2514,1755,2519,1755,2529,1756,2534,1760,2543,1762,2547,1766,2551,1769,2554,1774,2557,1783,2561,1788,2562,1792,2562,1797,2562,1802,2561,1811,2557,1816,2554,1819,2551,1823,2547,1825,2543,1829,2534,1830,2529,1830,2524,1830,2519xm1830,1979l1829,1974,1825,1965,1823,1961,1819,1958,1816,1954,1811,1951,1802,1948,1797,1947,1788,1947,1783,1948,1774,1951,1769,1954,1766,1958,1762,1961,1760,1965,1756,1974,1755,1979,1755,1989,1756,1994,1760,2003,1762,2007,1766,2011,1769,2014,1774,2017,1783,2021,1788,2022,1792,2022,1797,2022,1802,2021,1811,2017,1816,2014,1819,2011,1823,2007,1825,2003,1829,1994,1830,1989,1830,1984,1830,1979xe" filled="true" fillcolor="#2b816f" stroked="false">
                  <v:path arrowok="t"/>
                  <v:fill type="solid"/>
                </v:shape>
                <v:shape style="position:absolute;left:1545;top:1541;width:9150;height:2520" type="#_x0000_t202" id="docshape224" filled="false" stroked="false">
                  <v:textbox inset="0,0,0,0">
                    <w:txbxContent>
                      <w:p>
                        <w:pPr>
                          <w:spacing w:line="240" w:lineRule="auto" w:before="51"/>
                          <w:rPr>
                            <w:sz w:val="22"/>
                          </w:rPr>
                        </w:pPr>
                      </w:p>
                      <w:p>
                        <w:pPr>
                          <w:spacing w:line="256" w:lineRule="auto" w:before="0"/>
                          <w:ind w:left="444" w:right="610" w:firstLine="0"/>
                          <w:jc w:val="left"/>
                          <w:rPr>
                            <w:b/>
                            <w:sz w:val="22"/>
                          </w:rPr>
                        </w:pPr>
                        <w:r>
                          <w:rPr>
                            <w:b/>
                            <w:sz w:val="22"/>
                          </w:rPr>
                          <w:t>Case-control and cohort studies have identified an increased risk of breast </w:t>
                        </w:r>
                        <w:r>
                          <w:rPr>
                            <w:b/>
                            <w:sz w:val="22"/>
                          </w:rPr>
                          <w:t>cancer</w:t>
                        </w:r>
                        <w:r>
                          <w:rPr>
                            <w:b/>
                            <w:spacing w:val="80"/>
                            <w:w w:val="150"/>
                            <w:sz w:val="22"/>
                          </w:rPr>
                          <w:t> </w:t>
                        </w:r>
                        <w:r>
                          <w:rPr>
                            <w:b/>
                            <w:sz w:val="22"/>
                          </w:rPr>
                          <w:t>associated with HT, greater with combined estrogen-progestin regimens.</w:t>
                        </w:r>
                      </w:p>
                      <w:p>
                        <w:pPr>
                          <w:spacing w:line="256" w:lineRule="auto" w:before="0"/>
                          <w:ind w:left="444" w:right="610" w:firstLine="0"/>
                          <w:jc w:val="left"/>
                          <w:rPr>
                            <w:b/>
                            <w:sz w:val="22"/>
                          </w:rPr>
                        </w:pPr>
                        <w:r>
                          <w:rPr>
                            <w:b/>
                            <w:sz w:val="22"/>
                          </w:rPr>
                          <w:t>The</w:t>
                        </w:r>
                        <w:r>
                          <w:rPr>
                            <w:b/>
                            <w:spacing w:val="15"/>
                            <w:sz w:val="22"/>
                          </w:rPr>
                          <w:t> </w:t>
                        </w:r>
                        <w:r>
                          <w:rPr>
                            <w:b/>
                            <w:sz w:val="22"/>
                          </w:rPr>
                          <w:t>incident</w:t>
                        </w:r>
                        <w:r>
                          <w:rPr>
                            <w:b/>
                            <w:spacing w:val="15"/>
                            <w:sz w:val="22"/>
                          </w:rPr>
                          <w:t> </w:t>
                        </w:r>
                        <w:r>
                          <w:rPr>
                            <w:b/>
                            <w:sz w:val="22"/>
                          </w:rPr>
                          <w:t>cases</w:t>
                        </w:r>
                        <w:r>
                          <w:rPr>
                            <w:b/>
                            <w:spacing w:val="15"/>
                            <w:sz w:val="22"/>
                          </w:rPr>
                          <w:t> </w:t>
                        </w:r>
                        <w:r>
                          <w:rPr>
                            <w:b/>
                            <w:sz w:val="22"/>
                          </w:rPr>
                          <w:t>of</w:t>
                        </w:r>
                        <w:r>
                          <w:rPr>
                            <w:b/>
                            <w:spacing w:val="15"/>
                            <w:sz w:val="22"/>
                          </w:rPr>
                          <w:t> </w:t>
                        </w:r>
                        <w:r>
                          <w:rPr>
                            <w:b/>
                            <w:sz w:val="22"/>
                          </w:rPr>
                          <w:t>breast</w:t>
                        </w:r>
                        <w:r>
                          <w:rPr>
                            <w:b/>
                            <w:spacing w:val="15"/>
                            <w:sz w:val="22"/>
                          </w:rPr>
                          <w:t> </w:t>
                        </w:r>
                        <w:r>
                          <w:rPr>
                            <w:b/>
                            <w:sz w:val="22"/>
                          </w:rPr>
                          <w:t>cancer</w:t>
                        </w:r>
                        <w:r>
                          <w:rPr>
                            <w:b/>
                            <w:spacing w:val="15"/>
                            <w:sz w:val="22"/>
                          </w:rPr>
                          <w:t> </w:t>
                        </w:r>
                        <w:r>
                          <w:rPr>
                            <w:b/>
                            <w:sz w:val="22"/>
                          </w:rPr>
                          <w:t>associated</w:t>
                        </w:r>
                        <w:r>
                          <w:rPr>
                            <w:b/>
                            <w:spacing w:val="15"/>
                            <w:sz w:val="22"/>
                          </w:rPr>
                          <w:t> </w:t>
                        </w:r>
                        <w:r>
                          <w:rPr>
                            <w:b/>
                            <w:sz w:val="22"/>
                          </w:rPr>
                          <w:t>with</w:t>
                        </w:r>
                        <w:r>
                          <w:rPr>
                            <w:b/>
                            <w:spacing w:val="15"/>
                            <w:sz w:val="22"/>
                          </w:rPr>
                          <w:t> </w:t>
                        </w:r>
                        <w:r>
                          <w:rPr>
                            <w:b/>
                            <w:sz w:val="22"/>
                          </w:rPr>
                          <w:t>HT</w:t>
                        </w:r>
                        <w:r>
                          <w:rPr>
                            <w:b/>
                            <w:spacing w:val="15"/>
                            <w:sz w:val="22"/>
                          </w:rPr>
                          <w:t> </w:t>
                        </w:r>
                        <w:r>
                          <w:rPr>
                            <w:b/>
                            <w:sz w:val="22"/>
                          </w:rPr>
                          <w:t>use</w:t>
                        </w:r>
                        <w:r>
                          <w:rPr>
                            <w:b/>
                            <w:spacing w:val="15"/>
                            <w:sz w:val="22"/>
                          </w:rPr>
                          <w:t> </w:t>
                        </w:r>
                        <w:r>
                          <w:rPr>
                            <w:b/>
                            <w:sz w:val="22"/>
                          </w:rPr>
                          <w:t>are</w:t>
                        </w:r>
                        <w:r>
                          <w:rPr>
                            <w:b/>
                            <w:spacing w:val="15"/>
                            <w:sz w:val="22"/>
                          </w:rPr>
                          <w:t> </w:t>
                        </w:r>
                        <w:r>
                          <w:rPr>
                            <w:b/>
                            <w:sz w:val="22"/>
                          </w:rPr>
                          <w:t>predominantly</w:t>
                        </w:r>
                        <w:r>
                          <w:rPr>
                            <w:b/>
                            <w:spacing w:val="15"/>
                            <w:sz w:val="22"/>
                          </w:rPr>
                          <w:t> </w:t>
                        </w:r>
                        <w:r>
                          <w:rPr>
                            <w:b/>
                            <w:sz w:val="22"/>
                          </w:rPr>
                          <w:t>ER-positive tumors, perhaps mostly tumors with lobular tissue.</w:t>
                        </w:r>
                      </w:p>
                      <w:p>
                        <w:pPr>
                          <w:spacing w:line="256" w:lineRule="auto" w:before="0"/>
                          <w:ind w:left="444" w:right="610" w:firstLine="0"/>
                          <w:jc w:val="left"/>
                          <w:rPr>
                            <w:b/>
                            <w:sz w:val="22"/>
                          </w:rPr>
                        </w:pPr>
                        <w:r>
                          <w:rPr>
                            <w:b/>
                            <w:sz w:val="22"/>
                          </w:rPr>
                          <w:t>An increased risk of breast cancer is predominantly observed only in current users and is detected relatively rapidly.</w:t>
                        </w:r>
                      </w:p>
                    </w:txbxContent>
                  </v:textbox>
                  <w10:wrap type="none"/>
                </v:shape>
                <v:shape style="position:absolute;left:1545;top:461;width:9150;height:1080" type="#_x0000_t202" id="docshape225" filled="false" stroked="false">
                  <v:textbox inset="0,0,0,0">
                    <w:txbxContent>
                      <w:p>
                        <w:pPr>
                          <w:spacing w:before="335"/>
                          <w:ind w:left="332" w:right="0" w:firstLine="0"/>
                          <w:jc w:val="left"/>
                          <w:rPr>
                            <w:rFonts w:ascii="Arial"/>
                            <w:sz w:val="33"/>
                          </w:rPr>
                        </w:pPr>
                        <w:r>
                          <w:rPr>
                            <w:rFonts w:ascii="Arial"/>
                            <w:color w:val="FFFFFF"/>
                            <w:sz w:val="33"/>
                          </w:rPr>
                          <w:t>Key</w:t>
                        </w:r>
                        <w:r>
                          <w:rPr>
                            <w:rFonts w:ascii="Arial"/>
                            <w:color w:val="FFFFFF"/>
                            <w:spacing w:val="18"/>
                            <w:sz w:val="33"/>
                          </w:rPr>
                          <w:t> </w:t>
                        </w:r>
                        <w:r>
                          <w:rPr>
                            <w:rFonts w:ascii="Arial"/>
                            <w:color w:val="FFFFFF"/>
                            <w:sz w:val="33"/>
                          </w:rPr>
                          <w:t>Points:</w:t>
                        </w:r>
                        <w:r>
                          <w:rPr>
                            <w:rFonts w:ascii="Arial"/>
                            <w:color w:val="FFFFFF"/>
                            <w:spacing w:val="19"/>
                            <w:sz w:val="33"/>
                          </w:rPr>
                          <w:t> </w:t>
                        </w:r>
                        <w:r>
                          <w:rPr>
                            <w:rFonts w:ascii="Arial"/>
                            <w:color w:val="FFFFFF"/>
                            <w:sz w:val="33"/>
                          </w:rPr>
                          <w:t>Hormone</w:t>
                        </w:r>
                        <w:r>
                          <w:rPr>
                            <w:rFonts w:ascii="Arial"/>
                            <w:color w:val="FFFFFF"/>
                            <w:spacing w:val="19"/>
                            <w:sz w:val="33"/>
                          </w:rPr>
                          <w:t> </w:t>
                        </w:r>
                        <w:r>
                          <w:rPr>
                            <w:rFonts w:ascii="Arial"/>
                            <w:color w:val="FFFFFF"/>
                            <w:sz w:val="33"/>
                          </w:rPr>
                          <w:t>Use</w:t>
                        </w:r>
                        <w:r>
                          <w:rPr>
                            <w:rFonts w:ascii="Arial"/>
                            <w:color w:val="FFFFFF"/>
                            <w:spacing w:val="19"/>
                            <w:sz w:val="33"/>
                          </w:rPr>
                          <w:t> </w:t>
                        </w:r>
                        <w:r>
                          <w:rPr>
                            <w:rFonts w:ascii="Arial"/>
                            <w:color w:val="FFFFFF"/>
                            <w:sz w:val="33"/>
                          </w:rPr>
                          <w:t>and</w:t>
                        </w:r>
                        <w:r>
                          <w:rPr>
                            <w:rFonts w:ascii="Arial"/>
                            <w:color w:val="FFFFFF"/>
                            <w:spacing w:val="18"/>
                            <w:sz w:val="33"/>
                          </w:rPr>
                          <w:t> </w:t>
                        </w:r>
                        <w:r>
                          <w:rPr>
                            <w:rFonts w:ascii="Arial"/>
                            <w:color w:val="FFFFFF"/>
                            <w:sz w:val="33"/>
                          </w:rPr>
                          <w:t>Breast</w:t>
                        </w:r>
                        <w:r>
                          <w:rPr>
                            <w:rFonts w:ascii="Arial"/>
                            <w:color w:val="FFFFFF"/>
                            <w:spacing w:val="19"/>
                            <w:sz w:val="33"/>
                          </w:rPr>
                          <w:t> </w:t>
                        </w:r>
                        <w:r>
                          <w:rPr>
                            <w:rFonts w:ascii="Arial"/>
                            <w:color w:val="FFFFFF"/>
                            <w:spacing w:val="-2"/>
                            <w:sz w:val="33"/>
                          </w:rPr>
                          <w:t>Cancer</w:t>
                        </w:r>
                      </w:p>
                    </w:txbxContent>
                  </v:textbox>
                  <w10:wrap type="none"/>
                </v:shape>
                <w10:wrap type="topAndBottom"/>
              </v:group>
            </w:pict>
          </mc:Fallback>
        </mc:AlternateContent>
      </w:r>
    </w:p>
    <w:p>
      <w:pPr>
        <w:pStyle w:val="BodyText"/>
        <w:spacing w:before="0"/>
        <w:ind w:left="0"/>
        <w:jc w:val="left"/>
      </w:pPr>
    </w:p>
    <w:p>
      <w:pPr>
        <w:pStyle w:val="BodyText"/>
        <w:spacing w:before="213"/>
        <w:ind w:left="0"/>
        <w:jc w:val="left"/>
      </w:pPr>
    </w:p>
    <w:p>
      <w:pPr>
        <w:spacing w:before="0"/>
        <w:ind w:left="99" w:right="0" w:firstLine="0"/>
        <w:jc w:val="both"/>
        <w:rPr>
          <w:rFonts w:ascii="Arial" w:hAnsi="Arial"/>
          <w:b/>
          <w:sz w:val="30"/>
        </w:rPr>
      </w:pPr>
      <w:r>
        <w:rPr>
          <w:rFonts w:ascii="Arial" w:hAnsi="Arial"/>
          <w:b/>
          <w:color w:val="2674AE"/>
          <w:sz w:val="30"/>
        </w:rPr>
        <w:t>The</w:t>
      </w:r>
      <w:r>
        <w:rPr>
          <w:rFonts w:ascii="Arial" w:hAnsi="Arial"/>
          <w:b/>
          <w:color w:val="2674AE"/>
          <w:spacing w:val="-6"/>
          <w:sz w:val="30"/>
        </w:rPr>
        <w:t> </w:t>
      </w:r>
      <w:r>
        <w:rPr>
          <w:rFonts w:ascii="Arial" w:hAnsi="Arial"/>
          <w:b/>
          <w:color w:val="2674AE"/>
          <w:sz w:val="30"/>
        </w:rPr>
        <w:t>Women’s</w:t>
      </w:r>
      <w:r>
        <w:rPr>
          <w:rFonts w:ascii="Arial" w:hAnsi="Arial"/>
          <w:b/>
          <w:color w:val="2674AE"/>
          <w:spacing w:val="-6"/>
          <w:sz w:val="30"/>
        </w:rPr>
        <w:t> </w:t>
      </w:r>
      <w:r>
        <w:rPr>
          <w:rFonts w:ascii="Arial" w:hAnsi="Arial"/>
          <w:b/>
          <w:color w:val="2674AE"/>
          <w:sz w:val="30"/>
        </w:rPr>
        <w:t>Health</w:t>
      </w:r>
      <w:r>
        <w:rPr>
          <w:rFonts w:ascii="Arial" w:hAnsi="Arial"/>
          <w:b/>
          <w:color w:val="2674AE"/>
          <w:spacing w:val="-6"/>
          <w:sz w:val="30"/>
        </w:rPr>
        <w:t> </w:t>
      </w:r>
      <w:r>
        <w:rPr>
          <w:rFonts w:ascii="Arial" w:hAnsi="Arial"/>
          <w:b/>
          <w:color w:val="2674AE"/>
          <w:spacing w:val="-2"/>
          <w:sz w:val="30"/>
        </w:rPr>
        <w:t>Initiative</w:t>
      </w:r>
    </w:p>
    <w:p>
      <w:pPr>
        <w:pStyle w:val="BodyText"/>
        <w:spacing w:line="249" w:lineRule="auto" w:before="167"/>
        <w:ind w:right="99"/>
      </w:pPr>
      <w:r>
        <w:rPr/>
        <w:t>The impression gained from the observational data concluding that</w:t>
      </w:r>
      <w:r>
        <w:rPr>
          <w:spacing w:val="40"/>
        </w:rPr>
        <w:t> </w:t>
      </w:r>
      <w:r>
        <w:rPr/>
        <w:t>exposure to estrogen-progestin was more harmful was reinforced when clinicians were confronted by the results in the prematurely </w:t>
      </w:r>
      <w:r>
        <w:rPr/>
        <w:t>stopped estrogen and progestin (CEE+MPA) arm of the WHI.</w:t>
      </w:r>
      <w:r>
        <w:rPr>
          <w:vertAlign w:val="superscript"/>
        </w:rPr>
        <w:t>863</w:t>
      </w:r>
      <w:r>
        <w:rPr>
          <w:vertAlign w:val="baseline"/>
        </w:rPr>
        <w:t> Invasive breast cancer was increased, 199 cases in the treated group and 150 in the placebo group (HR = 1.24; CI = 1.01-1.54). The absolute risk was four to six additional</w:t>
      </w:r>
      <w:r>
        <w:rPr>
          <w:spacing w:val="71"/>
          <w:w w:val="150"/>
          <w:vertAlign w:val="baseline"/>
        </w:rPr>
        <w:t> </w:t>
      </w:r>
      <w:r>
        <w:rPr>
          <w:vertAlign w:val="baseline"/>
        </w:rPr>
        <w:t>cancers</w:t>
      </w:r>
      <w:r>
        <w:rPr>
          <w:spacing w:val="72"/>
          <w:w w:val="150"/>
          <w:vertAlign w:val="baseline"/>
        </w:rPr>
        <w:t> </w:t>
      </w:r>
      <w:r>
        <w:rPr>
          <w:vertAlign w:val="baseline"/>
        </w:rPr>
        <w:t>per</w:t>
      </w:r>
      <w:r>
        <w:rPr>
          <w:spacing w:val="71"/>
          <w:w w:val="150"/>
          <w:vertAlign w:val="baseline"/>
        </w:rPr>
        <w:t> </w:t>
      </w:r>
      <w:r>
        <w:rPr>
          <w:vertAlign w:val="baseline"/>
        </w:rPr>
        <w:t>10,000</w:t>
      </w:r>
      <w:r>
        <w:rPr>
          <w:spacing w:val="72"/>
          <w:w w:val="150"/>
          <w:vertAlign w:val="baseline"/>
        </w:rPr>
        <w:t> </w:t>
      </w:r>
      <w:r>
        <w:rPr>
          <w:vertAlign w:val="baseline"/>
        </w:rPr>
        <w:t>women</w:t>
      </w:r>
      <w:r>
        <w:rPr>
          <w:spacing w:val="72"/>
          <w:w w:val="150"/>
          <w:vertAlign w:val="baseline"/>
        </w:rPr>
        <w:t> </w:t>
      </w:r>
      <w:r>
        <w:rPr>
          <w:vertAlign w:val="baseline"/>
        </w:rPr>
        <w:t>per</w:t>
      </w:r>
      <w:r>
        <w:rPr>
          <w:spacing w:val="71"/>
          <w:w w:val="150"/>
          <w:vertAlign w:val="baseline"/>
        </w:rPr>
        <w:t> </w:t>
      </w:r>
      <w:r>
        <w:rPr>
          <w:vertAlign w:val="baseline"/>
        </w:rPr>
        <w:t>year.</w:t>
      </w:r>
      <w:r>
        <w:rPr>
          <w:spacing w:val="72"/>
          <w:w w:val="150"/>
          <w:vertAlign w:val="baseline"/>
        </w:rPr>
        <w:t> </w:t>
      </w:r>
      <w:r>
        <w:rPr>
          <w:vertAlign w:val="baseline"/>
        </w:rPr>
        <w:t>The</w:t>
      </w:r>
      <w:r>
        <w:rPr>
          <w:spacing w:val="21"/>
          <w:vertAlign w:val="baseline"/>
        </w:rPr>
        <w:t>  </w:t>
      </w:r>
      <w:r>
        <w:rPr>
          <w:vertAlign w:val="baseline"/>
        </w:rPr>
        <w:t>WHI</w:t>
      </w:r>
      <w:r>
        <w:rPr>
          <w:spacing w:val="22"/>
          <w:vertAlign w:val="baseline"/>
        </w:rPr>
        <w:t>  </w:t>
      </w:r>
      <w:r>
        <w:rPr>
          <w:spacing w:val="-2"/>
          <w:vertAlign w:val="baseline"/>
        </w:rPr>
        <w:t>performed</w:t>
      </w:r>
    </w:p>
    <w:p>
      <w:pPr>
        <w:pStyle w:val="BodyText"/>
        <w:spacing w:after="0" w:line="249" w:lineRule="auto"/>
        <w:sectPr>
          <w:pgSz w:w="12240" w:h="15840"/>
          <w:pgMar w:top="1360" w:bottom="280" w:left="1440" w:right="1440"/>
        </w:sectPr>
      </w:pPr>
    </w:p>
    <w:p>
      <w:pPr>
        <w:pStyle w:val="BodyText"/>
        <w:spacing w:line="249" w:lineRule="auto"/>
        <w:ind w:right="98"/>
      </w:pPr>
      <w:r>
        <w:rPr/>
        <w:t>subgroup analyses focusing on how prior HT use influenced the risk of breast cancer found in the estrogen-progestin trial arm.</w:t>
      </w:r>
      <w:r>
        <w:rPr>
          <w:vertAlign w:val="superscript"/>
        </w:rPr>
        <w:t>864</w:t>
      </w:r>
      <w:r>
        <w:rPr>
          <w:vertAlign w:val="baseline"/>
        </w:rPr>
        <w:t> Prior </w:t>
      </w:r>
      <w:r>
        <w:rPr>
          <w:vertAlign w:val="baseline"/>
        </w:rPr>
        <w:t>hormone users</w:t>
      </w:r>
      <w:r>
        <w:rPr>
          <w:spacing w:val="4"/>
          <w:vertAlign w:val="baseline"/>
        </w:rPr>
        <w:t> </w:t>
      </w:r>
      <w:r>
        <w:rPr>
          <w:vertAlign w:val="baseline"/>
        </w:rPr>
        <w:t>totaled</w:t>
      </w:r>
      <w:r>
        <w:rPr>
          <w:spacing w:val="5"/>
          <w:vertAlign w:val="baseline"/>
        </w:rPr>
        <w:t> </w:t>
      </w:r>
      <w:r>
        <w:rPr>
          <w:vertAlign w:val="baseline"/>
        </w:rPr>
        <w:t>4,311</w:t>
      </w:r>
      <w:r>
        <w:rPr>
          <w:spacing w:val="5"/>
          <w:vertAlign w:val="baseline"/>
        </w:rPr>
        <w:t> </w:t>
      </w:r>
      <w:r>
        <w:rPr>
          <w:vertAlign w:val="baseline"/>
        </w:rPr>
        <w:t>participants</w:t>
      </w:r>
      <w:r>
        <w:rPr>
          <w:spacing w:val="5"/>
          <w:vertAlign w:val="baseline"/>
        </w:rPr>
        <w:t> </w:t>
      </w:r>
      <w:r>
        <w:rPr>
          <w:vertAlign w:val="baseline"/>
        </w:rPr>
        <w:t>(26%),</w:t>
      </w:r>
      <w:r>
        <w:rPr>
          <w:spacing w:val="5"/>
          <w:vertAlign w:val="baseline"/>
        </w:rPr>
        <w:t> </w:t>
      </w:r>
      <w:r>
        <w:rPr>
          <w:vertAlign w:val="baseline"/>
        </w:rPr>
        <w:t>with</w:t>
      </w:r>
      <w:r>
        <w:rPr>
          <w:spacing w:val="5"/>
          <w:vertAlign w:val="baseline"/>
        </w:rPr>
        <w:t> </w:t>
      </w:r>
      <w:r>
        <w:rPr>
          <w:vertAlign w:val="baseline"/>
        </w:rPr>
        <w:t>42%</w:t>
      </w:r>
      <w:r>
        <w:rPr>
          <w:spacing w:val="5"/>
          <w:vertAlign w:val="baseline"/>
        </w:rPr>
        <w:t> </w:t>
      </w:r>
      <w:r>
        <w:rPr>
          <w:vertAlign w:val="baseline"/>
        </w:rPr>
        <w:t>reporting</w:t>
      </w:r>
      <w:r>
        <w:rPr>
          <w:spacing w:val="5"/>
          <w:vertAlign w:val="baseline"/>
        </w:rPr>
        <w:t> </w:t>
      </w:r>
      <w:r>
        <w:rPr>
          <w:vertAlign w:val="baseline"/>
        </w:rPr>
        <w:t>less</w:t>
      </w:r>
      <w:r>
        <w:rPr>
          <w:spacing w:val="5"/>
          <w:vertAlign w:val="baseline"/>
        </w:rPr>
        <w:t> </w:t>
      </w:r>
      <w:r>
        <w:rPr>
          <w:vertAlign w:val="baseline"/>
        </w:rPr>
        <w:t>than</w:t>
      </w:r>
      <w:r>
        <w:rPr>
          <w:spacing w:val="5"/>
          <w:vertAlign w:val="baseline"/>
        </w:rPr>
        <w:t> </w:t>
      </w:r>
      <w:r>
        <w:rPr>
          <w:vertAlign w:val="baseline"/>
        </w:rPr>
        <w:t>2</w:t>
      </w:r>
      <w:r>
        <w:rPr>
          <w:spacing w:val="5"/>
          <w:vertAlign w:val="baseline"/>
        </w:rPr>
        <w:t> </w:t>
      </w:r>
      <w:r>
        <w:rPr>
          <w:spacing w:val="-2"/>
          <w:vertAlign w:val="baseline"/>
        </w:rPr>
        <w:t>years</w:t>
      </w:r>
    </w:p>
    <w:p>
      <w:pPr>
        <w:pStyle w:val="BodyText"/>
        <w:spacing w:line="249" w:lineRule="auto" w:before="3"/>
        <w:ind w:right="97"/>
      </w:pPr>
      <w:r>
        <w:rPr/>
        <w:t>of use (17% used hormones 5-10 years previously and 26% &gt;10 years before enrolling in the WHI study). Prior users had an increased HR compared to placebo (1.96; CI = 1.17-3.27) in contrast to no increase</w:t>
      </w:r>
      <w:r>
        <w:rPr>
          <w:spacing w:val="40"/>
        </w:rPr>
        <w:t> </w:t>
      </w:r>
      <w:r>
        <w:rPr/>
        <w:t>among never-users (1.02; CI = 0.77-1.36). The WHI concluded that this difference could reflect an increasing risk with cumulative exposure to HT.</w:t>
      </w:r>
    </w:p>
    <w:p>
      <w:pPr>
        <w:pStyle w:val="BodyText"/>
        <w:tabs>
          <w:tab w:pos="833" w:val="left" w:leader="none"/>
          <w:tab w:pos="1220" w:val="left" w:leader="none"/>
          <w:tab w:pos="1362" w:val="left" w:leader="none"/>
          <w:tab w:pos="1814" w:val="left" w:leader="none"/>
          <w:tab w:pos="2046" w:val="left" w:leader="none"/>
          <w:tab w:pos="2416" w:val="left" w:leader="none"/>
          <w:tab w:pos="2813" w:val="left" w:leader="none"/>
          <w:tab w:pos="3268" w:val="left" w:leader="none"/>
          <w:tab w:pos="3331" w:val="left" w:leader="none"/>
          <w:tab w:pos="3718" w:val="left" w:leader="none"/>
          <w:tab w:pos="4820" w:val="left" w:leader="none"/>
          <w:tab w:pos="5222" w:val="left" w:leader="none"/>
          <w:tab w:pos="5877" w:val="left" w:leader="none"/>
          <w:tab w:pos="6323" w:val="left" w:leader="none"/>
          <w:tab w:pos="6842" w:val="left" w:leader="none"/>
          <w:tab w:pos="7444" w:val="left" w:leader="none"/>
          <w:tab w:pos="7617" w:val="left" w:leader="none"/>
          <w:tab w:pos="8128" w:val="left" w:leader="none"/>
          <w:tab w:pos="8432" w:val="left" w:leader="none"/>
          <w:tab w:pos="8847" w:val="left" w:leader="none"/>
          <w:tab w:pos="9115" w:val="left" w:leader="none"/>
        </w:tabs>
        <w:spacing w:line="249" w:lineRule="auto" w:before="6"/>
        <w:ind w:right="100" w:firstLine="450"/>
        <w:jc w:val="right"/>
      </w:pPr>
      <w:r>
        <w:rPr/>
        <w:t>Many</w:t>
      </w:r>
      <w:r>
        <w:rPr>
          <w:spacing w:val="72"/>
        </w:rPr>
        <w:t> </w:t>
      </w:r>
      <w:r>
        <w:rPr/>
        <w:t>of</w:t>
      </w:r>
      <w:r>
        <w:rPr>
          <w:spacing w:val="72"/>
        </w:rPr>
        <w:t> </w:t>
      </w:r>
      <w:r>
        <w:rPr/>
        <w:t>the</w:t>
      </w:r>
      <w:r>
        <w:rPr>
          <w:spacing w:val="72"/>
        </w:rPr>
        <w:t> </w:t>
      </w:r>
      <w:r>
        <w:rPr/>
        <w:t>factors</w:t>
      </w:r>
      <w:r>
        <w:rPr>
          <w:spacing w:val="72"/>
        </w:rPr>
        <w:t> </w:t>
      </w:r>
      <w:r>
        <w:rPr/>
        <w:t>associated</w:t>
      </w:r>
      <w:r>
        <w:rPr>
          <w:spacing w:val="72"/>
        </w:rPr>
        <w:t> </w:t>
      </w:r>
      <w:r>
        <w:rPr/>
        <w:t>with</w:t>
      </w:r>
      <w:r>
        <w:rPr>
          <w:spacing w:val="72"/>
        </w:rPr>
        <w:t> </w:t>
      </w:r>
      <w:r>
        <w:rPr/>
        <w:t>the</w:t>
      </w:r>
      <w:r>
        <w:rPr>
          <w:spacing w:val="72"/>
        </w:rPr>
        <w:t> </w:t>
      </w:r>
      <w:r>
        <w:rPr/>
        <w:t>risk</w:t>
      </w:r>
      <w:r>
        <w:rPr>
          <w:spacing w:val="72"/>
        </w:rPr>
        <w:t> </w:t>
      </w:r>
      <w:r>
        <w:rPr/>
        <w:t>of</w:t>
      </w:r>
      <w:r>
        <w:rPr>
          <w:spacing w:val="72"/>
        </w:rPr>
        <w:t> </w:t>
      </w:r>
      <w:r>
        <w:rPr/>
        <w:t>breast</w:t>
      </w:r>
      <w:r>
        <w:rPr>
          <w:spacing w:val="72"/>
        </w:rPr>
        <w:t> </w:t>
      </w:r>
      <w:r>
        <w:rPr/>
        <w:t>cancer</w:t>
      </w:r>
      <w:r>
        <w:rPr>
          <w:spacing w:val="72"/>
        </w:rPr>
        <w:t> </w:t>
      </w:r>
      <w:r>
        <w:rPr/>
        <w:t>were slightly</w:t>
      </w:r>
      <w:r>
        <w:rPr>
          <w:spacing w:val="-4"/>
        </w:rPr>
        <w:t> </w:t>
      </w:r>
      <w:r>
        <w:rPr/>
        <w:t>but</w:t>
      </w:r>
      <w:r>
        <w:rPr>
          <w:spacing w:val="-4"/>
        </w:rPr>
        <w:t> </w:t>
      </w:r>
      <w:r>
        <w:rPr/>
        <w:t>significantly</w:t>
      </w:r>
      <w:r>
        <w:rPr>
          <w:spacing w:val="-4"/>
        </w:rPr>
        <w:t> </w:t>
      </w:r>
      <w:r>
        <w:rPr/>
        <w:t>more</w:t>
      </w:r>
      <w:r>
        <w:rPr>
          <w:spacing w:val="-4"/>
        </w:rPr>
        <w:t> </w:t>
      </w:r>
      <w:r>
        <w:rPr/>
        <w:t>prevalent</w:t>
      </w:r>
      <w:r>
        <w:rPr>
          <w:spacing w:val="-4"/>
        </w:rPr>
        <w:t> </w:t>
      </w:r>
      <w:r>
        <w:rPr/>
        <w:t>in</w:t>
      </w:r>
      <w:r>
        <w:rPr>
          <w:spacing w:val="-4"/>
        </w:rPr>
        <w:t> </w:t>
      </w:r>
      <w:r>
        <w:rPr/>
        <w:t>the</w:t>
      </w:r>
      <w:r>
        <w:rPr>
          <w:spacing w:val="-4"/>
        </w:rPr>
        <w:t> </w:t>
      </w:r>
      <w:r>
        <w:rPr/>
        <w:t>group</w:t>
      </w:r>
      <w:r>
        <w:rPr>
          <w:spacing w:val="-4"/>
        </w:rPr>
        <w:t> </w:t>
      </w:r>
      <w:r>
        <w:rPr/>
        <w:t>of</w:t>
      </w:r>
      <w:r>
        <w:rPr>
          <w:spacing w:val="-4"/>
        </w:rPr>
        <w:t> </w:t>
      </w:r>
      <w:r>
        <w:rPr/>
        <w:t>prior</w:t>
      </w:r>
      <w:r>
        <w:rPr>
          <w:spacing w:val="-4"/>
        </w:rPr>
        <w:t> </w:t>
      </w:r>
      <w:r>
        <w:rPr/>
        <w:t>hormone</w:t>
      </w:r>
      <w:r>
        <w:rPr>
          <w:spacing w:val="-4"/>
        </w:rPr>
        <w:t> </w:t>
      </w:r>
      <w:r>
        <w:rPr/>
        <w:t>users in the WHI, such as younger age, more education, lower body mass, more</w:t>
      </w:r>
      <w:r>
        <w:rPr>
          <w:spacing w:val="40"/>
        </w:rPr>
        <w:t> </w:t>
      </w:r>
      <w:r>
        <w:rPr/>
        <w:t>physical activity, smoking, alcohol use, VMS, and lower bone density. The overall risk of breast cancer in the treated estrogen-progestin group was the same</w:t>
      </w:r>
      <w:r>
        <w:rPr>
          <w:spacing w:val="80"/>
          <w:w w:val="150"/>
        </w:rPr>
        <w:t> </w:t>
      </w:r>
      <w:r>
        <w:rPr/>
        <w:t>as</w:t>
      </w:r>
      <w:r>
        <w:rPr>
          <w:spacing w:val="80"/>
          <w:w w:val="150"/>
        </w:rPr>
        <w:t> </w:t>
      </w:r>
      <w:r>
        <w:rPr/>
        <w:t>previously</w:t>
      </w:r>
      <w:r>
        <w:rPr>
          <w:spacing w:val="80"/>
          <w:w w:val="150"/>
        </w:rPr>
        <w:t> </w:t>
      </w:r>
      <w:r>
        <w:rPr/>
        <w:t>reported</w:t>
      </w:r>
      <w:r>
        <w:rPr>
          <w:spacing w:val="80"/>
          <w:w w:val="150"/>
        </w:rPr>
        <w:t> </w:t>
      </w:r>
      <w:r>
        <w:rPr/>
        <w:t>by</w:t>
      </w:r>
      <w:r>
        <w:rPr>
          <w:spacing w:val="80"/>
          <w:w w:val="150"/>
        </w:rPr>
        <w:t> </w:t>
      </w:r>
      <w:r>
        <w:rPr/>
        <w:t>the</w:t>
      </w:r>
      <w:r>
        <w:rPr>
          <w:spacing w:val="80"/>
          <w:w w:val="150"/>
        </w:rPr>
        <w:t> </w:t>
      </w:r>
      <w:r>
        <w:rPr/>
        <w:t>WHI</w:t>
      </w:r>
      <w:r>
        <w:rPr>
          <w:spacing w:val="80"/>
          <w:w w:val="150"/>
        </w:rPr>
        <w:t> </w:t>
      </w:r>
      <w:r>
        <w:rPr/>
        <w:t>(1.24;</w:t>
      </w:r>
      <w:r>
        <w:rPr>
          <w:spacing w:val="80"/>
          <w:w w:val="150"/>
        </w:rPr>
        <w:t> </w:t>
      </w:r>
      <w:r>
        <w:rPr/>
        <w:t>CI</w:t>
      </w:r>
      <w:r>
        <w:rPr>
          <w:spacing w:val="80"/>
          <w:w w:val="150"/>
        </w:rPr>
        <w:t> </w:t>
      </w:r>
      <w:r>
        <w:rPr/>
        <w:t>=</w:t>
      </w:r>
      <w:r>
        <w:rPr>
          <w:spacing w:val="80"/>
          <w:w w:val="150"/>
        </w:rPr>
        <w:t> </w:t>
      </w:r>
      <w:r>
        <w:rPr/>
        <w:t>1.02-1.50).</w:t>
      </w:r>
      <w:r>
        <w:rPr>
          <w:vertAlign w:val="superscript"/>
        </w:rPr>
        <w:t>863</w:t>
      </w:r>
      <w:r>
        <w:rPr>
          <w:vertAlign w:val="baseline"/>
        </w:rPr>
        <w:t> However,</w:t>
      </w:r>
      <w:r>
        <w:rPr>
          <w:spacing w:val="-2"/>
          <w:vertAlign w:val="baseline"/>
        </w:rPr>
        <w:t> </w:t>
      </w:r>
      <w:r>
        <w:rPr>
          <w:vertAlign w:val="baseline"/>
        </w:rPr>
        <w:t>after</w:t>
      </w:r>
      <w:r>
        <w:rPr>
          <w:spacing w:val="-2"/>
          <w:vertAlign w:val="baseline"/>
        </w:rPr>
        <w:t> </w:t>
      </w:r>
      <w:r>
        <w:rPr>
          <w:vertAlign w:val="baseline"/>
        </w:rPr>
        <w:t>adjusting</w:t>
      </w:r>
      <w:r>
        <w:rPr>
          <w:spacing w:val="-2"/>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baseline"/>
        </w:rPr>
        <w:t>multiple</w:t>
      </w:r>
      <w:r>
        <w:rPr>
          <w:spacing w:val="-2"/>
          <w:vertAlign w:val="baseline"/>
        </w:rPr>
        <w:t> </w:t>
      </w:r>
      <w:r>
        <w:rPr>
          <w:vertAlign w:val="baseline"/>
        </w:rPr>
        <w:t>factors</w:t>
      </w:r>
      <w:r>
        <w:rPr>
          <w:spacing w:val="-2"/>
          <w:vertAlign w:val="baseline"/>
        </w:rPr>
        <w:t> </w:t>
      </w:r>
      <w:r>
        <w:rPr>
          <w:vertAlign w:val="baseline"/>
        </w:rPr>
        <w:t>recognized</w:t>
      </w:r>
      <w:r>
        <w:rPr>
          <w:spacing w:val="-2"/>
          <w:vertAlign w:val="baseline"/>
        </w:rPr>
        <w:t> </w:t>
      </w:r>
      <w:r>
        <w:rPr>
          <w:vertAlign w:val="baseline"/>
        </w:rPr>
        <w:t>to</w:t>
      </w:r>
      <w:r>
        <w:rPr>
          <w:spacing w:val="-2"/>
          <w:vertAlign w:val="baseline"/>
        </w:rPr>
        <w:t> </w:t>
      </w:r>
      <w:r>
        <w:rPr>
          <w:vertAlign w:val="baseline"/>
        </w:rPr>
        <w:t>influence</w:t>
      </w:r>
      <w:r>
        <w:rPr>
          <w:spacing w:val="-2"/>
          <w:vertAlign w:val="baseline"/>
        </w:rPr>
        <w:t> </w:t>
      </w:r>
      <w:r>
        <w:rPr>
          <w:vertAlign w:val="baseline"/>
        </w:rPr>
        <w:t>the risk of breast cancer, </w:t>
      </w:r>
      <w:r>
        <w:rPr>
          <w:i/>
          <w:vertAlign w:val="baseline"/>
        </w:rPr>
        <w:t>the HR was 1.20 and no longer statistically significant</w:t>
      </w:r>
      <w:r>
        <w:rPr>
          <w:i/>
          <w:vertAlign w:val="baseline"/>
        </w:rPr>
        <w:t> </w:t>
      </w:r>
      <w:r>
        <w:rPr>
          <w:vertAlign w:val="baseline"/>
        </w:rPr>
        <w:t>(</w:t>
      </w:r>
      <w:r>
        <w:rPr>
          <w:i/>
          <w:vertAlign w:val="baseline"/>
        </w:rPr>
        <w:t>CI </w:t>
      </w:r>
      <w:r>
        <w:rPr>
          <w:vertAlign w:val="baseline"/>
        </w:rPr>
        <w:t>= </w:t>
      </w:r>
      <w:r>
        <w:rPr>
          <w:i/>
          <w:vertAlign w:val="baseline"/>
        </w:rPr>
        <w:t>0.94–1.53</w:t>
      </w:r>
      <w:r>
        <w:rPr>
          <w:vertAlign w:val="baseline"/>
        </w:rPr>
        <w:t>)</w:t>
      </w:r>
      <w:r>
        <w:rPr>
          <w:i/>
          <w:vertAlign w:val="baseline"/>
        </w:rPr>
        <w:t>.</w:t>
      </w:r>
      <w:r>
        <w:rPr>
          <w:i/>
          <w:spacing w:val="34"/>
          <w:vertAlign w:val="baseline"/>
        </w:rPr>
        <w:t> </w:t>
      </w:r>
      <w:r>
        <w:rPr>
          <w:vertAlign w:val="baseline"/>
        </w:rPr>
        <w:t>The</w:t>
      </w:r>
      <w:r>
        <w:rPr>
          <w:spacing w:val="34"/>
          <w:vertAlign w:val="baseline"/>
        </w:rPr>
        <w:t> </w:t>
      </w:r>
      <w:r>
        <w:rPr>
          <w:vertAlign w:val="baseline"/>
        </w:rPr>
        <w:t>placebo</w:t>
      </w:r>
      <w:r>
        <w:rPr>
          <w:spacing w:val="34"/>
          <w:vertAlign w:val="baseline"/>
        </w:rPr>
        <w:t> </w:t>
      </w:r>
      <w:r>
        <w:rPr>
          <w:vertAlign w:val="baseline"/>
        </w:rPr>
        <w:t>group</w:t>
      </w:r>
      <w:r>
        <w:rPr>
          <w:spacing w:val="34"/>
          <w:vertAlign w:val="baseline"/>
        </w:rPr>
        <w:t> </w:t>
      </w:r>
      <w:r>
        <w:rPr>
          <w:vertAlign w:val="baseline"/>
        </w:rPr>
        <w:t>failed</w:t>
      </w:r>
      <w:r>
        <w:rPr>
          <w:spacing w:val="34"/>
          <w:vertAlign w:val="baseline"/>
        </w:rPr>
        <w:t> </w:t>
      </w:r>
      <w:r>
        <w:rPr>
          <w:vertAlign w:val="baseline"/>
        </w:rPr>
        <w:t>to</w:t>
      </w:r>
      <w:r>
        <w:rPr>
          <w:spacing w:val="34"/>
          <w:vertAlign w:val="baseline"/>
        </w:rPr>
        <w:t> </w:t>
      </w:r>
      <w:r>
        <w:rPr>
          <w:vertAlign w:val="baseline"/>
        </w:rPr>
        <w:t>demonstrate</w:t>
      </w:r>
      <w:r>
        <w:rPr>
          <w:spacing w:val="34"/>
          <w:vertAlign w:val="baseline"/>
        </w:rPr>
        <w:t> </w:t>
      </w:r>
      <w:r>
        <w:rPr>
          <w:vertAlign w:val="baseline"/>
        </w:rPr>
        <w:t>an</w:t>
      </w:r>
      <w:r>
        <w:rPr>
          <w:spacing w:val="34"/>
          <w:vertAlign w:val="baseline"/>
        </w:rPr>
        <w:t> </w:t>
      </w:r>
      <w:r>
        <w:rPr>
          <w:vertAlign w:val="baseline"/>
        </w:rPr>
        <w:t>age-related increase</w:t>
      </w:r>
      <w:r>
        <w:rPr>
          <w:spacing w:val="26"/>
          <w:vertAlign w:val="baseline"/>
        </w:rPr>
        <w:t> </w:t>
      </w:r>
      <w:r>
        <w:rPr>
          <w:vertAlign w:val="baseline"/>
        </w:rPr>
        <w:t>in</w:t>
      </w:r>
      <w:r>
        <w:rPr>
          <w:spacing w:val="26"/>
          <w:vertAlign w:val="baseline"/>
        </w:rPr>
        <w:t> </w:t>
      </w:r>
      <w:r>
        <w:rPr>
          <w:vertAlign w:val="baseline"/>
        </w:rPr>
        <w:t>risk</w:t>
      </w:r>
      <w:r>
        <w:rPr>
          <w:spacing w:val="26"/>
          <w:vertAlign w:val="baseline"/>
        </w:rPr>
        <w:t> </w:t>
      </w:r>
      <w:r>
        <w:rPr>
          <w:vertAlign w:val="baseline"/>
        </w:rPr>
        <w:t>over</w:t>
      </w:r>
      <w:r>
        <w:rPr>
          <w:spacing w:val="26"/>
          <w:vertAlign w:val="baseline"/>
        </w:rPr>
        <w:t> </w:t>
      </w:r>
      <w:r>
        <w:rPr>
          <w:vertAlign w:val="baseline"/>
        </w:rPr>
        <w:t>the</w:t>
      </w:r>
      <w:r>
        <w:rPr>
          <w:spacing w:val="26"/>
          <w:vertAlign w:val="baseline"/>
        </w:rPr>
        <w:t> </w:t>
      </w:r>
      <w:r>
        <w:rPr>
          <w:vertAlign w:val="baseline"/>
        </w:rPr>
        <w:t>duration</w:t>
      </w:r>
      <w:r>
        <w:rPr>
          <w:spacing w:val="26"/>
          <w:vertAlign w:val="baseline"/>
        </w:rPr>
        <w:t> </w:t>
      </w:r>
      <w:r>
        <w:rPr>
          <w:vertAlign w:val="baseline"/>
        </w:rPr>
        <w:t>of</w:t>
      </w:r>
      <w:r>
        <w:rPr>
          <w:spacing w:val="26"/>
          <w:vertAlign w:val="baseline"/>
        </w:rPr>
        <w:t> </w:t>
      </w:r>
      <w:r>
        <w:rPr>
          <w:vertAlign w:val="baseline"/>
        </w:rPr>
        <w:t>the</w:t>
      </w:r>
      <w:r>
        <w:rPr>
          <w:spacing w:val="26"/>
          <w:vertAlign w:val="baseline"/>
        </w:rPr>
        <w:t> </w:t>
      </w:r>
      <w:r>
        <w:rPr>
          <w:vertAlign w:val="baseline"/>
        </w:rPr>
        <w:t>trial,</w:t>
      </w:r>
      <w:r>
        <w:rPr>
          <w:spacing w:val="26"/>
          <w:vertAlign w:val="baseline"/>
        </w:rPr>
        <w:t> </w:t>
      </w:r>
      <w:r>
        <w:rPr>
          <w:vertAlign w:val="baseline"/>
        </w:rPr>
        <w:t>and</w:t>
      </w:r>
      <w:r>
        <w:rPr>
          <w:spacing w:val="26"/>
          <w:vertAlign w:val="baseline"/>
        </w:rPr>
        <w:t> </w:t>
      </w:r>
      <w:r>
        <w:rPr>
          <w:vertAlign w:val="baseline"/>
        </w:rPr>
        <w:t>the</w:t>
      </w:r>
      <w:r>
        <w:rPr>
          <w:spacing w:val="26"/>
          <w:vertAlign w:val="baseline"/>
        </w:rPr>
        <w:t> </w:t>
      </w:r>
      <w:r>
        <w:rPr>
          <w:vertAlign w:val="baseline"/>
        </w:rPr>
        <w:t>treatment</w:t>
      </w:r>
      <w:r>
        <w:rPr>
          <w:spacing w:val="26"/>
          <w:vertAlign w:val="baseline"/>
        </w:rPr>
        <w:t> </w:t>
      </w:r>
      <w:r>
        <w:rPr>
          <w:vertAlign w:val="baseline"/>
        </w:rPr>
        <w:t>group</w:t>
      </w:r>
      <w:r>
        <w:rPr>
          <w:spacing w:val="26"/>
          <w:vertAlign w:val="baseline"/>
        </w:rPr>
        <w:t> </w:t>
      </w:r>
      <w:r>
        <w:rPr>
          <w:vertAlign w:val="baseline"/>
        </w:rPr>
        <w:t>and the placebo group differed in regard to breast cancer risk factors, creating a need for the investigators to perform multiple adjustments. Why did not the randomization</w:t>
      </w:r>
      <w:r>
        <w:rPr>
          <w:spacing w:val="80"/>
          <w:vertAlign w:val="baseline"/>
        </w:rPr>
        <w:t> </w:t>
      </w:r>
      <w:r>
        <w:rPr>
          <w:vertAlign w:val="baseline"/>
        </w:rPr>
        <w:t>of</w:t>
      </w:r>
      <w:r>
        <w:rPr>
          <w:spacing w:val="80"/>
          <w:vertAlign w:val="baseline"/>
        </w:rPr>
        <w:t> </w:t>
      </w:r>
      <w:r>
        <w:rPr>
          <w:vertAlign w:val="baseline"/>
        </w:rPr>
        <w:t>large</w:t>
      </w:r>
      <w:r>
        <w:rPr>
          <w:spacing w:val="80"/>
          <w:vertAlign w:val="baseline"/>
        </w:rPr>
        <w:t> </w:t>
      </w:r>
      <w:r>
        <w:rPr>
          <w:vertAlign w:val="baseline"/>
        </w:rPr>
        <w:t>numbers</w:t>
      </w:r>
      <w:r>
        <w:rPr>
          <w:spacing w:val="80"/>
          <w:vertAlign w:val="baseline"/>
        </w:rPr>
        <w:t> </w:t>
      </w:r>
      <w:r>
        <w:rPr>
          <w:vertAlign w:val="baseline"/>
        </w:rPr>
        <w:t>avoid</w:t>
      </w:r>
      <w:r>
        <w:rPr>
          <w:spacing w:val="80"/>
          <w:vertAlign w:val="baseline"/>
        </w:rPr>
        <w:t> </w:t>
      </w:r>
      <w:r>
        <w:rPr>
          <w:vertAlign w:val="baseline"/>
        </w:rPr>
        <w:t>this</w:t>
      </w:r>
      <w:r>
        <w:rPr>
          <w:spacing w:val="80"/>
          <w:vertAlign w:val="baseline"/>
        </w:rPr>
        <w:t> </w:t>
      </w:r>
      <w:r>
        <w:rPr>
          <w:vertAlign w:val="baseline"/>
        </w:rPr>
        <w:t>confounding</w:t>
      </w:r>
      <w:r>
        <w:rPr>
          <w:spacing w:val="80"/>
          <w:vertAlign w:val="baseline"/>
        </w:rPr>
        <w:t> </w:t>
      </w:r>
      <w:r>
        <w:rPr>
          <w:vertAlign w:val="baseline"/>
        </w:rPr>
        <w:t>problem?</w:t>
      </w:r>
      <w:r>
        <w:rPr>
          <w:spacing w:val="80"/>
          <w:vertAlign w:val="baseline"/>
        </w:rPr>
        <w:t> </w:t>
      </w:r>
      <w:r>
        <w:rPr>
          <w:b/>
          <w:vertAlign w:val="baseline"/>
        </w:rPr>
        <w:t>The </w:t>
      </w:r>
      <w:r>
        <w:rPr>
          <w:b/>
          <w:spacing w:val="-2"/>
          <w:vertAlign w:val="baseline"/>
        </w:rPr>
        <w:t>strength</w:t>
      </w:r>
      <w:r>
        <w:rPr>
          <w:b/>
          <w:vertAlign w:val="baseline"/>
        </w:rPr>
        <w:tab/>
        <w:tab/>
      </w:r>
      <w:r>
        <w:rPr>
          <w:b/>
          <w:spacing w:val="-6"/>
          <w:vertAlign w:val="baseline"/>
        </w:rPr>
        <w:t>of</w:t>
      </w:r>
      <w:r>
        <w:rPr>
          <w:b/>
          <w:vertAlign w:val="baseline"/>
        </w:rPr>
        <w:tab/>
      </w:r>
      <w:r>
        <w:rPr>
          <w:b/>
          <w:spacing w:val="-4"/>
          <w:vertAlign w:val="baseline"/>
        </w:rPr>
        <w:t>the</w:t>
      </w:r>
      <w:r>
        <w:rPr>
          <w:b/>
          <w:vertAlign w:val="baseline"/>
        </w:rPr>
        <w:tab/>
      </w:r>
      <w:r>
        <w:rPr>
          <w:b/>
          <w:spacing w:val="-4"/>
          <w:vertAlign w:val="baseline"/>
        </w:rPr>
        <w:t>WHI</w:t>
      </w:r>
      <w:r>
        <w:rPr>
          <w:b/>
          <w:vertAlign w:val="baseline"/>
        </w:rPr>
        <w:tab/>
      </w:r>
      <w:r>
        <w:rPr>
          <w:b/>
          <w:spacing w:val="-2"/>
          <w:vertAlign w:val="baseline"/>
        </w:rPr>
        <w:t>conclusion</w:t>
      </w:r>
      <w:r>
        <w:rPr>
          <w:b/>
          <w:vertAlign w:val="baseline"/>
        </w:rPr>
        <w:tab/>
      </w:r>
      <w:r>
        <w:rPr>
          <w:b/>
          <w:spacing w:val="-6"/>
          <w:vertAlign w:val="baseline"/>
        </w:rPr>
        <w:t>is</w:t>
      </w:r>
      <w:r>
        <w:rPr>
          <w:b/>
          <w:vertAlign w:val="baseline"/>
        </w:rPr>
        <w:tab/>
      </w:r>
      <w:r>
        <w:rPr>
          <w:b/>
          <w:spacing w:val="-2"/>
          <w:vertAlign w:val="baseline"/>
        </w:rPr>
        <w:t>limited</w:t>
      </w:r>
      <w:r>
        <w:rPr>
          <w:b/>
          <w:vertAlign w:val="baseline"/>
        </w:rPr>
        <w:tab/>
      </w:r>
      <w:r>
        <w:rPr>
          <w:b/>
          <w:spacing w:val="-6"/>
          <w:vertAlign w:val="baseline"/>
        </w:rPr>
        <w:t>by</w:t>
      </w:r>
      <w:r>
        <w:rPr>
          <w:b/>
          <w:vertAlign w:val="baseline"/>
        </w:rPr>
        <w:tab/>
      </w:r>
      <w:r>
        <w:rPr>
          <w:b/>
          <w:spacing w:val="-4"/>
          <w:vertAlign w:val="baseline"/>
        </w:rPr>
        <w:t>the</w:t>
      </w:r>
      <w:r>
        <w:rPr>
          <w:b/>
          <w:vertAlign w:val="baseline"/>
        </w:rPr>
        <w:tab/>
      </w:r>
      <w:r>
        <w:rPr>
          <w:b/>
          <w:spacing w:val="-4"/>
          <w:vertAlign w:val="baseline"/>
        </w:rPr>
        <w:t>fact</w:t>
      </w:r>
      <w:r>
        <w:rPr>
          <w:b/>
          <w:vertAlign w:val="baseline"/>
        </w:rPr>
        <w:tab/>
      </w:r>
      <w:r>
        <w:rPr>
          <w:b/>
          <w:spacing w:val="-4"/>
          <w:vertAlign w:val="baseline"/>
        </w:rPr>
        <w:t>that</w:t>
      </w:r>
      <w:r>
        <w:rPr>
          <w:b/>
          <w:vertAlign w:val="baseline"/>
        </w:rPr>
        <w:tab/>
      </w:r>
      <w:r>
        <w:rPr>
          <w:b/>
          <w:spacing w:val="-4"/>
          <w:vertAlign w:val="baseline"/>
        </w:rPr>
        <w:t>the </w:t>
      </w:r>
      <w:r>
        <w:rPr>
          <w:b/>
          <w:vertAlign w:val="baseline"/>
        </w:rPr>
        <w:t>participants</w:t>
      </w:r>
      <w:r>
        <w:rPr>
          <w:b/>
          <w:spacing w:val="-3"/>
          <w:vertAlign w:val="baseline"/>
        </w:rPr>
        <w:t> </w:t>
      </w:r>
      <w:r>
        <w:rPr>
          <w:b/>
          <w:vertAlign w:val="baseline"/>
        </w:rPr>
        <w:t>in</w:t>
      </w:r>
      <w:r>
        <w:rPr>
          <w:b/>
          <w:spacing w:val="-3"/>
          <w:vertAlign w:val="baseline"/>
        </w:rPr>
        <w:t> </w:t>
      </w:r>
      <w:r>
        <w:rPr>
          <w:b/>
          <w:vertAlign w:val="baseline"/>
        </w:rPr>
        <w:t>the</w:t>
      </w:r>
      <w:r>
        <w:rPr>
          <w:b/>
          <w:spacing w:val="-3"/>
          <w:vertAlign w:val="baseline"/>
        </w:rPr>
        <w:t> </w:t>
      </w:r>
      <w:r>
        <w:rPr>
          <w:b/>
          <w:vertAlign w:val="baseline"/>
        </w:rPr>
        <w:t>treatment</w:t>
      </w:r>
      <w:r>
        <w:rPr>
          <w:b/>
          <w:spacing w:val="-3"/>
          <w:vertAlign w:val="baseline"/>
        </w:rPr>
        <w:t> </w:t>
      </w:r>
      <w:r>
        <w:rPr>
          <w:b/>
          <w:vertAlign w:val="baseline"/>
        </w:rPr>
        <w:t>and</w:t>
      </w:r>
      <w:r>
        <w:rPr>
          <w:b/>
          <w:spacing w:val="-3"/>
          <w:vertAlign w:val="baseline"/>
        </w:rPr>
        <w:t> </w:t>
      </w:r>
      <w:r>
        <w:rPr>
          <w:b/>
          <w:vertAlign w:val="baseline"/>
        </w:rPr>
        <w:t>placebo</w:t>
      </w:r>
      <w:r>
        <w:rPr>
          <w:b/>
          <w:spacing w:val="-3"/>
          <w:vertAlign w:val="baseline"/>
        </w:rPr>
        <w:t> </w:t>
      </w:r>
      <w:r>
        <w:rPr>
          <w:b/>
          <w:vertAlign w:val="baseline"/>
        </w:rPr>
        <w:t>groups</w:t>
      </w:r>
      <w:r>
        <w:rPr>
          <w:b/>
          <w:spacing w:val="-3"/>
          <w:vertAlign w:val="baseline"/>
        </w:rPr>
        <w:t> </w:t>
      </w:r>
      <w:r>
        <w:rPr>
          <w:b/>
          <w:vertAlign w:val="baseline"/>
        </w:rPr>
        <w:t>differed</w:t>
      </w:r>
      <w:r>
        <w:rPr>
          <w:b/>
          <w:spacing w:val="-3"/>
          <w:vertAlign w:val="baseline"/>
        </w:rPr>
        <w:t> </w:t>
      </w:r>
      <w:r>
        <w:rPr>
          <w:b/>
          <w:vertAlign w:val="baseline"/>
        </w:rPr>
        <w:t>considerably. </w:t>
      </w:r>
      <w:r>
        <w:rPr>
          <w:vertAlign w:val="baseline"/>
        </w:rPr>
        <w:t>Results</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second</w:t>
      </w:r>
      <w:r>
        <w:rPr>
          <w:spacing w:val="40"/>
          <w:vertAlign w:val="baseline"/>
        </w:rPr>
        <w:t> </w:t>
      </w:r>
      <w:r>
        <w:rPr>
          <w:vertAlign w:val="baseline"/>
        </w:rPr>
        <w:t>estrogen-only</w:t>
      </w:r>
      <w:r>
        <w:rPr>
          <w:spacing w:val="40"/>
          <w:vertAlign w:val="baseline"/>
        </w:rPr>
        <w:t> </w:t>
      </w:r>
      <w:r>
        <w:rPr>
          <w:vertAlign w:val="baseline"/>
        </w:rPr>
        <w:t>arm</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WHI,</w:t>
      </w:r>
      <w:r>
        <w:rPr>
          <w:spacing w:val="40"/>
          <w:vertAlign w:val="baseline"/>
        </w:rPr>
        <w:t> </w:t>
      </w:r>
      <w:r>
        <w:rPr>
          <w:vertAlign w:val="baseline"/>
        </w:rPr>
        <w:t>which</w:t>
      </w:r>
      <w:r>
        <w:rPr>
          <w:spacing w:val="40"/>
          <w:vertAlign w:val="baseline"/>
        </w:rPr>
        <w:t> </w:t>
      </w:r>
      <w:r>
        <w:rPr>
          <w:vertAlign w:val="baseline"/>
        </w:rPr>
        <w:t>too</w:t>
      </w:r>
      <w:r>
        <w:rPr>
          <w:spacing w:val="40"/>
          <w:vertAlign w:val="baseline"/>
        </w:rPr>
        <w:t> </w:t>
      </w:r>
      <w:r>
        <w:rPr>
          <w:vertAlign w:val="baseline"/>
        </w:rPr>
        <w:t>was prematurely</w:t>
      </w:r>
      <w:r>
        <w:rPr>
          <w:spacing w:val="80"/>
          <w:vertAlign w:val="baseline"/>
        </w:rPr>
        <w:t> </w:t>
      </w:r>
      <w:r>
        <w:rPr>
          <w:vertAlign w:val="baseline"/>
        </w:rPr>
        <w:t>stopped,</w:t>
      </w:r>
      <w:r>
        <w:rPr>
          <w:spacing w:val="80"/>
          <w:vertAlign w:val="baseline"/>
        </w:rPr>
        <w:t> </w:t>
      </w:r>
      <w:r>
        <w:rPr>
          <w:vertAlign w:val="baseline"/>
        </w:rPr>
        <w:t>failed</w:t>
      </w:r>
      <w:r>
        <w:rPr>
          <w:spacing w:val="80"/>
          <w:vertAlign w:val="baseline"/>
        </w:rPr>
        <w:t> </w:t>
      </w:r>
      <w:r>
        <w:rPr>
          <w:vertAlign w:val="baseline"/>
        </w:rPr>
        <w:t>to</w:t>
      </w:r>
      <w:r>
        <w:rPr>
          <w:spacing w:val="80"/>
          <w:vertAlign w:val="baseline"/>
        </w:rPr>
        <w:t> </w:t>
      </w:r>
      <w:r>
        <w:rPr>
          <w:vertAlign w:val="baseline"/>
        </w:rPr>
        <w:t>detect</w:t>
      </w:r>
      <w:r>
        <w:rPr>
          <w:spacing w:val="80"/>
          <w:vertAlign w:val="baseline"/>
        </w:rPr>
        <w:t> </w:t>
      </w:r>
      <w:r>
        <w:rPr>
          <w:vertAlign w:val="baseline"/>
        </w:rPr>
        <w:t>an</w:t>
      </w:r>
      <w:r>
        <w:rPr>
          <w:spacing w:val="80"/>
          <w:vertAlign w:val="baseline"/>
        </w:rPr>
        <w:t> </w:t>
      </w:r>
      <w:r>
        <w:rPr>
          <w:vertAlign w:val="baseline"/>
        </w:rPr>
        <w:t>increase</w:t>
      </w:r>
      <w:r>
        <w:rPr>
          <w:spacing w:val="80"/>
          <w:vertAlign w:val="baseline"/>
        </w:rPr>
        <w:t> </w:t>
      </w:r>
      <w:r>
        <w:rPr>
          <w:vertAlign w:val="baseline"/>
        </w:rPr>
        <w:t>in</w:t>
      </w:r>
      <w:r>
        <w:rPr>
          <w:spacing w:val="80"/>
          <w:vertAlign w:val="baseline"/>
        </w:rPr>
        <w:t> </w:t>
      </w:r>
      <w:r>
        <w:rPr>
          <w:vertAlign w:val="baseline"/>
        </w:rPr>
        <w:t>breast</w:t>
      </w:r>
      <w:r>
        <w:rPr>
          <w:spacing w:val="80"/>
          <w:vertAlign w:val="baseline"/>
        </w:rPr>
        <w:t> </w:t>
      </w:r>
      <w:r>
        <w:rPr>
          <w:vertAlign w:val="baseline"/>
        </w:rPr>
        <w:t>cancer</w:t>
      </w:r>
      <w:r>
        <w:rPr>
          <w:spacing w:val="80"/>
          <w:vertAlign w:val="baseline"/>
        </w:rPr>
        <w:t> </w:t>
      </w:r>
      <w:r>
        <w:rPr>
          <w:vertAlign w:val="baseline"/>
        </w:rPr>
        <w:t>risk associated</w:t>
      </w:r>
      <w:r>
        <w:rPr>
          <w:spacing w:val="40"/>
          <w:vertAlign w:val="baseline"/>
        </w:rPr>
        <w:t> </w:t>
      </w:r>
      <w:r>
        <w:rPr>
          <w:vertAlign w:val="baseline"/>
        </w:rPr>
        <w:t>with</w:t>
      </w:r>
      <w:r>
        <w:rPr>
          <w:spacing w:val="40"/>
          <w:vertAlign w:val="baseline"/>
        </w:rPr>
        <w:t> </w:t>
      </w:r>
      <w:r>
        <w:rPr>
          <w:vertAlign w:val="baseline"/>
        </w:rPr>
        <w:t>estrogen-alone</w:t>
      </w:r>
      <w:r>
        <w:rPr>
          <w:spacing w:val="40"/>
          <w:vertAlign w:val="baseline"/>
        </w:rPr>
        <w:t> </w:t>
      </w:r>
      <w:r>
        <w:rPr>
          <w:vertAlign w:val="baseline"/>
        </w:rPr>
        <w:t>use</w:t>
      </w:r>
      <w:r>
        <w:rPr>
          <w:spacing w:val="40"/>
          <w:vertAlign w:val="baseline"/>
        </w:rPr>
        <w:t> </w:t>
      </w:r>
      <w:r>
        <w:rPr>
          <w:vertAlign w:val="baseline"/>
        </w:rPr>
        <w:t>(RR</w:t>
      </w:r>
      <w:r>
        <w:rPr>
          <w:spacing w:val="40"/>
          <w:vertAlign w:val="baseline"/>
        </w:rPr>
        <w:t> </w:t>
      </w:r>
      <w:r>
        <w:rPr>
          <w:vertAlign w:val="baseline"/>
        </w:rPr>
        <w:t>=</w:t>
      </w:r>
      <w:r>
        <w:rPr>
          <w:spacing w:val="40"/>
          <w:vertAlign w:val="baseline"/>
        </w:rPr>
        <w:t> </w:t>
      </w:r>
      <w:r>
        <w:rPr>
          <w:vertAlign w:val="baseline"/>
        </w:rPr>
        <w:t>0.80;</w:t>
      </w:r>
      <w:r>
        <w:rPr>
          <w:spacing w:val="40"/>
          <w:vertAlign w:val="baseline"/>
        </w:rPr>
        <w:t> </w:t>
      </w:r>
      <w:r>
        <w:rPr>
          <w:vertAlign w:val="baseline"/>
        </w:rPr>
        <w:t>95%</w:t>
      </w:r>
      <w:r>
        <w:rPr>
          <w:spacing w:val="40"/>
          <w:vertAlign w:val="baseline"/>
        </w:rPr>
        <w:t> </w:t>
      </w:r>
      <w:r>
        <w:rPr>
          <w:vertAlign w:val="baseline"/>
        </w:rPr>
        <w:t>CI</w:t>
      </w:r>
      <w:r>
        <w:rPr>
          <w:spacing w:val="40"/>
          <w:vertAlign w:val="baseline"/>
        </w:rPr>
        <w:t> </w:t>
      </w:r>
      <w:r>
        <w:rPr>
          <w:vertAlign w:val="baseline"/>
        </w:rPr>
        <w:t>=</w:t>
      </w:r>
      <w:r>
        <w:rPr>
          <w:spacing w:val="40"/>
          <w:vertAlign w:val="baseline"/>
        </w:rPr>
        <w:t> </w:t>
      </w:r>
      <w:r>
        <w:rPr>
          <w:vertAlign w:val="baseline"/>
        </w:rPr>
        <w:t>0.62-1.04).</w:t>
      </w:r>
      <w:r>
        <w:rPr>
          <w:vertAlign w:val="superscript"/>
        </w:rPr>
        <w:t>865</w:t>
      </w:r>
      <w:r>
        <w:rPr>
          <w:vertAlign w:val="baseline"/>
        </w:rPr>
        <w:t> Furthermore, a statistically significantly decreased risk of breast cancer was noted in the CEE group compared to placebo in the postintervention phase </w:t>
      </w:r>
      <w:r>
        <w:rPr>
          <w:spacing w:val="-4"/>
          <w:vertAlign w:val="baseline"/>
        </w:rPr>
        <w:t>(HR</w:t>
      </w:r>
      <w:r>
        <w:rPr>
          <w:vertAlign w:val="baseline"/>
        </w:rPr>
        <w:tab/>
      </w:r>
      <w:r>
        <w:rPr>
          <w:spacing w:val="-10"/>
          <w:vertAlign w:val="baseline"/>
        </w:rPr>
        <w:t>=</w:t>
      </w:r>
      <w:r>
        <w:rPr>
          <w:vertAlign w:val="baseline"/>
        </w:rPr>
        <w:tab/>
      </w:r>
      <w:r>
        <w:rPr>
          <w:spacing w:val="-4"/>
          <w:vertAlign w:val="baseline"/>
        </w:rPr>
        <w:t>0.77;</w:t>
      </w:r>
      <w:r>
        <w:rPr>
          <w:vertAlign w:val="baseline"/>
        </w:rPr>
        <w:tab/>
        <w:tab/>
      </w:r>
      <w:r>
        <w:rPr>
          <w:spacing w:val="-4"/>
          <w:vertAlign w:val="baseline"/>
        </w:rPr>
        <w:t>95%</w:t>
      </w:r>
      <w:r>
        <w:rPr>
          <w:vertAlign w:val="baseline"/>
        </w:rPr>
        <w:tab/>
      </w:r>
      <w:r>
        <w:rPr>
          <w:spacing w:val="-6"/>
          <w:vertAlign w:val="baseline"/>
        </w:rPr>
        <w:t>CI</w:t>
      </w:r>
      <w:r>
        <w:rPr>
          <w:vertAlign w:val="baseline"/>
        </w:rPr>
        <w:tab/>
        <w:tab/>
      </w:r>
      <w:r>
        <w:rPr>
          <w:spacing w:val="-10"/>
          <w:vertAlign w:val="baseline"/>
        </w:rPr>
        <w:t>=</w:t>
      </w:r>
      <w:r>
        <w:rPr>
          <w:vertAlign w:val="baseline"/>
        </w:rPr>
        <w:tab/>
      </w:r>
      <w:r>
        <w:rPr>
          <w:spacing w:val="-2"/>
          <w:vertAlign w:val="baseline"/>
        </w:rPr>
        <w:t>0.62-0.95).</w:t>
      </w:r>
      <w:r>
        <w:rPr>
          <w:spacing w:val="-2"/>
          <w:vertAlign w:val="superscript"/>
        </w:rPr>
        <w:t>866,867</w:t>
      </w:r>
      <w:r>
        <w:rPr>
          <w:vertAlign w:val="baseline"/>
        </w:rPr>
        <w:tab/>
      </w:r>
      <w:r>
        <w:rPr>
          <w:spacing w:val="-6"/>
          <w:vertAlign w:val="baseline"/>
        </w:rPr>
        <w:t>In</w:t>
      </w:r>
      <w:r>
        <w:rPr>
          <w:vertAlign w:val="baseline"/>
        </w:rPr>
        <w:tab/>
      </w:r>
      <w:r>
        <w:rPr>
          <w:spacing w:val="-57"/>
          <w:vertAlign w:val="baseline"/>
        </w:rPr>
        <w:t> </w:t>
      </w:r>
      <w:r>
        <w:rPr>
          <w:vertAlign w:val="baseline"/>
        </w:rPr>
        <w:t>addition,</w:t>
        <w:tab/>
        <w:tab/>
      </w:r>
      <w:r>
        <w:rPr>
          <w:spacing w:val="-2"/>
          <w:vertAlign w:val="baseline"/>
        </w:rPr>
        <w:t>there</w:t>
      </w:r>
      <w:r>
        <w:rPr>
          <w:vertAlign w:val="baseline"/>
        </w:rPr>
        <w:tab/>
      </w:r>
      <w:r>
        <w:rPr>
          <w:spacing w:val="-4"/>
          <w:vertAlign w:val="baseline"/>
        </w:rPr>
        <w:t>was</w:t>
      </w:r>
      <w:r>
        <w:rPr>
          <w:vertAlign w:val="baseline"/>
        </w:rPr>
        <w:tab/>
      </w:r>
      <w:r>
        <w:rPr>
          <w:spacing w:val="-10"/>
          <w:vertAlign w:val="baseline"/>
        </w:rPr>
        <w:t>a </w:t>
      </w:r>
      <w:r>
        <w:rPr>
          <w:vertAlign w:val="baseline"/>
        </w:rPr>
        <w:t>significantly lower mortality risk from breast cancer in the estrogen-treated group</w:t>
      </w:r>
      <w:r>
        <w:rPr>
          <w:spacing w:val="71"/>
          <w:vertAlign w:val="baseline"/>
        </w:rPr>
        <w:t> </w:t>
      </w:r>
      <w:r>
        <w:rPr>
          <w:vertAlign w:val="baseline"/>
        </w:rPr>
        <w:t>compared</w:t>
      </w:r>
      <w:r>
        <w:rPr>
          <w:spacing w:val="71"/>
          <w:vertAlign w:val="baseline"/>
        </w:rPr>
        <w:t> </w:t>
      </w:r>
      <w:r>
        <w:rPr>
          <w:vertAlign w:val="baseline"/>
        </w:rPr>
        <w:t>to</w:t>
      </w:r>
      <w:r>
        <w:rPr>
          <w:spacing w:val="71"/>
          <w:vertAlign w:val="baseline"/>
        </w:rPr>
        <w:t> </w:t>
      </w:r>
      <w:r>
        <w:rPr>
          <w:vertAlign w:val="baseline"/>
        </w:rPr>
        <w:t>placebo</w:t>
      </w:r>
      <w:r>
        <w:rPr>
          <w:spacing w:val="71"/>
          <w:vertAlign w:val="baseline"/>
        </w:rPr>
        <w:t> </w:t>
      </w:r>
      <w:r>
        <w:rPr>
          <w:vertAlign w:val="baseline"/>
        </w:rPr>
        <w:t>(HR</w:t>
      </w:r>
      <w:r>
        <w:rPr>
          <w:spacing w:val="71"/>
          <w:vertAlign w:val="baseline"/>
        </w:rPr>
        <w:t> </w:t>
      </w:r>
      <w:r>
        <w:rPr>
          <w:vertAlign w:val="baseline"/>
        </w:rPr>
        <w:t>=</w:t>
      </w:r>
      <w:r>
        <w:rPr>
          <w:spacing w:val="71"/>
          <w:vertAlign w:val="baseline"/>
        </w:rPr>
        <w:t> </w:t>
      </w:r>
      <w:r>
        <w:rPr>
          <w:vertAlign w:val="baseline"/>
        </w:rPr>
        <w:t>0.37;</w:t>
      </w:r>
      <w:r>
        <w:rPr>
          <w:spacing w:val="71"/>
          <w:vertAlign w:val="baseline"/>
        </w:rPr>
        <w:t> </w:t>
      </w:r>
      <w:r>
        <w:rPr>
          <w:vertAlign w:val="baseline"/>
        </w:rPr>
        <w:t>95%</w:t>
      </w:r>
      <w:r>
        <w:rPr>
          <w:spacing w:val="71"/>
          <w:vertAlign w:val="baseline"/>
        </w:rPr>
        <w:t> </w:t>
      </w:r>
      <w:r>
        <w:rPr>
          <w:vertAlign w:val="baseline"/>
        </w:rPr>
        <w:t>CI</w:t>
      </w:r>
      <w:r>
        <w:rPr>
          <w:spacing w:val="71"/>
          <w:vertAlign w:val="baseline"/>
        </w:rPr>
        <w:t> </w:t>
      </w:r>
      <w:r>
        <w:rPr>
          <w:vertAlign w:val="baseline"/>
        </w:rPr>
        <w:t>=</w:t>
      </w:r>
      <w:r>
        <w:rPr>
          <w:spacing w:val="71"/>
          <w:vertAlign w:val="baseline"/>
        </w:rPr>
        <w:t> </w:t>
      </w:r>
      <w:r>
        <w:rPr>
          <w:vertAlign w:val="baseline"/>
        </w:rPr>
        <w:t>0.13-0.91).</w:t>
      </w:r>
      <w:r>
        <w:rPr>
          <w:vertAlign w:val="superscript"/>
        </w:rPr>
        <w:t>867</w:t>
      </w:r>
      <w:r>
        <w:rPr>
          <w:spacing w:val="73"/>
          <w:vertAlign w:val="baseline"/>
        </w:rPr>
        <w:t> </w:t>
      </w:r>
      <w:r>
        <w:rPr>
          <w:vertAlign w:val="baseline"/>
        </w:rPr>
        <w:t>This striking difference between the CEE+MPA versus CEE-alone arms of WHI led</w:t>
      </w:r>
      <w:r>
        <w:rPr>
          <w:spacing w:val="-1"/>
          <w:vertAlign w:val="baseline"/>
        </w:rPr>
        <w:t> </w:t>
      </w:r>
      <w:r>
        <w:rPr>
          <w:vertAlign w:val="baseline"/>
        </w:rPr>
        <w:t>many</w:t>
      </w:r>
      <w:r>
        <w:rPr>
          <w:spacing w:val="-1"/>
          <w:vertAlign w:val="baseline"/>
        </w:rPr>
        <w:t> </w:t>
      </w:r>
      <w:r>
        <w:rPr>
          <w:vertAlign w:val="baseline"/>
        </w:rPr>
        <w:t>to</w:t>
      </w:r>
      <w:r>
        <w:rPr>
          <w:spacing w:val="-1"/>
          <w:vertAlign w:val="baseline"/>
        </w:rPr>
        <w:t> </w:t>
      </w:r>
      <w:r>
        <w:rPr>
          <w:vertAlign w:val="baseline"/>
        </w:rPr>
        <w:t>conclude</w:t>
      </w:r>
      <w:r>
        <w:rPr>
          <w:spacing w:val="-1"/>
          <w:vertAlign w:val="baseline"/>
        </w:rPr>
        <w:t> </w:t>
      </w:r>
      <w:r>
        <w:rPr>
          <w:vertAlign w:val="baseline"/>
        </w:rPr>
        <w:t>that</w:t>
      </w:r>
      <w:r>
        <w:rPr>
          <w:spacing w:val="-1"/>
          <w:vertAlign w:val="baseline"/>
        </w:rPr>
        <w:t> </w:t>
      </w:r>
      <w:r>
        <w:rPr>
          <w:vertAlign w:val="baseline"/>
        </w:rPr>
        <w:t>exposure</w:t>
      </w:r>
      <w:r>
        <w:rPr>
          <w:spacing w:val="-1"/>
          <w:vertAlign w:val="baseline"/>
        </w:rPr>
        <w:t> </w:t>
      </w:r>
      <w:r>
        <w:rPr>
          <w:vertAlign w:val="baseline"/>
        </w:rPr>
        <w:t>to</w:t>
      </w:r>
      <w:r>
        <w:rPr>
          <w:spacing w:val="-1"/>
          <w:vertAlign w:val="baseline"/>
        </w:rPr>
        <w:t> </w:t>
      </w:r>
      <w:r>
        <w:rPr>
          <w:vertAlign w:val="baseline"/>
        </w:rPr>
        <w:t>progestin</w:t>
      </w:r>
      <w:r>
        <w:rPr>
          <w:spacing w:val="-1"/>
          <w:vertAlign w:val="baseline"/>
        </w:rPr>
        <w:t> </w:t>
      </w:r>
      <w:r>
        <w:rPr>
          <w:vertAlign w:val="baseline"/>
        </w:rPr>
        <w:t>(MPA)</w:t>
      </w:r>
      <w:r>
        <w:rPr>
          <w:spacing w:val="-1"/>
          <w:vertAlign w:val="baseline"/>
        </w:rPr>
        <w:t> </w:t>
      </w:r>
      <w:r>
        <w:rPr>
          <w:vertAlign w:val="baseline"/>
        </w:rPr>
        <w:t>may</w:t>
      </w:r>
      <w:r>
        <w:rPr>
          <w:spacing w:val="-1"/>
          <w:vertAlign w:val="baseline"/>
        </w:rPr>
        <w:t> </w:t>
      </w:r>
      <w:r>
        <w:rPr>
          <w:vertAlign w:val="baseline"/>
        </w:rPr>
        <w:t>be</w:t>
      </w:r>
      <w:r>
        <w:rPr>
          <w:spacing w:val="-1"/>
          <w:vertAlign w:val="baseline"/>
        </w:rPr>
        <w:t> </w:t>
      </w:r>
      <w:r>
        <w:rPr>
          <w:vertAlign w:val="baseline"/>
        </w:rPr>
        <w:t>causative</w:t>
      </w:r>
      <w:r>
        <w:rPr>
          <w:spacing w:val="-1"/>
          <w:vertAlign w:val="baseline"/>
        </w:rPr>
        <w:t> </w:t>
      </w:r>
      <w:r>
        <w:rPr>
          <w:vertAlign w:val="baseline"/>
        </w:rPr>
        <w:t>to the exaggerated breast cancer risk that was observed only in the CEE+MPA arm of WHI hormone trials. A longitudinal median of 20-year follow-up on the</w:t>
      </w:r>
      <w:r>
        <w:rPr>
          <w:spacing w:val="56"/>
          <w:w w:val="150"/>
          <w:vertAlign w:val="baseline"/>
        </w:rPr>
        <w:t> </w:t>
      </w:r>
      <w:r>
        <w:rPr>
          <w:vertAlign w:val="baseline"/>
        </w:rPr>
        <w:t>WHI</w:t>
      </w:r>
      <w:r>
        <w:rPr>
          <w:spacing w:val="57"/>
          <w:w w:val="150"/>
          <w:vertAlign w:val="baseline"/>
        </w:rPr>
        <w:t> </w:t>
      </w:r>
      <w:r>
        <w:rPr>
          <w:vertAlign w:val="baseline"/>
        </w:rPr>
        <w:t>cohort</w:t>
      </w:r>
      <w:r>
        <w:rPr>
          <w:spacing w:val="56"/>
          <w:w w:val="150"/>
          <w:vertAlign w:val="baseline"/>
        </w:rPr>
        <w:t> </w:t>
      </w:r>
      <w:r>
        <w:rPr>
          <w:vertAlign w:val="baseline"/>
        </w:rPr>
        <w:t>was</w:t>
      </w:r>
      <w:r>
        <w:rPr>
          <w:spacing w:val="57"/>
          <w:w w:val="150"/>
          <w:vertAlign w:val="baseline"/>
        </w:rPr>
        <w:t> </w:t>
      </w:r>
      <w:r>
        <w:rPr>
          <w:vertAlign w:val="baseline"/>
        </w:rPr>
        <w:t>published</w:t>
      </w:r>
      <w:r>
        <w:rPr>
          <w:spacing w:val="56"/>
          <w:w w:val="150"/>
          <w:vertAlign w:val="baseline"/>
        </w:rPr>
        <w:t> </w:t>
      </w:r>
      <w:r>
        <w:rPr>
          <w:vertAlign w:val="baseline"/>
        </w:rPr>
        <w:t>in</w:t>
      </w:r>
      <w:r>
        <w:rPr>
          <w:spacing w:val="57"/>
          <w:w w:val="150"/>
          <w:vertAlign w:val="baseline"/>
        </w:rPr>
        <w:t> </w:t>
      </w:r>
      <w:r>
        <w:rPr>
          <w:vertAlign w:val="baseline"/>
        </w:rPr>
        <w:t>2020,</w:t>
      </w:r>
      <w:r>
        <w:rPr>
          <w:spacing w:val="56"/>
          <w:w w:val="150"/>
          <w:vertAlign w:val="baseline"/>
        </w:rPr>
        <w:t> </w:t>
      </w:r>
      <w:r>
        <w:rPr>
          <w:vertAlign w:val="baseline"/>
        </w:rPr>
        <w:t>wherein</w:t>
      </w:r>
      <w:r>
        <w:rPr>
          <w:spacing w:val="57"/>
          <w:w w:val="150"/>
          <w:vertAlign w:val="baseline"/>
        </w:rPr>
        <w:t> </w:t>
      </w:r>
      <w:r>
        <w:rPr>
          <w:vertAlign w:val="baseline"/>
        </w:rPr>
        <w:t>not</w:t>
      </w:r>
      <w:r>
        <w:rPr>
          <w:spacing w:val="56"/>
          <w:w w:val="150"/>
          <w:vertAlign w:val="baseline"/>
        </w:rPr>
        <w:t> </w:t>
      </w:r>
      <w:r>
        <w:rPr>
          <w:vertAlign w:val="baseline"/>
        </w:rPr>
        <w:t>only</w:t>
      </w:r>
      <w:r>
        <w:rPr>
          <w:spacing w:val="57"/>
          <w:w w:val="150"/>
          <w:vertAlign w:val="baseline"/>
        </w:rPr>
        <w:t> </w:t>
      </w:r>
      <w:r>
        <w:rPr>
          <w:vertAlign w:val="baseline"/>
        </w:rPr>
        <w:t>the</w:t>
      </w:r>
      <w:r>
        <w:rPr>
          <w:spacing w:val="56"/>
          <w:w w:val="150"/>
          <w:vertAlign w:val="baseline"/>
        </w:rPr>
        <w:t> </w:t>
      </w:r>
      <w:r>
        <w:rPr>
          <w:spacing w:val="-2"/>
          <w:vertAlign w:val="baseline"/>
        </w:rPr>
        <w:t>earlier</w:t>
      </w:r>
    </w:p>
    <w:p>
      <w:pPr>
        <w:pStyle w:val="BodyText"/>
        <w:spacing w:after="0" w:line="249" w:lineRule="auto"/>
        <w:jc w:val="right"/>
        <w:sectPr>
          <w:pgSz w:w="12240" w:h="15840"/>
          <w:pgMar w:top="1380" w:bottom="280" w:left="1440" w:right="1440"/>
        </w:sectPr>
      </w:pPr>
    </w:p>
    <w:p>
      <w:pPr>
        <w:spacing w:line="249" w:lineRule="auto" w:before="65"/>
        <w:ind w:left="99" w:right="98" w:firstLine="0"/>
        <w:jc w:val="both"/>
        <w:rPr>
          <w:b/>
          <w:sz w:val="30"/>
        </w:rPr>
      </w:pPr>
      <w:r>
        <w:rPr>
          <w:sz w:val="30"/>
        </w:rPr>
        <w:t>observed risk reduction in breast cancer in the CEE-alone hormone </w:t>
      </w:r>
      <w:r>
        <w:rPr>
          <w:sz w:val="30"/>
        </w:rPr>
        <w:t>trial persisted, but a lasting reduced mortality from breast cancer was also evident</w:t>
      </w:r>
      <w:r>
        <w:rPr>
          <w:spacing w:val="-7"/>
          <w:sz w:val="30"/>
        </w:rPr>
        <w:t> </w:t>
      </w:r>
      <w:r>
        <w:rPr>
          <w:sz w:val="30"/>
        </w:rPr>
        <w:t>in</w:t>
      </w:r>
      <w:r>
        <w:rPr>
          <w:spacing w:val="-7"/>
          <w:sz w:val="30"/>
        </w:rPr>
        <w:t> </w:t>
      </w:r>
      <w:r>
        <w:rPr>
          <w:sz w:val="30"/>
        </w:rPr>
        <w:t>postmenopausal</w:t>
      </w:r>
      <w:r>
        <w:rPr>
          <w:spacing w:val="-7"/>
          <w:sz w:val="30"/>
        </w:rPr>
        <w:t> </w:t>
      </w:r>
      <w:r>
        <w:rPr>
          <w:sz w:val="30"/>
        </w:rPr>
        <w:t>participants</w:t>
      </w:r>
      <w:r>
        <w:rPr>
          <w:spacing w:val="-7"/>
          <w:sz w:val="30"/>
        </w:rPr>
        <w:t> </w:t>
      </w:r>
      <w:r>
        <w:rPr>
          <w:sz w:val="30"/>
        </w:rPr>
        <w:t>of</w:t>
      </w:r>
      <w:r>
        <w:rPr>
          <w:spacing w:val="-7"/>
          <w:sz w:val="30"/>
        </w:rPr>
        <w:t> </w:t>
      </w:r>
      <w:r>
        <w:rPr>
          <w:sz w:val="30"/>
        </w:rPr>
        <w:t>the</w:t>
      </w:r>
      <w:r>
        <w:rPr>
          <w:spacing w:val="-7"/>
          <w:sz w:val="30"/>
        </w:rPr>
        <w:t> </w:t>
      </w:r>
      <w:r>
        <w:rPr>
          <w:sz w:val="30"/>
        </w:rPr>
        <w:t>WHI</w:t>
      </w:r>
      <w:r>
        <w:rPr>
          <w:spacing w:val="-7"/>
          <w:sz w:val="30"/>
        </w:rPr>
        <w:t> </w:t>
      </w:r>
      <w:r>
        <w:rPr>
          <w:sz w:val="30"/>
        </w:rPr>
        <w:t>E-alone</w:t>
      </w:r>
      <w:r>
        <w:rPr>
          <w:spacing w:val="-7"/>
          <w:sz w:val="30"/>
        </w:rPr>
        <w:t> </w:t>
      </w:r>
      <w:r>
        <w:rPr>
          <w:sz w:val="30"/>
        </w:rPr>
        <w:t>hormone</w:t>
      </w:r>
      <w:r>
        <w:rPr>
          <w:spacing w:val="-7"/>
          <w:sz w:val="30"/>
        </w:rPr>
        <w:t> </w:t>
      </w:r>
      <w:r>
        <w:rPr>
          <w:sz w:val="30"/>
        </w:rPr>
        <w:t>trial.</w:t>
      </w:r>
      <w:r>
        <w:rPr>
          <w:sz w:val="30"/>
          <w:vertAlign w:val="superscript"/>
        </w:rPr>
        <w:t>868</w:t>
      </w:r>
      <w:r>
        <w:rPr>
          <w:sz w:val="30"/>
          <w:vertAlign w:val="baseline"/>
        </w:rPr>
        <w:t> Conversely, the slightly higher risk of breast cancer that was apparent at the termination of the WHI E+P trial was noted to persist at 20-year follow-up, although reassuringly there was no evidence of increased mortality in participants</w:t>
      </w:r>
      <w:r>
        <w:rPr>
          <w:spacing w:val="-3"/>
          <w:sz w:val="30"/>
          <w:vertAlign w:val="baseline"/>
        </w:rPr>
        <w:t> </w:t>
      </w:r>
      <w:r>
        <w:rPr>
          <w:sz w:val="30"/>
          <w:vertAlign w:val="baseline"/>
        </w:rPr>
        <w:t>of</w:t>
      </w:r>
      <w:r>
        <w:rPr>
          <w:spacing w:val="-3"/>
          <w:sz w:val="30"/>
          <w:vertAlign w:val="baseline"/>
        </w:rPr>
        <w:t> </w:t>
      </w:r>
      <w:r>
        <w:rPr>
          <w:sz w:val="30"/>
          <w:vertAlign w:val="baseline"/>
        </w:rPr>
        <w:t>the</w:t>
      </w:r>
      <w:r>
        <w:rPr>
          <w:spacing w:val="-3"/>
          <w:sz w:val="30"/>
          <w:vertAlign w:val="baseline"/>
        </w:rPr>
        <w:t> </w:t>
      </w:r>
      <w:r>
        <w:rPr>
          <w:sz w:val="30"/>
          <w:vertAlign w:val="baseline"/>
        </w:rPr>
        <w:t>WHI</w:t>
      </w:r>
      <w:r>
        <w:rPr>
          <w:spacing w:val="-3"/>
          <w:sz w:val="30"/>
          <w:vertAlign w:val="baseline"/>
        </w:rPr>
        <w:t> </w:t>
      </w:r>
      <w:r>
        <w:rPr>
          <w:sz w:val="30"/>
          <w:vertAlign w:val="baseline"/>
        </w:rPr>
        <w:t>E+P</w:t>
      </w:r>
      <w:r>
        <w:rPr>
          <w:spacing w:val="-3"/>
          <w:sz w:val="30"/>
          <w:vertAlign w:val="baseline"/>
        </w:rPr>
        <w:t> </w:t>
      </w:r>
      <w:r>
        <w:rPr>
          <w:sz w:val="30"/>
          <w:vertAlign w:val="baseline"/>
        </w:rPr>
        <w:t>trial.</w:t>
      </w:r>
      <w:r>
        <w:rPr>
          <w:spacing w:val="-4"/>
          <w:sz w:val="30"/>
          <w:vertAlign w:val="baseline"/>
        </w:rPr>
        <w:t> </w:t>
      </w:r>
      <w:r>
        <w:rPr>
          <w:sz w:val="30"/>
          <w:vertAlign w:val="baseline"/>
        </w:rPr>
        <w:t>Despite</w:t>
      </w:r>
      <w:r>
        <w:rPr>
          <w:spacing w:val="-3"/>
          <w:sz w:val="30"/>
          <w:vertAlign w:val="baseline"/>
        </w:rPr>
        <w:t> </w:t>
      </w:r>
      <w:r>
        <w:rPr>
          <w:sz w:val="30"/>
          <w:vertAlign w:val="baseline"/>
        </w:rPr>
        <w:t>the</w:t>
      </w:r>
      <w:r>
        <w:rPr>
          <w:spacing w:val="-3"/>
          <w:sz w:val="30"/>
          <w:vertAlign w:val="baseline"/>
        </w:rPr>
        <w:t> </w:t>
      </w:r>
      <w:r>
        <w:rPr>
          <w:sz w:val="30"/>
          <w:vertAlign w:val="baseline"/>
        </w:rPr>
        <w:t>discrepant</w:t>
      </w:r>
      <w:r>
        <w:rPr>
          <w:spacing w:val="-3"/>
          <w:sz w:val="30"/>
          <w:vertAlign w:val="baseline"/>
        </w:rPr>
        <w:t> </w:t>
      </w:r>
      <w:r>
        <w:rPr>
          <w:sz w:val="30"/>
          <w:vertAlign w:val="baseline"/>
        </w:rPr>
        <w:t>incidence</w:t>
      </w:r>
      <w:r>
        <w:rPr>
          <w:spacing w:val="-3"/>
          <w:sz w:val="30"/>
          <w:vertAlign w:val="baseline"/>
        </w:rPr>
        <w:t> </w:t>
      </w:r>
      <w:r>
        <w:rPr>
          <w:sz w:val="30"/>
          <w:vertAlign w:val="baseline"/>
        </w:rPr>
        <w:t>of</w:t>
      </w:r>
      <w:r>
        <w:rPr>
          <w:spacing w:val="-3"/>
          <w:sz w:val="30"/>
          <w:vertAlign w:val="baseline"/>
        </w:rPr>
        <w:t> </w:t>
      </w:r>
      <w:r>
        <w:rPr>
          <w:sz w:val="30"/>
          <w:vertAlign w:val="baseline"/>
        </w:rPr>
        <w:t>breast cancer in the two WHI hormone trials, it must be emphasized that the populations participating in the two trials differed considerably, such that it is not appropriate to simply conclude that the differences in breast cancer risk can be attributed to the effects of progestin exposure. Even the WHI investigators cautioned clinicians to avoid comparing the two trial arms because the participants in the two arms differed noticeably.</w:t>
      </w:r>
      <w:r>
        <w:rPr>
          <w:sz w:val="30"/>
          <w:vertAlign w:val="superscript"/>
        </w:rPr>
        <w:t>768</w:t>
      </w:r>
      <w:r>
        <w:rPr>
          <w:sz w:val="30"/>
          <w:vertAlign w:val="baseline"/>
        </w:rPr>
        <w:t> In regard to breast cancer risk, women in the estrogen-only arm had a higher rate of previous exposure to hormones and longer durations of prior use. It is possible that earlier and greater use of HT before participation in the study identified those individuals with preexisting tumors who were then</w:t>
      </w:r>
      <w:r>
        <w:rPr>
          <w:spacing w:val="40"/>
          <w:sz w:val="30"/>
          <w:vertAlign w:val="baseline"/>
        </w:rPr>
        <w:t> </w:t>
      </w:r>
      <w:r>
        <w:rPr>
          <w:sz w:val="30"/>
          <w:vertAlign w:val="baseline"/>
        </w:rPr>
        <w:t>excluded from participation, accounting for the lower incidence of breast cancer in the treated group. </w:t>
      </w:r>
      <w:r>
        <w:rPr>
          <w:b/>
          <w:sz w:val="30"/>
          <w:vertAlign w:val="baseline"/>
        </w:rPr>
        <w:t>The breast cancer results in the WHI do not allow us to answer the important question whether exposure to estrogen-progestin has a greater risk of breast cancer or whether preexisting tumors respond differently to the various hormone regimens, accounting for differences in epidemiologic reports. This is further addressed later in this chapter.</w:t>
      </w:r>
    </w:p>
    <w:p>
      <w:pPr>
        <w:pStyle w:val="BodyText"/>
        <w:spacing w:before="0"/>
        <w:ind w:left="0"/>
        <w:jc w:val="left"/>
        <w:rPr>
          <w:b/>
          <w:sz w:val="20"/>
        </w:rPr>
      </w:pPr>
    </w:p>
    <w:p>
      <w:pPr>
        <w:pStyle w:val="BodyText"/>
        <w:spacing w:before="140"/>
        <w:ind w:left="0"/>
        <w:jc w:val="left"/>
        <w:rPr>
          <w:b/>
          <w:sz w:val="20"/>
        </w:rPr>
      </w:pPr>
      <w:r>
        <w:rPr>
          <w:b/>
          <w:sz w:val="20"/>
        </w:rPr>
        <mc:AlternateContent>
          <mc:Choice Requires="wps">
            <w:drawing>
              <wp:anchor distT="0" distB="0" distL="0" distR="0" allowOverlap="1" layoutInCell="1" locked="0" behindDoc="1" simplePos="0" relativeHeight="487659008">
                <wp:simplePos x="0" y="0"/>
                <wp:positionH relativeFrom="page">
                  <wp:posOffset>981075</wp:posOffset>
                </wp:positionH>
                <wp:positionV relativeFrom="paragraph">
                  <wp:posOffset>250541</wp:posOffset>
                </wp:positionV>
                <wp:extent cx="285750" cy="5715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285750" cy="57150"/>
                        </a:xfrm>
                        <a:custGeom>
                          <a:avLst/>
                          <a:gdLst/>
                          <a:ahLst/>
                          <a:cxnLst/>
                          <a:rect l="l" t="t" r="r" b="b"/>
                          <a:pathLst>
                            <a:path w="285750" h="57150">
                              <a:moveTo>
                                <a:pt x="32364" y="57073"/>
                              </a:moveTo>
                              <a:lnTo>
                                <a:pt x="24785" y="57073"/>
                              </a:lnTo>
                              <a:lnTo>
                                <a:pt x="21140" y="56254"/>
                              </a:lnTo>
                              <a:lnTo>
                                <a:pt x="0" y="32223"/>
                              </a:lnTo>
                              <a:lnTo>
                                <a:pt x="0" y="24707"/>
                              </a:lnTo>
                              <a:lnTo>
                                <a:pt x="725" y="21059"/>
                              </a:lnTo>
                              <a:lnTo>
                                <a:pt x="3625" y="14068"/>
                              </a:lnTo>
                              <a:lnTo>
                                <a:pt x="5689" y="10934"/>
                              </a:lnTo>
                              <a:lnTo>
                                <a:pt x="8369" y="8334"/>
                              </a:lnTo>
                              <a:lnTo>
                                <a:pt x="11048" y="5581"/>
                              </a:lnTo>
                              <a:lnTo>
                                <a:pt x="14138" y="3495"/>
                              </a:lnTo>
                              <a:lnTo>
                                <a:pt x="21140" y="666"/>
                              </a:lnTo>
                              <a:lnTo>
                                <a:pt x="24785" y="0"/>
                              </a:lnTo>
                              <a:lnTo>
                                <a:pt x="32364" y="0"/>
                              </a:lnTo>
                              <a:lnTo>
                                <a:pt x="36009" y="666"/>
                              </a:lnTo>
                              <a:lnTo>
                                <a:pt x="43010" y="3495"/>
                              </a:lnTo>
                              <a:lnTo>
                                <a:pt x="46101" y="5581"/>
                              </a:lnTo>
                              <a:lnTo>
                                <a:pt x="48780" y="8334"/>
                              </a:lnTo>
                              <a:lnTo>
                                <a:pt x="51459" y="10934"/>
                              </a:lnTo>
                              <a:lnTo>
                                <a:pt x="53524" y="14068"/>
                              </a:lnTo>
                              <a:lnTo>
                                <a:pt x="56424" y="21059"/>
                              </a:lnTo>
                              <a:lnTo>
                                <a:pt x="57149" y="24707"/>
                              </a:lnTo>
                              <a:lnTo>
                                <a:pt x="57149" y="32223"/>
                              </a:lnTo>
                              <a:lnTo>
                                <a:pt x="36009" y="56254"/>
                              </a:lnTo>
                              <a:lnTo>
                                <a:pt x="32364" y="57073"/>
                              </a:lnTo>
                              <a:close/>
                            </a:path>
                            <a:path w="285750" h="57150">
                              <a:moveTo>
                                <a:pt x="146569" y="57073"/>
                              </a:moveTo>
                              <a:lnTo>
                                <a:pt x="138990" y="57073"/>
                              </a:lnTo>
                              <a:lnTo>
                                <a:pt x="135345" y="56254"/>
                              </a:lnTo>
                              <a:lnTo>
                                <a:pt x="114204" y="32223"/>
                              </a:lnTo>
                              <a:lnTo>
                                <a:pt x="114204" y="24707"/>
                              </a:lnTo>
                              <a:lnTo>
                                <a:pt x="114929" y="21059"/>
                              </a:lnTo>
                              <a:lnTo>
                                <a:pt x="117829" y="14068"/>
                              </a:lnTo>
                              <a:lnTo>
                                <a:pt x="119894" y="10934"/>
                              </a:lnTo>
                              <a:lnTo>
                                <a:pt x="122574" y="8334"/>
                              </a:lnTo>
                              <a:lnTo>
                                <a:pt x="125253" y="5581"/>
                              </a:lnTo>
                              <a:lnTo>
                                <a:pt x="128343" y="3495"/>
                              </a:lnTo>
                              <a:lnTo>
                                <a:pt x="135345" y="666"/>
                              </a:lnTo>
                              <a:lnTo>
                                <a:pt x="138990" y="0"/>
                              </a:lnTo>
                              <a:lnTo>
                                <a:pt x="146569" y="0"/>
                              </a:lnTo>
                              <a:lnTo>
                                <a:pt x="150214" y="666"/>
                              </a:lnTo>
                              <a:lnTo>
                                <a:pt x="157215" y="3495"/>
                              </a:lnTo>
                              <a:lnTo>
                                <a:pt x="160305" y="5581"/>
                              </a:lnTo>
                              <a:lnTo>
                                <a:pt x="162985" y="8334"/>
                              </a:lnTo>
                              <a:lnTo>
                                <a:pt x="165664" y="10934"/>
                              </a:lnTo>
                              <a:lnTo>
                                <a:pt x="167729" y="14068"/>
                              </a:lnTo>
                              <a:lnTo>
                                <a:pt x="170629" y="21059"/>
                              </a:lnTo>
                              <a:lnTo>
                                <a:pt x="171354" y="24707"/>
                              </a:lnTo>
                              <a:lnTo>
                                <a:pt x="171354" y="32223"/>
                              </a:lnTo>
                              <a:lnTo>
                                <a:pt x="150214" y="56254"/>
                              </a:lnTo>
                              <a:lnTo>
                                <a:pt x="146569" y="57073"/>
                              </a:lnTo>
                              <a:close/>
                            </a:path>
                            <a:path w="285750" h="57150">
                              <a:moveTo>
                                <a:pt x="260773" y="57073"/>
                              </a:moveTo>
                              <a:lnTo>
                                <a:pt x="253195" y="57073"/>
                              </a:lnTo>
                              <a:lnTo>
                                <a:pt x="249550" y="56254"/>
                              </a:lnTo>
                              <a:lnTo>
                                <a:pt x="228409" y="32223"/>
                              </a:lnTo>
                              <a:lnTo>
                                <a:pt x="228409" y="24707"/>
                              </a:lnTo>
                              <a:lnTo>
                                <a:pt x="229134" y="21059"/>
                              </a:lnTo>
                              <a:lnTo>
                                <a:pt x="232034" y="14068"/>
                              </a:lnTo>
                              <a:lnTo>
                                <a:pt x="234099" y="10934"/>
                              </a:lnTo>
                              <a:lnTo>
                                <a:pt x="236778" y="8334"/>
                              </a:lnTo>
                              <a:lnTo>
                                <a:pt x="239458" y="5581"/>
                              </a:lnTo>
                              <a:lnTo>
                                <a:pt x="242548" y="3495"/>
                              </a:lnTo>
                              <a:lnTo>
                                <a:pt x="249550" y="666"/>
                              </a:lnTo>
                              <a:lnTo>
                                <a:pt x="253195" y="0"/>
                              </a:lnTo>
                              <a:lnTo>
                                <a:pt x="260773" y="0"/>
                              </a:lnTo>
                              <a:lnTo>
                                <a:pt x="264418" y="666"/>
                              </a:lnTo>
                              <a:lnTo>
                                <a:pt x="271420" y="3495"/>
                              </a:lnTo>
                              <a:lnTo>
                                <a:pt x="274510" y="5581"/>
                              </a:lnTo>
                              <a:lnTo>
                                <a:pt x="277190" y="8334"/>
                              </a:lnTo>
                              <a:lnTo>
                                <a:pt x="279869" y="10934"/>
                              </a:lnTo>
                              <a:lnTo>
                                <a:pt x="281934" y="14068"/>
                              </a:lnTo>
                              <a:lnTo>
                                <a:pt x="284834" y="21059"/>
                              </a:lnTo>
                              <a:lnTo>
                                <a:pt x="285559" y="24707"/>
                              </a:lnTo>
                              <a:lnTo>
                                <a:pt x="285559" y="32223"/>
                              </a:lnTo>
                              <a:lnTo>
                                <a:pt x="264418" y="56254"/>
                              </a:lnTo>
                              <a:lnTo>
                                <a:pt x="260773" y="57073"/>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727676pt;width:22.5pt;height:4.5pt;mso-position-horizontal-relative:page;mso-position-vertical-relative:paragraph;z-index:-15657472;mso-wrap-distance-left:0;mso-wrap-distance-right:0" id="docshape226" coordorigin="1545,395" coordsize="450,90" path="m1596,484l1584,484,1578,483,1567,479,1562,475,1558,471,1554,467,1551,462,1546,451,1545,445,1545,433,1546,428,1551,417,1554,412,1558,408,1562,403,1567,400,1578,396,1584,395,1596,395,1602,396,1613,400,1618,403,1622,408,1626,412,1629,417,1634,428,1635,433,1635,445,1634,451,1629,462,1626,467,1622,471,1618,475,1613,479,1602,483,1596,484xm1776,484l1764,484,1758,483,1747,479,1742,475,1738,471,1734,467,1731,462,1726,451,1725,445,1725,433,1726,428,1731,417,1734,412,1738,408,1742,403,1747,400,1758,396,1764,395,1776,395,1782,396,1793,400,1797,403,1802,408,1806,412,1809,417,1814,428,1815,433,1815,445,1814,451,1809,462,1806,467,1802,471,1797,475,1793,479,1782,483,1776,484xm1956,484l1944,484,1938,483,1927,479,1922,475,1918,471,1914,467,1910,462,1906,451,1905,445,1905,433,1906,428,1910,417,1914,412,1918,408,1922,403,1927,400,1938,396,1944,395,1956,395,1961,396,1972,400,1977,403,1982,408,1986,412,1989,417,1994,428,1995,433,1995,445,1994,451,1989,462,1986,467,1982,471,1977,475,1972,479,1961,483,1956,484xe" filled="true" fillcolor="#bdb4d4" stroked="false">
                <v:path arrowok="t"/>
                <v:fill type="solid"/>
                <w10:wrap type="topAndBottom"/>
              </v:shape>
            </w:pict>
          </mc:Fallback>
        </mc:AlternateContent>
      </w:r>
    </w:p>
    <w:p>
      <w:pPr>
        <w:pStyle w:val="Heading3"/>
        <w:jc w:val="both"/>
      </w:pPr>
      <w:r>
        <w:rPr>
          <w:color w:val="534089"/>
        </w:rPr>
        <w:t>BREAST</w:t>
      </w:r>
      <w:r>
        <w:rPr>
          <w:color w:val="534089"/>
          <w:spacing w:val="-6"/>
        </w:rPr>
        <w:t> </w:t>
      </w:r>
      <w:r>
        <w:rPr>
          <w:color w:val="534089"/>
        </w:rPr>
        <w:t>CANCER</w:t>
      </w:r>
      <w:r>
        <w:rPr>
          <w:color w:val="534089"/>
          <w:spacing w:val="-3"/>
        </w:rPr>
        <w:t> </w:t>
      </w:r>
      <w:r>
        <w:rPr>
          <w:color w:val="534089"/>
        </w:rPr>
        <w:t>RISK</w:t>
      </w:r>
      <w:r>
        <w:rPr>
          <w:color w:val="534089"/>
          <w:spacing w:val="-3"/>
        </w:rPr>
        <w:t> </w:t>
      </w:r>
      <w:r>
        <w:rPr>
          <w:color w:val="534089"/>
        </w:rPr>
        <w:t>AND</w:t>
      </w:r>
      <w:r>
        <w:rPr>
          <w:color w:val="534089"/>
          <w:spacing w:val="-4"/>
        </w:rPr>
        <w:t> </w:t>
      </w:r>
      <w:r>
        <w:rPr>
          <w:color w:val="534089"/>
        </w:rPr>
        <w:t>DURATION</w:t>
      </w:r>
      <w:r>
        <w:rPr>
          <w:color w:val="534089"/>
          <w:spacing w:val="-3"/>
        </w:rPr>
        <w:t> </w:t>
      </w:r>
      <w:r>
        <w:rPr>
          <w:color w:val="534089"/>
        </w:rPr>
        <w:t>OF</w:t>
      </w:r>
      <w:r>
        <w:rPr>
          <w:color w:val="534089"/>
          <w:spacing w:val="-3"/>
        </w:rPr>
        <w:t> </w:t>
      </w:r>
      <w:r>
        <w:rPr>
          <w:color w:val="534089"/>
        </w:rPr>
        <w:t>HORMONE</w:t>
      </w:r>
      <w:r>
        <w:rPr>
          <w:color w:val="534089"/>
          <w:spacing w:val="-3"/>
        </w:rPr>
        <w:t> </w:t>
      </w:r>
      <w:r>
        <w:rPr>
          <w:color w:val="534089"/>
          <w:spacing w:val="-5"/>
        </w:rPr>
        <w:t>USE</w:t>
      </w:r>
    </w:p>
    <w:p>
      <w:pPr>
        <w:pStyle w:val="BodyText"/>
        <w:spacing w:before="2"/>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59520">
                <wp:simplePos x="0" y="0"/>
                <wp:positionH relativeFrom="page">
                  <wp:posOffset>981075</wp:posOffset>
                </wp:positionH>
                <wp:positionV relativeFrom="paragraph">
                  <wp:posOffset>45773</wp:posOffset>
                </wp:positionV>
                <wp:extent cx="5810250" cy="1905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604174pt;width:457.499964pt;height:1.5pt;mso-position-horizontal-relative:page;mso-position-vertical-relative:paragraph;z-index:-15656960;mso-wrap-distance-left:0;mso-wrap-distance-right:0" id="docshape227" filled="true" fillcolor="#534089" stroked="false">
                <v:fill type="solid"/>
                <w10:wrap type="topAndBottom"/>
              </v:rect>
            </w:pict>
          </mc:Fallback>
        </mc:AlternateContent>
      </w:r>
    </w:p>
    <w:p>
      <w:pPr>
        <w:pStyle w:val="BodyText"/>
        <w:spacing w:line="249" w:lineRule="auto" w:before="215"/>
        <w:ind w:right="98"/>
      </w:pPr>
      <w:r>
        <w:rPr/>
        <w:t>A cohort study assessed the risk of breast cancer in postmenopausal Finnish women using oral, transdermal, and vaginal estrogen-only or estrogen-progestin products containing either estradiol or estriol.</w:t>
      </w:r>
      <w:r>
        <w:rPr>
          <w:vertAlign w:val="superscript"/>
        </w:rPr>
        <w:t>869,870</w:t>
      </w:r>
      <w:r>
        <w:rPr>
          <w:vertAlign w:val="baseline"/>
        </w:rPr>
        <w:t> The use </w:t>
      </w:r>
      <w:r>
        <w:rPr>
          <w:vertAlign w:val="baseline"/>
        </w:rPr>
        <w:t>of estradiol for 5 years or more and the use of estrogen-progestin for 3 years</w:t>
      </w:r>
      <w:r>
        <w:rPr>
          <w:spacing w:val="80"/>
          <w:vertAlign w:val="baseline"/>
        </w:rPr>
        <w:t> </w:t>
      </w:r>
      <w:r>
        <w:rPr>
          <w:vertAlign w:val="baseline"/>
        </w:rPr>
        <w:t>or more were associated with a statistically significant increased risk. The risk was similar when comparing oral and transdermal therapy. An increase was observed in both localized and metastatic diseases. A statistically significant increase was noted with carcinoma in situ.</w:t>
      </w:r>
    </w:p>
    <w:p>
      <w:pPr>
        <w:pStyle w:val="BodyText"/>
        <w:spacing w:after="0" w:line="249" w:lineRule="auto"/>
        <w:sectPr>
          <w:pgSz w:w="12240" w:h="15840"/>
          <w:pgMar w:top="1380" w:bottom="280" w:left="1440" w:right="1440"/>
        </w:sectPr>
      </w:pPr>
    </w:p>
    <w:p>
      <w:pPr>
        <w:pStyle w:val="BodyText"/>
        <w:spacing w:line="249" w:lineRule="auto"/>
        <w:ind w:right="98" w:firstLine="450"/>
      </w:pPr>
      <w:r>
        <w:rPr/>
        <w:t>Only 7% of Finnish postmenopausal women used HT for more than </w:t>
      </w:r>
      <w:r>
        <w:rPr/>
        <w:t>5 years.</w:t>
      </w:r>
      <w:r>
        <w:rPr>
          <w:spacing w:val="-3"/>
        </w:rPr>
        <w:t> </w:t>
      </w:r>
      <w:r>
        <w:rPr/>
        <w:t>This study reported an increase in breast cancer risk in this long-term user group of women. No increase in breast cancer risk was detected either in association with estriol given orally or with vaginal estrogen products. However,</w:t>
      </w:r>
      <w:r>
        <w:rPr>
          <w:spacing w:val="-1"/>
        </w:rPr>
        <w:t> </w:t>
      </w:r>
      <w:r>
        <w:rPr/>
        <w:t>it</w:t>
      </w:r>
      <w:r>
        <w:rPr>
          <w:spacing w:val="-1"/>
        </w:rPr>
        <w:t> </w:t>
      </w:r>
      <w:r>
        <w:rPr/>
        <w:t>is</w:t>
      </w:r>
      <w:r>
        <w:rPr>
          <w:spacing w:val="-1"/>
        </w:rPr>
        <w:t> </w:t>
      </w:r>
      <w:r>
        <w:rPr/>
        <w:t>inappropriate</w:t>
      </w:r>
      <w:r>
        <w:rPr>
          <w:spacing w:val="-1"/>
        </w:rPr>
        <w:t> </w:t>
      </w:r>
      <w:r>
        <w:rPr/>
        <w:t>to</w:t>
      </w:r>
      <w:r>
        <w:rPr>
          <w:spacing w:val="-1"/>
        </w:rPr>
        <w:t> </w:t>
      </w:r>
      <w:r>
        <w:rPr/>
        <w:t>conclude</w:t>
      </w:r>
      <w:r>
        <w:rPr>
          <w:spacing w:val="-1"/>
        </w:rPr>
        <w:t> </w:t>
      </w:r>
      <w:r>
        <w:rPr/>
        <w:t>that</w:t>
      </w:r>
      <w:r>
        <w:rPr>
          <w:spacing w:val="-1"/>
        </w:rPr>
        <w:t> </w:t>
      </w:r>
      <w:r>
        <w:rPr/>
        <w:t>these</w:t>
      </w:r>
      <w:r>
        <w:rPr>
          <w:spacing w:val="-1"/>
        </w:rPr>
        <w:t> </w:t>
      </w:r>
      <w:r>
        <w:rPr/>
        <w:t>formulations</w:t>
      </w:r>
      <w:r>
        <w:rPr>
          <w:spacing w:val="-1"/>
        </w:rPr>
        <w:t> </w:t>
      </w:r>
      <w:r>
        <w:rPr/>
        <w:t>can</w:t>
      </w:r>
      <w:r>
        <w:rPr>
          <w:spacing w:val="-1"/>
        </w:rPr>
        <w:t> </w:t>
      </w:r>
      <w:r>
        <w:rPr/>
        <w:t>be</w:t>
      </w:r>
      <w:r>
        <w:rPr>
          <w:spacing w:val="-1"/>
        </w:rPr>
        <w:t> </w:t>
      </w:r>
      <w:r>
        <w:rPr/>
        <w:t>used without risk. To make this conclusion, users and nonusers of these formulations would have to be comparable in terms of breast cancer risk factors and in terms of bioequivalent blood levels of estrogen. Only then could a valid comparison be made. This study could not adjust for these </w:t>
      </w:r>
      <w:r>
        <w:rPr>
          <w:spacing w:val="-2"/>
        </w:rPr>
        <w:t>factors.</w:t>
      </w:r>
    </w:p>
    <w:p>
      <w:pPr>
        <w:pStyle w:val="BodyText"/>
        <w:spacing w:line="249" w:lineRule="auto" w:before="12"/>
        <w:ind w:right="97" w:firstLine="450"/>
      </w:pPr>
      <w:r>
        <w:rPr/>
        <w:t>The use of postmenopausal HT in Finland can be accurately recorded because all treatments must be prescribed and then paid for by the National Social Insurance Institution. However, the study is affected by </w:t>
      </w:r>
      <w:r>
        <w:rPr/>
        <w:t>an overwhelming problem: The results are questionable because of an inability to control for confounders. The risk was expressed as incidence ratios, calculated by dividing the observed number of cases by the numbers expected (based on the general statistics in Finland). Therefore, the study could not be controlled for confounders. Risk ratios less than 2.0 can easily be inaccurate because they can reflect confounding factors. It is well demonstrated that hormone users differ when compared to nonusers in</w:t>
      </w:r>
      <w:r>
        <w:rPr>
          <w:spacing w:val="40"/>
        </w:rPr>
        <w:t> </w:t>
      </w:r>
      <w:r>
        <w:rPr/>
        <w:t>terms of recognized risk factors for breast cancer. The differences also include a greater prevalence of mammography among hormone users. A good example can be found in the report from the Nurses’ Health Study that, like the cohort from Finland, indicated an increased risk of breast cancer with long-term users of estrogen only.</w:t>
      </w:r>
      <w:r>
        <w:rPr>
          <w:vertAlign w:val="superscript"/>
        </w:rPr>
        <w:t>871</w:t>
      </w:r>
      <w:r>
        <w:rPr>
          <w:vertAlign w:val="baseline"/>
        </w:rPr>
        <w:t> The long-term HT users in the</w:t>
      </w:r>
      <w:r>
        <w:rPr>
          <w:spacing w:val="-4"/>
          <w:vertAlign w:val="baseline"/>
        </w:rPr>
        <w:t> </w:t>
      </w:r>
      <w:r>
        <w:rPr>
          <w:vertAlign w:val="baseline"/>
        </w:rPr>
        <w:t>Nurses’</w:t>
      </w:r>
      <w:r>
        <w:rPr>
          <w:spacing w:val="-5"/>
          <w:vertAlign w:val="baseline"/>
        </w:rPr>
        <w:t> </w:t>
      </w:r>
      <w:r>
        <w:rPr>
          <w:vertAlign w:val="baseline"/>
        </w:rPr>
        <w:t>Health</w:t>
      </w:r>
      <w:r>
        <w:rPr>
          <w:spacing w:val="-4"/>
          <w:vertAlign w:val="baseline"/>
        </w:rPr>
        <w:t> </w:t>
      </w:r>
      <w:r>
        <w:rPr>
          <w:vertAlign w:val="baseline"/>
        </w:rPr>
        <w:t>Study</w:t>
      </w:r>
      <w:r>
        <w:rPr>
          <w:spacing w:val="-5"/>
          <w:vertAlign w:val="baseline"/>
        </w:rPr>
        <w:t> </w:t>
      </w:r>
      <w:r>
        <w:rPr>
          <w:vertAlign w:val="baseline"/>
        </w:rPr>
        <w:t>had</w:t>
      </w:r>
      <w:r>
        <w:rPr>
          <w:spacing w:val="-4"/>
          <w:vertAlign w:val="baseline"/>
        </w:rPr>
        <w:t> </w:t>
      </w:r>
      <w:r>
        <w:rPr>
          <w:vertAlign w:val="baseline"/>
        </w:rPr>
        <w:t>more</w:t>
      </w:r>
      <w:r>
        <w:rPr>
          <w:spacing w:val="-5"/>
          <w:vertAlign w:val="baseline"/>
        </w:rPr>
        <w:t> </w:t>
      </w:r>
      <w:r>
        <w:rPr>
          <w:vertAlign w:val="baseline"/>
        </w:rPr>
        <w:t>bilateral</w:t>
      </w:r>
      <w:r>
        <w:rPr>
          <w:spacing w:val="-4"/>
          <w:vertAlign w:val="baseline"/>
        </w:rPr>
        <w:t> </w:t>
      </w:r>
      <w:r>
        <w:rPr>
          <w:vertAlign w:val="baseline"/>
        </w:rPr>
        <w:t>salpingo-oophorectomies,</w:t>
      </w:r>
      <w:r>
        <w:rPr>
          <w:spacing w:val="-5"/>
          <w:vertAlign w:val="baseline"/>
        </w:rPr>
        <w:t> </w:t>
      </w:r>
      <w:r>
        <w:rPr>
          <w:vertAlign w:val="baseline"/>
        </w:rPr>
        <w:t>more nulliparity, more benign breast disease, and greater alcohol consumption, and they were thinner—all factors that make a comparison of HT users to nonusers very difficult.</w:t>
      </w:r>
    </w:p>
    <w:p>
      <w:pPr>
        <w:pStyle w:val="BodyText"/>
        <w:spacing w:line="249" w:lineRule="auto" w:before="23"/>
        <w:ind w:right="99" w:firstLine="450"/>
      </w:pPr>
      <w:r>
        <w:rPr/>
        <w:t>In order to minimize the problem of confounders, the Finnish report argued that “there are no socioeconomic differences between postmenopausal hormone therapy users and the general population </w:t>
      </w:r>
      <w:r>
        <w:rPr/>
        <w:t>in Finland,” citing a previous report. This statement is not totally accurate.</w:t>
      </w:r>
      <w:r>
        <w:rPr>
          <w:spacing w:val="40"/>
        </w:rPr>
        <w:t> </w:t>
      </w:r>
      <w:r>
        <w:rPr/>
        <w:t>The previous report in 1999 was based on population surveys and measured only two things: length of education and rural versus urban living.</w:t>
      </w:r>
      <w:r>
        <w:rPr>
          <w:vertAlign w:val="superscript"/>
        </w:rPr>
        <w:t>872</w:t>
      </w:r>
      <w:r>
        <w:rPr>
          <w:vertAlign w:val="baseline"/>
        </w:rPr>
        <w:t> A lack of</w:t>
      </w:r>
      <w:r>
        <w:rPr>
          <w:spacing w:val="26"/>
          <w:vertAlign w:val="baseline"/>
        </w:rPr>
        <w:t> </w:t>
      </w:r>
      <w:r>
        <w:rPr>
          <w:vertAlign w:val="baseline"/>
        </w:rPr>
        <w:t>educational</w:t>
      </w:r>
      <w:r>
        <w:rPr>
          <w:spacing w:val="26"/>
          <w:vertAlign w:val="baseline"/>
        </w:rPr>
        <w:t> </w:t>
      </w:r>
      <w:r>
        <w:rPr>
          <w:vertAlign w:val="baseline"/>
        </w:rPr>
        <w:t>differences</w:t>
      </w:r>
      <w:r>
        <w:rPr>
          <w:spacing w:val="27"/>
          <w:vertAlign w:val="baseline"/>
        </w:rPr>
        <w:t> </w:t>
      </w:r>
      <w:r>
        <w:rPr>
          <w:vertAlign w:val="baseline"/>
        </w:rPr>
        <w:t>was</w:t>
      </w:r>
      <w:r>
        <w:rPr>
          <w:spacing w:val="26"/>
          <w:vertAlign w:val="baseline"/>
        </w:rPr>
        <w:t> </w:t>
      </w:r>
      <w:r>
        <w:rPr>
          <w:vertAlign w:val="baseline"/>
        </w:rPr>
        <w:t>present</w:t>
      </w:r>
      <w:r>
        <w:rPr>
          <w:spacing w:val="27"/>
          <w:vertAlign w:val="baseline"/>
        </w:rPr>
        <w:t> </w:t>
      </w:r>
      <w:r>
        <w:rPr>
          <w:vertAlign w:val="baseline"/>
        </w:rPr>
        <w:t>in</w:t>
      </w:r>
      <w:r>
        <w:rPr>
          <w:spacing w:val="26"/>
          <w:vertAlign w:val="baseline"/>
        </w:rPr>
        <w:t> </w:t>
      </w:r>
      <w:r>
        <w:rPr>
          <w:vertAlign w:val="baseline"/>
        </w:rPr>
        <w:t>Finnish</w:t>
      </w:r>
      <w:r>
        <w:rPr>
          <w:spacing w:val="27"/>
          <w:vertAlign w:val="baseline"/>
        </w:rPr>
        <w:t> </w:t>
      </w:r>
      <w:r>
        <w:rPr>
          <w:vertAlign w:val="baseline"/>
        </w:rPr>
        <w:t>women</w:t>
      </w:r>
      <w:r>
        <w:rPr>
          <w:spacing w:val="26"/>
          <w:vertAlign w:val="baseline"/>
        </w:rPr>
        <w:t> </w:t>
      </w:r>
      <w:r>
        <w:rPr>
          <w:vertAlign w:val="baseline"/>
        </w:rPr>
        <w:t>under</w:t>
      </w:r>
      <w:r>
        <w:rPr>
          <w:spacing w:val="27"/>
          <w:vertAlign w:val="baseline"/>
        </w:rPr>
        <w:t> </w:t>
      </w:r>
      <w:r>
        <w:rPr>
          <w:vertAlign w:val="baseline"/>
        </w:rPr>
        <w:t>the</w:t>
      </w:r>
      <w:r>
        <w:rPr>
          <w:spacing w:val="26"/>
          <w:vertAlign w:val="baseline"/>
        </w:rPr>
        <w:t> </w:t>
      </w:r>
      <w:r>
        <w:rPr>
          <w:vertAlign w:val="baseline"/>
        </w:rPr>
        <w:t>age</w:t>
      </w:r>
      <w:r>
        <w:rPr>
          <w:spacing w:val="27"/>
          <w:vertAlign w:val="baseline"/>
        </w:rPr>
        <w:t> </w:t>
      </w:r>
      <w:r>
        <w:rPr>
          <w:spacing w:val="-5"/>
          <w:vertAlign w:val="baseline"/>
        </w:rPr>
        <w:t>of</w:t>
      </w:r>
    </w:p>
    <w:p>
      <w:pPr>
        <w:pStyle w:val="BodyText"/>
        <w:spacing w:after="0" w:line="249" w:lineRule="auto"/>
        <w:sectPr>
          <w:pgSz w:w="12240" w:h="15840"/>
          <w:pgMar w:top="1380" w:bottom="280" w:left="1440" w:right="1440"/>
        </w:sectPr>
      </w:pPr>
    </w:p>
    <w:p>
      <w:pPr>
        <w:pStyle w:val="BodyText"/>
        <w:spacing w:line="249" w:lineRule="auto"/>
        <w:ind w:right="98"/>
      </w:pPr>
      <w:r>
        <w:rPr/>
        <w:t>55, but older postmenopausal women had more years of education. </w:t>
      </w:r>
      <w:r>
        <w:rPr/>
        <w:t>In addition, there were regional differences at all ages, with the current use of HT being most common in the Helsinki area (especially among older women). Therefore, the 1999 study does not imply a lack of differences in hormone users in Finland, in fact, just the opposite. Age information is not provided in the reports on breast cancer, but the longer term hormone users were probably an older group of women, and according to the 1999 Finnish report, they do differ when compared to the general population of Finland. Remember, this cohort study is not comparing users with nonusers. It compares users to general population statistics. Therefore, we cannot know whether the results of this study reflect long-term use of estrogen or</w:t>
      </w:r>
      <w:r>
        <w:rPr>
          <w:spacing w:val="40"/>
        </w:rPr>
        <w:t> </w:t>
      </w:r>
      <w:r>
        <w:rPr/>
        <w:t>whether the results reflect a greater prevalence of risk factors and mammography in the hormone-using group (see </w:t>
      </w:r>
      <w:r>
        <w:rPr>
          <w:b/>
          <w:color w:val="256E60"/>
        </w:rPr>
        <w:t>Table 22.7</w:t>
      </w:r>
      <w:r>
        <w:rPr/>
        <w:t>).</w:t>
      </w:r>
    </w:p>
    <w:p>
      <w:pPr>
        <w:pStyle w:val="BodyText"/>
        <w:spacing w:before="59"/>
        <w:ind w:left="0"/>
        <w:jc w:val="left"/>
      </w:pPr>
    </w:p>
    <w:p>
      <w:pPr>
        <w:spacing w:before="0"/>
        <w:ind w:left="99" w:right="0" w:firstLine="0"/>
        <w:jc w:val="both"/>
        <w:rPr>
          <w:rFonts w:ascii="Arial"/>
          <w:b/>
          <w:sz w:val="30"/>
        </w:rPr>
      </w:pPr>
      <w:r>
        <w:rPr>
          <w:rFonts w:ascii="Arial"/>
          <w:b/>
          <w:color w:val="2674AE"/>
          <w:sz w:val="30"/>
        </w:rPr>
        <w:t>Hormone Therapy and Breast Cancer </w:t>
      </w:r>
      <w:r>
        <w:rPr>
          <w:rFonts w:ascii="Arial"/>
          <w:b/>
          <w:color w:val="2674AE"/>
          <w:spacing w:val="-2"/>
          <w:sz w:val="30"/>
        </w:rPr>
        <w:t>Outcome</w:t>
      </w:r>
    </w:p>
    <w:p>
      <w:pPr>
        <w:pStyle w:val="BodyText"/>
        <w:spacing w:line="249" w:lineRule="auto" w:before="167"/>
        <w:ind w:right="98"/>
      </w:pPr>
      <w:r>
        <w:rPr/>
        <w:t>Long-term use of HT increases the risk of breast cancer, yet cause-and-effect mechanisms are unclear. In the WHI trials, estrogen plus progestin use showed increased risk, while use of estrogen alone did not result in added risk for breast cancer. This disparity in results of the two WHI hormone trials raised concerns that progestin may be the culprit in causing breast cancer in hormone-using menopausal women. Most of the studies that have examined breast cancer mortality rates of women who had used postmenopausal HT at the time of diagnosis have documented improved survival rates.</w:t>
      </w:r>
      <w:r>
        <w:rPr>
          <w:vertAlign w:val="superscript"/>
        </w:rPr>
        <w:t>720,731,739,873-882</w:t>
      </w:r>
      <w:r>
        <w:rPr>
          <w:vertAlign w:val="baseline"/>
        </w:rPr>
        <w:t> Even a study that indicated a reduction </w:t>
      </w:r>
      <w:r>
        <w:rPr>
          <w:vertAlign w:val="baseline"/>
        </w:rPr>
        <w:t>in mammographic</w:t>
      </w:r>
      <w:r>
        <w:rPr>
          <w:spacing w:val="-4"/>
          <w:vertAlign w:val="baseline"/>
        </w:rPr>
        <w:t> </w:t>
      </w:r>
      <w:r>
        <w:rPr>
          <w:vertAlign w:val="baseline"/>
        </w:rPr>
        <w:t>sensitivity</w:t>
      </w:r>
      <w:r>
        <w:rPr>
          <w:spacing w:val="-4"/>
          <w:vertAlign w:val="baseline"/>
        </w:rPr>
        <w:t> </w:t>
      </w:r>
      <w:r>
        <w:rPr>
          <w:vertAlign w:val="baseline"/>
        </w:rPr>
        <w:t>also</w:t>
      </w:r>
      <w:r>
        <w:rPr>
          <w:spacing w:val="-4"/>
          <w:vertAlign w:val="baseline"/>
        </w:rPr>
        <w:t> </w:t>
      </w:r>
      <w:r>
        <w:rPr>
          <w:vertAlign w:val="baseline"/>
        </w:rPr>
        <w:t>reported</w:t>
      </w:r>
      <w:r>
        <w:rPr>
          <w:spacing w:val="-4"/>
          <w:vertAlign w:val="baseline"/>
        </w:rPr>
        <w:t> </w:t>
      </w:r>
      <w:r>
        <w:rPr>
          <w:vertAlign w:val="baseline"/>
        </w:rPr>
        <w:t>smaller,</w:t>
      </w:r>
      <w:r>
        <w:rPr>
          <w:spacing w:val="-4"/>
          <w:vertAlign w:val="baseline"/>
        </w:rPr>
        <w:t> </w:t>
      </w:r>
      <w:r>
        <w:rPr>
          <w:vertAlign w:val="baseline"/>
        </w:rPr>
        <w:t>more</w:t>
      </w:r>
      <w:r>
        <w:rPr>
          <w:spacing w:val="-4"/>
          <w:vertAlign w:val="baseline"/>
        </w:rPr>
        <w:t> </w:t>
      </w:r>
      <w:r>
        <w:rPr>
          <w:vertAlign w:val="baseline"/>
        </w:rPr>
        <w:t>differentiated</w:t>
      </w:r>
      <w:r>
        <w:rPr>
          <w:spacing w:val="-4"/>
          <w:vertAlign w:val="baseline"/>
        </w:rPr>
        <w:t> </w:t>
      </w:r>
      <w:r>
        <w:rPr>
          <w:vertAlign w:val="baseline"/>
        </w:rPr>
        <w:t>tumors among the users compared with the nonusers.</w:t>
      </w:r>
      <w:r>
        <w:rPr>
          <w:vertAlign w:val="superscript"/>
        </w:rPr>
        <w:t>336</w:t>
      </w:r>
      <w:r>
        <w:rPr>
          <w:vertAlign w:val="baseline"/>
        </w:rPr>
        <w:t> Evidence indicates that hormone users develop smaller, better-differentiated (lower grade), and lower-stage tumors, evidence that is consistent with the effects on preexisting tumors and that surveillance/detection bias is not the only explanation for better survival.</w:t>
      </w:r>
      <w:r>
        <w:rPr>
          <w:vertAlign w:val="superscript"/>
        </w:rPr>
        <w:t>851,881-899</w:t>
      </w:r>
      <w:r>
        <w:rPr>
          <w:vertAlign w:val="baseline"/>
        </w:rPr>
        <w:t> Lower-grade tumors are present even when there is no difference in the prevalence of mammography comparing hormone users and nonusers or when the data are adjusted for the</w:t>
      </w:r>
      <w:r>
        <w:rPr>
          <w:spacing w:val="-8"/>
          <w:vertAlign w:val="baseline"/>
        </w:rPr>
        <w:t> </w:t>
      </w:r>
      <w:r>
        <w:rPr>
          <w:vertAlign w:val="baseline"/>
        </w:rPr>
        <w:t>method</w:t>
      </w:r>
      <w:r>
        <w:rPr>
          <w:spacing w:val="-8"/>
          <w:vertAlign w:val="baseline"/>
        </w:rPr>
        <w:t> </w:t>
      </w:r>
      <w:r>
        <w:rPr>
          <w:vertAlign w:val="baseline"/>
        </w:rPr>
        <w:t>of</w:t>
      </w:r>
      <w:r>
        <w:rPr>
          <w:spacing w:val="-8"/>
          <w:vertAlign w:val="baseline"/>
        </w:rPr>
        <w:t> </w:t>
      </w:r>
      <w:r>
        <w:rPr>
          <w:vertAlign w:val="baseline"/>
        </w:rPr>
        <w:t>detection.</w:t>
      </w:r>
      <w:r>
        <w:rPr>
          <w:vertAlign w:val="superscript"/>
        </w:rPr>
        <w:t>877,879,890,900</w:t>
      </w:r>
      <w:r>
        <w:rPr>
          <w:spacing w:val="-9"/>
          <w:vertAlign w:val="baseline"/>
        </w:rPr>
        <w:t> </w:t>
      </w:r>
      <w:r>
        <w:rPr>
          <w:vertAlign w:val="baseline"/>
        </w:rPr>
        <w:t>This</w:t>
      </w:r>
      <w:r>
        <w:rPr>
          <w:spacing w:val="-8"/>
          <w:vertAlign w:val="baseline"/>
        </w:rPr>
        <w:t> </w:t>
      </w:r>
      <w:r>
        <w:rPr>
          <w:vertAlign w:val="baseline"/>
        </w:rPr>
        <w:t>is</w:t>
      </w:r>
      <w:r>
        <w:rPr>
          <w:spacing w:val="-8"/>
          <w:vertAlign w:val="baseline"/>
        </w:rPr>
        <w:t> </w:t>
      </w:r>
      <w:r>
        <w:rPr>
          <w:vertAlign w:val="baseline"/>
        </w:rPr>
        <w:t>not</w:t>
      </w:r>
      <w:r>
        <w:rPr>
          <w:spacing w:val="-8"/>
          <w:vertAlign w:val="baseline"/>
        </w:rPr>
        <w:t> </w:t>
      </w:r>
      <w:r>
        <w:rPr>
          <w:vertAlign w:val="baseline"/>
        </w:rPr>
        <w:t>a</w:t>
      </w:r>
      <w:r>
        <w:rPr>
          <w:spacing w:val="-8"/>
          <w:vertAlign w:val="baseline"/>
        </w:rPr>
        <w:t> </w:t>
      </w:r>
      <w:r>
        <w:rPr>
          <w:vertAlign w:val="baseline"/>
        </w:rPr>
        <w:t>totally</w:t>
      </w:r>
      <w:r>
        <w:rPr>
          <w:spacing w:val="-8"/>
          <w:vertAlign w:val="baseline"/>
        </w:rPr>
        <w:t> </w:t>
      </w:r>
      <w:r>
        <w:rPr>
          <w:vertAlign w:val="baseline"/>
        </w:rPr>
        <w:t>uniform</w:t>
      </w:r>
      <w:r>
        <w:rPr>
          <w:spacing w:val="-8"/>
          <w:vertAlign w:val="baseline"/>
        </w:rPr>
        <w:t> </w:t>
      </w:r>
      <w:r>
        <w:rPr>
          <w:vertAlign w:val="baseline"/>
        </w:rPr>
        <w:t>story,</w:t>
      </w:r>
      <w:r>
        <w:rPr>
          <w:spacing w:val="-8"/>
          <w:vertAlign w:val="baseline"/>
        </w:rPr>
        <w:t> </w:t>
      </w:r>
      <w:r>
        <w:rPr>
          <w:vertAlign w:val="baseline"/>
        </w:rPr>
        <w:t>in</w:t>
      </w:r>
      <w:r>
        <w:rPr>
          <w:spacing w:val="-8"/>
          <w:vertAlign w:val="baseline"/>
        </w:rPr>
        <w:t> </w:t>
      </w:r>
      <w:r>
        <w:rPr>
          <w:vertAlign w:val="baseline"/>
        </w:rPr>
        <w:t>that at least one prospective study concluded that estrogen-progestin users had both</w:t>
      </w:r>
      <w:r>
        <w:rPr>
          <w:spacing w:val="46"/>
          <w:w w:val="150"/>
          <w:vertAlign w:val="baseline"/>
        </w:rPr>
        <w:t> </w:t>
      </w:r>
      <w:r>
        <w:rPr>
          <w:vertAlign w:val="baseline"/>
        </w:rPr>
        <w:t>lower</w:t>
      </w:r>
      <w:r>
        <w:rPr>
          <w:spacing w:val="46"/>
          <w:w w:val="150"/>
          <w:vertAlign w:val="baseline"/>
        </w:rPr>
        <w:t> </w:t>
      </w:r>
      <w:r>
        <w:rPr>
          <w:vertAlign w:val="baseline"/>
        </w:rPr>
        <w:t>and</w:t>
      </w:r>
      <w:r>
        <w:rPr>
          <w:spacing w:val="46"/>
          <w:w w:val="150"/>
          <w:vertAlign w:val="baseline"/>
        </w:rPr>
        <w:t> </w:t>
      </w:r>
      <w:r>
        <w:rPr>
          <w:vertAlign w:val="baseline"/>
        </w:rPr>
        <w:t>higher</w:t>
      </w:r>
      <w:r>
        <w:rPr>
          <w:spacing w:val="46"/>
          <w:w w:val="150"/>
          <w:vertAlign w:val="baseline"/>
        </w:rPr>
        <w:t> </w:t>
      </w:r>
      <w:r>
        <w:rPr>
          <w:vertAlign w:val="baseline"/>
        </w:rPr>
        <w:t>stage</w:t>
      </w:r>
      <w:r>
        <w:rPr>
          <w:spacing w:val="47"/>
          <w:w w:val="150"/>
          <w:vertAlign w:val="baseline"/>
        </w:rPr>
        <w:t> </w:t>
      </w:r>
      <w:r>
        <w:rPr>
          <w:vertAlign w:val="baseline"/>
        </w:rPr>
        <w:t>and</w:t>
      </w:r>
      <w:r>
        <w:rPr>
          <w:spacing w:val="46"/>
          <w:w w:val="150"/>
          <w:vertAlign w:val="baseline"/>
        </w:rPr>
        <w:t> </w:t>
      </w:r>
      <w:r>
        <w:rPr>
          <w:vertAlign w:val="baseline"/>
        </w:rPr>
        <w:t>grade</w:t>
      </w:r>
      <w:r>
        <w:rPr>
          <w:spacing w:val="46"/>
          <w:w w:val="150"/>
          <w:vertAlign w:val="baseline"/>
        </w:rPr>
        <w:t> </w:t>
      </w:r>
      <w:r>
        <w:rPr>
          <w:vertAlign w:val="baseline"/>
        </w:rPr>
        <w:t>tumors.</w:t>
      </w:r>
      <w:r>
        <w:rPr>
          <w:vertAlign w:val="superscript"/>
        </w:rPr>
        <w:t>851</w:t>
      </w:r>
      <w:r>
        <w:rPr>
          <w:spacing w:val="48"/>
          <w:w w:val="150"/>
          <w:vertAlign w:val="baseline"/>
        </w:rPr>
        <w:t> </w:t>
      </w:r>
      <w:r>
        <w:rPr>
          <w:vertAlign w:val="baseline"/>
        </w:rPr>
        <w:t>However,</w:t>
      </w:r>
      <w:r>
        <w:rPr>
          <w:spacing w:val="49"/>
          <w:w w:val="150"/>
          <w:vertAlign w:val="baseline"/>
        </w:rPr>
        <w:t> </w:t>
      </w:r>
      <w:r>
        <w:rPr>
          <w:vertAlign w:val="baseline"/>
        </w:rPr>
        <w:t>nearly</w:t>
      </w:r>
      <w:r>
        <w:rPr>
          <w:spacing w:val="49"/>
          <w:w w:val="150"/>
          <w:vertAlign w:val="baseline"/>
        </w:rPr>
        <w:t> </w:t>
      </w:r>
      <w:r>
        <w:rPr>
          <w:spacing w:val="-5"/>
          <w:vertAlign w:val="baseline"/>
        </w:rPr>
        <w:t>all</w:t>
      </w:r>
    </w:p>
    <w:p>
      <w:pPr>
        <w:pStyle w:val="BodyText"/>
        <w:spacing w:after="0" w:line="249" w:lineRule="auto"/>
        <w:sectPr>
          <w:pgSz w:w="12240" w:h="15840"/>
          <w:pgMar w:top="1380" w:bottom="280" w:left="1440" w:right="1440"/>
        </w:sectPr>
      </w:pPr>
    </w:p>
    <w:p>
      <w:pPr>
        <w:pStyle w:val="BodyText"/>
        <w:spacing w:line="249" w:lineRule="auto"/>
        <w:ind w:right="103"/>
      </w:pPr>
      <w:r>
        <w:rPr/>
        <w:t>reports indicate that more tumors in hormone users are detected </w:t>
      </w:r>
      <w:r>
        <w:rPr/>
        <w:t>by screening mammography, and when assessing outcomes in all cancers detected by mammography, hormone users have more ductal in situ tumors, more node-negative cancers, smaller tumors, and less invasive disease and, thus, better survival rates.</w:t>
      </w:r>
      <w:r>
        <w:rPr>
          <w:vertAlign w:val="superscript"/>
        </w:rPr>
        <w:t>882,895</w:t>
      </w:r>
    </w:p>
    <w:p>
      <w:pPr>
        <w:pStyle w:val="BodyText"/>
        <w:spacing w:line="249" w:lineRule="auto" w:before="6"/>
        <w:ind w:right="98" w:firstLine="450"/>
      </w:pPr>
      <w:r>
        <w:rPr/>
        <w:t>In contrast, the WHI results in the estrogen-progestin arm indicated an earlier appearance of </w:t>
      </w:r>
      <w:r>
        <w:rPr>
          <w:i/>
        </w:rPr>
        <w:t>invasive, lymph node–positive </w:t>
      </w:r>
      <w:r>
        <w:rPr/>
        <w:t>tumors than </w:t>
      </w:r>
      <w:r>
        <w:rPr/>
        <w:t>previously reported in case-control and cohort studies.</w:t>
      </w:r>
      <w:r>
        <w:rPr>
          <w:spacing w:val="-1"/>
        </w:rPr>
        <w:t> </w:t>
      </w:r>
      <w:r>
        <w:rPr/>
        <w:t>The WHI argued that the results (both the invasive breast cancers and the mammography findings) are consistent with stimulation of growth of established breast cancers (supported by no statistical difference in in situ tumors in the WHI trial) but at the same time a delay in diagnosis. This certainly challenges the idea that hormone users have better outcomes because of earlier detection. The WHI suggested that this disagreement could be because of a difference of mammography use in the observational studies. However, as pointed out, even studies that examined tumor characteristics and outcome in users and nonusers who have equally used mammography, lower-grade and lower-stage disease with a better outcome is identified in the users.</w:t>
      </w:r>
      <w:r>
        <w:rPr>
          <w:vertAlign w:val="superscript"/>
        </w:rPr>
        <w:t>877,879,895</w:t>
      </w:r>
      <w:r>
        <w:rPr>
          <w:vertAlign w:val="baseline"/>
        </w:rPr>
        <w:t> In addition, a prospective cohort study found little impact of hormone use on mammography specificity.</w:t>
      </w:r>
      <w:r>
        <w:rPr>
          <w:vertAlign w:val="superscript"/>
        </w:rPr>
        <w:t>901</w:t>
      </w:r>
    </w:p>
    <w:p>
      <w:pPr>
        <w:pStyle w:val="BodyText"/>
        <w:spacing w:line="249" w:lineRule="auto" w:before="18"/>
        <w:ind w:right="98" w:firstLine="450"/>
      </w:pPr>
      <w:r>
        <w:rPr/>
        <w:t>Differing with many reports in the literature, the WHI concluded that their results suggested that invasive breast cancers diagnosed in </w:t>
      </w:r>
      <w:r>
        <w:rPr/>
        <w:t>women</w:t>
      </w:r>
      <w:r>
        <w:rPr>
          <w:spacing w:val="40"/>
        </w:rPr>
        <w:t> </w:t>
      </w:r>
      <w:r>
        <w:rPr/>
        <w:t>who use HT may have a worse prognosis, basing this conclusion on the differences observed in tumor size and spread of disease. As discussed previously, it is well recognized that the participants in the WHI represent an older postmenopausal population (average age 63 and an average of about 12 years since menopause in the estrogen-progestin arm). This older population is more likely to have preexisting occult tumors that would become detectable quickly after hormonal stimulation. In addition, breast tissue in older postmenopausal women may respond differently to hormone stimulation than breast tissue in women close to their menopause. It is possible that the WHI results reflect this older population who might have occult tumors that are in fact larger and more prone to respond to hormonal stimulation than tumors in younger women.</w:t>
      </w:r>
    </w:p>
    <w:p>
      <w:pPr>
        <w:pStyle w:val="BodyText"/>
        <w:spacing w:line="249" w:lineRule="auto" w:before="17"/>
        <w:ind w:right="102" w:firstLine="450"/>
      </w:pPr>
      <w:r>
        <w:rPr/>
        <w:t>There is another problem with the WHI data on tumor size and stage of disease.</w:t>
      </w:r>
      <w:r>
        <w:rPr>
          <w:spacing w:val="3"/>
        </w:rPr>
        <w:t> </w:t>
      </w:r>
      <w:r>
        <w:rPr/>
        <w:t>The</w:t>
      </w:r>
      <w:r>
        <w:rPr>
          <w:spacing w:val="16"/>
        </w:rPr>
        <w:t> </w:t>
      </w:r>
      <w:r>
        <w:rPr/>
        <w:t>WHI</w:t>
      </w:r>
      <w:r>
        <w:rPr>
          <w:spacing w:val="16"/>
        </w:rPr>
        <w:t> </w:t>
      </w:r>
      <w:r>
        <w:rPr/>
        <w:t>reported</w:t>
      </w:r>
      <w:r>
        <w:rPr>
          <w:spacing w:val="16"/>
        </w:rPr>
        <w:t> </w:t>
      </w:r>
      <w:r>
        <w:rPr/>
        <w:t>that</w:t>
      </w:r>
      <w:r>
        <w:rPr>
          <w:spacing w:val="16"/>
        </w:rPr>
        <w:t> </w:t>
      </w:r>
      <w:r>
        <w:rPr/>
        <w:t>estrogen-progestin</w:t>
      </w:r>
      <w:r>
        <w:rPr>
          <w:spacing w:val="16"/>
        </w:rPr>
        <w:t> </w:t>
      </w:r>
      <w:r>
        <w:rPr/>
        <w:t>users</w:t>
      </w:r>
      <w:r>
        <w:rPr>
          <w:spacing w:val="16"/>
        </w:rPr>
        <w:t> </w:t>
      </w:r>
      <w:r>
        <w:rPr/>
        <w:t>had</w:t>
      </w:r>
      <w:r>
        <w:rPr>
          <w:spacing w:val="16"/>
        </w:rPr>
        <w:t> </w:t>
      </w:r>
      <w:r>
        <w:rPr/>
        <w:t>slightly</w:t>
      </w:r>
      <w:r>
        <w:rPr>
          <w:spacing w:val="16"/>
        </w:rPr>
        <w:t> </w:t>
      </w:r>
      <w:r>
        <w:rPr>
          <w:spacing w:val="-2"/>
        </w:rPr>
        <w:t>larger</w:t>
      </w:r>
    </w:p>
    <w:p>
      <w:pPr>
        <w:pStyle w:val="BodyText"/>
        <w:spacing w:after="0" w:line="249" w:lineRule="auto"/>
        <w:sectPr>
          <w:pgSz w:w="12240" w:h="15840"/>
          <w:pgMar w:top="1380" w:bottom="280" w:left="1440" w:right="1440"/>
        </w:sectPr>
      </w:pPr>
    </w:p>
    <w:p>
      <w:pPr>
        <w:pStyle w:val="BodyText"/>
        <w:spacing w:line="249" w:lineRule="auto"/>
        <w:ind w:right="98"/>
      </w:pPr>
      <w:r>
        <w:rPr/>
        <w:t>tumors (an average of 2 mm) and less localized disease. However, there are reasons both obvious and not apparent, why the WHI data disagree with the great bulk of the literature. First, no nodes were examined in nearly 10% </w:t>
      </w:r>
      <w:r>
        <w:rPr/>
        <w:t>of the subjects who developed breast cancer; information was missing on node involvement in 4.0% of the treated group and 4.7% of the placebo group and on tumor size in 6.5% of the treated group and 6.0% of the placebo group.</w:t>
      </w:r>
      <w:r>
        <w:rPr>
          <w:spacing w:val="-4"/>
        </w:rPr>
        <w:t> </w:t>
      </w:r>
      <w:r>
        <w:rPr/>
        <w:t>Because case numbers were not large, a change in a few cases could change the conclusions. Next, the WHI investigators assumed that tumors less than 1 cm in size with no node information should be classified as localized disease, and those greater than 1 cm in size were not staged. According</w:t>
      </w:r>
      <w:r>
        <w:rPr>
          <w:spacing w:val="-6"/>
        </w:rPr>
        <w:t> </w:t>
      </w:r>
      <w:r>
        <w:rPr/>
        <w:t>to</w:t>
      </w:r>
      <w:r>
        <w:rPr>
          <w:spacing w:val="-6"/>
        </w:rPr>
        <w:t> </w:t>
      </w:r>
      <w:r>
        <w:rPr/>
        <w:t>the</w:t>
      </w:r>
      <w:r>
        <w:rPr>
          <w:spacing w:val="-6"/>
        </w:rPr>
        <w:t> </w:t>
      </w:r>
      <w:r>
        <w:rPr/>
        <w:t>U.S.</w:t>
      </w:r>
      <w:r>
        <w:rPr>
          <w:spacing w:val="-7"/>
        </w:rPr>
        <w:t> </w:t>
      </w:r>
      <w:r>
        <w:rPr/>
        <w:t>Surveillance,</w:t>
      </w:r>
      <w:r>
        <w:rPr>
          <w:spacing w:val="-3"/>
        </w:rPr>
        <w:t> </w:t>
      </w:r>
      <w:r>
        <w:rPr/>
        <w:t>Epidemiology,</w:t>
      </w:r>
      <w:r>
        <w:rPr>
          <w:spacing w:val="-3"/>
        </w:rPr>
        <w:t> </w:t>
      </w:r>
      <w:r>
        <w:rPr/>
        <w:t>and</w:t>
      </w:r>
      <w:r>
        <w:rPr>
          <w:spacing w:val="-3"/>
        </w:rPr>
        <w:t> </w:t>
      </w:r>
      <w:r>
        <w:rPr/>
        <w:t>End</w:t>
      </w:r>
      <w:r>
        <w:rPr>
          <w:spacing w:val="-3"/>
        </w:rPr>
        <w:t> </w:t>
      </w:r>
      <w:r>
        <w:rPr/>
        <w:t>Results</w:t>
      </w:r>
      <w:r>
        <w:rPr>
          <w:spacing w:val="-3"/>
        </w:rPr>
        <w:t> </w:t>
      </w:r>
      <w:r>
        <w:rPr/>
        <w:t>(SEER) data, breast tumors 1 cm in diameter have a 20% incidence of positive nodes.</w:t>
      </w:r>
      <w:r>
        <w:rPr>
          <w:vertAlign w:val="superscript"/>
        </w:rPr>
        <w:t>902</w:t>
      </w:r>
      <w:r>
        <w:rPr>
          <w:vertAlign w:val="baseline"/>
        </w:rPr>
        <w:t> Finally, there is a major problem that is hard to explain. The WHI conclusion of less localized disease in hormone users is based on, once again, a difference in the placebo group, a surprisingly low incidence of positive nodes. There is a linear relationship between tumor diameter and the percent of cases with positive nodes.</w:t>
      </w:r>
      <w:r>
        <w:rPr>
          <w:vertAlign w:val="superscript"/>
        </w:rPr>
        <w:t>902</w:t>
      </w:r>
      <w:r>
        <w:rPr>
          <w:vertAlign w:val="baseline"/>
        </w:rPr>
        <w:t> The average tumor size in the placebo group was 1.5 cm, and according to US data, this should give about a 25% incidence of positive nodes, not the 15.8% that was reported.</w:t>
      </w:r>
      <w:r>
        <w:rPr>
          <w:vertAlign w:val="superscript"/>
        </w:rPr>
        <w:t>902-905</w:t>
      </w:r>
      <w:r>
        <w:rPr>
          <w:vertAlign w:val="baseline"/>
        </w:rPr>
        <w:t> Why is the placebo group different? Whatever the reason, it influences the </w:t>
      </w:r>
      <w:r>
        <w:rPr>
          <w:spacing w:val="-2"/>
          <w:vertAlign w:val="baseline"/>
        </w:rPr>
        <w:t>conclusion.</w:t>
      </w:r>
    </w:p>
    <w:p>
      <w:pPr>
        <w:pStyle w:val="BodyText"/>
        <w:spacing w:line="249" w:lineRule="auto" w:before="25"/>
        <w:ind w:right="99" w:firstLine="450"/>
      </w:pPr>
      <w:r>
        <w:rPr/>
        <w:t>In 2008, the WHI investigators had reported health outcomes at 3 years after the estrogen-progestin arm of the clinical trial was terminated.</w:t>
      </w:r>
      <w:r>
        <w:rPr>
          <w:vertAlign w:val="superscript"/>
        </w:rPr>
        <w:t>906</w:t>
      </w:r>
      <w:r>
        <w:rPr>
          <w:vertAlign w:val="baseline"/>
        </w:rPr>
        <w:t> </w:t>
      </w:r>
      <w:r>
        <w:rPr>
          <w:vertAlign w:val="baseline"/>
        </w:rPr>
        <w:t>This follow-up report had included 15,730 participants who were followed from July 2002 to April 2005 (95% of randomized women). No increase in cardiovascular events, including venous thrombosis, in the women treated with estrogen-progestin was observed in the follow-up period. There were 79 cases of invasive breast cancer in the treated group in the follow-up period</w:t>
      </w:r>
      <w:r>
        <w:rPr>
          <w:spacing w:val="-1"/>
          <w:vertAlign w:val="baseline"/>
        </w:rPr>
        <w:t> </w:t>
      </w:r>
      <w:r>
        <w:rPr>
          <w:vertAlign w:val="baseline"/>
        </w:rPr>
        <w:t>compared</w:t>
      </w:r>
      <w:r>
        <w:rPr>
          <w:spacing w:val="-1"/>
          <w:vertAlign w:val="baseline"/>
        </w:rPr>
        <w:t> </w:t>
      </w:r>
      <w:r>
        <w:rPr>
          <w:vertAlign w:val="baseline"/>
        </w:rPr>
        <w:t>with</w:t>
      </w:r>
      <w:r>
        <w:rPr>
          <w:spacing w:val="-1"/>
          <w:vertAlign w:val="baseline"/>
        </w:rPr>
        <w:t> </w:t>
      </w:r>
      <w:r>
        <w:rPr>
          <w:vertAlign w:val="baseline"/>
        </w:rPr>
        <w:t>60</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vertAlign w:val="baseline"/>
        </w:rPr>
        <w:t>placebo</w:t>
      </w:r>
      <w:r>
        <w:rPr>
          <w:spacing w:val="-1"/>
          <w:vertAlign w:val="baseline"/>
        </w:rPr>
        <w:t> </w:t>
      </w:r>
      <w:r>
        <w:rPr>
          <w:vertAlign w:val="baseline"/>
        </w:rPr>
        <w:t>group,</w:t>
      </w:r>
      <w:r>
        <w:rPr>
          <w:spacing w:val="-1"/>
          <w:vertAlign w:val="baseline"/>
        </w:rPr>
        <w:t> </w:t>
      </w:r>
      <w:r>
        <w:rPr>
          <w:vertAlign w:val="baseline"/>
        </w:rPr>
        <w:t>a</w:t>
      </w:r>
      <w:r>
        <w:rPr>
          <w:spacing w:val="-1"/>
          <w:vertAlign w:val="baseline"/>
        </w:rPr>
        <w:t> </w:t>
      </w:r>
      <w:r>
        <w:rPr>
          <w:vertAlign w:val="baseline"/>
        </w:rPr>
        <w:t>difference</w:t>
      </w:r>
      <w:r>
        <w:rPr>
          <w:spacing w:val="-1"/>
          <w:vertAlign w:val="baseline"/>
        </w:rPr>
        <w:t> </w:t>
      </w:r>
      <w:r>
        <w:rPr>
          <w:vertAlign w:val="baseline"/>
        </w:rPr>
        <w:t>that</w:t>
      </w:r>
      <w:r>
        <w:rPr>
          <w:spacing w:val="-1"/>
          <w:vertAlign w:val="baseline"/>
        </w:rPr>
        <w:t> </w:t>
      </w:r>
      <w:r>
        <w:rPr>
          <w:vertAlign w:val="baseline"/>
        </w:rPr>
        <w:t>gave</w:t>
      </w:r>
      <w:r>
        <w:rPr>
          <w:spacing w:val="-1"/>
          <w:vertAlign w:val="baseline"/>
        </w:rPr>
        <w:t> </w:t>
      </w:r>
      <w:r>
        <w:rPr>
          <w:vertAlign w:val="baseline"/>
        </w:rPr>
        <w:t>an</w:t>
      </w:r>
      <w:r>
        <w:rPr>
          <w:spacing w:val="-1"/>
          <w:vertAlign w:val="baseline"/>
        </w:rPr>
        <w:t> </w:t>
      </w:r>
      <w:r>
        <w:rPr>
          <w:vertAlign w:val="baseline"/>
        </w:rPr>
        <w:t>HR of 1.27, but it was not statistically significant. There was no difference in cases of colorectal cancer or fractures and a nonsignificant decrease in endometrial cancer in the treated group. There was a greater rate of mortality in the treatment group in the follow-up period, but this difference was small and not statistically significant. This WHI follow-up report concluded that the trend of increasing breast cancer during the trial period did</w:t>
      </w:r>
      <w:r>
        <w:rPr>
          <w:spacing w:val="75"/>
          <w:vertAlign w:val="baseline"/>
        </w:rPr>
        <w:t> </w:t>
      </w:r>
      <w:r>
        <w:rPr>
          <w:vertAlign w:val="baseline"/>
        </w:rPr>
        <w:t>not</w:t>
      </w:r>
      <w:r>
        <w:rPr>
          <w:spacing w:val="78"/>
          <w:vertAlign w:val="baseline"/>
        </w:rPr>
        <w:t> </w:t>
      </w:r>
      <w:r>
        <w:rPr>
          <w:vertAlign w:val="baseline"/>
        </w:rPr>
        <w:t>extend</w:t>
      </w:r>
      <w:r>
        <w:rPr>
          <w:spacing w:val="78"/>
          <w:vertAlign w:val="baseline"/>
        </w:rPr>
        <w:t> </w:t>
      </w:r>
      <w:r>
        <w:rPr>
          <w:vertAlign w:val="baseline"/>
        </w:rPr>
        <w:t>into</w:t>
      </w:r>
      <w:r>
        <w:rPr>
          <w:spacing w:val="78"/>
          <w:vertAlign w:val="baseline"/>
        </w:rPr>
        <w:t> </w:t>
      </w:r>
      <w:r>
        <w:rPr>
          <w:vertAlign w:val="baseline"/>
        </w:rPr>
        <w:t>the</w:t>
      </w:r>
      <w:r>
        <w:rPr>
          <w:spacing w:val="78"/>
          <w:vertAlign w:val="baseline"/>
        </w:rPr>
        <w:t> </w:t>
      </w:r>
      <w:r>
        <w:rPr>
          <w:vertAlign w:val="baseline"/>
        </w:rPr>
        <w:t>follow-up</w:t>
      </w:r>
      <w:r>
        <w:rPr>
          <w:spacing w:val="77"/>
          <w:vertAlign w:val="baseline"/>
        </w:rPr>
        <w:t> </w:t>
      </w:r>
      <w:r>
        <w:rPr>
          <w:vertAlign w:val="baseline"/>
        </w:rPr>
        <w:t>period.</w:t>
      </w:r>
      <w:r>
        <w:rPr>
          <w:spacing w:val="78"/>
          <w:vertAlign w:val="baseline"/>
        </w:rPr>
        <w:t> </w:t>
      </w:r>
      <w:r>
        <w:rPr>
          <w:vertAlign w:val="baseline"/>
        </w:rPr>
        <w:t>However,</w:t>
      </w:r>
      <w:r>
        <w:rPr>
          <w:spacing w:val="77"/>
          <w:vertAlign w:val="baseline"/>
        </w:rPr>
        <w:t> </w:t>
      </w:r>
      <w:r>
        <w:rPr>
          <w:vertAlign w:val="baseline"/>
        </w:rPr>
        <w:t>in</w:t>
      </w:r>
      <w:r>
        <w:rPr>
          <w:spacing w:val="77"/>
          <w:vertAlign w:val="baseline"/>
        </w:rPr>
        <w:t> </w:t>
      </w:r>
      <w:r>
        <w:rPr>
          <w:vertAlign w:val="baseline"/>
        </w:rPr>
        <w:t>2020,</w:t>
      </w:r>
      <w:r>
        <w:rPr>
          <w:spacing w:val="77"/>
          <w:vertAlign w:val="baseline"/>
        </w:rPr>
        <w:t> </w:t>
      </w:r>
      <w:r>
        <w:rPr>
          <w:vertAlign w:val="baseline"/>
        </w:rPr>
        <w:t>the</w:t>
      </w:r>
      <w:r>
        <w:rPr>
          <w:spacing w:val="77"/>
          <w:vertAlign w:val="baseline"/>
        </w:rPr>
        <w:t> </w:t>
      </w:r>
      <w:r>
        <w:rPr>
          <w:spacing w:val="-5"/>
          <w:vertAlign w:val="baseline"/>
        </w:rPr>
        <w:t>WHI</w:t>
      </w:r>
    </w:p>
    <w:p>
      <w:pPr>
        <w:pStyle w:val="BodyText"/>
        <w:spacing w:after="0" w:line="249" w:lineRule="auto"/>
        <w:sectPr>
          <w:pgSz w:w="12240" w:h="15840"/>
          <w:pgMar w:top="1380" w:bottom="280" w:left="1440" w:right="1440"/>
        </w:sectPr>
      </w:pPr>
    </w:p>
    <w:p>
      <w:pPr>
        <w:pStyle w:val="BodyText"/>
        <w:spacing w:line="249" w:lineRule="auto"/>
        <w:ind w:right="100"/>
      </w:pPr>
      <w:r>
        <w:rPr/>
        <w:t>investigators reported on 20 years of follow-up of participants of both estrogen plus progestin and estrogen-alone hormone trials.</w:t>
      </w:r>
      <w:r>
        <w:rPr>
          <w:vertAlign w:val="superscript"/>
        </w:rPr>
        <w:t>868</w:t>
      </w:r>
      <w:r>
        <w:rPr>
          <w:vertAlign w:val="baseline"/>
        </w:rPr>
        <w:t> </w:t>
      </w:r>
      <w:r>
        <w:rPr>
          <w:vertAlign w:val="baseline"/>
        </w:rPr>
        <w:t>Unlike findings at 3-year follow-up, the difference in breast cancer incidence between the estrogen plus progestin versus placebo groups differed significantly at 20 years median follow-up (annualized rate was 0.45% in the E+P arm vs 0.36% in the placebo arm; HR = 1.28; 95% CI = 1.13-1.45; </w:t>
      </w:r>
      <w:r>
        <w:rPr>
          <w:i/>
          <w:vertAlign w:val="baseline"/>
        </w:rPr>
        <w:t>P </w:t>
      </w:r>
      <w:r>
        <w:rPr>
          <w:vertAlign w:val="baseline"/>
        </w:rPr>
        <w:t>&lt; 0.001). Reassuringly, despite the incidence of breast cancer being higher in estrogen plus progestin group, there was no significant difference in breast cancer mortality between E+P and placebo groups (annualized mortality</w:t>
      </w:r>
      <w:r>
        <w:rPr>
          <w:spacing w:val="12"/>
          <w:vertAlign w:val="baseline"/>
        </w:rPr>
        <w:t> </w:t>
      </w:r>
      <w:r>
        <w:rPr>
          <w:vertAlign w:val="baseline"/>
        </w:rPr>
        <w:t>rate</w:t>
      </w:r>
      <w:r>
        <w:rPr>
          <w:spacing w:val="12"/>
          <w:vertAlign w:val="baseline"/>
        </w:rPr>
        <w:t> </w:t>
      </w:r>
      <w:r>
        <w:rPr>
          <w:vertAlign w:val="baseline"/>
        </w:rPr>
        <w:t>was</w:t>
      </w:r>
      <w:r>
        <w:rPr>
          <w:spacing w:val="12"/>
          <w:vertAlign w:val="baseline"/>
        </w:rPr>
        <w:t> </w:t>
      </w:r>
      <w:r>
        <w:rPr>
          <w:vertAlign w:val="baseline"/>
        </w:rPr>
        <w:t>0.045%</w:t>
      </w:r>
      <w:r>
        <w:rPr>
          <w:spacing w:val="12"/>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E+P</w:t>
      </w:r>
      <w:r>
        <w:rPr>
          <w:spacing w:val="12"/>
          <w:vertAlign w:val="baseline"/>
        </w:rPr>
        <w:t> </w:t>
      </w:r>
      <w:r>
        <w:rPr>
          <w:vertAlign w:val="baseline"/>
        </w:rPr>
        <w:t>vs</w:t>
      </w:r>
      <w:r>
        <w:rPr>
          <w:spacing w:val="12"/>
          <w:vertAlign w:val="baseline"/>
        </w:rPr>
        <w:t> </w:t>
      </w:r>
      <w:r>
        <w:rPr>
          <w:vertAlign w:val="baseline"/>
        </w:rPr>
        <w:t>0.035%</w:t>
      </w:r>
      <w:r>
        <w:rPr>
          <w:spacing w:val="12"/>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placebo</w:t>
      </w:r>
      <w:r>
        <w:rPr>
          <w:spacing w:val="12"/>
          <w:vertAlign w:val="baseline"/>
        </w:rPr>
        <w:t> </w:t>
      </w:r>
      <w:r>
        <w:rPr>
          <w:vertAlign w:val="baseline"/>
        </w:rPr>
        <w:t>arm;</w:t>
      </w:r>
      <w:r>
        <w:rPr>
          <w:spacing w:val="12"/>
          <w:vertAlign w:val="baseline"/>
        </w:rPr>
        <w:t> </w:t>
      </w:r>
      <w:r>
        <w:rPr>
          <w:vertAlign w:val="baseline"/>
        </w:rPr>
        <w:t>HR</w:t>
      </w:r>
      <w:r>
        <w:rPr>
          <w:spacing w:val="12"/>
          <w:vertAlign w:val="baseline"/>
        </w:rPr>
        <w:t> </w:t>
      </w:r>
      <w:r>
        <w:rPr>
          <w:spacing w:val="-10"/>
          <w:vertAlign w:val="baseline"/>
        </w:rPr>
        <w:t>=</w:t>
      </w:r>
    </w:p>
    <w:p>
      <w:pPr>
        <w:pStyle w:val="BodyText"/>
        <w:spacing w:line="249" w:lineRule="auto" w:before="12"/>
        <w:ind w:right="98"/>
      </w:pPr>
      <w:r>
        <w:rPr/>
        <w:t>1.35; 95% CI = 0.94-1.95; </w:t>
      </w:r>
      <w:r>
        <w:rPr>
          <w:i/>
        </w:rPr>
        <w:t>P </w:t>
      </w:r>
      <w:r>
        <w:rPr/>
        <w:t>= 0.11). Unlike findings of the WHI E+P hormone trial, the previously observed reduction in breast cancer incidence in the estrogen-alone hormone trial was noted to persist at a median of 20 years</w:t>
      </w:r>
      <w:r>
        <w:rPr>
          <w:spacing w:val="-3"/>
        </w:rPr>
        <w:t> </w:t>
      </w:r>
      <w:r>
        <w:rPr/>
        <w:t>of</w:t>
      </w:r>
      <w:r>
        <w:rPr>
          <w:spacing w:val="-3"/>
        </w:rPr>
        <w:t> </w:t>
      </w:r>
      <w:r>
        <w:rPr/>
        <w:t>follow-up</w:t>
      </w:r>
      <w:r>
        <w:rPr>
          <w:spacing w:val="-3"/>
        </w:rPr>
        <w:t> </w:t>
      </w:r>
      <w:r>
        <w:rPr/>
        <w:t>(annualized</w:t>
      </w:r>
      <w:r>
        <w:rPr>
          <w:spacing w:val="-3"/>
        </w:rPr>
        <w:t> </w:t>
      </w:r>
      <w:r>
        <w:rPr/>
        <w:t>rate</w:t>
      </w:r>
      <w:r>
        <w:rPr>
          <w:spacing w:val="-3"/>
        </w:rPr>
        <w:t> </w:t>
      </w:r>
      <w:r>
        <w:rPr/>
        <w:t>was</w:t>
      </w:r>
      <w:r>
        <w:rPr>
          <w:spacing w:val="-3"/>
        </w:rPr>
        <w:t> </w:t>
      </w:r>
      <w:r>
        <w:rPr/>
        <w:t>0.30%</w:t>
      </w:r>
      <w:r>
        <w:rPr>
          <w:spacing w:val="-3"/>
        </w:rPr>
        <w:t> </w:t>
      </w:r>
      <w:r>
        <w:rPr/>
        <w:t>in</w:t>
      </w:r>
      <w:r>
        <w:rPr>
          <w:spacing w:val="-3"/>
        </w:rPr>
        <w:t> </w:t>
      </w:r>
      <w:r>
        <w:rPr/>
        <w:t>participants</w:t>
      </w:r>
      <w:r>
        <w:rPr>
          <w:spacing w:val="-3"/>
        </w:rPr>
        <w:t> </w:t>
      </w:r>
      <w:r>
        <w:rPr/>
        <w:t>in</w:t>
      </w:r>
      <w:r>
        <w:rPr>
          <w:spacing w:val="-3"/>
        </w:rPr>
        <w:t> </w:t>
      </w:r>
      <w:r>
        <w:rPr/>
        <w:t>the</w:t>
      </w:r>
      <w:r>
        <w:rPr>
          <w:spacing w:val="-3"/>
        </w:rPr>
        <w:t> </w:t>
      </w:r>
      <w:r>
        <w:rPr/>
        <w:t>E-alone arm vs 0.37% in the placebo group; HR = 0.78; 95% CI = 0.65-0.93; </w:t>
      </w:r>
      <w:r>
        <w:rPr>
          <w:i/>
        </w:rPr>
        <w:t>P </w:t>
      </w:r>
      <w:r>
        <w:rPr/>
        <w:t>= 0.005). Furthermore, breast cancer-related mortality was also </w:t>
      </w:r>
      <w:r>
        <w:rPr/>
        <w:t>significantly lesser in postmenopausal participants of the estrogen-alone arm of WHI compared to placebo (annualized mortality rate in the E-exposed group was 0.031% vs 0.046% in the placebo group; HR = 0.60; 95% CI = 0.37-0.97;</w:t>
      </w:r>
      <w:r>
        <w:rPr>
          <w:spacing w:val="80"/>
          <w:w w:val="150"/>
        </w:rPr>
        <w:t> </w:t>
      </w:r>
      <w:r>
        <w:rPr>
          <w:i/>
        </w:rPr>
        <w:t>P </w:t>
      </w:r>
      <w:r>
        <w:rPr/>
        <w:t>= 0.04). In reporting this extended follow-up on WHI hormone trial participants, the WHI investigators rightly conclude that “the influence of menopausal hormone therapy on breast cancer remains unsettled with discordant findings from observational studies and randomized clinical </w:t>
      </w:r>
      <w:r>
        <w:rPr>
          <w:spacing w:val="-2"/>
        </w:rPr>
        <w:t>trials.”</w:t>
      </w:r>
      <w:r>
        <w:rPr>
          <w:spacing w:val="-2"/>
          <w:vertAlign w:val="superscript"/>
        </w:rPr>
        <w:t>868</w:t>
      </w:r>
    </w:p>
    <w:p>
      <w:pPr>
        <w:pStyle w:val="BodyText"/>
        <w:spacing w:before="0"/>
        <w:ind w:left="0"/>
        <w:jc w:val="left"/>
        <w:rPr>
          <w:sz w:val="20"/>
        </w:rPr>
      </w:pPr>
    </w:p>
    <w:p>
      <w:pPr>
        <w:pStyle w:val="BodyText"/>
        <w:spacing w:before="128"/>
        <w:ind w:left="0"/>
        <w:jc w:val="left"/>
        <w:rPr>
          <w:sz w:val="20"/>
        </w:rPr>
      </w:pPr>
      <w:r>
        <w:rPr>
          <w:sz w:val="20"/>
        </w:rPr>
        <mc:AlternateContent>
          <mc:Choice Requires="wps">
            <w:drawing>
              <wp:anchor distT="0" distB="0" distL="0" distR="0" allowOverlap="1" layoutInCell="1" locked="0" behindDoc="1" simplePos="0" relativeHeight="487660032">
                <wp:simplePos x="0" y="0"/>
                <wp:positionH relativeFrom="page">
                  <wp:posOffset>981075</wp:posOffset>
                </wp:positionH>
                <wp:positionV relativeFrom="paragraph">
                  <wp:posOffset>242557</wp:posOffset>
                </wp:positionV>
                <wp:extent cx="5810250" cy="234315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5810250" cy="2343150"/>
                          <a:chExt cx="5810250" cy="2343150"/>
                        </a:xfrm>
                      </wpg:grpSpPr>
                      <wps:wsp>
                        <wps:cNvPr id="252" name="Graphic 25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53" name="Graphic 253"/>
                        <wps:cNvSpPr/>
                        <wps:spPr>
                          <a:xfrm>
                            <a:off x="0" y="742949"/>
                            <a:ext cx="5810250" cy="1600200"/>
                          </a:xfrm>
                          <a:custGeom>
                            <a:avLst/>
                            <a:gdLst/>
                            <a:ahLst/>
                            <a:cxnLst/>
                            <a:rect l="l" t="t" r="r" b="b"/>
                            <a:pathLst>
                              <a:path w="5810250" h="1600200">
                                <a:moveTo>
                                  <a:pt x="0" y="1600199"/>
                                </a:moveTo>
                                <a:lnTo>
                                  <a:pt x="5810249" y="1600199"/>
                                </a:lnTo>
                                <a:lnTo>
                                  <a:pt x="5810249" y="0"/>
                                </a:lnTo>
                                <a:lnTo>
                                  <a:pt x="0" y="0"/>
                                </a:lnTo>
                                <a:lnTo>
                                  <a:pt x="0" y="1600199"/>
                                </a:lnTo>
                                <a:close/>
                              </a:path>
                            </a:pathLst>
                          </a:custGeom>
                          <a:solidFill>
                            <a:srgbClr val="E9F1CD"/>
                          </a:solidFill>
                        </wps:spPr>
                        <wps:bodyPr wrap="square" lIns="0" tIns="0" rIns="0" bIns="0" rtlCol="0">
                          <a:prstTxWarp prst="textNoShape">
                            <a:avLst/>
                          </a:prstTxWarp>
                          <a:noAutofit/>
                        </wps:bodyPr>
                      </wps:wsp>
                      <wps:wsp>
                        <wps:cNvPr id="254" name="Graphic 254"/>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55" name="Graphic 255"/>
                        <wps:cNvSpPr/>
                        <wps:spPr>
                          <a:xfrm>
                            <a:off x="209549" y="228643"/>
                            <a:ext cx="371475" cy="57150"/>
                          </a:xfrm>
                          <a:custGeom>
                            <a:avLst/>
                            <a:gdLst/>
                            <a:ahLst/>
                            <a:cxnLst/>
                            <a:rect l="l" t="t" r="r" b="b"/>
                            <a:pathLst>
                              <a:path w="371475" h="57150">
                                <a:moveTo>
                                  <a:pt x="32364" y="57073"/>
                                </a:moveTo>
                                <a:lnTo>
                                  <a:pt x="24785" y="57073"/>
                                </a:lnTo>
                                <a:lnTo>
                                  <a:pt x="21140" y="56330"/>
                                </a:lnTo>
                                <a:lnTo>
                                  <a:pt x="0" y="32299"/>
                                </a:lnTo>
                                <a:lnTo>
                                  <a:pt x="0" y="24707"/>
                                </a:lnTo>
                                <a:lnTo>
                                  <a:pt x="725" y="20983"/>
                                </a:lnTo>
                                <a:lnTo>
                                  <a:pt x="3625" y="13992"/>
                                </a:lnTo>
                                <a:lnTo>
                                  <a:pt x="5689" y="10868"/>
                                </a:lnTo>
                                <a:lnTo>
                                  <a:pt x="8369" y="8258"/>
                                </a:lnTo>
                                <a:lnTo>
                                  <a:pt x="11048" y="5581"/>
                                </a:lnTo>
                                <a:lnTo>
                                  <a:pt x="14138" y="3495"/>
                                </a:lnTo>
                                <a:lnTo>
                                  <a:pt x="17639" y="2009"/>
                                </a:lnTo>
                                <a:lnTo>
                                  <a:pt x="21140" y="666"/>
                                </a:lnTo>
                                <a:lnTo>
                                  <a:pt x="24785" y="0"/>
                                </a:lnTo>
                                <a:lnTo>
                                  <a:pt x="32364" y="0"/>
                                </a:lnTo>
                                <a:lnTo>
                                  <a:pt x="35635" y="666"/>
                                </a:lnTo>
                                <a:lnTo>
                                  <a:pt x="35820" y="666"/>
                                </a:lnTo>
                                <a:lnTo>
                                  <a:pt x="42822" y="3495"/>
                                </a:lnTo>
                                <a:lnTo>
                                  <a:pt x="46101" y="5581"/>
                                </a:lnTo>
                                <a:lnTo>
                                  <a:pt x="48780" y="8258"/>
                                </a:lnTo>
                                <a:lnTo>
                                  <a:pt x="51459" y="10868"/>
                                </a:lnTo>
                                <a:lnTo>
                                  <a:pt x="53524" y="13992"/>
                                </a:lnTo>
                                <a:lnTo>
                                  <a:pt x="56424" y="20983"/>
                                </a:lnTo>
                                <a:lnTo>
                                  <a:pt x="57149" y="24707"/>
                                </a:lnTo>
                                <a:lnTo>
                                  <a:pt x="57149" y="32299"/>
                                </a:lnTo>
                                <a:lnTo>
                                  <a:pt x="36009" y="56330"/>
                                </a:lnTo>
                                <a:lnTo>
                                  <a:pt x="32364" y="57073"/>
                                </a:lnTo>
                                <a:close/>
                              </a:path>
                              <a:path w="371475" h="57150">
                                <a:moveTo>
                                  <a:pt x="137044" y="57073"/>
                                </a:moveTo>
                                <a:lnTo>
                                  <a:pt x="129465" y="57073"/>
                                </a:lnTo>
                                <a:lnTo>
                                  <a:pt x="125820" y="56330"/>
                                </a:lnTo>
                                <a:lnTo>
                                  <a:pt x="104679" y="32299"/>
                                </a:lnTo>
                                <a:lnTo>
                                  <a:pt x="104679" y="24707"/>
                                </a:lnTo>
                                <a:lnTo>
                                  <a:pt x="105404" y="20983"/>
                                </a:lnTo>
                                <a:lnTo>
                                  <a:pt x="108304" y="13992"/>
                                </a:lnTo>
                                <a:lnTo>
                                  <a:pt x="110369" y="10868"/>
                                </a:lnTo>
                                <a:lnTo>
                                  <a:pt x="113049" y="8258"/>
                                </a:lnTo>
                                <a:lnTo>
                                  <a:pt x="115728" y="5581"/>
                                </a:lnTo>
                                <a:lnTo>
                                  <a:pt x="118818" y="3495"/>
                                </a:lnTo>
                                <a:lnTo>
                                  <a:pt x="122319" y="2009"/>
                                </a:lnTo>
                                <a:lnTo>
                                  <a:pt x="125820" y="666"/>
                                </a:lnTo>
                                <a:lnTo>
                                  <a:pt x="129465" y="0"/>
                                </a:lnTo>
                                <a:lnTo>
                                  <a:pt x="137044" y="0"/>
                                </a:lnTo>
                                <a:lnTo>
                                  <a:pt x="140315" y="666"/>
                                </a:lnTo>
                                <a:lnTo>
                                  <a:pt x="140500" y="666"/>
                                </a:lnTo>
                                <a:lnTo>
                                  <a:pt x="147502" y="3495"/>
                                </a:lnTo>
                                <a:lnTo>
                                  <a:pt x="150780" y="5581"/>
                                </a:lnTo>
                                <a:lnTo>
                                  <a:pt x="153460" y="8258"/>
                                </a:lnTo>
                                <a:lnTo>
                                  <a:pt x="156139" y="10868"/>
                                </a:lnTo>
                                <a:lnTo>
                                  <a:pt x="158204" y="13992"/>
                                </a:lnTo>
                                <a:lnTo>
                                  <a:pt x="161104" y="20983"/>
                                </a:lnTo>
                                <a:lnTo>
                                  <a:pt x="161829" y="24707"/>
                                </a:lnTo>
                                <a:lnTo>
                                  <a:pt x="161829" y="32299"/>
                                </a:lnTo>
                                <a:lnTo>
                                  <a:pt x="140689" y="56330"/>
                                </a:lnTo>
                                <a:lnTo>
                                  <a:pt x="137044" y="57073"/>
                                </a:lnTo>
                                <a:close/>
                              </a:path>
                              <a:path w="371475" h="57150">
                                <a:moveTo>
                                  <a:pt x="241723" y="57073"/>
                                </a:moveTo>
                                <a:lnTo>
                                  <a:pt x="234145" y="57073"/>
                                </a:lnTo>
                                <a:lnTo>
                                  <a:pt x="230500" y="56330"/>
                                </a:lnTo>
                                <a:lnTo>
                                  <a:pt x="209359" y="32299"/>
                                </a:lnTo>
                                <a:lnTo>
                                  <a:pt x="209359" y="24707"/>
                                </a:lnTo>
                                <a:lnTo>
                                  <a:pt x="210084" y="20983"/>
                                </a:lnTo>
                                <a:lnTo>
                                  <a:pt x="212984" y="13992"/>
                                </a:lnTo>
                                <a:lnTo>
                                  <a:pt x="215049" y="10868"/>
                                </a:lnTo>
                                <a:lnTo>
                                  <a:pt x="217728" y="8258"/>
                                </a:lnTo>
                                <a:lnTo>
                                  <a:pt x="220408" y="5581"/>
                                </a:lnTo>
                                <a:lnTo>
                                  <a:pt x="223498" y="3495"/>
                                </a:lnTo>
                                <a:lnTo>
                                  <a:pt x="226999" y="2009"/>
                                </a:lnTo>
                                <a:lnTo>
                                  <a:pt x="230500" y="666"/>
                                </a:lnTo>
                                <a:lnTo>
                                  <a:pt x="234145" y="0"/>
                                </a:lnTo>
                                <a:lnTo>
                                  <a:pt x="241723" y="0"/>
                                </a:lnTo>
                                <a:lnTo>
                                  <a:pt x="244994" y="666"/>
                                </a:lnTo>
                                <a:lnTo>
                                  <a:pt x="245180" y="666"/>
                                </a:lnTo>
                                <a:lnTo>
                                  <a:pt x="252181" y="3495"/>
                                </a:lnTo>
                                <a:lnTo>
                                  <a:pt x="255460" y="5581"/>
                                </a:lnTo>
                                <a:lnTo>
                                  <a:pt x="258140" y="8258"/>
                                </a:lnTo>
                                <a:lnTo>
                                  <a:pt x="260819" y="10868"/>
                                </a:lnTo>
                                <a:lnTo>
                                  <a:pt x="262884" y="13992"/>
                                </a:lnTo>
                                <a:lnTo>
                                  <a:pt x="265784" y="20983"/>
                                </a:lnTo>
                                <a:lnTo>
                                  <a:pt x="266509" y="24707"/>
                                </a:lnTo>
                                <a:lnTo>
                                  <a:pt x="266509" y="32299"/>
                                </a:lnTo>
                                <a:lnTo>
                                  <a:pt x="245368" y="56330"/>
                                </a:lnTo>
                                <a:lnTo>
                                  <a:pt x="241723" y="57073"/>
                                </a:lnTo>
                                <a:close/>
                              </a:path>
                              <a:path w="371475" h="57150">
                                <a:moveTo>
                                  <a:pt x="346403" y="57073"/>
                                </a:moveTo>
                                <a:lnTo>
                                  <a:pt x="338824" y="57073"/>
                                </a:lnTo>
                                <a:lnTo>
                                  <a:pt x="335179" y="56330"/>
                                </a:lnTo>
                                <a:lnTo>
                                  <a:pt x="314039" y="32299"/>
                                </a:lnTo>
                                <a:lnTo>
                                  <a:pt x="314039" y="24707"/>
                                </a:lnTo>
                                <a:lnTo>
                                  <a:pt x="314764" y="20983"/>
                                </a:lnTo>
                                <a:lnTo>
                                  <a:pt x="317664" y="13992"/>
                                </a:lnTo>
                                <a:lnTo>
                                  <a:pt x="319729" y="10868"/>
                                </a:lnTo>
                                <a:lnTo>
                                  <a:pt x="322408" y="8258"/>
                                </a:lnTo>
                                <a:lnTo>
                                  <a:pt x="325088" y="5581"/>
                                </a:lnTo>
                                <a:lnTo>
                                  <a:pt x="328178" y="3495"/>
                                </a:lnTo>
                                <a:lnTo>
                                  <a:pt x="331679" y="2009"/>
                                </a:lnTo>
                                <a:lnTo>
                                  <a:pt x="335179" y="666"/>
                                </a:lnTo>
                                <a:lnTo>
                                  <a:pt x="338824" y="0"/>
                                </a:lnTo>
                                <a:lnTo>
                                  <a:pt x="346403" y="0"/>
                                </a:lnTo>
                                <a:lnTo>
                                  <a:pt x="349674" y="666"/>
                                </a:lnTo>
                                <a:lnTo>
                                  <a:pt x="349859" y="666"/>
                                </a:lnTo>
                                <a:lnTo>
                                  <a:pt x="356861" y="3495"/>
                                </a:lnTo>
                                <a:lnTo>
                                  <a:pt x="360140" y="5581"/>
                                </a:lnTo>
                                <a:lnTo>
                                  <a:pt x="362819" y="8258"/>
                                </a:lnTo>
                                <a:lnTo>
                                  <a:pt x="365499" y="10868"/>
                                </a:lnTo>
                                <a:lnTo>
                                  <a:pt x="367563" y="13992"/>
                                </a:lnTo>
                                <a:lnTo>
                                  <a:pt x="370464" y="20983"/>
                                </a:lnTo>
                                <a:lnTo>
                                  <a:pt x="371189" y="24707"/>
                                </a:lnTo>
                                <a:lnTo>
                                  <a:pt x="371189" y="32299"/>
                                </a:lnTo>
                                <a:lnTo>
                                  <a:pt x="350048" y="56330"/>
                                </a:lnTo>
                                <a:lnTo>
                                  <a:pt x="346403" y="57073"/>
                                </a:lnTo>
                                <a:close/>
                              </a:path>
                            </a:pathLst>
                          </a:custGeom>
                          <a:solidFill>
                            <a:srgbClr val="D0E399"/>
                          </a:solidFill>
                        </wps:spPr>
                        <wps:bodyPr wrap="square" lIns="0" tIns="0" rIns="0" bIns="0" rtlCol="0">
                          <a:prstTxWarp prst="textNoShape">
                            <a:avLst/>
                          </a:prstTxWarp>
                          <a:noAutofit/>
                        </wps:bodyPr>
                      </wps:wsp>
                      <wps:wsp>
                        <wps:cNvPr id="256" name="Graphic 256"/>
                        <wps:cNvSpPr/>
                        <wps:spPr>
                          <a:xfrm>
                            <a:off x="133337" y="1000128"/>
                            <a:ext cx="47625" cy="733425"/>
                          </a:xfrm>
                          <a:custGeom>
                            <a:avLst/>
                            <a:gdLst/>
                            <a:ahLst/>
                            <a:cxnLst/>
                            <a:rect l="l" t="t" r="r" b="b"/>
                            <a:pathLst>
                              <a:path w="47625" h="733425">
                                <a:moveTo>
                                  <a:pt x="47625" y="706412"/>
                                </a:moveTo>
                                <a:lnTo>
                                  <a:pt x="26974" y="685800"/>
                                </a:lnTo>
                                <a:lnTo>
                                  <a:pt x="20662" y="685800"/>
                                </a:lnTo>
                                <a:lnTo>
                                  <a:pt x="0" y="706412"/>
                                </a:lnTo>
                                <a:lnTo>
                                  <a:pt x="0" y="712660"/>
                                </a:lnTo>
                                <a:lnTo>
                                  <a:pt x="23812" y="733425"/>
                                </a:lnTo>
                                <a:lnTo>
                                  <a:pt x="26974" y="733348"/>
                                </a:lnTo>
                                <a:lnTo>
                                  <a:pt x="47625" y="712660"/>
                                </a:lnTo>
                                <a:lnTo>
                                  <a:pt x="47625" y="709612"/>
                                </a:lnTo>
                                <a:lnTo>
                                  <a:pt x="47625" y="706412"/>
                                </a:lnTo>
                                <a:close/>
                              </a:path>
                              <a:path w="47625" h="733425">
                                <a:moveTo>
                                  <a:pt x="47625" y="363512"/>
                                </a:moveTo>
                                <a:lnTo>
                                  <a:pt x="47028" y="360387"/>
                                </a:lnTo>
                                <a:lnTo>
                                  <a:pt x="44615" y="354584"/>
                                </a:lnTo>
                                <a:lnTo>
                                  <a:pt x="42887" y="351980"/>
                                </a:lnTo>
                                <a:lnTo>
                                  <a:pt x="40652" y="349821"/>
                                </a:lnTo>
                                <a:lnTo>
                                  <a:pt x="38430" y="347510"/>
                                </a:lnTo>
                                <a:lnTo>
                                  <a:pt x="35852" y="345808"/>
                                </a:lnTo>
                                <a:lnTo>
                                  <a:pt x="30010" y="343496"/>
                                </a:lnTo>
                                <a:lnTo>
                                  <a:pt x="26974" y="342900"/>
                                </a:lnTo>
                                <a:lnTo>
                                  <a:pt x="20662" y="342900"/>
                                </a:lnTo>
                                <a:lnTo>
                                  <a:pt x="17627" y="343496"/>
                                </a:lnTo>
                                <a:lnTo>
                                  <a:pt x="11785" y="345808"/>
                                </a:lnTo>
                                <a:lnTo>
                                  <a:pt x="9207" y="347510"/>
                                </a:lnTo>
                                <a:lnTo>
                                  <a:pt x="6985" y="349821"/>
                                </a:lnTo>
                                <a:lnTo>
                                  <a:pt x="4749" y="351980"/>
                                </a:lnTo>
                                <a:lnTo>
                                  <a:pt x="3022" y="354584"/>
                                </a:lnTo>
                                <a:lnTo>
                                  <a:pt x="609" y="360387"/>
                                </a:lnTo>
                                <a:lnTo>
                                  <a:pt x="0" y="363512"/>
                                </a:lnTo>
                                <a:lnTo>
                                  <a:pt x="0" y="369760"/>
                                </a:lnTo>
                                <a:lnTo>
                                  <a:pt x="23812" y="390525"/>
                                </a:lnTo>
                                <a:lnTo>
                                  <a:pt x="26974" y="390448"/>
                                </a:lnTo>
                                <a:lnTo>
                                  <a:pt x="47625" y="369760"/>
                                </a:lnTo>
                                <a:lnTo>
                                  <a:pt x="47625" y="366712"/>
                                </a:lnTo>
                                <a:lnTo>
                                  <a:pt x="47625" y="363512"/>
                                </a:lnTo>
                                <a:close/>
                              </a:path>
                              <a:path w="47625" h="733425">
                                <a:moveTo>
                                  <a:pt x="47625" y="20612"/>
                                </a:moveTo>
                                <a:lnTo>
                                  <a:pt x="26974" y="0"/>
                                </a:lnTo>
                                <a:lnTo>
                                  <a:pt x="20662" y="0"/>
                                </a:lnTo>
                                <a:lnTo>
                                  <a:pt x="0" y="20612"/>
                                </a:lnTo>
                                <a:lnTo>
                                  <a:pt x="0" y="26936"/>
                                </a:lnTo>
                                <a:lnTo>
                                  <a:pt x="23812" y="47625"/>
                                </a:lnTo>
                                <a:lnTo>
                                  <a:pt x="26974" y="47548"/>
                                </a:lnTo>
                                <a:lnTo>
                                  <a:pt x="47625" y="26936"/>
                                </a:lnTo>
                                <a:lnTo>
                                  <a:pt x="47625" y="23812"/>
                                </a:lnTo>
                                <a:lnTo>
                                  <a:pt x="47625" y="20612"/>
                                </a:lnTo>
                                <a:close/>
                              </a:path>
                            </a:pathLst>
                          </a:custGeom>
                          <a:solidFill>
                            <a:srgbClr val="2B816F"/>
                          </a:solidFill>
                        </wps:spPr>
                        <wps:bodyPr wrap="square" lIns="0" tIns="0" rIns="0" bIns="0" rtlCol="0">
                          <a:prstTxWarp prst="textNoShape">
                            <a:avLst/>
                          </a:prstTxWarp>
                          <a:noAutofit/>
                        </wps:bodyPr>
                      </wps:wsp>
                      <wps:wsp>
                        <wps:cNvPr id="257" name="Textbox 257"/>
                        <wps:cNvSpPr txBox="1"/>
                        <wps:spPr>
                          <a:xfrm>
                            <a:off x="0" y="742949"/>
                            <a:ext cx="5810250" cy="1600200"/>
                          </a:xfrm>
                          <a:prstGeom prst="rect">
                            <a:avLst/>
                          </a:prstGeom>
                        </wps:spPr>
                        <wps:txbx>
                          <w:txbxContent>
                            <w:p>
                              <w:pPr>
                                <w:spacing w:line="240" w:lineRule="auto" w:before="51"/>
                                <w:rPr>
                                  <w:sz w:val="22"/>
                                </w:rPr>
                              </w:pPr>
                            </w:p>
                            <w:p>
                              <w:pPr>
                                <w:spacing w:line="256" w:lineRule="auto" w:before="0"/>
                                <w:ind w:left="444" w:right="610" w:firstLine="0"/>
                                <w:jc w:val="left"/>
                                <w:rPr>
                                  <w:b/>
                                  <w:sz w:val="22"/>
                                </w:rPr>
                              </w:pPr>
                              <w:r>
                                <w:rPr>
                                  <w:b/>
                                  <w:sz w:val="22"/>
                                </w:rPr>
                                <w:t>Lower grade and stage of disease account for the better survival rates in </w:t>
                              </w:r>
                              <w:r>
                                <w:rPr>
                                  <w:b/>
                                  <w:sz w:val="22"/>
                                </w:rPr>
                                <w:t>hormone</w:t>
                              </w:r>
                              <w:r>
                                <w:rPr>
                                  <w:b/>
                                  <w:spacing w:val="80"/>
                                  <w:sz w:val="22"/>
                                </w:rPr>
                                <w:t> </w:t>
                              </w:r>
                              <w:r>
                                <w:rPr>
                                  <w:b/>
                                  <w:sz w:val="22"/>
                                </w:rPr>
                                <w:t>users who develop breast cancer compared with nonusers.</w:t>
                              </w:r>
                            </w:p>
                            <w:p>
                              <w:pPr>
                                <w:spacing w:line="256" w:lineRule="auto" w:before="0"/>
                                <w:ind w:left="444" w:right="610" w:firstLine="0"/>
                                <w:jc w:val="left"/>
                                <w:rPr>
                                  <w:b/>
                                  <w:sz w:val="22"/>
                                </w:rPr>
                              </w:pPr>
                              <w:r>
                                <w:rPr>
                                  <w:b/>
                                  <w:sz w:val="22"/>
                                </w:rPr>
                                <w:t>Hormone</w:t>
                              </w:r>
                              <w:r>
                                <w:rPr>
                                  <w:b/>
                                  <w:spacing w:val="35"/>
                                  <w:sz w:val="22"/>
                                </w:rPr>
                                <w:t> </w:t>
                              </w:r>
                              <w:r>
                                <w:rPr>
                                  <w:b/>
                                  <w:sz w:val="22"/>
                                </w:rPr>
                                <w:t>users</w:t>
                              </w:r>
                              <w:r>
                                <w:rPr>
                                  <w:b/>
                                  <w:spacing w:val="35"/>
                                  <w:sz w:val="22"/>
                                </w:rPr>
                                <w:t> </w:t>
                              </w:r>
                              <w:r>
                                <w:rPr>
                                  <w:b/>
                                  <w:sz w:val="22"/>
                                </w:rPr>
                                <w:t>who</w:t>
                              </w:r>
                              <w:r>
                                <w:rPr>
                                  <w:b/>
                                  <w:spacing w:val="35"/>
                                  <w:sz w:val="22"/>
                                </w:rPr>
                                <w:t> </w:t>
                              </w:r>
                              <w:r>
                                <w:rPr>
                                  <w:b/>
                                  <w:sz w:val="22"/>
                                </w:rPr>
                                <w:t>develop</w:t>
                              </w:r>
                              <w:r>
                                <w:rPr>
                                  <w:b/>
                                  <w:spacing w:val="35"/>
                                  <w:sz w:val="22"/>
                                </w:rPr>
                                <w:t> </w:t>
                              </w:r>
                              <w:r>
                                <w:rPr>
                                  <w:b/>
                                  <w:sz w:val="22"/>
                                </w:rPr>
                                <w:t>breast</w:t>
                              </w:r>
                              <w:r>
                                <w:rPr>
                                  <w:b/>
                                  <w:spacing w:val="35"/>
                                  <w:sz w:val="22"/>
                                </w:rPr>
                                <w:t> </w:t>
                              </w:r>
                              <w:r>
                                <w:rPr>
                                  <w:b/>
                                  <w:sz w:val="22"/>
                                </w:rPr>
                                <w:t>cancer</w:t>
                              </w:r>
                              <w:r>
                                <w:rPr>
                                  <w:b/>
                                  <w:spacing w:val="35"/>
                                  <w:sz w:val="22"/>
                                </w:rPr>
                                <w:t> </w:t>
                              </w:r>
                              <w:r>
                                <w:rPr>
                                  <w:b/>
                                  <w:sz w:val="22"/>
                                </w:rPr>
                                <w:t>usually</w:t>
                              </w:r>
                              <w:r>
                                <w:rPr>
                                  <w:b/>
                                  <w:spacing w:val="35"/>
                                  <w:sz w:val="22"/>
                                </w:rPr>
                                <w:t> </w:t>
                              </w:r>
                              <w:r>
                                <w:rPr>
                                  <w:b/>
                                  <w:sz w:val="22"/>
                                </w:rPr>
                                <w:t>have</w:t>
                              </w:r>
                              <w:r>
                                <w:rPr>
                                  <w:b/>
                                  <w:spacing w:val="35"/>
                                  <w:sz w:val="22"/>
                                </w:rPr>
                                <w:t> </w:t>
                              </w:r>
                              <w:r>
                                <w:rPr>
                                  <w:b/>
                                  <w:sz w:val="22"/>
                                </w:rPr>
                                <w:t>earlier</w:t>
                              </w:r>
                              <w:r>
                                <w:rPr>
                                  <w:b/>
                                  <w:spacing w:val="35"/>
                                  <w:sz w:val="22"/>
                                </w:rPr>
                                <w:t> </w:t>
                              </w:r>
                              <w:r>
                                <w:rPr>
                                  <w:b/>
                                  <w:sz w:val="22"/>
                                </w:rPr>
                                <w:t>detection</w:t>
                              </w:r>
                              <w:r>
                                <w:rPr>
                                  <w:b/>
                                  <w:spacing w:val="35"/>
                                  <w:sz w:val="22"/>
                                </w:rPr>
                                <w:t> </w:t>
                              </w:r>
                              <w:r>
                                <w:rPr>
                                  <w:b/>
                                  <w:sz w:val="22"/>
                                </w:rPr>
                                <w:t>of</w:t>
                              </w:r>
                              <w:r>
                                <w:rPr>
                                  <w:b/>
                                  <w:spacing w:val="35"/>
                                  <w:sz w:val="22"/>
                                </w:rPr>
                                <w:t> </w:t>
                              </w:r>
                              <w:r>
                                <w:rPr>
                                  <w:b/>
                                  <w:sz w:val="22"/>
                                </w:rPr>
                                <w:t>their </w:t>
                              </w:r>
                              <w:r>
                                <w:rPr>
                                  <w:b/>
                                  <w:spacing w:val="-2"/>
                                  <w:sz w:val="22"/>
                                </w:rPr>
                                <w:t>tumors.</w:t>
                              </w:r>
                            </w:p>
                            <w:p>
                              <w:pPr>
                                <w:spacing w:line="256" w:lineRule="auto" w:before="0"/>
                                <w:ind w:left="444" w:right="0" w:firstLine="0"/>
                                <w:jc w:val="left"/>
                                <w:rPr>
                                  <w:b/>
                                  <w:sz w:val="22"/>
                                </w:rPr>
                              </w:pPr>
                              <w:r>
                                <w:rPr>
                                  <w:b/>
                                  <w:sz w:val="22"/>
                                </w:rPr>
                                <w:t>The</w:t>
                              </w:r>
                              <w:r>
                                <w:rPr>
                                  <w:b/>
                                  <w:spacing w:val="80"/>
                                  <w:sz w:val="22"/>
                                </w:rPr>
                                <w:t> </w:t>
                              </w:r>
                              <w:r>
                                <w:rPr>
                                  <w:b/>
                                  <w:sz w:val="22"/>
                                </w:rPr>
                                <w:t>survival</w:t>
                              </w:r>
                              <w:r>
                                <w:rPr>
                                  <w:b/>
                                  <w:spacing w:val="80"/>
                                  <w:sz w:val="22"/>
                                </w:rPr>
                                <w:t> </w:t>
                              </w:r>
                              <w:r>
                                <w:rPr>
                                  <w:b/>
                                  <w:sz w:val="22"/>
                                </w:rPr>
                                <w:t>and</w:t>
                              </w:r>
                              <w:r>
                                <w:rPr>
                                  <w:b/>
                                  <w:spacing w:val="80"/>
                                  <w:sz w:val="22"/>
                                </w:rPr>
                                <w:t> </w:t>
                              </w:r>
                              <w:r>
                                <w:rPr>
                                  <w:b/>
                                  <w:sz w:val="22"/>
                                </w:rPr>
                                <w:t>detection</w:t>
                              </w:r>
                              <w:r>
                                <w:rPr>
                                  <w:b/>
                                  <w:spacing w:val="80"/>
                                  <w:sz w:val="22"/>
                                </w:rPr>
                                <w:t> </w:t>
                              </w:r>
                              <w:r>
                                <w:rPr>
                                  <w:b/>
                                  <w:sz w:val="22"/>
                                </w:rPr>
                                <w:t>results</w:t>
                              </w:r>
                              <w:r>
                                <w:rPr>
                                  <w:b/>
                                  <w:spacing w:val="80"/>
                                  <w:sz w:val="22"/>
                                </w:rPr>
                                <w:t> </w:t>
                              </w:r>
                              <w:r>
                                <w:rPr>
                                  <w:b/>
                                  <w:sz w:val="22"/>
                                </w:rPr>
                                <w:t>are</w:t>
                              </w:r>
                              <w:r>
                                <w:rPr>
                                  <w:b/>
                                  <w:spacing w:val="80"/>
                                  <w:sz w:val="22"/>
                                </w:rPr>
                                <w:t> </w:t>
                              </w:r>
                              <w:r>
                                <w:rPr>
                                  <w:b/>
                                  <w:sz w:val="22"/>
                                </w:rPr>
                                <w:t>consistent</w:t>
                              </w:r>
                              <w:r>
                                <w:rPr>
                                  <w:b/>
                                  <w:spacing w:val="80"/>
                                  <w:sz w:val="22"/>
                                </w:rPr>
                                <w:t> </w:t>
                              </w:r>
                              <w:r>
                                <w:rPr>
                                  <w:b/>
                                  <w:sz w:val="22"/>
                                </w:rPr>
                                <w:t>with</w:t>
                              </w:r>
                              <w:r>
                                <w:rPr>
                                  <w:b/>
                                  <w:spacing w:val="80"/>
                                  <w:sz w:val="22"/>
                                </w:rPr>
                                <w:t> </w:t>
                              </w:r>
                              <w:r>
                                <w:rPr>
                                  <w:b/>
                                  <w:sz w:val="22"/>
                                </w:rPr>
                                <w:t>an</w:t>
                              </w:r>
                              <w:r>
                                <w:rPr>
                                  <w:b/>
                                  <w:spacing w:val="80"/>
                                  <w:sz w:val="22"/>
                                </w:rPr>
                                <w:t> </w:t>
                              </w:r>
                              <w:r>
                                <w:rPr>
                                  <w:b/>
                                  <w:sz w:val="22"/>
                                </w:rPr>
                                <w:t>impact</w:t>
                              </w:r>
                              <w:r>
                                <w:rPr>
                                  <w:b/>
                                  <w:spacing w:val="80"/>
                                  <w:sz w:val="22"/>
                                </w:rPr>
                                <w:t> </w:t>
                              </w:r>
                              <w:r>
                                <w:rPr>
                                  <w:b/>
                                  <w:sz w:val="22"/>
                                </w:rPr>
                                <w:t>of</w:t>
                              </w:r>
                              <w:r>
                                <w:rPr>
                                  <w:b/>
                                  <w:spacing w:val="80"/>
                                  <w:sz w:val="22"/>
                                </w:rPr>
                                <w:t> </w:t>
                              </w:r>
                              <w:r>
                                <w:rPr>
                                  <w:b/>
                                  <w:sz w:val="22"/>
                                </w:rPr>
                                <w:t>HT</w:t>
                              </w:r>
                              <w:r>
                                <w:rPr>
                                  <w:b/>
                                  <w:spacing w:val="80"/>
                                  <w:sz w:val="22"/>
                                </w:rPr>
                                <w:t> </w:t>
                              </w:r>
                              <w:r>
                                <w:rPr>
                                  <w:b/>
                                  <w:sz w:val="22"/>
                                </w:rPr>
                                <w:t>on preexisting tumors.</w:t>
                              </w:r>
                            </w:p>
                          </w:txbxContent>
                        </wps:txbx>
                        <wps:bodyPr wrap="square" lIns="0" tIns="0" rIns="0" bIns="0" rtlCol="0">
                          <a:noAutofit/>
                        </wps:bodyPr>
                      </wps:wsp>
                      <wps:wsp>
                        <wps:cNvPr id="258" name="Textbox 258"/>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9"/>
                                  <w:sz w:val="33"/>
                                </w:rPr>
                                <w:t> </w:t>
                              </w:r>
                              <w:r>
                                <w:rPr>
                                  <w:rFonts w:ascii="Arial"/>
                                  <w:color w:val="FFFFFF"/>
                                  <w:sz w:val="33"/>
                                </w:rPr>
                                <w:t>Points:</w:t>
                              </w:r>
                              <w:r>
                                <w:rPr>
                                  <w:rFonts w:ascii="Arial"/>
                                  <w:color w:val="FFFFFF"/>
                                  <w:spacing w:val="19"/>
                                  <w:sz w:val="33"/>
                                </w:rPr>
                                <w:t> </w:t>
                              </w:r>
                              <w:r>
                                <w:rPr>
                                  <w:rFonts w:ascii="Arial"/>
                                  <w:color w:val="FFFFFF"/>
                                  <w:sz w:val="33"/>
                                </w:rPr>
                                <w:t>Breast</w:t>
                              </w:r>
                              <w:r>
                                <w:rPr>
                                  <w:rFonts w:ascii="Arial"/>
                                  <w:color w:val="FFFFFF"/>
                                  <w:spacing w:val="20"/>
                                  <w:sz w:val="33"/>
                                </w:rPr>
                                <w:t> </w:t>
                              </w:r>
                              <w:r>
                                <w:rPr>
                                  <w:rFonts w:ascii="Arial"/>
                                  <w:color w:val="FFFFFF"/>
                                  <w:sz w:val="33"/>
                                </w:rPr>
                                <w:t>Cancer</w:t>
                              </w:r>
                              <w:r>
                                <w:rPr>
                                  <w:rFonts w:ascii="Arial"/>
                                  <w:color w:val="FFFFFF"/>
                                  <w:spacing w:val="19"/>
                                  <w:sz w:val="33"/>
                                </w:rPr>
                                <w:t> </w:t>
                              </w:r>
                              <w:r>
                                <w:rPr>
                                  <w:rFonts w:ascii="Arial"/>
                                  <w:color w:val="FFFFFF"/>
                                  <w:sz w:val="33"/>
                                </w:rPr>
                                <w:t>in</w:t>
                              </w:r>
                              <w:r>
                                <w:rPr>
                                  <w:rFonts w:ascii="Arial"/>
                                  <w:color w:val="FFFFFF"/>
                                  <w:spacing w:val="19"/>
                                  <w:sz w:val="33"/>
                                </w:rPr>
                                <w:t> </w:t>
                              </w:r>
                              <w:r>
                                <w:rPr>
                                  <w:rFonts w:ascii="Arial"/>
                                  <w:color w:val="FFFFFF"/>
                                  <w:sz w:val="33"/>
                                </w:rPr>
                                <w:t>Hormone</w:t>
                              </w:r>
                              <w:r>
                                <w:rPr>
                                  <w:rFonts w:ascii="Arial"/>
                                  <w:color w:val="FFFFFF"/>
                                  <w:spacing w:val="20"/>
                                  <w:sz w:val="33"/>
                                </w:rPr>
                                <w:t> </w:t>
                              </w:r>
                              <w:r>
                                <w:rPr>
                                  <w:rFonts w:ascii="Arial"/>
                                  <w:color w:val="FFFFFF"/>
                                  <w:spacing w:val="-2"/>
                                  <w:sz w:val="33"/>
                                </w:rPr>
                                <w:t>Users</w:t>
                              </w:r>
                            </w:p>
                          </w:txbxContent>
                        </wps:txbx>
                        <wps:bodyPr wrap="square" lIns="0" tIns="0" rIns="0" bIns="0" rtlCol="0">
                          <a:noAutofit/>
                        </wps:bodyPr>
                      </wps:wsp>
                    </wpg:wgp>
                  </a:graphicData>
                </a:graphic>
              </wp:anchor>
            </w:drawing>
          </mc:Choice>
          <mc:Fallback>
            <w:pict>
              <v:group style="position:absolute;margin-left:77.25pt;margin-top:19.099024pt;width:457.5pt;height:184.5pt;mso-position-horizontal-relative:page;mso-position-vertical-relative:paragraph;z-index:-15656448;mso-wrap-distance-left:0;mso-wrap-distance-right:0" id="docshapegroup228" coordorigin="1545,382" coordsize="9150,3690">
                <v:rect style="position:absolute;left:1545;top:381;width:9150;height:30" id="docshape229" filled="true" fillcolor="#d5e699" stroked="false">
                  <v:fill type="solid"/>
                </v:rect>
                <v:rect style="position:absolute;left:1545;top:1551;width:9150;height:2520" id="docshape230" filled="true" fillcolor="#e9f1cd" stroked="false">
                  <v:fill type="solid"/>
                </v:rect>
                <v:rect style="position:absolute;left:1545;top:471;width:9150;height:1080" id="docshape231" filled="true" fillcolor="#2b816f" stroked="false">
                  <v:fill type="solid"/>
                </v:rect>
                <v:shape style="position:absolute;left:1875;top:742;width:585;height:90" id="docshape232" coordorigin="1875,742" coordsize="585,90" path="m1926,832l1914,832,1908,831,1903,829,1897,826,1892,823,1888,819,1884,814,1881,810,1876,799,1875,793,1875,781,1876,775,1881,764,1884,759,1888,755,1892,751,1897,748,1903,745,1908,743,1914,742,1926,742,1931,743,1931,743,1942,748,1948,751,1952,755,1956,759,1959,764,1964,775,1965,781,1965,793,1964,799,1959,810,1956,814,1952,819,1948,823,1943,826,1937,829,1932,831,1926,832xm2091,832l2079,832,2073,831,2068,829,2062,826,2057,823,2053,819,2049,814,2046,810,2041,799,2040,793,2040,781,2041,775,2046,764,2049,759,2053,755,2057,751,2062,748,2068,745,2073,743,2079,742,2091,742,2096,743,2096,743,2107,748,2112,751,2117,755,2121,759,2124,764,2129,775,2130,781,2130,793,2129,799,2124,810,2121,814,2117,819,2112,823,2108,826,2102,829,2097,831,2091,832xm2256,832l2244,832,2238,831,2232,829,2227,826,2222,823,2218,819,2214,814,2210,810,2206,799,2205,793,2205,781,2206,775,2210,764,2214,759,2218,755,2222,751,2227,748,2232,745,2238,743,2244,742,2256,742,2261,743,2261,743,2272,748,2277,751,2282,755,2286,759,2289,764,2294,775,2295,781,2295,793,2294,799,2289,810,2286,814,2282,819,2277,823,2272,826,2267,829,2261,831,2256,832xm2421,832l2409,832,2403,831,2397,829,2392,826,2387,823,2383,819,2379,814,2375,810,2371,799,2370,793,2370,781,2371,775,2375,764,2379,759,2383,755,2387,751,2392,748,2397,745,2403,743,2409,742,2421,742,2426,743,2426,743,2437,748,2442,751,2446,755,2451,759,2454,764,2458,775,2460,781,2460,793,2458,799,2454,810,2451,814,2446,819,2442,823,2437,826,2432,829,2426,831,2421,832xe" filled="true" fillcolor="#d0e399" stroked="false">
                  <v:path arrowok="t"/>
                  <v:fill type="solid"/>
                </v:shape>
                <v:shape style="position:absolute;left:1754;top:1956;width:75;height:1155" id="docshape233" coordorigin="1755,1957" coordsize="75,1155" path="m1830,3069l1829,3065,1825,3055,1823,3051,1816,3044,1811,3042,1802,3038,1797,3037,1788,3037,1783,3038,1774,3042,1769,3044,1762,3051,1760,3055,1756,3065,1755,3069,1755,3079,1756,3084,1760,3093,1762,3097,1766,3101,1769,3104,1774,3107,1783,3111,1788,3112,1792,3112,1797,3112,1802,3111,1811,3107,1816,3104,1819,3101,1823,3097,1825,3093,1829,3084,1830,3079,1830,3074,1830,3069xm1830,2529l1829,2525,1825,2515,1823,2511,1819,2508,1816,2504,1811,2502,1802,2498,1797,2497,1788,2497,1783,2498,1774,2502,1769,2504,1766,2508,1762,2511,1760,2515,1756,2525,1755,2529,1755,2539,1756,2544,1760,2553,1762,2557,1766,2561,1769,2564,1774,2567,1783,2571,1788,2572,1792,2572,1797,2572,1802,2571,1811,2567,1816,2564,1819,2561,1823,2557,1825,2553,1829,2544,1830,2539,1830,2534,1830,2529xm1830,1989l1829,1985,1825,1975,1823,1971,1816,1964,1811,1962,1807,1960,1802,1958,1797,1957,1788,1957,1783,1958,1778,1960,1774,1962,1769,1964,1762,1971,1760,1975,1756,1985,1755,1989,1755,1999,1756,2004,1760,2013,1762,2017,1766,2021,1769,2024,1774,2027,1783,2031,1788,2032,1792,2032,1797,2032,1802,2031,1811,2027,1816,2024,1819,2021,1823,2017,1825,2013,1829,2004,1830,1999,1830,1994,1830,1989xe" filled="true" fillcolor="#2b816f" stroked="false">
                  <v:path arrowok="t"/>
                  <v:fill type="solid"/>
                </v:shape>
                <v:shape style="position:absolute;left:1545;top:1551;width:9150;height:2520" type="#_x0000_t202" id="docshape234" filled="false" stroked="false">
                  <v:textbox inset="0,0,0,0">
                    <w:txbxContent>
                      <w:p>
                        <w:pPr>
                          <w:spacing w:line="240" w:lineRule="auto" w:before="51"/>
                          <w:rPr>
                            <w:sz w:val="22"/>
                          </w:rPr>
                        </w:pPr>
                      </w:p>
                      <w:p>
                        <w:pPr>
                          <w:spacing w:line="256" w:lineRule="auto" w:before="0"/>
                          <w:ind w:left="444" w:right="610" w:firstLine="0"/>
                          <w:jc w:val="left"/>
                          <w:rPr>
                            <w:b/>
                            <w:sz w:val="22"/>
                          </w:rPr>
                        </w:pPr>
                        <w:r>
                          <w:rPr>
                            <w:b/>
                            <w:sz w:val="22"/>
                          </w:rPr>
                          <w:t>Lower grade and stage of disease account for the better survival rates in </w:t>
                        </w:r>
                        <w:r>
                          <w:rPr>
                            <w:b/>
                            <w:sz w:val="22"/>
                          </w:rPr>
                          <w:t>hormone</w:t>
                        </w:r>
                        <w:r>
                          <w:rPr>
                            <w:b/>
                            <w:spacing w:val="80"/>
                            <w:sz w:val="22"/>
                          </w:rPr>
                          <w:t> </w:t>
                        </w:r>
                        <w:r>
                          <w:rPr>
                            <w:b/>
                            <w:sz w:val="22"/>
                          </w:rPr>
                          <w:t>users who develop breast cancer compared with nonusers.</w:t>
                        </w:r>
                      </w:p>
                      <w:p>
                        <w:pPr>
                          <w:spacing w:line="256" w:lineRule="auto" w:before="0"/>
                          <w:ind w:left="444" w:right="610" w:firstLine="0"/>
                          <w:jc w:val="left"/>
                          <w:rPr>
                            <w:b/>
                            <w:sz w:val="22"/>
                          </w:rPr>
                        </w:pPr>
                        <w:r>
                          <w:rPr>
                            <w:b/>
                            <w:sz w:val="22"/>
                          </w:rPr>
                          <w:t>Hormone</w:t>
                        </w:r>
                        <w:r>
                          <w:rPr>
                            <w:b/>
                            <w:spacing w:val="35"/>
                            <w:sz w:val="22"/>
                          </w:rPr>
                          <w:t> </w:t>
                        </w:r>
                        <w:r>
                          <w:rPr>
                            <w:b/>
                            <w:sz w:val="22"/>
                          </w:rPr>
                          <w:t>users</w:t>
                        </w:r>
                        <w:r>
                          <w:rPr>
                            <w:b/>
                            <w:spacing w:val="35"/>
                            <w:sz w:val="22"/>
                          </w:rPr>
                          <w:t> </w:t>
                        </w:r>
                        <w:r>
                          <w:rPr>
                            <w:b/>
                            <w:sz w:val="22"/>
                          </w:rPr>
                          <w:t>who</w:t>
                        </w:r>
                        <w:r>
                          <w:rPr>
                            <w:b/>
                            <w:spacing w:val="35"/>
                            <w:sz w:val="22"/>
                          </w:rPr>
                          <w:t> </w:t>
                        </w:r>
                        <w:r>
                          <w:rPr>
                            <w:b/>
                            <w:sz w:val="22"/>
                          </w:rPr>
                          <w:t>develop</w:t>
                        </w:r>
                        <w:r>
                          <w:rPr>
                            <w:b/>
                            <w:spacing w:val="35"/>
                            <w:sz w:val="22"/>
                          </w:rPr>
                          <w:t> </w:t>
                        </w:r>
                        <w:r>
                          <w:rPr>
                            <w:b/>
                            <w:sz w:val="22"/>
                          </w:rPr>
                          <w:t>breast</w:t>
                        </w:r>
                        <w:r>
                          <w:rPr>
                            <w:b/>
                            <w:spacing w:val="35"/>
                            <w:sz w:val="22"/>
                          </w:rPr>
                          <w:t> </w:t>
                        </w:r>
                        <w:r>
                          <w:rPr>
                            <w:b/>
                            <w:sz w:val="22"/>
                          </w:rPr>
                          <w:t>cancer</w:t>
                        </w:r>
                        <w:r>
                          <w:rPr>
                            <w:b/>
                            <w:spacing w:val="35"/>
                            <w:sz w:val="22"/>
                          </w:rPr>
                          <w:t> </w:t>
                        </w:r>
                        <w:r>
                          <w:rPr>
                            <w:b/>
                            <w:sz w:val="22"/>
                          </w:rPr>
                          <w:t>usually</w:t>
                        </w:r>
                        <w:r>
                          <w:rPr>
                            <w:b/>
                            <w:spacing w:val="35"/>
                            <w:sz w:val="22"/>
                          </w:rPr>
                          <w:t> </w:t>
                        </w:r>
                        <w:r>
                          <w:rPr>
                            <w:b/>
                            <w:sz w:val="22"/>
                          </w:rPr>
                          <w:t>have</w:t>
                        </w:r>
                        <w:r>
                          <w:rPr>
                            <w:b/>
                            <w:spacing w:val="35"/>
                            <w:sz w:val="22"/>
                          </w:rPr>
                          <w:t> </w:t>
                        </w:r>
                        <w:r>
                          <w:rPr>
                            <w:b/>
                            <w:sz w:val="22"/>
                          </w:rPr>
                          <w:t>earlier</w:t>
                        </w:r>
                        <w:r>
                          <w:rPr>
                            <w:b/>
                            <w:spacing w:val="35"/>
                            <w:sz w:val="22"/>
                          </w:rPr>
                          <w:t> </w:t>
                        </w:r>
                        <w:r>
                          <w:rPr>
                            <w:b/>
                            <w:sz w:val="22"/>
                          </w:rPr>
                          <w:t>detection</w:t>
                        </w:r>
                        <w:r>
                          <w:rPr>
                            <w:b/>
                            <w:spacing w:val="35"/>
                            <w:sz w:val="22"/>
                          </w:rPr>
                          <w:t> </w:t>
                        </w:r>
                        <w:r>
                          <w:rPr>
                            <w:b/>
                            <w:sz w:val="22"/>
                          </w:rPr>
                          <w:t>of</w:t>
                        </w:r>
                        <w:r>
                          <w:rPr>
                            <w:b/>
                            <w:spacing w:val="35"/>
                            <w:sz w:val="22"/>
                          </w:rPr>
                          <w:t> </w:t>
                        </w:r>
                        <w:r>
                          <w:rPr>
                            <w:b/>
                            <w:sz w:val="22"/>
                          </w:rPr>
                          <w:t>their </w:t>
                        </w:r>
                        <w:r>
                          <w:rPr>
                            <w:b/>
                            <w:spacing w:val="-2"/>
                            <w:sz w:val="22"/>
                          </w:rPr>
                          <w:t>tumors.</w:t>
                        </w:r>
                      </w:p>
                      <w:p>
                        <w:pPr>
                          <w:spacing w:line="256" w:lineRule="auto" w:before="0"/>
                          <w:ind w:left="444" w:right="0" w:firstLine="0"/>
                          <w:jc w:val="left"/>
                          <w:rPr>
                            <w:b/>
                            <w:sz w:val="22"/>
                          </w:rPr>
                        </w:pPr>
                        <w:r>
                          <w:rPr>
                            <w:b/>
                            <w:sz w:val="22"/>
                          </w:rPr>
                          <w:t>The</w:t>
                        </w:r>
                        <w:r>
                          <w:rPr>
                            <w:b/>
                            <w:spacing w:val="80"/>
                            <w:sz w:val="22"/>
                          </w:rPr>
                          <w:t> </w:t>
                        </w:r>
                        <w:r>
                          <w:rPr>
                            <w:b/>
                            <w:sz w:val="22"/>
                          </w:rPr>
                          <w:t>survival</w:t>
                        </w:r>
                        <w:r>
                          <w:rPr>
                            <w:b/>
                            <w:spacing w:val="80"/>
                            <w:sz w:val="22"/>
                          </w:rPr>
                          <w:t> </w:t>
                        </w:r>
                        <w:r>
                          <w:rPr>
                            <w:b/>
                            <w:sz w:val="22"/>
                          </w:rPr>
                          <w:t>and</w:t>
                        </w:r>
                        <w:r>
                          <w:rPr>
                            <w:b/>
                            <w:spacing w:val="80"/>
                            <w:sz w:val="22"/>
                          </w:rPr>
                          <w:t> </w:t>
                        </w:r>
                        <w:r>
                          <w:rPr>
                            <w:b/>
                            <w:sz w:val="22"/>
                          </w:rPr>
                          <w:t>detection</w:t>
                        </w:r>
                        <w:r>
                          <w:rPr>
                            <w:b/>
                            <w:spacing w:val="80"/>
                            <w:sz w:val="22"/>
                          </w:rPr>
                          <w:t> </w:t>
                        </w:r>
                        <w:r>
                          <w:rPr>
                            <w:b/>
                            <w:sz w:val="22"/>
                          </w:rPr>
                          <w:t>results</w:t>
                        </w:r>
                        <w:r>
                          <w:rPr>
                            <w:b/>
                            <w:spacing w:val="80"/>
                            <w:sz w:val="22"/>
                          </w:rPr>
                          <w:t> </w:t>
                        </w:r>
                        <w:r>
                          <w:rPr>
                            <w:b/>
                            <w:sz w:val="22"/>
                          </w:rPr>
                          <w:t>are</w:t>
                        </w:r>
                        <w:r>
                          <w:rPr>
                            <w:b/>
                            <w:spacing w:val="80"/>
                            <w:sz w:val="22"/>
                          </w:rPr>
                          <w:t> </w:t>
                        </w:r>
                        <w:r>
                          <w:rPr>
                            <w:b/>
                            <w:sz w:val="22"/>
                          </w:rPr>
                          <w:t>consistent</w:t>
                        </w:r>
                        <w:r>
                          <w:rPr>
                            <w:b/>
                            <w:spacing w:val="80"/>
                            <w:sz w:val="22"/>
                          </w:rPr>
                          <w:t> </w:t>
                        </w:r>
                        <w:r>
                          <w:rPr>
                            <w:b/>
                            <w:sz w:val="22"/>
                          </w:rPr>
                          <w:t>with</w:t>
                        </w:r>
                        <w:r>
                          <w:rPr>
                            <w:b/>
                            <w:spacing w:val="80"/>
                            <w:sz w:val="22"/>
                          </w:rPr>
                          <w:t> </w:t>
                        </w:r>
                        <w:r>
                          <w:rPr>
                            <w:b/>
                            <w:sz w:val="22"/>
                          </w:rPr>
                          <w:t>an</w:t>
                        </w:r>
                        <w:r>
                          <w:rPr>
                            <w:b/>
                            <w:spacing w:val="80"/>
                            <w:sz w:val="22"/>
                          </w:rPr>
                          <w:t> </w:t>
                        </w:r>
                        <w:r>
                          <w:rPr>
                            <w:b/>
                            <w:sz w:val="22"/>
                          </w:rPr>
                          <w:t>impact</w:t>
                        </w:r>
                        <w:r>
                          <w:rPr>
                            <w:b/>
                            <w:spacing w:val="80"/>
                            <w:sz w:val="22"/>
                          </w:rPr>
                          <w:t> </w:t>
                        </w:r>
                        <w:r>
                          <w:rPr>
                            <w:b/>
                            <w:sz w:val="22"/>
                          </w:rPr>
                          <w:t>of</w:t>
                        </w:r>
                        <w:r>
                          <w:rPr>
                            <w:b/>
                            <w:spacing w:val="80"/>
                            <w:sz w:val="22"/>
                          </w:rPr>
                          <w:t> </w:t>
                        </w:r>
                        <w:r>
                          <w:rPr>
                            <w:b/>
                            <w:sz w:val="22"/>
                          </w:rPr>
                          <w:t>HT</w:t>
                        </w:r>
                        <w:r>
                          <w:rPr>
                            <w:b/>
                            <w:spacing w:val="80"/>
                            <w:sz w:val="22"/>
                          </w:rPr>
                          <w:t> </w:t>
                        </w:r>
                        <w:r>
                          <w:rPr>
                            <w:b/>
                            <w:sz w:val="22"/>
                          </w:rPr>
                          <w:t>on preexisting tumors.</w:t>
                        </w:r>
                      </w:p>
                    </w:txbxContent>
                  </v:textbox>
                  <w10:wrap type="none"/>
                </v:shape>
                <v:shape style="position:absolute;left:1545;top:471;width:9150;height:1080" type="#_x0000_t202" id="docshape235"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9"/>
                            <w:sz w:val="33"/>
                          </w:rPr>
                          <w:t> </w:t>
                        </w:r>
                        <w:r>
                          <w:rPr>
                            <w:rFonts w:ascii="Arial"/>
                            <w:color w:val="FFFFFF"/>
                            <w:sz w:val="33"/>
                          </w:rPr>
                          <w:t>Points:</w:t>
                        </w:r>
                        <w:r>
                          <w:rPr>
                            <w:rFonts w:ascii="Arial"/>
                            <w:color w:val="FFFFFF"/>
                            <w:spacing w:val="19"/>
                            <w:sz w:val="33"/>
                          </w:rPr>
                          <w:t> </w:t>
                        </w:r>
                        <w:r>
                          <w:rPr>
                            <w:rFonts w:ascii="Arial"/>
                            <w:color w:val="FFFFFF"/>
                            <w:sz w:val="33"/>
                          </w:rPr>
                          <w:t>Breast</w:t>
                        </w:r>
                        <w:r>
                          <w:rPr>
                            <w:rFonts w:ascii="Arial"/>
                            <w:color w:val="FFFFFF"/>
                            <w:spacing w:val="20"/>
                            <w:sz w:val="33"/>
                          </w:rPr>
                          <w:t> </w:t>
                        </w:r>
                        <w:r>
                          <w:rPr>
                            <w:rFonts w:ascii="Arial"/>
                            <w:color w:val="FFFFFF"/>
                            <w:sz w:val="33"/>
                          </w:rPr>
                          <w:t>Cancer</w:t>
                        </w:r>
                        <w:r>
                          <w:rPr>
                            <w:rFonts w:ascii="Arial"/>
                            <w:color w:val="FFFFFF"/>
                            <w:spacing w:val="19"/>
                            <w:sz w:val="33"/>
                          </w:rPr>
                          <w:t> </w:t>
                        </w:r>
                        <w:r>
                          <w:rPr>
                            <w:rFonts w:ascii="Arial"/>
                            <w:color w:val="FFFFFF"/>
                            <w:sz w:val="33"/>
                          </w:rPr>
                          <w:t>in</w:t>
                        </w:r>
                        <w:r>
                          <w:rPr>
                            <w:rFonts w:ascii="Arial"/>
                            <w:color w:val="FFFFFF"/>
                            <w:spacing w:val="19"/>
                            <w:sz w:val="33"/>
                          </w:rPr>
                          <w:t> </w:t>
                        </w:r>
                        <w:r>
                          <w:rPr>
                            <w:rFonts w:ascii="Arial"/>
                            <w:color w:val="FFFFFF"/>
                            <w:sz w:val="33"/>
                          </w:rPr>
                          <w:t>Hormone</w:t>
                        </w:r>
                        <w:r>
                          <w:rPr>
                            <w:rFonts w:ascii="Arial"/>
                            <w:color w:val="FFFFFF"/>
                            <w:spacing w:val="20"/>
                            <w:sz w:val="33"/>
                          </w:rPr>
                          <w:t> </w:t>
                        </w:r>
                        <w:r>
                          <w:rPr>
                            <w:rFonts w:ascii="Arial"/>
                            <w:color w:val="FFFFFF"/>
                            <w:spacing w:val="-2"/>
                            <w:sz w:val="33"/>
                          </w:rPr>
                          <w:t>Users</w:t>
                        </w:r>
                      </w:p>
                    </w:txbxContent>
                  </v:textbox>
                  <w10:wrap type="none"/>
                </v:shape>
                <w10:wrap type="topAndBottom"/>
              </v:group>
            </w:pict>
          </mc:Fallback>
        </mc:AlternateContent>
      </w:r>
    </w:p>
    <w:p>
      <w:pPr>
        <w:pStyle w:val="BodyText"/>
        <w:spacing w:after="0"/>
        <w:jc w:val="left"/>
        <w:rPr>
          <w:sz w:val="20"/>
        </w:rPr>
        <w:sectPr>
          <w:pgSz w:w="12240" w:h="15840"/>
          <w:pgMar w:top="1380" w:bottom="280" w:left="1440" w:right="1440"/>
        </w:sectPr>
      </w:pPr>
    </w:p>
    <w:p>
      <w:pPr>
        <w:spacing w:line="249" w:lineRule="auto" w:before="63"/>
        <w:ind w:left="99" w:right="255" w:firstLine="0"/>
        <w:jc w:val="left"/>
        <w:rPr>
          <w:rFonts w:ascii="Arial"/>
          <w:b/>
          <w:sz w:val="30"/>
        </w:rPr>
      </w:pPr>
      <w:r>
        <w:rPr>
          <w:rFonts w:ascii="Arial"/>
          <w:b/>
          <w:color w:val="2674AE"/>
          <w:sz w:val="30"/>
        </w:rPr>
        <w:t>The</w:t>
      </w:r>
      <w:r>
        <w:rPr>
          <w:rFonts w:ascii="Arial"/>
          <w:b/>
          <w:color w:val="2674AE"/>
          <w:spacing w:val="-5"/>
          <w:sz w:val="30"/>
        </w:rPr>
        <w:t> </w:t>
      </w:r>
      <w:r>
        <w:rPr>
          <w:rFonts w:ascii="Arial"/>
          <w:b/>
          <w:color w:val="2674AE"/>
          <w:sz w:val="30"/>
        </w:rPr>
        <w:t>Impact</w:t>
      </w:r>
      <w:r>
        <w:rPr>
          <w:rFonts w:ascii="Arial"/>
          <w:b/>
          <w:color w:val="2674AE"/>
          <w:spacing w:val="-5"/>
          <w:sz w:val="30"/>
        </w:rPr>
        <w:t> </w:t>
      </w:r>
      <w:r>
        <w:rPr>
          <w:rFonts w:ascii="Arial"/>
          <w:b/>
          <w:color w:val="2674AE"/>
          <w:sz w:val="30"/>
        </w:rPr>
        <w:t>of</w:t>
      </w:r>
      <w:r>
        <w:rPr>
          <w:rFonts w:ascii="Arial"/>
          <w:b/>
          <w:color w:val="2674AE"/>
          <w:spacing w:val="-5"/>
          <w:sz w:val="30"/>
        </w:rPr>
        <w:t> </w:t>
      </w:r>
      <w:r>
        <w:rPr>
          <w:rFonts w:ascii="Arial"/>
          <w:b/>
          <w:color w:val="2674AE"/>
          <w:sz w:val="30"/>
        </w:rPr>
        <w:t>Hormone</w:t>
      </w:r>
      <w:r>
        <w:rPr>
          <w:rFonts w:ascii="Arial"/>
          <w:b/>
          <w:color w:val="2674AE"/>
          <w:spacing w:val="-5"/>
          <w:sz w:val="30"/>
        </w:rPr>
        <w:t> </w:t>
      </w:r>
      <w:r>
        <w:rPr>
          <w:rFonts w:ascii="Arial"/>
          <w:b/>
          <w:color w:val="2674AE"/>
          <w:sz w:val="30"/>
        </w:rPr>
        <w:t>Therapy</w:t>
      </w:r>
      <w:r>
        <w:rPr>
          <w:rFonts w:ascii="Arial"/>
          <w:b/>
          <w:color w:val="2674AE"/>
          <w:spacing w:val="-5"/>
          <w:sz w:val="30"/>
        </w:rPr>
        <w:t> </w:t>
      </w:r>
      <w:r>
        <w:rPr>
          <w:rFonts w:ascii="Arial"/>
          <w:b/>
          <w:color w:val="2674AE"/>
          <w:sz w:val="30"/>
        </w:rPr>
        <w:t>on</w:t>
      </w:r>
      <w:r>
        <w:rPr>
          <w:rFonts w:ascii="Arial"/>
          <w:b/>
          <w:color w:val="2674AE"/>
          <w:spacing w:val="-5"/>
          <w:sz w:val="30"/>
        </w:rPr>
        <w:t> </w:t>
      </w:r>
      <w:r>
        <w:rPr>
          <w:rFonts w:ascii="Arial"/>
          <w:b/>
          <w:color w:val="2674AE"/>
          <w:sz w:val="30"/>
        </w:rPr>
        <w:t>Breast</w:t>
      </w:r>
      <w:r>
        <w:rPr>
          <w:rFonts w:ascii="Arial"/>
          <w:b/>
          <w:color w:val="2674AE"/>
          <w:spacing w:val="-5"/>
          <w:sz w:val="30"/>
        </w:rPr>
        <w:t> </w:t>
      </w:r>
      <w:r>
        <w:rPr>
          <w:rFonts w:ascii="Arial"/>
          <w:b/>
          <w:color w:val="2674AE"/>
          <w:sz w:val="30"/>
        </w:rPr>
        <w:t>Density</w:t>
      </w:r>
      <w:r>
        <w:rPr>
          <w:rFonts w:ascii="Arial"/>
          <w:b/>
          <w:color w:val="2674AE"/>
          <w:spacing w:val="-5"/>
          <w:sz w:val="30"/>
        </w:rPr>
        <w:t> </w:t>
      </w:r>
      <w:r>
        <w:rPr>
          <w:rFonts w:ascii="Arial"/>
          <w:b/>
          <w:color w:val="2674AE"/>
          <w:sz w:val="30"/>
        </w:rPr>
        <w:t>and</w:t>
      </w:r>
      <w:r>
        <w:rPr>
          <w:rFonts w:ascii="Arial"/>
          <w:b/>
          <w:color w:val="2674AE"/>
          <w:spacing w:val="-5"/>
          <w:sz w:val="30"/>
        </w:rPr>
        <w:t> </w:t>
      </w:r>
      <w:r>
        <w:rPr>
          <w:rFonts w:ascii="Arial"/>
          <w:b/>
          <w:color w:val="2674AE"/>
          <w:sz w:val="30"/>
        </w:rPr>
        <w:t>on </w:t>
      </w:r>
      <w:r>
        <w:rPr>
          <w:rFonts w:ascii="Arial"/>
          <w:b/>
          <w:color w:val="2674AE"/>
          <w:spacing w:val="-2"/>
          <w:sz w:val="30"/>
        </w:rPr>
        <w:t>Mastalgia</w:t>
      </w:r>
    </w:p>
    <w:p>
      <w:pPr>
        <w:pStyle w:val="BodyText"/>
        <w:spacing w:line="249" w:lineRule="auto" w:before="154"/>
        <w:ind w:right="103"/>
      </w:pPr>
      <w:r>
        <w:rPr/>
        <w:t>An increase in mammographic breast density occurs at a greater rate </w:t>
      </w:r>
      <w:r>
        <w:rPr/>
        <w:t>in postmenopausal hormone users who develop mastalgia.</w:t>
      </w:r>
      <w:r>
        <w:rPr>
          <w:vertAlign w:val="superscript"/>
        </w:rPr>
        <w:t>907</w:t>
      </w:r>
      <w:r>
        <w:rPr>
          <w:vertAlign w:val="baseline"/>
        </w:rPr>
        <w:t> According to the Postmenopausal Estrogen/Progestin Interventions (PEPI) and WHI clinical trials, about 25% to 30% of women receiving combinations of estrogen and progestin develop breast tenderness.</w:t>
      </w:r>
      <w:r>
        <w:rPr>
          <w:vertAlign w:val="superscript"/>
        </w:rPr>
        <w:t>907,908</w:t>
      </w:r>
    </w:p>
    <w:p>
      <w:pPr>
        <w:pStyle w:val="BodyText"/>
        <w:spacing w:line="249" w:lineRule="auto" w:before="6"/>
        <w:ind w:right="97" w:firstLine="450"/>
      </w:pPr>
      <w:r>
        <w:rPr/>
        <w:t>The subject of greatest clinical relevance, in our view, is the connection between breast tenderness and breast density and ultimately an impact, </w:t>
      </w:r>
      <w:r>
        <w:rPr/>
        <w:t>if any, on the risk of breast cancer. Although the increase in new-onset breast tenderness is associated with a greater increase in mammographic breast density compared with women who do not develop mastalgia, it is worth noting that one study asking whether hormone-induced changes in breast density increase the risk of breast cancer could find no evidence that this was so.</w:t>
      </w:r>
      <w:r>
        <w:rPr>
          <w:vertAlign w:val="superscript"/>
        </w:rPr>
        <w:t>909</w:t>
      </w:r>
    </w:p>
    <w:p>
      <w:pPr>
        <w:pStyle w:val="BodyText"/>
        <w:spacing w:line="249" w:lineRule="auto" w:before="10"/>
        <w:ind w:right="99" w:firstLine="450"/>
      </w:pPr>
      <w:r>
        <w:rPr/>
        <w:t>A report from the WHI concluded that new-onset breast tenderness </w:t>
      </w:r>
      <w:r>
        <w:rPr/>
        <w:t>in the canceled estrogen-progestin arm of the WHI was associated with an increased risk of breast cancer (HR = 1.48; CI = 1.08-2.03) when compared to women who did not develop mastalgia.</w:t>
      </w:r>
      <w:r>
        <w:rPr>
          <w:vertAlign w:val="superscript"/>
        </w:rPr>
        <w:t>908</w:t>
      </w:r>
      <w:r>
        <w:rPr>
          <w:vertAlign w:val="baseline"/>
        </w:rPr>
        <w:t> The WHI report gave the impression that this linkage was of sufficient magnitude that it should be a major clinical concern, but there are reasons to place it in a different </w:t>
      </w:r>
      <w:r>
        <w:rPr>
          <w:spacing w:val="-2"/>
          <w:vertAlign w:val="baseline"/>
        </w:rPr>
        <w:t>perspective.</w:t>
      </w:r>
    </w:p>
    <w:p>
      <w:pPr>
        <w:pStyle w:val="BodyText"/>
        <w:spacing w:line="249" w:lineRule="auto" w:before="9"/>
        <w:ind w:right="97" w:firstLine="450"/>
      </w:pPr>
      <w:r>
        <w:rPr/>
        <w:t>The</w:t>
      </w:r>
      <w:r>
        <w:rPr>
          <w:spacing w:val="-2"/>
        </w:rPr>
        <w:t> </w:t>
      </w:r>
      <w:r>
        <w:rPr/>
        <w:t>WHI</w:t>
      </w:r>
      <w:r>
        <w:rPr>
          <w:spacing w:val="-2"/>
        </w:rPr>
        <w:t> </w:t>
      </w:r>
      <w:r>
        <w:rPr/>
        <w:t>compared</w:t>
      </w:r>
      <w:r>
        <w:rPr>
          <w:spacing w:val="-2"/>
        </w:rPr>
        <w:t> </w:t>
      </w:r>
      <w:r>
        <w:rPr/>
        <w:t>the</w:t>
      </w:r>
      <w:r>
        <w:rPr>
          <w:spacing w:val="-2"/>
        </w:rPr>
        <w:t> </w:t>
      </w:r>
      <w:r>
        <w:rPr/>
        <w:t>numbers</w:t>
      </w:r>
      <w:r>
        <w:rPr>
          <w:spacing w:val="-2"/>
        </w:rPr>
        <w:t> </w:t>
      </w:r>
      <w:r>
        <w:rPr/>
        <w:t>for</w:t>
      </w:r>
      <w:r>
        <w:rPr>
          <w:spacing w:val="-2"/>
        </w:rPr>
        <w:t> </w:t>
      </w:r>
      <w:r>
        <w:rPr/>
        <w:t>sensitivity,</w:t>
      </w:r>
      <w:r>
        <w:rPr>
          <w:spacing w:val="-2"/>
        </w:rPr>
        <w:t> </w:t>
      </w:r>
      <w:r>
        <w:rPr/>
        <w:t>specificity,</w:t>
      </w:r>
      <w:r>
        <w:rPr>
          <w:spacing w:val="-2"/>
        </w:rPr>
        <w:t> </w:t>
      </w:r>
      <w:r>
        <w:rPr/>
        <w:t>and</w:t>
      </w:r>
      <w:r>
        <w:rPr>
          <w:spacing w:val="-2"/>
        </w:rPr>
        <w:t> </w:t>
      </w:r>
      <w:r>
        <w:rPr/>
        <w:t>positive predictive value with the Gail model, implying clinical worthiness by their similarity.</w:t>
      </w:r>
      <w:r>
        <w:rPr>
          <w:spacing w:val="-7"/>
        </w:rPr>
        <w:t> </w:t>
      </w:r>
      <w:r>
        <w:rPr/>
        <w:t>However, the positive predictive value of new-onset mastalgia in the WHI was only 2.7%, meaning that 97.3% of the women would be expected not to develop breast cancer! Furthermore, in the references cited by the WHI to support their use of the Gail model, one actually concluded that the Gail model is not particularly sensitive in identifying individuals </w:t>
      </w:r>
      <w:r>
        <w:rPr/>
        <w:t>at risk, and the other was a study of false-positive mammogram screening.</w:t>
      </w:r>
      <w:r>
        <w:rPr>
          <w:vertAlign w:val="superscript"/>
        </w:rPr>
        <w:t>910,911</w:t>
      </w:r>
      <w:r>
        <w:rPr>
          <w:vertAlign w:val="baseline"/>
        </w:rPr>
        <w:t> A positive predictive value of 2.7% is not clinically strong.</w:t>
      </w:r>
    </w:p>
    <w:p>
      <w:pPr>
        <w:pStyle w:val="BodyText"/>
        <w:spacing w:line="249" w:lineRule="auto" w:before="11"/>
        <w:ind w:right="103" w:firstLine="450"/>
      </w:pPr>
      <w:r>
        <w:rPr/>
        <w:t>The WHI report appropriately acknowledges the increase in </w:t>
      </w:r>
      <w:r>
        <w:rPr/>
        <w:t>breast tenderness noted in some postmenopausal women treated with HT and the link</w:t>
      </w:r>
      <w:r>
        <w:rPr>
          <w:spacing w:val="-6"/>
        </w:rPr>
        <w:t> </w:t>
      </w:r>
      <w:r>
        <w:rPr/>
        <w:t>between</w:t>
      </w:r>
      <w:r>
        <w:rPr>
          <w:spacing w:val="-6"/>
        </w:rPr>
        <w:t> </w:t>
      </w:r>
      <w:r>
        <w:rPr/>
        <w:t>mastalgia</w:t>
      </w:r>
      <w:r>
        <w:rPr>
          <w:spacing w:val="-6"/>
        </w:rPr>
        <w:t> </w:t>
      </w:r>
      <w:r>
        <w:rPr/>
        <w:t>and</w:t>
      </w:r>
      <w:r>
        <w:rPr>
          <w:spacing w:val="-6"/>
        </w:rPr>
        <w:t> </w:t>
      </w:r>
      <w:r>
        <w:rPr/>
        <w:t>an</w:t>
      </w:r>
      <w:r>
        <w:rPr>
          <w:spacing w:val="-6"/>
        </w:rPr>
        <w:t> </w:t>
      </w:r>
      <w:r>
        <w:rPr/>
        <w:t>increase</w:t>
      </w:r>
      <w:r>
        <w:rPr>
          <w:spacing w:val="-6"/>
        </w:rPr>
        <w:t> </w:t>
      </w:r>
      <w:r>
        <w:rPr/>
        <w:t>in</w:t>
      </w:r>
      <w:r>
        <w:rPr>
          <w:spacing w:val="-6"/>
        </w:rPr>
        <w:t> </w:t>
      </w:r>
      <w:r>
        <w:rPr/>
        <w:t>mammographic</w:t>
      </w:r>
      <w:r>
        <w:rPr>
          <w:spacing w:val="-6"/>
        </w:rPr>
        <w:t> </w:t>
      </w:r>
      <w:r>
        <w:rPr/>
        <w:t>density;</w:t>
      </w:r>
      <w:r>
        <w:rPr>
          <w:spacing w:val="-6"/>
        </w:rPr>
        <w:t> </w:t>
      </w:r>
      <w:r>
        <w:rPr/>
        <w:t>however, the</w:t>
      </w:r>
      <w:r>
        <w:rPr>
          <w:spacing w:val="43"/>
          <w:w w:val="150"/>
        </w:rPr>
        <w:t> </w:t>
      </w:r>
      <w:r>
        <w:rPr/>
        <w:t>WHI</w:t>
      </w:r>
      <w:r>
        <w:rPr>
          <w:spacing w:val="46"/>
          <w:w w:val="150"/>
        </w:rPr>
        <w:t> </w:t>
      </w:r>
      <w:r>
        <w:rPr/>
        <w:t>report</w:t>
      </w:r>
      <w:r>
        <w:rPr>
          <w:spacing w:val="45"/>
          <w:w w:val="150"/>
        </w:rPr>
        <w:t> </w:t>
      </w:r>
      <w:r>
        <w:rPr/>
        <w:t>discusses</w:t>
      </w:r>
      <w:r>
        <w:rPr>
          <w:spacing w:val="46"/>
          <w:w w:val="150"/>
        </w:rPr>
        <w:t> </w:t>
      </w:r>
      <w:r>
        <w:rPr/>
        <w:t>these</w:t>
      </w:r>
      <w:r>
        <w:rPr>
          <w:spacing w:val="45"/>
          <w:w w:val="150"/>
        </w:rPr>
        <w:t> </w:t>
      </w:r>
      <w:r>
        <w:rPr/>
        <w:t>subjects</w:t>
      </w:r>
      <w:r>
        <w:rPr>
          <w:spacing w:val="46"/>
          <w:w w:val="150"/>
        </w:rPr>
        <w:t> </w:t>
      </w:r>
      <w:r>
        <w:rPr/>
        <w:t>as</w:t>
      </w:r>
      <w:r>
        <w:rPr>
          <w:spacing w:val="45"/>
          <w:w w:val="150"/>
        </w:rPr>
        <w:t> </w:t>
      </w:r>
      <w:r>
        <w:rPr/>
        <w:t>if</w:t>
      </w:r>
      <w:r>
        <w:rPr>
          <w:spacing w:val="46"/>
          <w:w w:val="150"/>
        </w:rPr>
        <w:t> </w:t>
      </w:r>
      <w:r>
        <w:rPr/>
        <w:t>it</w:t>
      </w:r>
      <w:r>
        <w:rPr>
          <w:spacing w:val="45"/>
          <w:w w:val="150"/>
        </w:rPr>
        <w:t> </w:t>
      </w:r>
      <w:r>
        <w:rPr/>
        <w:t>has</w:t>
      </w:r>
      <w:r>
        <w:rPr>
          <w:spacing w:val="46"/>
          <w:w w:val="150"/>
        </w:rPr>
        <w:t> </w:t>
      </w:r>
      <w:r>
        <w:rPr/>
        <w:t>accepted</w:t>
      </w:r>
      <w:r>
        <w:rPr>
          <w:spacing w:val="45"/>
          <w:w w:val="150"/>
        </w:rPr>
        <w:t> </w:t>
      </w:r>
      <w:r>
        <w:rPr/>
        <w:t>that</w:t>
      </w:r>
      <w:r>
        <w:rPr>
          <w:spacing w:val="46"/>
          <w:w w:val="150"/>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107"/>
      </w:pPr>
      <w:r>
        <w:rPr/>
        <w:t>hormone-induced increase in density is associated with an increased risk </w:t>
      </w:r>
      <w:r>
        <w:rPr/>
        <w:t>of breast cancer. Let us consider these issues.</w:t>
      </w:r>
    </w:p>
    <w:p>
      <w:pPr>
        <w:pStyle w:val="BodyText"/>
        <w:spacing w:line="249" w:lineRule="auto" w:before="2"/>
        <w:ind w:right="101" w:firstLine="450"/>
      </w:pPr>
      <w:r>
        <w:rPr/>
        <w:t>Increased density impairs the detection of breast masses.</w:t>
      </w:r>
      <w:r>
        <w:rPr>
          <w:vertAlign w:val="superscript"/>
        </w:rPr>
        <w:t>912</w:t>
      </w:r>
      <w:r>
        <w:rPr>
          <w:vertAlign w:val="baseline"/>
        </w:rPr>
        <w:t> A failure </w:t>
      </w:r>
      <w:r>
        <w:rPr>
          <w:vertAlign w:val="baseline"/>
        </w:rPr>
        <w:t>to detect masses because of high tissue density causes an increase in interval cancers (cancers that present between mammographic screenings; in other words, cancers diagnosed after a negative mammogram).</w:t>
      </w:r>
      <w:r>
        <w:rPr>
          <w:vertAlign w:val="superscript"/>
        </w:rPr>
        <w:t>913</w:t>
      </w:r>
      <w:r>
        <w:rPr>
          <w:vertAlign w:val="baseline"/>
        </w:rPr>
        <w:t> Difficulties in reading high-density mammograms also produce false-positive recalls (patients who are recalled for assessment and found not to have cancer). Being recalled for reassessment after an initial mammogram is a cause of significant psychological stress.</w:t>
      </w:r>
      <w:r>
        <w:rPr>
          <w:vertAlign w:val="superscript"/>
        </w:rPr>
        <w:t>914</w:t>
      </w:r>
      <w:r>
        <w:rPr>
          <w:vertAlign w:val="baseline"/>
        </w:rPr>
        <w:t> In addition, at least 25% of the overall cost of mammographic screening in one US program was attributed to investigations of false-positive readings.</w:t>
      </w:r>
      <w:r>
        <w:rPr>
          <w:vertAlign w:val="superscript"/>
        </w:rPr>
        <w:t>911</w:t>
      </w:r>
    </w:p>
    <w:p>
      <w:pPr>
        <w:pStyle w:val="BodyText"/>
        <w:spacing w:line="249" w:lineRule="auto" w:before="12"/>
        <w:ind w:right="97" w:firstLine="450"/>
      </w:pPr>
      <w:r>
        <w:rPr/>
        <w:t>These two problems, an increase in interval cancers (a decrease in mammographic sensitivity) and an increase in false-positive recalls </w:t>
      </w:r>
      <w:r>
        <w:rPr/>
        <w:t>(a decrease in mammographic specificity), are consistent with a possible decrease in the detection of cancer. Thus, the concern with dense breasts in postmenopausal women is a reduced quality of mammograms that would decrease the ability to detect early breast cancers.</w:t>
      </w:r>
    </w:p>
    <w:p>
      <w:pPr>
        <w:pStyle w:val="BodyText"/>
        <w:spacing w:line="249" w:lineRule="auto" w:before="8"/>
        <w:ind w:right="98" w:firstLine="450"/>
      </w:pPr>
      <w:r>
        <w:rPr/>
        <w:t>Factors that are associated with greater breast density are </w:t>
      </w:r>
      <w:r>
        <w:rPr/>
        <w:t>nulliparity, older age at first birth, and current use of postmenopausal HT.</w:t>
      </w:r>
      <w:r>
        <w:rPr>
          <w:vertAlign w:val="superscript"/>
        </w:rPr>
        <w:t>915</w:t>
      </w:r>
      <w:r>
        <w:rPr>
          <w:vertAlign w:val="baseline"/>
        </w:rPr>
        <w:t> Mammographically, dense breasts reflect a high proportion of stromal, ductal, and glandular tissue, associated with epithelial and stromal cell proliferation.</w:t>
      </w:r>
      <w:r>
        <w:rPr>
          <w:vertAlign w:val="superscript"/>
        </w:rPr>
        <w:t>916</w:t>
      </w:r>
      <w:r>
        <w:rPr>
          <w:vertAlign w:val="baseline"/>
        </w:rPr>
        <w:t> The likelihood of dense breasts in hormone nonusers decreases with advancing age and increasing body weight as glandular tissue is replaced by fat.</w:t>
      </w:r>
      <w:r>
        <w:rPr>
          <w:vertAlign w:val="superscript"/>
        </w:rPr>
        <w:t>915</w:t>
      </w:r>
      <w:r>
        <w:rPr>
          <w:vertAlign w:val="baseline"/>
        </w:rPr>
        <w:t> The link with nulliparity supports the contention that a full-term pregnancy early in life produces a change in structure in the breast that persists throughout life and is associated with resistance to </w:t>
      </w:r>
      <w:r>
        <w:rPr>
          <w:spacing w:val="-2"/>
          <w:vertAlign w:val="baseline"/>
        </w:rPr>
        <w:t>proliferation.</w:t>
      </w:r>
    </w:p>
    <w:p>
      <w:pPr>
        <w:pStyle w:val="BodyText"/>
        <w:spacing w:line="249" w:lineRule="auto" w:before="12"/>
        <w:ind w:right="98" w:firstLine="450"/>
        <w:rPr>
          <w:b/>
        </w:rPr>
      </w:pPr>
      <w:r>
        <w:rPr/>
        <w:t>Assessing the impact of breast density on the risk of breast cancer is complicated by two factors that produce heterogeneous data: (1) </w:t>
      </w:r>
      <w:r>
        <w:rPr/>
        <w:t>results from programs with biennial screening are less favorable when compared with annual screening and the available data are derived from both, and (2) results from recent years are better, reflecting improvements in technology. Nevertheless, high breast density (75% dense) on mammography in </w:t>
      </w:r>
      <w:r>
        <w:rPr>
          <w:i/>
        </w:rPr>
        <w:t>hormone</w:t>
      </w:r>
      <w:r>
        <w:rPr>
          <w:i/>
          <w:spacing w:val="-2"/>
        </w:rPr>
        <w:t> </w:t>
      </w:r>
      <w:r>
        <w:rPr>
          <w:i/>
        </w:rPr>
        <w:t>nonusers </w:t>
      </w:r>
      <w:r>
        <w:rPr/>
        <w:t>is reported to be associated with a 4- to 6-fold increased risk</w:t>
      </w:r>
      <w:r>
        <w:rPr>
          <w:spacing w:val="5"/>
        </w:rPr>
        <w:t> </w:t>
      </w:r>
      <w:r>
        <w:rPr/>
        <w:t>of</w:t>
      </w:r>
      <w:r>
        <w:rPr>
          <w:spacing w:val="6"/>
        </w:rPr>
        <w:t> </w:t>
      </w:r>
      <w:r>
        <w:rPr/>
        <w:t>breast</w:t>
      </w:r>
      <w:r>
        <w:rPr>
          <w:spacing w:val="6"/>
        </w:rPr>
        <w:t> </w:t>
      </w:r>
      <w:r>
        <w:rPr/>
        <w:t>cancer.</w:t>
      </w:r>
      <w:r>
        <w:rPr>
          <w:vertAlign w:val="superscript"/>
        </w:rPr>
        <w:t>917-920</w:t>
      </w:r>
      <w:r>
        <w:rPr>
          <w:spacing w:val="10"/>
          <w:vertAlign w:val="baseline"/>
        </w:rPr>
        <w:t> </w:t>
      </w:r>
      <w:r>
        <w:rPr>
          <w:b/>
          <w:vertAlign w:val="baseline"/>
        </w:rPr>
        <w:t>Although</w:t>
      </w:r>
      <w:r>
        <w:rPr>
          <w:b/>
          <w:spacing w:val="10"/>
          <w:vertAlign w:val="baseline"/>
        </w:rPr>
        <w:t> </w:t>
      </w:r>
      <w:r>
        <w:rPr>
          <w:b/>
          <w:vertAlign w:val="baseline"/>
        </w:rPr>
        <w:t>HT</w:t>
      </w:r>
      <w:r>
        <w:rPr>
          <w:b/>
          <w:spacing w:val="11"/>
          <w:vertAlign w:val="baseline"/>
        </w:rPr>
        <w:t> </w:t>
      </w:r>
      <w:r>
        <w:rPr>
          <w:b/>
          <w:vertAlign w:val="baseline"/>
        </w:rPr>
        <w:t>increases</w:t>
      </w:r>
      <w:r>
        <w:rPr>
          <w:b/>
          <w:spacing w:val="10"/>
          <w:vertAlign w:val="baseline"/>
        </w:rPr>
        <w:t> </w:t>
      </w:r>
      <w:r>
        <w:rPr>
          <w:b/>
          <w:vertAlign w:val="baseline"/>
        </w:rPr>
        <w:t>breast</w:t>
      </w:r>
      <w:r>
        <w:rPr>
          <w:b/>
          <w:spacing w:val="11"/>
          <w:vertAlign w:val="baseline"/>
        </w:rPr>
        <w:t> </w:t>
      </w:r>
      <w:r>
        <w:rPr>
          <w:b/>
          <w:vertAlign w:val="baseline"/>
        </w:rPr>
        <w:t>density</w:t>
      </w:r>
      <w:r>
        <w:rPr>
          <w:b/>
          <w:spacing w:val="10"/>
          <w:vertAlign w:val="baseline"/>
        </w:rPr>
        <w:t> </w:t>
      </w:r>
      <w:r>
        <w:rPr>
          <w:b/>
          <w:vertAlign w:val="baseline"/>
        </w:rPr>
        <w:t>in</w:t>
      </w:r>
      <w:r>
        <w:rPr>
          <w:b/>
          <w:spacing w:val="11"/>
          <w:vertAlign w:val="baseline"/>
        </w:rPr>
        <w:t> </w:t>
      </w:r>
      <w:r>
        <w:rPr>
          <w:b/>
          <w:spacing w:val="-4"/>
          <w:vertAlign w:val="baseline"/>
        </w:rPr>
        <w:t>some</w:t>
      </w:r>
    </w:p>
    <w:p>
      <w:pPr>
        <w:pStyle w:val="BodyText"/>
        <w:spacing w:after="0" w:line="249" w:lineRule="auto"/>
        <w:rPr>
          <w:b/>
        </w:rPr>
        <w:sectPr>
          <w:pgSz w:w="12240" w:h="15840"/>
          <w:pgMar w:top="1380" w:bottom="280" w:left="1440" w:right="1440"/>
        </w:sectPr>
      </w:pPr>
    </w:p>
    <w:p>
      <w:pPr>
        <w:spacing w:line="249" w:lineRule="auto" w:before="65"/>
        <w:ind w:left="99" w:right="111" w:firstLine="0"/>
        <w:jc w:val="both"/>
        <w:rPr>
          <w:b/>
          <w:sz w:val="30"/>
        </w:rPr>
      </w:pPr>
      <w:r>
        <w:rPr>
          <w:b/>
          <w:sz w:val="30"/>
        </w:rPr>
        <w:t>women, it is not certain that the short-term increase in density with HT changes an individual’s risk of breast cancer.</w:t>
      </w:r>
    </w:p>
    <w:p>
      <w:pPr>
        <w:pStyle w:val="BodyText"/>
        <w:spacing w:line="249" w:lineRule="auto" w:before="2"/>
        <w:ind w:right="97" w:firstLine="450"/>
      </w:pPr>
      <w:r>
        <w:rPr/>
        <w:t>More current users of HT have denser breasts than nonusers.</w:t>
      </w:r>
      <w:r>
        <w:rPr>
          <w:vertAlign w:val="superscript"/>
        </w:rPr>
        <w:t>915,921-924</w:t>
      </w:r>
      <w:r>
        <w:rPr>
          <w:vertAlign w:val="baseline"/>
        </w:rPr>
        <w:t> </w:t>
      </w:r>
      <w:r>
        <w:rPr>
          <w:vertAlign w:val="baseline"/>
        </w:rPr>
        <w:t>In women younger than age 55, it is difficult to find any differences between hormone users and nonusers.</w:t>
      </w:r>
      <w:r>
        <w:rPr>
          <w:vertAlign w:val="superscript"/>
        </w:rPr>
        <w:t>185</w:t>
      </w:r>
      <w:r>
        <w:rPr>
          <w:vertAlign w:val="baseline"/>
        </w:rPr>
        <w:t> The impact is essentially limited to women older than age 55. The effect of HT on breast density occurs rapidly; thus, duration of use has no effect.</w:t>
      </w:r>
      <w:r>
        <w:rPr>
          <w:vertAlign w:val="superscript"/>
        </w:rPr>
        <w:t>185</w:t>
      </w:r>
      <w:r>
        <w:rPr>
          <w:vertAlign w:val="baseline"/>
        </w:rPr>
        <w:t> In the PEPI 3-year randomized trial, almost all</w:t>
      </w:r>
      <w:r>
        <w:rPr>
          <w:spacing w:val="-4"/>
          <w:vertAlign w:val="baseline"/>
        </w:rPr>
        <w:t> </w:t>
      </w:r>
      <w:r>
        <w:rPr>
          <w:vertAlign w:val="baseline"/>
        </w:rPr>
        <w:t>increases</w:t>
      </w:r>
      <w:r>
        <w:rPr>
          <w:spacing w:val="-4"/>
          <w:vertAlign w:val="baseline"/>
        </w:rPr>
        <w:t> </w:t>
      </w:r>
      <w:r>
        <w:rPr>
          <w:vertAlign w:val="baseline"/>
        </w:rPr>
        <w:t>occurred</w:t>
      </w:r>
      <w:r>
        <w:rPr>
          <w:spacing w:val="-4"/>
          <w:vertAlign w:val="baseline"/>
        </w:rPr>
        <w:t> </w:t>
      </w:r>
      <w:r>
        <w:rPr>
          <w:vertAlign w:val="baseline"/>
        </w:rPr>
        <w:t>within</w:t>
      </w:r>
      <w:r>
        <w:rPr>
          <w:spacing w:val="-4"/>
          <w:vertAlign w:val="baseline"/>
        </w:rPr>
        <w:t> </w:t>
      </w:r>
      <w:r>
        <w:rPr>
          <w:vertAlign w:val="baseline"/>
        </w:rPr>
        <w:t>the</w:t>
      </w:r>
      <w:r>
        <w:rPr>
          <w:spacing w:val="-4"/>
          <w:vertAlign w:val="baseline"/>
        </w:rPr>
        <w:t> </w:t>
      </w:r>
      <w:r>
        <w:rPr>
          <w:vertAlign w:val="baseline"/>
        </w:rPr>
        <w:t>first</w:t>
      </w:r>
      <w:r>
        <w:rPr>
          <w:spacing w:val="-4"/>
          <w:vertAlign w:val="baseline"/>
        </w:rPr>
        <w:t> </w:t>
      </w:r>
      <w:r>
        <w:rPr>
          <w:vertAlign w:val="baseline"/>
        </w:rPr>
        <w:t>year,</w:t>
      </w:r>
      <w:r>
        <w:rPr>
          <w:spacing w:val="-4"/>
          <w:vertAlign w:val="baseline"/>
        </w:rPr>
        <w:t> </w:t>
      </w:r>
      <w:r>
        <w:rPr>
          <w:vertAlign w:val="baseline"/>
        </w:rPr>
        <w:t>with</w:t>
      </w:r>
      <w:r>
        <w:rPr>
          <w:spacing w:val="-4"/>
          <w:vertAlign w:val="baseline"/>
        </w:rPr>
        <w:t> </w:t>
      </w:r>
      <w:r>
        <w:rPr>
          <w:vertAlign w:val="baseline"/>
        </w:rPr>
        <w:t>an</w:t>
      </w:r>
      <w:r>
        <w:rPr>
          <w:spacing w:val="-4"/>
          <w:vertAlign w:val="baseline"/>
        </w:rPr>
        <w:t> </w:t>
      </w:r>
      <w:r>
        <w:rPr>
          <w:vertAlign w:val="baseline"/>
        </w:rPr>
        <w:t>increase</w:t>
      </w:r>
      <w:r>
        <w:rPr>
          <w:spacing w:val="-4"/>
          <w:vertAlign w:val="baseline"/>
        </w:rPr>
        <w:t> </w:t>
      </w:r>
      <w:r>
        <w:rPr>
          <w:vertAlign w:val="baseline"/>
        </w:rPr>
        <w:t>in</w:t>
      </w:r>
      <w:r>
        <w:rPr>
          <w:spacing w:val="-4"/>
          <w:vertAlign w:val="baseline"/>
        </w:rPr>
        <w:t> </w:t>
      </w:r>
      <w:r>
        <w:rPr>
          <w:vertAlign w:val="baseline"/>
        </w:rPr>
        <w:t>breast</w:t>
      </w:r>
      <w:r>
        <w:rPr>
          <w:spacing w:val="-4"/>
          <w:vertAlign w:val="baseline"/>
        </w:rPr>
        <w:t> </w:t>
      </w:r>
      <w:r>
        <w:rPr>
          <w:vertAlign w:val="baseline"/>
        </w:rPr>
        <w:t>density observed in 8% of estrogen users and 19% to 24% of estrogen-progestin users and only 2% in the placebo group.</w:t>
      </w:r>
      <w:r>
        <w:rPr>
          <w:vertAlign w:val="superscript"/>
        </w:rPr>
        <w:t>925</w:t>
      </w:r>
      <w:r>
        <w:rPr>
          <w:vertAlign w:val="baseline"/>
        </w:rPr>
        <w:t> The users of estrogen-progestin combined regimens had a greater risk of developing denser breasts compared with estrogen-alone treatment (7- to 13-fold greater in the PEPI trial with no differences observed comparing MPA to micronized progesterone).</w:t>
      </w:r>
      <w:r>
        <w:rPr>
          <w:vertAlign w:val="superscript"/>
        </w:rPr>
        <w:t>925</w:t>
      </w:r>
      <w:r>
        <w:rPr>
          <w:spacing w:val="-1"/>
          <w:vertAlign w:val="baseline"/>
        </w:rPr>
        <w:t> </w:t>
      </w:r>
      <w:r>
        <w:rPr>
          <w:vertAlign w:val="baseline"/>
        </w:rPr>
        <w:t>In the WHI, estrogen-progestin use increased density in an average of 6.0% of users in the first year, with attenuation in the second year to 4.9%.</w:t>
      </w:r>
      <w:r>
        <w:rPr>
          <w:vertAlign w:val="superscript"/>
        </w:rPr>
        <w:t>926</w:t>
      </w:r>
      <w:r>
        <w:rPr>
          <w:vertAlign w:val="baseline"/>
        </w:rPr>
        <w:t> In careful studies, the daily, continuous, combined estrogen-progestin regimens have been reported to have a greater effect</w:t>
      </w:r>
      <w:r>
        <w:rPr>
          <w:spacing w:val="40"/>
          <w:vertAlign w:val="baseline"/>
        </w:rPr>
        <w:t> </w:t>
      </w:r>
      <w:r>
        <w:rPr>
          <w:vertAlign w:val="baseline"/>
        </w:rPr>
        <w:t>than sequential regimens, with an increase in density occurring within the first months of treatment and then maintained with no change.</w:t>
      </w:r>
      <w:r>
        <w:rPr>
          <w:vertAlign w:val="superscript"/>
        </w:rPr>
        <w:t>335,336,927-929</w:t>
      </w:r>
    </w:p>
    <w:p>
      <w:pPr>
        <w:spacing w:line="249" w:lineRule="auto" w:before="21"/>
        <w:ind w:left="99" w:right="98" w:firstLine="450"/>
        <w:jc w:val="both"/>
        <w:rPr>
          <w:b/>
          <w:sz w:val="30"/>
        </w:rPr>
      </w:pPr>
      <w:r>
        <w:rPr>
          <w:b/>
          <w:sz w:val="30"/>
        </w:rPr>
        <w:t>Therefore, HT increases breast density mainly in older postmenopausal women, more women respond to combined </w:t>
      </w:r>
      <w:r>
        <w:rPr>
          <w:b/>
          <w:sz w:val="30"/>
        </w:rPr>
        <w:t>estrogen-progestin</w:t>
      </w:r>
      <w:r>
        <w:rPr>
          <w:b/>
          <w:spacing w:val="-8"/>
          <w:sz w:val="30"/>
        </w:rPr>
        <w:t> </w:t>
      </w:r>
      <w:r>
        <w:rPr>
          <w:b/>
          <w:sz w:val="30"/>
        </w:rPr>
        <w:t>regimens</w:t>
      </w:r>
      <w:r>
        <w:rPr>
          <w:b/>
          <w:spacing w:val="-8"/>
          <w:sz w:val="30"/>
        </w:rPr>
        <w:t> </w:t>
      </w:r>
      <w:r>
        <w:rPr>
          <w:sz w:val="30"/>
        </w:rPr>
        <w:t>(</w:t>
      </w:r>
      <w:r>
        <w:rPr>
          <w:b/>
          <w:sz w:val="30"/>
        </w:rPr>
        <w:t>especially the daily, continuous programs</w:t>
      </w:r>
      <w:r>
        <w:rPr>
          <w:sz w:val="30"/>
        </w:rPr>
        <w:t>)</w:t>
      </w:r>
      <w:r>
        <w:rPr>
          <w:b/>
          <w:sz w:val="30"/>
        </w:rPr>
        <w:t>, and the effect occurs within the first months of use and remains stable with no changes or some attenuation with increasing duration of use. However, this effect is only seen in at most about 25% of estrogen-progestin</w:t>
      </w:r>
      <w:r>
        <w:rPr>
          <w:b/>
          <w:spacing w:val="40"/>
          <w:sz w:val="30"/>
        </w:rPr>
        <w:t> </w:t>
      </w:r>
      <w:r>
        <w:rPr>
          <w:b/>
          <w:sz w:val="30"/>
        </w:rPr>
        <w:t>users, but usually around 10% of hormone users; indeed, it should be emphasized that most women do not respond in this manner.</w:t>
      </w:r>
    </w:p>
    <w:p>
      <w:pPr>
        <w:pStyle w:val="BodyText"/>
        <w:spacing w:line="249" w:lineRule="auto" w:before="10"/>
        <w:ind w:right="98" w:firstLine="450"/>
      </w:pPr>
      <w:r>
        <w:rPr/>
        <w:t>Overall, studies have suggested that hormone users experience a decrease in mammographic sensitivity with a lesser impact on specificity (false-recall rates). However, the studies are based on small numbers of interval cancers, and it is uncertain how real or how large this effect is because of the difficulty in controlling for confounding factors (eg, age, </w:t>
      </w:r>
      <w:r>
        <w:rPr/>
        <w:t>age at menopause, and time since menopause). If the effectiveness of breast cancer screening is reduced by postmenopausal HT, one would expect an adverse impact on breast cancer mortality. Instead, a study that indicated a reduction</w:t>
      </w:r>
      <w:r>
        <w:rPr>
          <w:spacing w:val="39"/>
        </w:rPr>
        <w:t>  </w:t>
      </w:r>
      <w:r>
        <w:rPr/>
        <w:t>in</w:t>
      </w:r>
      <w:r>
        <w:rPr>
          <w:spacing w:val="40"/>
        </w:rPr>
        <w:t>  </w:t>
      </w:r>
      <w:r>
        <w:rPr/>
        <w:t>mammographic</w:t>
      </w:r>
      <w:r>
        <w:rPr>
          <w:spacing w:val="39"/>
        </w:rPr>
        <w:t>  </w:t>
      </w:r>
      <w:r>
        <w:rPr/>
        <w:t>sensitivity</w:t>
      </w:r>
      <w:r>
        <w:rPr>
          <w:spacing w:val="40"/>
        </w:rPr>
        <w:t>  </w:t>
      </w:r>
      <w:r>
        <w:rPr/>
        <w:t>also</w:t>
      </w:r>
      <w:r>
        <w:rPr>
          <w:spacing w:val="39"/>
        </w:rPr>
        <w:t>  </w:t>
      </w:r>
      <w:r>
        <w:rPr/>
        <w:t>reported</w:t>
      </w:r>
      <w:r>
        <w:rPr>
          <w:spacing w:val="40"/>
        </w:rPr>
        <w:t>  </w:t>
      </w:r>
      <w:r>
        <w:rPr/>
        <w:t>smaller,</w:t>
      </w:r>
      <w:r>
        <w:rPr>
          <w:spacing w:val="40"/>
        </w:rPr>
        <w:t>  </w:t>
      </w:r>
      <w:r>
        <w:rPr>
          <w:spacing w:val="-4"/>
        </w:rPr>
        <w:t>more</w:t>
      </w:r>
    </w:p>
    <w:p>
      <w:pPr>
        <w:pStyle w:val="BodyText"/>
        <w:spacing w:after="0" w:line="249" w:lineRule="auto"/>
        <w:sectPr>
          <w:pgSz w:w="12240" w:h="15840"/>
          <w:pgMar w:top="1380" w:bottom="280" w:left="1440" w:right="1440"/>
        </w:sectPr>
      </w:pPr>
    </w:p>
    <w:p>
      <w:pPr>
        <w:pStyle w:val="BodyText"/>
        <w:spacing w:line="249" w:lineRule="auto"/>
        <w:ind w:right="99"/>
      </w:pPr>
      <w:r>
        <w:rPr/>
        <w:t>differentiated (grade I) tumors among the users compared with the nonusers,</w:t>
      </w:r>
      <w:r>
        <w:rPr>
          <w:vertAlign w:val="superscript"/>
        </w:rPr>
        <w:t>336</w:t>
      </w:r>
      <w:r>
        <w:rPr>
          <w:vertAlign w:val="baseline"/>
        </w:rPr>
        <w:t> and most of the studies that have examined breast </w:t>
      </w:r>
      <w:r>
        <w:rPr>
          <w:vertAlign w:val="baseline"/>
        </w:rPr>
        <w:t>cancer mortality rates of women who had used postmenopausal HT, as reviewed earlier, have documented improved survival rates.</w:t>
      </w:r>
    </w:p>
    <w:p>
      <w:pPr>
        <w:pStyle w:val="BodyText"/>
        <w:spacing w:line="249" w:lineRule="auto" w:before="5"/>
        <w:ind w:right="98" w:firstLine="450"/>
      </w:pPr>
      <w:r>
        <w:rPr/>
        <w:t>If breast density and breast cancer were a reflection only of hormone exposure, a strong preponderance of ER-positive tumors would be expected in women with increased density. However, women with increased density demonstrated equal increases in risk for both ER-positive and ER-negative breast</w:t>
      </w:r>
      <w:r>
        <w:rPr>
          <w:spacing w:val="-2"/>
        </w:rPr>
        <w:t> </w:t>
      </w:r>
      <w:r>
        <w:rPr/>
        <w:t>cancers,</w:t>
      </w:r>
      <w:r>
        <w:rPr>
          <w:spacing w:val="-2"/>
        </w:rPr>
        <w:t> </w:t>
      </w:r>
      <w:r>
        <w:rPr/>
        <w:t>and</w:t>
      </w:r>
      <w:r>
        <w:rPr>
          <w:spacing w:val="-2"/>
        </w:rPr>
        <w:t> </w:t>
      </w:r>
      <w:r>
        <w:rPr/>
        <w:t>one</w:t>
      </w:r>
      <w:r>
        <w:rPr>
          <w:spacing w:val="-2"/>
        </w:rPr>
        <w:t> </w:t>
      </w:r>
      <w:r>
        <w:rPr/>
        <w:t>study</w:t>
      </w:r>
      <w:r>
        <w:rPr>
          <w:spacing w:val="-2"/>
        </w:rPr>
        <w:t> </w:t>
      </w:r>
      <w:r>
        <w:rPr/>
        <w:t>found</w:t>
      </w:r>
      <w:r>
        <w:rPr>
          <w:spacing w:val="-2"/>
        </w:rPr>
        <w:t> </w:t>
      </w:r>
      <w:r>
        <w:rPr/>
        <w:t>a</w:t>
      </w:r>
      <w:r>
        <w:rPr>
          <w:spacing w:val="-2"/>
        </w:rPr>
        <w:t> </w:t>
      </w:r>
      <w:r>
        <w:rPr/>
        <w:t>preponderance</w:t>
      </w:r>
      <w:r>
        <w:rPr>
          <w:spacing w:val="-2"/>
        </w:rPr>
        <w:t> </w:t>
      </w:r>
      <w:r>
        <w:rPr/>
        <w:t>of</w:t>
      </w:r>
      <w:r>
        <w:rPr>
          <w:spacing w:val="-2"/>
        </w:rPr>
        <w:t> </w:t>
      </w:r>
      <w:r>
        <w:rPr/>
        <w:t>ER-negative</w:t>
      </w:r>
      <w:r>
        <w:rPr>
          <w:spacing w:val="-2"/>
        </w:rPr>
        <w:t> </w:t>
      </w:r>
      <w:r>
        <w:rPr/>
        <w:t>tumors in hormone users with dense breasts.</w:t>
      </w:r>
      <w:r>
        <w:rPr>
          <w:vertAlign w:val="superscript"/>
        </w:rPr>
        <w:t>930,931</w:t>
      </w:r>
      <w:r>
        <w:rPr>
          <w:vertAlign w:val="baseline"/>
        </w:rPr>
        <w:t> This suggests that other </w:t>
      </w:r>
      <w:r>
        <w:rPr>
          <w:vertAlign w:val="baseline"/>
        </w:rPr>
        <w:t>factors besides hormone exposure are involved in the relationship between density and breast cancer. For example, there is an association between breast density</w:t>
      </w:r>
      <w:r>
        <w:rPr>
          <w:spacing w:val="-2"/>
          <w:vertAlign w:val="baseline"/>
        </w:rPr>
        <w:t> </w:t>
      </w:r>
      <w:r>
        <w:rPr>
          <w:vertAlign w:val="baseline"/>
        </w:rPr>
        <w:t>and</w:t>
      </w:r>
      <w:r>
        <w:rPr>
          <w:spacing w:val="-2"/>
          <w:vertAlign w:val="baseline"/>
        </w:rPr>
        <w:t> </w:t>
      </w:r>
      <w:r>
        <w:rPr>
          <w:vertAlign w:val="baseline"/>
        </w:rPr>
        <w:t>family</w:t>
      </w:r>
      <w:r>
        <w:rPr>
          <w:spacing w:val="-2"/>
          <w:vertAlign w:val="baseline"/>
        </w:rPr>
        <w:t> </w:t>
      </w:r>
      <w:r>
        <w:rPr>
          <w:vertAlign w:val="baseline"/>
        </w:rPr>
        <w:t>history</w:t>
      </w:r>
      <w:r>
        <w:rPr>
          <w:spacing w:val="-2"/>
          <w:vertAlign w:val="baseline"/>
        </w:rPr>
        <w:t> </w:t>
      </w:r>
      <w:r>
        <w:rPr>
          <w:vertAlign w:val="baseline"/>
        </w:rPr>
        <w:t>of</w:t>
      </w:r>
      <w:r>
        <w:rPr>
          <w:spacing w:val="-2"/>
          <w:vertAlign w:val="baseline"/>
        </w:rPr>
        <w:t> </w:t>
      </w:r>
      <w:r>
        <w:rPr>
          <w:vertAlign w:val="baseline"/>
        </w:rPr>
        <w:t>breast</w:t>
      </w:r>
      <w:r>
        <w:rPr>
          <w:spacing w:val="-2"/>
          <w:vertAlign w:val="baseline"/>
        </w:rPr>
        <w:t> </w:t>
      </w:r>
      <w:r>
        <w:rPr>
          <w:vertAlign w:val="baseline"/>
        </w:rPr>
        <w:t>cancer,</w:t>
      </w:r>
      <w:r>
        <w:rPr>
          <w:spacing w:val="-2"/>
          <w:vertAlign w:val="baseline"/>
        </w:rPr>
        <w:t> </w:t>
      </w:r>
      <w:r>
        <w:rPr>
          <w:vertAlign w:val="baseline"/>
        </w:rPr>
        <w:t>indicating</w:t>
      </w:r>
      <w:r>
        <w:rPr>
          <w:spacing w:val="-2"/>
          <w:vertAlign w:val="baseline"/>
        </w:rPr>
        <w:t> </w:t>
      </w:r>
      <w:r>
        <w:rPr>
          <w:vertAlign w:val="baseline"/>
        </w:rPr>
        <w:t>an</w:t>
      </w:r>
      <w:r>
        <w:rPr>
          <w:spacing w:val="-2"/>
          <w:vertAlign w:val="baseline"/>
        </w:rPr>
        <w:t> </w:t>
      </w:r>
      <w:r>
        <w:rPr>
          <w:vertAlign w:val="baseline"/>
        </w:rPr>
        <w:t>underlying</w:t>
      </w:r>
      <w:r>
        <w:rPr>
          <w:spacing w:val="-2"/>
          <w:vertAlign w:val="baseline"/>
        </w:rPr>
        <w:t> </w:t>
      </w:r>
      <w:r>
        <w:rPr>
          <w:vertAlign w:val="baseline"/>
        </w:rPr>
        <w:t>genetic basis for both density and breast cancer.</w:t>
      </w:r>
      <w:r>
        <w:rPr>
          <w:vertAlign w:val="superscript"/>
        </w:rPr>
        <w:t>932</w:t>
      </w:r>
      <w:r>
        <w:rPr>
          <w:vertAlign w:val="baseline"/>
        </w:rPr>
        <w:t> In a case-control study that assessed the relationship between HT and breast density, leaner women were</w:t>
      </w:r>
      <w:r>
        <w:rPr>
          <w:spacing w:val="-2"/>
          <w:vertAlign w:val="baseline"/>
        </w:rPr>
        <w:t> </w:t>
      </w:r>
      <w:r>
        <w:rPr>
          <w:vertAlign w:val="baseline"/>
        </w:rPr>
        <w:t>more</w:t>
      </w:r>
      <w:r>
        <w:rPr>
          <w:spacing w:val="-2"/>
          <w:vertAlign w:val="baseline"/>
        </w:rPr>
        <w:t> </w:t>
      </w:r>
      <w:r>
        <w:rPr>
          <w:vertAlign w:val="baseline"/>
        </w:rPr>
        <w:t>likely</w:t>
      </w:r>
      <w:r>
        <w:rPr>
          <w:spacing w:val="-2"/>
          <w:vertAlign w:val="baseline"/>
        </w:rPr>
        <w:t> </w:t>
      </w:r>
      <w:r>
        <w:rPr>
          <w:vertAlign w:val="baseline"/>
        </w:rPr>
        <w:t>to</w:t>
      </w:r>
      <w:r>
        <w:rPr>
          <w:spacing w:val="-2"/>
          <w:vertAlign w:val="baseline"/>
        </w:rPr>
        <w:t> </w:t>
      </w:r>
      <w:r>
        <w:rPr>
          <w:vertAlign w:val="baseline"/>
        </w:rPr>
        <w:t>increase</w:t>
      </w:r>
      <w:r>
        <w:rPr>
          <w:spacing w:val="-2"/>
          <w:vertAlign w:val="baseline"/>
        </w:rPr>
        <w:t> </w:t>
      </w:r>
      <w:r>
        <w:rPr>
          <w:vertAlign w:val="baseline"/>
        </w:rPr>
        <w:t>their</w:t>
      </w:r>
      <w:r>
        <w:rPr>
          <w:spacing w:val="-2"/>
          <w:vertAlign w:val="baseline"/>
        </w:rPr>
        <w:t> </w:t>
      </w:r>
      <w:r>
        <w:rPr>
          <w:vertAlign w:val="baseline"/>
        </w:rPr>
        <w:t>breast</w:t>
      </w:r>
      <w:r>
        <w:rPr>
          <w:spacing w:val="-2"/>
          <w:vertAlign w:val="baseline"/>
        </w:rPr>
        <w:t> </w:t>
      </w:r>
      <w:r>
        <w:rPr>
          <w:vertAlign w:val="baseline"/>
        </w:rPr>
        <w:t>densities</w:t>
      </w:r>
      <w:r>
        <w:rPr>
          <w:spacing w:val="-2"/>
          <w:vertAlign w:val="baseline"/>
        </w:rPr>
        <w:t> </w:t>
      </w:r>
      <w:r>
        <w:rPr>
          <w:vertAlign w:val="baseline"/>
        </w:rPr>
        <w:t>with</w:t>
      </w:r>
      <w:r>
        <w:rPr>
          <w:spacing w:val="-2"/>
          <w:vertAlign w:val="baseline"/>
        </w:rPr>
        <w:t> </w:t>
      </w:r>
      <w:r>
        <w:rPr>
          <w:vertAlign w:val="baseline"/>
        </w:rPr>
        <w:t>HT,</w:t>
      </w:r>
      <w:r>
        <w:rPr>
          <w:spacing w:val="-2"/>
          <w:vertAlign w:val="baseline"/>
        </w:rPr>
        <w:t> </w:t>
      </w:r>
      <w:r>
        <w:rPr>
          <w:vertAlign w:val="baseline"/>
        </w:rPr>
        <w:t>but</w:t>
      </w:r>
      <w:r>
        <w:rPr>
          <w:spacing w:val="-2"/>
          <w:vertAlign w:val="baseline"/>
        </w:rPr>
        <w:t> </w:t>
      </w:r>
      <w:r>
        <w:rPr>
          <w:vertAlign w:val="baseline"/>
        </w:rPr>
        <w:t>there</w:t>
      </w:r>
      <w:r>
        <w:rPr>
          <w:spacing w:val="-2"/>
          <w:vertAlign w:val="baseline"/>
        </w:rPr>
        <w:t> </w:t>
      </w:r>
      <w:r>
        <w:rPr>
          <w:vertAlign w:val="baseline"/>
        </w:rPr>
        <w:t>was</w:t>
      </w:r>
      <w:r>
        <w:rPr>
          <w:spacing w:val="-2"/>
          <w:vertAlign w:val="baseline"/>
        </w:rPr>
        <w:t> </w:t>
      </w:r>
      <w:r>
        <w:rPr>
          <w:vertAlign w:val="baseline"/>
        </w:rPr>
        <w:t>no association between the response to hormones and family history, late age</w:t>
      </w:r>
      <w:r>
        <w:rPr>
          <w:spacing w:val="40"/>
          <w:vertAlign w:val="baseline"/>
        </w:rPr>
        <w:t> </w:t>
      </w:r>
      <w:r>
        <w:rPr>
          <w:vertAlign w:val="baseline"/>
        </w:rPr>
        <w:t>at first birth, or history of benign breast disease; the study concluded that recognized risk factors influenced the response to HT only to a minor degree, suggesting again that unknown genetic factors are involved.</w:t>
      </w:r>
      <w:r>
        <w:rPr>
          <w:vertAlign w:val="superscript"/>
        </w:rPr>
        <w:t>933</w:t>
      </w:r>
      <w:r>
        <w:rPr>
          <w:vertAlign w:val="baseline"/>
        </w:rPr>
        <w:t> In a study designed to correlate histologic findings in dense breast tissue, an increase in fibrous stroma and type 1 lobules was observed to be more prevalent in hormone users, but these changes were also present in nonhormone users, and overall, there was no statistically significant difference between histologic features and breast density in women undergoing mastectomy for breast cancer.</w:t>
      </w:r>
      <w:r>
        <w:rPr>
          <w:vertAlign w:val="superscript"/>
        </w:rPr>
        <w:t>934</w:t>
      </w:r>
      <w:r>
        <w:rPr>
          <w:vertAlign w:val="baseline"/>
        </w:rPr>
        <w:t> If breast density in postmenopausal women were strictly related to the hormonal environment,</w:t>
      </w:r>
      <w:r>
        <w:rPr>
          <w:spacing w:val="40"/>
          <w:vertAlign w:val="baseline"/>
        </w:rPr>
        <w:t> </w:t>
      </w:r>
      <w:r>
        <w:rPr>
          <w:vertAlign w:val="baseline"/>
        </w:rPr>
        <w:t>a drastic reduction in the estrogen milieu of the breast should have a salutary</w:t>
      </w:r>
      <w:r>
        <w:rPr>
          <w:spacing w:val="-3"/>
          <w:vertAlign w:val="baseline"/>
        </w:rPr>
        <w:t> </w:t>
      </w:r>
      <w:r>
        <w:rPr>
          <w:vertAlign w:val="baseline"/>
        </w:rPr>
        <w:t>impact</w:t>
      </w:r>
      <w:r>
        <w:rPr>
          <w:spacing w:val="-3"/>
          <w:vertAlign w:val="baseline"/>
        </w:rPr>
        <w:t> </w:t>
      </w:r>
      <w:r>
        <w:rPr>
          <w:vertAlign w:val="baseline"/>
        </w:rPr>
        <w:t>on</w:t>
      </w:r>
      <w:r>
        <w:rPr>
          <w:spacing w:val="-3"/>
          <w:vertAlign w:val="baseline"/>
        </w:rPr>
        <w:t> </w:t>
      </w:r>
      <w:r>
        <w:rPr>
          <w:vertAlign w:val="baseline"/>
        </w:rPr>
        <w:t>density.</w:t>
      </w:r>
      <w:r>
        <w:rPr>
          <w:spacing w:val="-3"/>
          <w:vertAlign w:val="baseline"/>
        </w:rPr>
        <w:t> </w:t>
      </w:r>
      <w:r>
        <w:rPr>
          <w:vertAlign w:val="baseline"/>
        </w:rPr>
        <w:t>The MAP1 randomized trial evaluated the effect of letrozole treatment on breast density; no effect of AI administration on breast density was observed despite 1 year of treatment.</w:t>
      </w:r>
      <w:r>
        <w:rPr>
          <w:vertAlign w:val="superscript"/>
        </w:rPr>
        <w:t>935</w:t>
      </w:r>
    </w:p>
    <w:p>
      <w:pPr>
        <w:pStyle w:val="BodyText"/>
        <w:spacing w:line="249" w:lineRule="auto" w:before="33"/>
        <w:ind w:right="98" w:firstLine="450"/>
      </w:pPr>
      <w:r>
        <w:rPr/>
        <w:t>A Swedish study looked at the type of progesterone and breast </w:t>
      </w:r>
      <w:r>
        <w:rPr/>
        <w:t>density, with</w:t>
      </w:r>
      <w:r>
        <w:rPr>
          <w:spacing w:val="-2"/>
        </w:rPr>
        <w:t> </w:t>
      </w:r>
      <w:r>
        <w:rPr/>
        <w:t>estradiol</w:t>
      </w:r>
      <w:r>
        <w:rPr>
          <w:spacing w:val="-2"/>
        </w:rPr>
        <w:t> </w:t>
      </w:r>
      <w:r>
        <w:rPr/>
        <w:t>and</w:t>
      </w:r>
      <w:r>
        <w:rPr>
          <w:spacing w:val="-2"/>
        </w:rPr>
        <w:t> </w:t>
      </w:r>
      <w:r>
        <w:rPr/>
        <w:t>either</w:t>
      </w:r>
      <w:r>
        <w:rPr>
          <w:spacing w:val="-2"/>
        </w:rPr>
        <w:t> </w:t>
      </w:r>
      <w:r>
        <w:rPr/>
        <w:t>NETA</w:t>
      </w:r>
      <w:r>
        <w:rPr>
          <w:spacing w:val="-2"/>
        </w:rPr>
        <w:t> </w:t>
      </w:r>
      <w:r>
        <w:rPr/>
        <w:t>or</w:t>
      </w:r>
      <w:r>
        <w:rPr>
          <w:spacing w:val="-2"/>
        </w:rPr>
        <w:t> </w:t>
      </w:r>
      <w:r>
        <w:rPr/>
        <w:t>DRSP.</w:t>
      </w:r>
      <w:r>
        <w:rPr>
          <w:spacing w:val="-2"/>
        </w:rPr>
        <w:t> </w:t>
      </w:r>
      <w:r>
        <w:rPr/>
        <w:t>Because</w:t>
      </w:r>
      <w:r>
        <w:rPr>
          <w:spacing w:val="-1"/>
        </w:rPr>
        <w:t> </w:t>
      </w:r>
      <w:r>
        <w:rPr/>
        <w:t>of</w:t>
      </w:r>
      <w:r>
        <w:rPr>
          <w:spacing w:val="-1"/>
        </w:rPr>
        <w:t> </w:t>
      </w:r>
      <w:r>
        <w:rPr/>
        <w:t>its</w:t>
      </w:r>
      <w:r>
        <w:rPr>
          <w:spacing w:val="-1"/>
        </w:rPr>
        <w:t> </w:t>
      </w:r>
      <w:r>
        <w:rPr/>
        <w:t>antiandrogenic</w:t>
      </w:r>
      <w:r>
        <w:rPr>
          <w:spacing w:val="-1"/>
        </w:rPr>
        <w:t> </w:t>
      </w:r>
      <w:r>
        <w:rPr/>
        <w:t>and mineralocorticoid actions, DRSP was hypothesized to perform differently than NETA. One hundred and twenty healthy, naturally postmenopausal women</w:t>
      </w:r>
      <w:r>
        <w:rPr>
          <w:spacing w:val="54"/>
        </w:rPr>
        <w:t> </w:t>
      </w:r>
      <w:r>
        <w:rPr/>
        <w:t>were</w:t>
      </w:r>
      <w:r>
        <w:rPr>
          <w:spacing w:val="56"/>
        </w:rPr>
        <w:t> </w:t>
      </w:r>
      <w:r>
        <w:rPr/>
        <w:t>randomized</w:t>
      </w:r>
      <w:r>
        <w:rPr>
          <w:spacing w:val="56"/>
        </w:rPr>
        <w:t> </w:t>
      </w:r>
      <w:r>
        <w:rPr/>
        <w:t>to</w:t>
      </w:r>
      <w:r>
        <w:rPr>
          <w:spacing w:val="56"/>
        </w:rPr>
        <w:t> </w:t>
      </w:r>
      <w:r>
        <w:rPr/>
        <w:t>either</w:t>
      </w:r>
      <w:r>
        <w:rPr>
          <w:spacing w:val="56"/>
        </w:rPr>
        <w:t> </w:t>
      </w:r>
      <w:r>
        <w:rPr/>
        <w:t>2</w:t>
      </w:r>
      <w:r>
        <w:rPr>
          <w:spacing w:val="56"/>
        </w:rPr>
        <w:t> </w:t>
      </w:r>
      <w:r>
        <w:rPr/>
        <w:t>mg</w:t>
      </w:r>
      <w:r>
        <w:rPr>
          <w:spacing w:val="56"/>
        </w:rPr>
        <w:t> </w:t>
      </w:r>
      <w:r>
        <w:rPr/>
        <w:t>of</w:t>
      </w:r>
      <w:r>
        <w:rPr>
          <w:spacing w:val="56"/>
        </w:rPr>
        <w:t> </w:t>
      </w:r>
      <w:r>
        <w:rPr/>
        <w:t>DRSP</w:t>
      </w:r>
      <w:r>
        <w:rPr>
          <w:spacing w:val="56"/>
        </w:rPr>
        <w:t> </w:t>
      </w:r>
      <w:r>
        <w:rPr/>
        <w:t>or</w:t>
      </w:r>
      <w:r>
        <w:rPr>
          <w:spacing w:val="56"/>
        </w:rPr>
        <w:t> </w:t>
      </w:r>
      <w:r>
        <w:rPr/>
        <w:t>0.5</w:t>
      </w:r>
      <w:r>
        <w:rPr>
          <w:spacing w:val="56"/>
        </w:rPr>
        <w:t> </w:t>
      </w:r>
      <w:r>
        <w:rPr/>
        <w:t>mg</w:t>
      </w:r>
      <w:r>
        <w:rPr>
          <w:spacing w:val="56"/>
        </w:rPr>
        <w:t> </w:t>
      </w:r>
      <w:r>
        <w:rPr/>
        <w:t>of</w:t>
      </w:r>
      <w:r>
        <w:rPr>
          <w:spacing w:val="56"/>
        </w:rPr>
        <w:t> </w:t>
      </w:r>
      <w:r>
        <w:rPr>
          <w:spacing w:val="-6"/>
        </w:rPr>
        <w:t>NETA;</w:t>
      </w:r>
    </w:p>
    <w:p>
      <w:pPr>
        <w:pStyle w:val="BodyText"/>
        <w:spacing w:after="0" w:line="249" w:lineRule="auto"/>
        <w:sectPr>
          <w:pgSz w:w="12240" w:h="15840"/>
          <w:pgMar w:top="1380" w:bottom="280" w:left="1440" w:right="1440"/>
        </w:sectPr>
      </w:pPr>
    </w:p>
    <w:p>
      <w:pPr>
        <w:pStyle w:val="BodyText"/>
        <w:spacing w:line="249" w:lineRule="auto"/>
        <w:ind w:right="98"/>
      </w:pPr>
      <w:r>
        <w:rPr/>
        <w:t>either progestin was administered as a continuous regimen in combination with 1 mg of oral E2 for 6 months, and investigators chose to examine </w:t>
      </w:r>
      <w:r>
        <w:rPr/>
        <w:t>the impact of choice of hormone regimen on two recognized surrogates for breast</w:t>
      </w:r>
      <w:r>
        <w:rPr>
          <w:spacing w:val="-6"/>
        </w:rPr>
        <w:t> </w:t>
      </w:r>
      <w:r>
        <w:rPr/>
        <w:t>cancer</w:t>
      </w:r>
      <w:r>
        <w:rPr>
          <w:spacing w:val="-6"/>
        </w:rPr>
        <w:t> </w:t>
      </w:r>
      <w:r>
        <w:rPr/>
        <w:t>risk,</w:t>
      </w:r>
      <w:r>
        <w:rPr>
          <w:spacing w:val="-6"/>
        </w:rPr>
        <w:t> </w:t>
      </w:r>
      <w:r>
        <w:rPr/>
        <w:t>mammography,</w:t>
      </w:r>
      <w:r>
        <w:rPr>
          <w:spacing w:val="-6"/>
        </w:rPr>
        <w:t> </w:t>
      </w:r>
      <w:r>
        <w:rPr/>
        <w:t>and</w:t>
      </w:r>
      <w:r>
        <w:rPr>
          <w:spacing w:val="-6"/>
        </w:rPr>
        <w:t> </w:t>
      </w:r>
      <w:r>
        <w:rPr/>
        <w:t>fine-needle</w:t>
      </w:r>
      <w:r>
        <w:rPr>
          <w:spacing w:val="-6"/>
        </w:rPr>
        <w:t> </w:t>
      </w:r>
      <w:r>
        <w:rPr/>
        <w:t>aspiration</w:t>
      </w:r>
      <w:r>
        <w:rPr>
          <w:spacing w:val="-6"/>
        </w:rPr>
        <w:t> </w:t>
      </w:r>
      <w:r>
        <w:rPr/>
        <w:t>biopsy;</w:t>
      </w:r>
      <w:r>
        <w:rPr>
          <w:spacing w:val="-6"/>
        </w:rPr>
        <w:t> </w:t>
      </w:r>
      <w:r>
        <w:rPr/>
        <w:t>testing was performed at baseline and at 6 months following initiation of intervention. A statistically significant increase in breast density was noted in both groups, and the magnitude of this change from baseline was comparable in DRSP and NETA groups. Proliferation of breast epithelial cells also significantly increased in both groups but was slightly yet significantly more pronounced in the E2/DRSP compared to NETA group. The change in breast cell proliferation at 6 months compared to baseline for E2/DRSP was 2.5% versus 0.7% for E2/NETA (</w:t>
      </w:r>
      <w:r>
        <w:rPr>
          <w:i/>
        </w:rPr>
        <w:t>P </w:t>
      </w:r>
      <w:r>
        <w:rPr/>
        <w:t>&lt; 0.01); while these differences were of statistical significance, clinical implications, if any, of this minimal differential in proliferative effects of two commonly utilized progestins are unclear.</w:t>
      </w:r>
      <w:r>
        <w:rPr>
          <w:vertAlign w:val="superscript"/>
        </w:rPr>
        <w:t>936</w:t>
      </w:r>
    </w:p>
    <w:p>
      <w:pPr>
        <w:pStyle w:val="BodyText"/>
        <w:spacing w:line="249" w:lineRule="auto" w:before="18"/>
        <w:ind w:right="98" w:firstLine="450"/>
      </w:pPr>
      <w:r>
        <w:rPr/>
        <w:t>The combination of the LNG intrauterine contraceptive device and </w:t>
      </w:r>
      <w:r>
        <w:rPr/>
        <w:t>ET in postmenopausal women does not seem to increase breast density as assessed by mammography.</w:t>
      </w:r>
      <w:r>
        <w:rPr>
          <w:vertAlign w:val="superscript"/>
        </w:rPr>
        <w:t>937,938</w:t>
      </w:r>
      <w:r>
        <w:rPr>
          <w:vertAlign w:val="baseline"/>
        </w:rPr>
        <w:t> However, recent data utilizing magnetic resonance imaging (MRI) are suggestive of systemic effects of LNG-IUD</w:t>
      </w:r>
      <w:r>
        <w:rPr>
          <w:spacing w:val="40"/>
          <w:vertAlign w:val="baseline"/>
        </w:rPr>
        <w:t> </w:t>
      </w:r>
      <w:r>
        <w:rPr>
          <w:vertAlign w:val="baseline"/>
        </w:rPr>
        <w:t>as an increase in background parenchymal enhancement in breast MRI has been described in LNG-IUD users.</w:t>
      </w:r>
      <w:r>
        <w:rPr>
          <w:vertAlign w:val="superscript"/>
        </w:rPr>
        <w:t>939</w:t>
      </w:r>
    </w:p>
    <w:p>
      <w:pPr>
        <w:pStyle w:val="BodyText"/>
        <w:spacing w:line="249" w:lineRule="auto" w:before="7"/>
        <w:ind w:right="97" w:firstLine="450"/>
      </w:pPr>
      <w:r>
        <w:rPr/>
        <w:t>The increase in breast density associated with HT appears in some studies to be a transient, reversible change, a change not consistent with </w:t>
      </w:r>
      <w:r>
        <w:rPr/>
        <w:t>a </w:t>
      </w:r>
      <w:r>
        <w:rPr>
          <w:i/>
        </w:rPr>
        <w:t>persistent </w:t>
      </w:r>
      <w:r>
        <w:rPr/>
        <w:t>effect on cellular proliferation. After discontinuing HT, it was reported that breast density rapidly decreases after HT is discontinued so that former users do not display an increase compared to never-users.</w:t>
      </w:r>
      <w:r>
        <w:rPr>
          <w:vertAlign w:val="superscript"/>
        </w:rPr>
        <w:t>915,924,940,941</w:t>
      </w:r>
      <w:r>
        <w:rPr>
          <w:vertAlign w:val="baseline"/>
        </w:rPr>
        <w:t> In a retrospective analysis, regression of hormone-induced abnormalities was found to occur within 2 to 3 weeks of cessation of treatment.</w:t>
      </w:r>
      <w:r>
        <w:rPr>
          <w:vertAlign w:val="superscript"/>
        </w:rPr>
        <w:t>941,942</w:t>
      </w:r>
      <w:r>
        <w:rPr>
          <w:vertAlign w:val="baseline"/>
        </w:rPr>
        <w:t> However, in a large randomized trial of 1,704 women aged 45</w:t>
      </w:r>
      <w:r>
        <w:rPr>
          <w:spacing w:val="-3"/>
          <w:vertAlign w:val="baseline"/>
        </w:rPr>
        <w:t> </w:t>
      </w:r>
      <w:r>
        <w:rPr>
          <w:vertAlign w:val="baseline"/>
        </w:rPr>
        <w:t>to</w:t>
      </w:r>
      <w:r>
        <w:rPr>
          <w:spacing w:val="-3"/>
          <w:vertAlign w:val="baseline"/>
        </w:rPr>
        <w:t> </w:t>
      </w:r>
      <w:r>
        <w:rPr>
          <w:vertAlign w:val="baseline"/>
        </w:rPr>
        <w:t>80</w:t>
      </w:r>
      <w:r>
        <w:rPr>
          <w:spacing w:val="-3"/>
          <w:vertAlign w:val="baseline"/>
        </w:rPr>
        <w:t> </w:t>
      </w:r>
      <w:r>
        <w:rPr>
          <w:vertAlign w:val="baseline"/>
        </w:rPr>
        <w:t>years,</w:t>
      </w:r>
      <w:r>
        <w:rPr>
          <w:spacing w:val="-3"/>
          <w:vertAlign w:val="baseline"/>
        </w:rPr>
        <w:t> </w:t>
      </w:r>
      <w:r>
        <w:rPr>
          <w:vertAlign w:val="baseline"/>
        </w:rPr>
        <w:t>although</w:t>
      </w:r>
      <w:r>
        <w:rPr>
          <w:spacing w:val="-3"/>
          <w:vertAlign w:val="baseline"/>
        </w:rPr>
        <w:t> </w:t>
      </w:r>
      <w:r>
        <w:rPr>
          <w:vertAlign w:val="baseline"/>
        </w:rPr>
        <w:t>suspension</w:t>
      </w:r>
      <w:r>
        <w:rPr>
          <w:spacing w:val="-3"/>
          <w:vertAlign w:val="baseline"/>
        </w:rPr>
        <w:t> </w:t>
      </w:r>
      <w:r>
        <w:rPr>
          <w:vertAlign w:val="baseline"/>
        </w:rPr>
        <w:t>of</w:t>
      </w:r>
      <w:r>
        <w:rPr>
          <w:spacing w:val="-3"/>
          <w:vertAlign w:val="baseline"/>
        </w:rPr>
        <w:t> </w:t>
      </w:r>
      <w:r>
        <w:rPr>
          <w:vertAlign w:val="baseline"/>
        </w:rPr>
        <w:t>HT</w:t>
      </w:r>
      <w:r>
        <w:rPr>
          <w:spacing w:val="-3"/>
          <w:vertAlign w:val="baseline"/>
        </w:rPr>
        <w:t> </w:t>
      </w:r>
      <w:r>
        <w:rPr>
          <w:vertAlign w:val="baseline"/>
        </w:rPr>
        <w:t>for</w:t>
      </w:r>
      <w:r>
        <w:rPr>
          <w:spacing w:val="-3"/>
          <w:vertAlign w:val="baseline"/>
        </w:rPr>
        <w:t> </w:t>
      </w:r>
      <w:r>
        <w:rPr>
          <w:vertAlign w:val="baseline"/>
        </w:rPr>
        <w:t>1</w:t>
      </w:r>
      <w:r>
        <w:rPr>
          <w:spacing w:val="-3"/>
          <w:vertAlign w:val="baseline"/>
        </w:rPr>
        <w:t> </w:t>
      </w:r>
      <w:r>
        <w:rPr>
          <w:vertAlign w:val="baseline"/>
        </w:rPr>
        <w:t>or</w:t>
      </w:r>
      <w:r>
        <w:rPr>
          <w:spacing w:val="-3"/>
          <w:vertAlign w:val="baseline"/>
        </w:rPr>
        <w:t> </w:t>
      </w:r>
      <w:r>
        <w:rPr>
          <w:vertAlign w:val="baseline"/>
        </w:rPr>
        <w:t>2</w:t>
      </w:r>
      <w:r>
        <w:rPr>
          <w:spacing w:val="-3"/>
          <w:vertAlign w:val="baseline"/>
        </w:rPr>
        <w:t> </w:t>
      </w:r>
      <w:r>
        <w:rPr>
          <w:vertAlign w:val="baseline"/>
        </w:rPr>
        <w:t>months</w:t>
      </w:r>
      <w:r>
        <w:rPr>
          <w:spacing w:val="-3"/>
          <w:vertAlign w:val="baseline"/>
        </w:rPr>
        <w:t> </w:t>
      </w:r>
      <w:r>
        <w:rPr>
          <w:vertAlign w:val="baseline"/>
        </w:rPr>
        <w:t>produced</w:t>
      </w:r>
      <w:r>
        <w:rPr>
          <w:spacing w:val="-3"/>
          <w:vertAlign w:val="baseline"/>
        </w:rPr>
        <w:t> </w:t>
      </w:r>
      <w:r>
        <w:rPr>
          <w:vertAlign w:val="baseline"/>
        </w:rPr>
        <w:t>small but significant decreases in density, mammography recall rates of 10% to 12% were not affected.</w:t>
      </w:r>
      <w:r>
        <w:rPr>
          <w:vertAlign w:val="superscript"/>
        </w:rPr>
        <w:t>943</w:t>
      </w:r>
      <w:r>
        <w:rPr>
          <w:vertAlign w:val="baseline"/>
        </w:rPr>
        <w:t> Furthermore, a nonrandomized before and after study (but of only 47 women) detected no significant changes in mammographic density after a 4-week cessation of HT.</w:t>
      </w:r>
      <w:r>
        <w:rPr>
          <w:vertAlign w:val="superscript"/>
        </w:rPr>
        <w:t>944</w:t>
      </w:r>
      <w:r>
        <w:rPr>
          <w:vertAlign w:val="baseline"/>
        </w:rPr>
        <w:t> Besides discontinuing</w:t>
      </w:r>
      <w:r>
        <w:rPr>
          <w:spacing w:val="-3"/>
          <w:vertAlign w:val="baseline"/>
        </w:rPr>
        <w:t> </w:t>
      </w:r>
      <w:r>
        <w:rPr>
          <w:vertAlign w:val="baseline"/>
        </w:rPr>
        <w:t>HT,</w:t>
      </w:r>
      <w:r>
        <w:rPr>
          <w:spacing w:val="-2"/>
          <w:vertAlign w:val="baseline"/>
        </w:rPr>
        <w:t> </w:t>
      </w:r>
      <w:r>
        <w:rPr>
          <w:vertAlign w:val="baseline"/>
        </w:rPr>
        <w:t>another</w:t>
      </w:r>
      <w:r>
        <w:rPr>
          <w:spacing w:val="-2"/>
          <w:vertAlign w:val="baseline"/>
        </w:rPr>
        <w:t> </w:t>
      </w:r>
      <w:r>
        <w:rPr>
          <w:vertAlign w:val="baseline"/>
        </w:rPr>
        <w:t>approach</w:t>
      </w:r>
      <w:r>
        <w:rPr>
          <w:spacing w:val="-3"/>
          <w:vertAlign w:val="baseline"/>
        </w:rPr>
        <w:t> </w:t>
      </w:r>
      <w:r>
        <w:rPr>
          <w:vertAlign w:val="baseline"/>
        </w:rPr>
        <w:t>is</w:t>
      </w:r>
      <w:r>
        <w:rPr>
          <w:spacing w:val="-2"/>
          <w:vertAlign w:val="baseline"/>
        </w:rPr>
        <w:t> </w:t>
      </w:r>
      <w:r>
        <w:rPr>
          <w:vertAlign w:val="baseline"/>
        </w:rPr>
        <w:t>to</w:t>
      </w:r>
      <w:r>
        <w:rPr>
          <w:spacing w:val="-2"/>
          <w:vertAlign w:val="baseline"/>
        </w:rPr>
        <w:t> </w:t>
      </w:r>
      <w:r>
        <w:rPr>
          <w:vertAlign w:val="baseline"/>
        </w:rPr>
        <w:t>consider</w:t>
      </w:r>
      <w:r>
        <w:rPr>
          <w:spacing w:val="-3"/>
          <w:vertAlign w:val="baseline"/>
        </w:rPr>
        <w:t> </w:t>
      </w:r>
      <w:r>
        <w:rPr>
          <w:vertAlign w:val="baseline"/>
        </w:rPr>
        <w:t>lower</w:t>
      </w:r>
      <w:r>
        <w:rPr>
          <w:spacing w:val="-2"/>
          <w:vertAlign w:val="baseline"/>
        </w:rPr>
        <w:t> </w:t>
      </w:r>
      <w:r>
        <w:rPr>
          <w:vertAlign w:val="baseline"/>
        </w:rPr>
        <w:t>doses</w:t>
      </w:r>
      <w:r>
        <w:rPr>
          <w:spacing w:val="-2"/>
          <w:vertAlign w:val="baseline"/>
        </w:rPr>
        <w:t> </w:t>
      </w:r>
      <w:r>
        <w:rPr>
          <w:vertAlign w:val="baseline"/>
        </w:rPr>
        <w:t>of</w:t>
      </w:r>
      <w:r>
        <w:rPr>
          <w:spacing w:val="-2"/>
          <w:vertAlign w:val="baseline"/>
        </w:rPr>
        <w:t> hormones;</w:t>
      </w:r>
    </w:p>
    <w:p>
      <w:pPr>
        <w:pStyle w:val="BodyText"/>
        <w:spacing w:after="0" w:line="249" w:lineRule="auto"/>
        <w:sectPr>
          <w:pgSz w:w="12240" w:h="15840"/>
          <w:pgMar w:top="1380" w:bottom="280" w:left="1440" w:right="1440"/>
        </w:sectPr>
      </w:pPr>
    </w:p>
    <w:p>
      <w:pPr>
        <w:pStyle w:val="BodyText"/>
        <w:spacing w:line="249" w:lineRule="auto"/>
        <w:jc w:val="left"/>
      </w:pPr>
      <w:r>
        <w:rPr/>
        <w:t>there</w:t>
      </w:r>
      <w:r>
        <w:rPr>
          <w:spacing w:val="40"/>
        </w:rPr>
        <w:t> </w:t>
      </w:r>
      <w:r>
        <w:rPr/>
        <w:t>is</w:t>
      </w:r>
      <w:r>
        <w:rPr>
          <w:spacing w:val="40"/>
        </w:rPr>
        <w:t> </w:t>
      </w:r>
      <w:r>
        <w:rPr/>
        <w:t>some</w:t>
      </w:r>
      <w:r>
        <w:rPr>
          <w:spacing w:val="40"/>
        </w:rPr>
        <w:t> </w:t>
      </w:r>
      <w:r>
        <w:rPr/>
        <w:t>evidence</w:t>
      </w:r>
      <w:r>
        <w:rPr>
          <w:spacing w:val="40"/>
        </w:rPr>
        <w:t> </w:t>
      </w:r>
      <w:r>
        <w:rPr/>
        <w:t>that</w:t>
      </w:r>
      <w:r>
        <w:rPr>
          <w:spacing w:val="40"/>
        </w:rPr>
        <w:t> </w:t>
      </w:r>
      <w:r>
        <w:rPr/>
        <w:t>low-dose</w:t>
      </w:r>
      <w:r>
        <w:rPr>
          <w:spacing w:val="40"/>
        </w:rPr>
        <w:t> </w:t>
      </w:r>
      <w:r>
        <w:rPr/>
        <w:t>treatment</w:t>
      </w:r>
      <w:r>
        <w:rPr>
          <w:spacing w:val="40"/>
        </w:rPr>
        <w:t> </w:t>
      </w:r>
      <w:r>
        <w:rPr/>
        <w:t>has</w:t>
      </w:r>
      <w:r>
        <w:rPr>
          <w:spacing w:val="40"/>
        </w:rPr>
        <w:t> </w:t>
      </w:r>
      <w:r>
        <w:rPr/>
        <w:t>little</w:t>
      </w:r>
      <w:r>
        <w:rPr>
          <w:spacing w:val="40"/>
        </w:rPr>
        <w:t> </w:t>
      </w:r>
      <w:r>
        <w:rPr/>
        <w:t>effect</w:t>
      </w:r>
      <w:r>
        <w:rPr>
          <w:spacing w:val="40"/>
        </w:rPr>
        <w:t> </w:t>
      </w:r>
      <w:r>
        <w:rPr/>
        <w:t>on</w:t>
      </w:r>
      <w:r>
        <w:rPr>
          <w:spacing w:val="40"/>
        </w:rPr>
        <w:t> </w:t>
      </w:r>
      <w:r>
        <w:rPr/>
        <w:t>breast </w:t>
      </w:r>
      <w:r>
        <w:rPr>
          <w:spacing w:val="-2"/>
        </w:rPr>
        <w:t>density.</w:t>
      </w:r>
      <w:r>
        <w:rPr>
          <w:spacing w:val="-2"/>
          <w:vertAlign w:val="superscript"/>
        </w:rPr>
        <w:t>945</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660544">
                <wp:simplePos x="0" y="0"/>
                <wp:positionH relativeFrom="page">
                  <wp:posOffset>981075</wp:posOffset>
                </wp:positionH>
                <wp:positionV relativeFrom="paragraph">
                  <wp:posOffset>233307</wp:posOffset>
                </wp:positionV>
                <wp:extent cx="5810250" cy="4057650"/>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5810250" cy="4057650"/>
                          <a:chExt cx="5810250" cy="4057650"/>
                        </a:xfrm>
                      </wpg:grpSpPr>
                      <wps:wsp>
                        <wps:cNvPr id="260" name="Graphic 26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61" name="Graphic 261"/>
                        <wps:cNvSpPr/>
                        <wps:spPr>
                          <a:xfrm>
                            <a:off x="0" y="742949"/>
                            <a:ext cx="5810250" cy="3314700"/>
                          </a:xfrm>
                          <a:custGeom>
                            <a:avLst/>
                            <a:gdLst/>
                            <a:ahLst/>
                            <a:cxnLst/>
                            <a:rect l="l" t="t" r="r" b="b"/>
                            <a:pathLst>
                              <a:path w="5810250" h="3314700">
                                <a:moveTo>
                                  <a:pt x="0" y="3314699"/>
                                </a:moveTo>
                                <a:lnTo>
                                  <a:pt x="5810249" y="3314699"/>
                                </a:lnTo>
                                <a:lnTo>
                                  <a:pt x="5810249" y="0"/>
                                </a:lnTo>
                                <a:lnTo>
                                  <a:pt x="0" y="0"/>
                                </a:lnTo>
                                <a:lnTo>
                                  <a:pt x="0" y="3314699"/>
                                </a:lnTo>
                                <a:close/>
                              </a:path>
                            </a:pathLst>
                          </a:custGeom>
                          <a:solidFill>
                            <a:srgbClr val="E9F1CD"/>
                          </a:solidFill>
                        </wps:spPr>
                        <wps:bodyPr wrap="square" lIns="0" tIns="0" rIns="0" bIns="0" rtlCol="0">
                          <a:prstTxWarp prst="textNoShape">
                            <a:avLst/>
                          </a:prstTxWarp>
                          <a:noAutofit/>
                        </wps:bodyPr>
                      </wps:wsp>
                      <wps:wsp>
                        <wps:cNvPr id="262" name="Graphic 262"/>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63" name="Graphic 263"/>
                        <wps:cNvSpPr/>
                        <wps:spPr>
                          <a:xfrm>
                            <a:off x="209549" y="228645"/>
                            <a:ext cx="371475" cy="57150"/>
                          </a:xfrm>
                          <a:custGeom>
                            <a:avLst/>
                            <a:gdLst/>
                            <a:ahLst/>
                            <a:cxnLst/>
                            <a:rect l="l" t="t" r="r" b="b"/>
                            <a:pathLst>
                              <a:path w="371475" h="57150">
                                <a:moveTo>
                                  <a:pt x="32364" y="57073"/>
                                </a:moveTo>
                                <a:lnTo>
                                  <a:pt x="24785" y="57073"/>
                                </a:lnTo>
                                <a:lnTo>
                                  <a:pt x="21140" y="56254"/>
                                </a:lnTo>
                                <a:lnTo>
                                  <a:pt x="17639" y="54768"/>
                                </a:lnTo>
                                <a:lnTo>
                                  <a:pt x="14138" y="53359"/>
                                </a:lnTo>
                                <a:lnTo>
                                  <a:pt x="2175" y="39366"/>
                                </a:lnTo>
                                <a:lnTo>
                                  <a:pt x="725" y="35937"/>
                                </a:lnTo>
                                <a:lnTo>
                                  <a:pt x="0" y="32365"/>
                                </a:lnTo>
                                <a:lnTo>
                                  <a:pt x="0" y="24707"/>
                                </a:lnTo>
                                <a:lnTo>
                                  <a:pt x="725" y="20983"/>
                                </a:lnTo>
                                <a:lnTo>
                                  <a:pt x="3625" y="13992"/>
                                </a:lnTo>
                                <a:lnTo>
                                  <a:pt x="5689" y="10934"/>
                                </a:lnTo>
                                <a:lnTo>
                                  <a:pt x="8369" y="8334"/>
                                </a:lnTo>
                                <a:lnTo>
                                  <a:pt x="11048" y="5581"/>
                                </a:lnTo>
                                <a:lnTo>
                                  <a:pt x="14138" y="3495"/>
                                </a:lnTo>
                                <a:lnTo>
                                  <a:pt x="21140" y="666"/>
                                </a:lnTo>
                                <a:lnTo>
                                  <a:pt x="24785" y="0"/>
                                </a:lnTo>
                                <a:lnTo>
                                  <a:pt x="32364" y="0"/>
                                </a:lnTo>
                                <a:lnTo>
                                  <a:pt x="36009" y="666"/>
                                </a:lnTo>
                                <a:lnTo>
                                  <a:pt x="43011" y="3495"/>
                                </a:lnTo>
                                <a:lnTo>
                                  <a:pt x="46101" y="5581"/>
                                </a:lnTo>
                                <a:lnTo>
                                  <a:pt x="48780" y="8334"/>
                                </a:lnTo>
                                <a:lnTo>
                                  <a:pt x="51459" y="10934"/>
                                </a:lnTo>
                                <a:lnTo>
                                  <a:pt x="53524" y="13992"/>
                                </a:lnTo>
                                <a:lnTo>
                                  <a:pt x="56424" y="20983"/>
                                </a:lnTo>
                                <a:lnTo>
                                  <a:pt x="57149" y="24707"/>
                                </a:lnTo>
                                <a:lnTo>
                                  <a:pt x="57149" y="32365"/>
                                </a:lnTo>
                                <a:lnTo>
                                  <a:pt x="39510" y="54768"/>
                                </a:lnTo>
                                <a:lnTo>
                                  <a:pt x="36009" y="56254"/>
                                </a:lnTo>
                                <a:lnTo>
                                  <a:pt x="32364" y="57073"/>
                                </a:lnTo>
                                <a:close/>
                              </a:path>
                              <a:path w="371475" h="57150">
                                <a:moveTo>
                                  <a:pt x="137044" y="57073"/>
                                </a:moveTo>
                                <a:lnTo>
                                  <a:pt x="129465" y="57073"/>
                                </a:lnTo>
                                <a:lnTo>
                                  <a:pt x="125820" y="56254"/>
                                </a:lnTo>
                                <a:lnTo>
                                  <a:pt x="122319" y="54768"/>
                                </a:lnTo>
                                <a:lnTo>
                                  <a:pt x="118818" y="53359"/>
                                </a:lnTo>
                                <a:lnTo>
                                  <a:pt x="106854" y="39366"/>
                                </a:lnTo>
                                <a:lnTo>
                                  <a:pt x="105404" y="35937"/>
                                </a:lnTo>
                                <a:lnTo>
                                  <a:pt x="104679" y="32365"/>
                                </a:lnTo>
                                <a:lnTo>
                                  <a:pt x="104679" y="24707"/>
                                </a:lnTo>
                                <a:lnTo>
                                  <a:pt x="105404" y="20983"/>
                                </a:lnTo>
                                <a:lnTo>
                                  <a:pt x="108304" y="13992"/>
                                </a:lnTo>
                                <a:lnTo>
                                  <a:pt x="110369" y="10934"/>
                                </a:lnTo>
                                <a:lnTo>
                                  <a:pt x="113049" y="8334"/>
                                </a:lnTo>
                                <a:lnTo>
                                  <a:pt x="115728" y="5581"/>
                                </a:lnTo>
                                <a:lnTo>
                                  <a:pt x="118818" y="3495"/>
                                </a:lnTo>
                                <a:lnTo>
                                  <a:pt x="125820" y="666"/>
                                </a:lnTo>
                                <a:lnTo>
                                  <a:pt x="129465" y="0"/>
                                </a:lnTo>
                                <a:lnTo>
                                  <a:pt x="137044" y="0"/>
                                </a:lnTo>
                                <a:lnTo>
                                  <a:pt x="140689" y="666"/>
                                </a:lnTo>
                                <a:lnTo>
                                  <a:pt x="147690" y="3495"/>
                                </a:lnTo>
                                <a:lnTo>
                                  <a:pt x="150780" y="5581"/>
                                </a:lnTo>
                                <a:lnTo>
                                  <a:pt x="153460" y="8334"/>
                                </a:lnTo>
                                <a:lnTo>
                                  <a:pt x="156139" y="10934"/>
                                </a:lnTo>
                                <a:lnTo>
                                  <a:pt x="158204" y="13992"/>
                                </a:lnTo>
                                <a:lnTo>
                                  <a:pt x="161104" y="20983"/>
                                </a:lnTo>
                                <a:lnTo>
                                  <a:pt x="161829" y="24707"/>
                                </a:lnTo>
                                <a:lnTo>
                                  <a:pt x="161829" y="32365"/>
                                </a:lnTo>
                                <a:lnTo>
                                  <a:pt x="144189" y="54768"/>
                                </a:lnTo>
                                <a:lnTo>
                                  <a:pt x="140689" y="56254"/>
                                </a:lnTo>
                                <a:lnTo>
                                  <a:pt x="137044" y="57073"/>
                                </a:lnTo>
                                <a:close/>
                              </a:path>
                              <a:path w="371475" h="57150">
                                <a:moveTo>
                                  <a:pt x="241723" y="57073"/>
                                </a:moveTo>
                                <a:lnTo>
                                  <a:pt x="234145" y="57073"/>
                                </a:lnTo>
                                <a:lnTo>
                                  <a:pt x="230500" y="56254"/>
                                </a:lnTo>
                                <a:lnTo>
                                  <a:pt x="226999" y="54768"/>
                                </a:lnTo>
                                <a:lnTo>
                                  <a:pt x="223498" y="53359"/>
                                </a:lnTo>
                                <a:lnTo>
                                  <a:pt x="211534" y="39366"/>
                                </a:lnTo>
                                <a:lnTo>
                                  <a:pt x="210084" y="35937"/>
                                </a:lnTo>
                                <a:lnTo>
                                  <a:pt x="209359" y="32365"/>
                                </a:lnTo>
                                <a:lnTo>
                                  <a:pt x="209359" y="24707"/>
                                </a:lnTo>
                                <a:lnTo>
                                  <a:pt x="210084" y="20983"/>
                                </a:lnTo>
                                <a:lnTo>
                                  <a:pt x="212984" y="13992"/>
                                </a:lnTo>
                                <a:lnTo>
                                  <a:pt x="215049" y="10934"/>
                                </a:lnTo>
                                <a:lnTo>
                                  <a:pt x="217728" y="8334"/>
                                </a:lnTo>
                                <a:lnTo>
                                  <a:pt x="220408" y="5581"/>
                                </a:lnTo>
                                <a:lnTo>
                                  <a:pt x="223498" y="3495"/>
                                </a:lnTo>
                                <a:lnTo>
                                  <a:pt x="230500" y="666"/>
                                </a:lnTo>
                                <a:lnTo>
                                  <a:pt x="234145" y="0"/>
                                </a:lnTo>
                                <a:lnTo>
                                  <a:pt x="241723" y="0"/>
                                </a:lnTo>
                                <a:lnTo>
                                  <a:pt x="245368" y="666"/>
                                </a:lnTo>
                                <a:lnTo>
                                  <a:pt x="252370" y="3495"/>
                                </a:lnTo>
                                <a:lnTo>
                                  <a:pt x="255460" y="5581"/>
                                </a:lnTo>
                                <a:lnTo>
                                  <a:pt x="258140" y="8334"/>
                                </a:lnTo>
                                <a:lnTo>
                                  <a:pt x="260819" y="10934"/>
                                </a:lnTo>
                                <a:lnTo>
                                  <a:pt x="262884" y="13992"/>
                                </a:lnTo>
                                <a:lnTo>
                                  <a:pt x="265784" y="20983"/>
                                </a:lnTo>
                                <a:lnTo>
                                  <a:pt x="266509" y="24707"/>
                                </a:lnTo>
                                <a:lnTo>
                                  <a:pt x="266509" y="32365"/>
                                </a:lnTo>
                                <a:lnTo>
                                  <a:pt x="248869" y="54768"/>
                                </a:lnTo>
                                <a:lnTo>
                                  <a:pt x="245368" y="56254"/>
                                </a:lnTo>
                                <a:lnTo>
                                  <a:pt x="241723" y="57073"/>
                                </a:lnTo>
                                <a:close/>
                              </a:path>
                              <a:path w="371475" h="57150">
                                <a:moveTo>
                                  <a:pt x="346403" y="57073"/>
                                </a:moveTo>
                                <a:lnTo>
                                  <a:pt x="338824" y="57073"/>
                                </a:lnTo>
                                <a:lnTo>
                                  <a:pt x="335179" y="56254"/>
                                </a:lnTo>
                                <a:lnTo>
                                  <a:pt x="331679" y="54768"/>
                                </a:lnTo>
                                <a:lnTo>
                                  <a:pt x="328178" y="53359"/>
                                </a:lnTo>
                                <a:lnTo>
                                  <a:pt x="316214" y="39366"/>
                                </a:lnTo>
                                <a:lnTo>
                                  <a:pt x="314764" y="35937"/>
                                </a:lnTo>
                                <a:lnTo>
                                  <a:pt x="314039" y="32365"/>
                                </a:lnTo>
                                <a:lnTo>
                                  <a:pt x="314039" y="24707"/>
                                </a:lnTo>
                                <a:lnTo>
                                  <a:pt x="314764" y="20983"/>
                                </a:lnTo>
                                <a:lnTo>
                                  <a:pt x="317664" y="13992"/>
                                </a:lnTo>
                                <a:lnTo>
                                  <a:pt x="319729" y="10934"/>
                                </a:lnTo>
                                <a:lnTo>
                                  <a:pt x="322408" y="8334"/>
                                </a:lnTo>
                                <a:lnTo>
                                  <a:pt x="325088" y="5581"/>
                                </a:lnTo>
                                <a:lnTo>
                                  <a:pt x="328178" y="3495"/>
                                </a:lnTo>
                                <a:lnTo>
                                  <a:pt x="335179" y="666"/>
                                </a:lnTo>
                                <a:lnTo>
                                  <a:pt x="338824" y="0"/>
                                </a:lnTo>
                                <a:lnTo>
                                  <a:pt x="346403" y="0"/>
                                </a:lnTo>
                                <a:lnTo>
                                  <a:pt x="350048" y="666"/>
                                </a:lnTo>
                                <a:lnTo>
                                  <a:pt x="357050" y="3495"/>
                                </a:lnTo>
                                <a:lnTo>
                                  <a:pt x="360140" y="5581"/>
                                </a:lnTo>
                                <a:lnTo>
                                  <a:pt x="362819" y="8334"/>
                                </a:lnTo>
                                <a:lnTo>
                                  <a:pt x="365499" y="10934"/>
                                </a:lnTo>
                                <a:lnTo>
                                  <a:pt x="367563" y="13992"/>
                                </a:lnTo>
                                <a:lnTo>
                                  <a:pt x="370464" y="20983"/>
                                </a:lnTo>
                                <a:lnTo>
                                  <a:pt x="371189" y="24707"/>
                                </a:lnTo>
                                <a:lnTo>
                                  <a:pt x="371189" y="32365"/>
                                </a:lnTo>
                                <a:lnTo>
                                  <a:pt x="353549" y="54768"/>
                                </a:lnTo>
                                <a:lnTo>
                                  <a:pt x="350048" y="56254"/>
                                </a:lnTo>
                                <a:lnTo>
                                  <a:pt x="346403" y="57073"/>
                                </a:lnTo>
                                <a:close/>
                              </a:path>
                            </a:pathLst>
                          </a:custGeom>
                          <a:solidFill>
                            <a:srgbClr val="D0E399"/>
                          </a:solidFill>
                        </wps:spPr>
                        <wps:bodyPr wrap="square" lIns="0" tIns="0" rIns="0" bIns="0" rtlCol="0">
                          <a:prstTxWarp prst="textNoShape">
                            <a:avLst/>
                          </a:prstTxWarp>
                          <a:noAutofit/>
                        </wps:bodyPr>
                      </wps:wsp>
                      <wps:wsp>
                        <wps:cNvPr id="264" name="Graphic 264"/>
                        <wps:cNvSpPr/>
                        <wps:spPr>
                          <a:xfrm>
                            <a:off x="133337" y="1000129"/>
                            <a:ext cx="47625" cy="2447925"/>
                          </a:xfrm>
                          <a:custGeom>
                            <a:avLst/>
                            <a:gdLst/>
                            <a:ahLst/>
                            <a:cxnLst/>
                            <a:rect l="l" t="t" r="r" b="b"/>
                            <a:pathLst>
                              <a:path w="47625" h="2447925">
                                <a:moveTo>
                                  <a:pt x="47625" y="2420836"/>
                                </a:moveTo>
                                <a:lnTo>
                                  <a:pt x="47028" y="2417788"/>
                                </a:lnTo>
                                <a:lnTo>
                                  <a:pt x="44615" y="2411907"/>
                                </a:lnTo>
                                <a:lnTo>
                                  <a:pt x="42887" y="2409304"/>
                                </a:lnTo>
                                <a:lnTo>
                                  <a:pt x="40652" y="2407145"/>
                                </a:lnTo>
                                <a:lnTo>
                                  <a:pt x="38430" y="2404846"/>
                                </a:lnTo>
                                <a:lnTo>
                                  <a:pt x="35852" y="2403132"/>
                                </a:lnTo>
                                <a:lnTo>
                                  <a:pt x="30010" y="2400820"/>
                                </a:lnTo>
                                <a:lnTo>
                                  <a:pt x="26974" y="2400300"/>
                                </a:lnTo>
                                <a:lnTo>
                                  <a:pt x="20662" y="2400300"/>
                                </a:lnTo>
                                <a:lnTo>
                                  <a:pt x="17627" y="2400897"/>
                                </a:lnTo>
                                <a:lnTo>
                                  <a:pt x="11785" y="2403132"/>
                                </a:lnTo>
                                <a:lnTo>
                                  <a:pt x="9207" y="2404846"/>
                                </a:lnTo>
                                <a:lnTo>
                                  <a:pt x="6985" y="2407145"/>
                                </a:lnTo>
                                <a:lnTo>
                                  <a:pt x="4749" y="2409304"/>
                                </a:lnTo>
                                <a:lnTo>
                                  <a:pt x="3022" y="2411907"/>
                                </a:lnTo>
                                <a:lnTo>
                                  <a:pt x="609" y="2417711"/>
                                </a:lnTo>
                                <a:lnTo>
                                  <a:pt x="0" y="2420836"/>
                                </a:lnTo>
                                <a:lnTo>
                                  <a:pt x="0" y="2427236"/>
                                </a:lnTo>
                                <a:lnTo>
                                  <a:pt x="23812" y="2447925"/>
                                </a:lnTo>
                                <a:lnTo>
                                  <a:pt x="26974" y="2447848"/>
                                </a:lnTo>
                                <a:lnTo>
                                  <a:pt x="47625" y="2427236"/>
                                </a:lnTo>
                                <a:lnTo>
                                  <a:pt x="47625" y="2424112"/>
                                </a:lnTo>
                                <a:lnTo>
                                  <a:pt x="47625" y="2420836"/>
                                </a:lnTo>
                                <a:close/>
                              </a:path>
                              <a:path w="47625" h="2447925">
                                <a:moveTo>
                                  <a:pt x="47625" y="2078012"/>
                                </a:moveTo>
                                <a:lnTo>
                                  <a:pt x="47028" y="2074887"/>
                                </a:lnTo>
                                <a:lnTo>
                                  <a:pt x="44615" y="2069084"/>
                                </a:lnTo>
                                <a:lnTo>
                                  <a:pt x="42887" y="2066480"/>
                                </a:lnTo>
                                <a:lnTo>
                                  <a:pt x="40652" y="2064321"/>
                                </a:lnTo>
                                <a:lnTo>
                                  <a:pt x="38430" y="2062010"/>
                                </a:lnTo>
                                <a:lnTo>
                                  <a:pt x="35852" y="2060308"/>
                                </a:lnTo>
                                <a:lnTo>
                                  <a:pt x="30010" y="2057996"/>
                                </a:lnTo>
                                <a:lnTo>
                                  <a:pt x="26974" y="2057400"/>
                                </a:lnTo>
                                <a:lnTo>
                                  <a:pt x="20662" y="2057400"/>
                                </a:lnTo>
                                <a:lnTo>
                                  <a:pt x="17627" y="2057996"/>
                                </a:lnTo>
                                <a:lnTo>
                                  <a:pt x="11785" y="2060308"/>
                                </a:lnTo>
                                <a:lnTo>
                                  <a:pt x="9207" y="2062010"/>
                                </a:lnTo>
                                <a:lnTo>
                                  <a:pt x="6985" y="2064321"/>
                                </a:lnTo>
                                <a:lnTo>
                                  <a:pt x="4749" y="2066480"/>
                                </a:lnTo>
                                <a:lnTo>
                                  <a:pt x="3022" y="2069007"/>
                                </a:lnTo>
                                <a:lnTo>
                                  <a:pt x="609" y="2074887"/>
                                </a:lnTo>
                                <a:lnTo>
                                  <a:pt x="0" y="2078012"/>
                                </a:lnTo>
                                <a:lnTo>
                                  <a:pt x="0" y="2084336"/>
                                </a:lnTo>
                                <a:lnTo>
                                  <a:pt x="23812" y="2105025"/>
                                </a:lnTo>
                                <a:lnTo>
                                  <a:pt x="26974" y="2104948"/>
                                </a:lnTo>
                                <a:lnTo>
                                  <a:pt x="47625" y="2084336"/>
                                </a:lnTo>
                                <a:lnTo>
                                  <a:pt x="47625" y="2081212"/>
                                </a:lnTo>
                                <a:lnTo>
                                  <a:pt x="47625" y="2078012"/>
                                </a:lnTo>
                                <a:close/>
                              </a:path>
                              <a:path w="47625" h="2447925">
                                <a:moveTo>
                                  <a:pt x="47625" y="1220685"/>
                                </a:moveTo>
                                <a:lnTo>
                                  <a:pt x="47028" y="1217637"/>
                                </a:lnTo>
                                <a:lnTo>
                                  <a:pt x="44615" y="1211757"/>
                                </a:lnTo>
                                <a:lnTo>
                                  <a:pt x="42887" y="1209154"/>
                                </a:lnTo>
                                <a:lnTo>
                                  <a:pt x="40652" y="1206995"/>
                                </a:lnTo>
                                <a:lnTo>
                                  <a:pt x="38430" y="1204696"/>
                                </a:lnTo>
                                <a:lnTo>
                                  <a:pt x="35852" y="1202982"/>
                                </a:lnTo>
                                <a:lnTo>
                                  <a:pt x="30010" y="1200670"/>
                                </a:lnTo>
                                <a:lnTo>
                                  <a:pt x="26974" y="1200150"/>
                                </a:lnTo>
                                <a:lnTo>
                                  <a:pt x="20662" y="1200150"/>
                                </a:lnTo>
                                <a:lnTo>
                                  <a:pt x="17627" y="1200746"/>
                                </a:lnTo>
                                <a:lnTo>
                                  <a:pt x="11785" y="1202982"/>
                                </a:lnTo>
                                <a:lnTo>
                                  <a:pt x="9207" y="1204696"/>
                                </a:lnTo>
                                <a:lnTo>
                                  <a:pt x="6985" y="1206995"/>
                                </a:lnTo>
                                <a:lnTo>
                                  <a:pt x="4749" y="1209154"/>
                                </a:lnTo>
                                <a:lnTo>
                                  <a:pt x="3022" y="1211757"/>
                                </a:lnTo>
                                <a:lnTo>
                                  <a:pt x="609" y="1217561"/>
                                </a:lnTo>
                                <a:lnTo>
                                  <a:pt x="0" y="1220685"/>
                                </a:lnTo>
                                <a:lnTo>
                                  <a:pt x="0" y="1227010"/>
                                </a:lnTo>
                                <a:lnTo>
                                  <a:pt x="23812" y="1247775"/>
                                </a:lnTo>
                                <a:lnTo>
                                  <a:pt x="26974" y="1247698"/>
                                </a:lnTo>
                                <a:lnTo>
                                  <a:pt x="47625" y="1227010"/>
                                </a:lnTo>
                                <a:lnTo>
                                  <a:pt x="47625" y="1223962"/>
                                </a:lnTo>
                                <a:lnTo>
                                  <a:pt x="47625" y="1220685"/>
                                </a:lnTo>
                                <a:close/>
                              </a:path>
                              <a:path w="47625" h="2447925">
                                <a:moveTo>
                                  <a:pt x="47625" y="877862"/>
                                </a:moveTo>
                                <a:lnTo>
                                  <a:pt x="47028" y="874737"/>
                                </a:lnTo>
                                <a:lnTo>
                                  <a:pt x="44615" y="868857"/>
                                </a:lnTo>
                                <a:lnTo>
                                  <a:pt x="42887" y="866330"/>
                                </a:lnTo>
                                <a:lnTo>
                                  <a:pt x="40652" y="864171"/>
                                </a:lnTo>
                                <a:lnTo>
                                  <a:pt x="38430" y="861860"/>
                                </a:lnTo>
                                <a:lnTo>
                                  <a:pt x="35852" y="860158"/>
                                </a:lnTo>
                                <a:lnTo>
                                  <a:pt x="30010" y="857846"/>
                                </a:lnTo>
                                <a:lnTo>
                                  <a:pt x="26974" y="857250"/>
                                </a:lnTo>
                                <a:lnTo>
                                  <a:pt x="20662" y="857250"/>
                                </a:lnTo>
                                <a:lnTo>
                                  <a:pt x="17627" y="857846"/>
                                </a:lnTo>
                                <a:lnTo>
                                  <a:pt x="11785" y="860158"/>
                                </a:lnTo>
                                <a:lnTo>
                                  <a:pt x="9207" y="861860"/>
                                </a:lnTo>
                                <a:lnTo>
                                  <a:pt x="6985" y="864171"/>
                                </a:lnTo>
                                <a:lnTo>
                                  <a:pt x="4749" y="866330"/>
                                </a:lnTo>
                                <a:lnTo>
                                  <a:pt x="3022" y="868857"/>
                                </a:lnTo>
                                <a:lnTo>
                                  <a:pt x="609" y="874737"/>
                                </a:lnTo>
                                <a:lnTo>
                                  <a:pt x="0" y="877862"/>
                                </a:lnTo>
                                <a:lnTo>
                                  <a:pt x="0" y="884110"/>
                                </a:lnTo>
                                <a:lnTo>
                                  <a:pt x="23812" y="904875"/>
                                </a:lnTo>
                                <a:lnTo>
                                  <a:pt x="26974" y="904798"/>
                                </a:lnTo>
                                <a:lnTo>
                                  <a:pt x="47625" y="884110"/>
                                </a:lnTo>
                                <a:lnTo>
                                  <a:pt x="47625" y="881062"/>
                                </a:lnTo>
                                <a:lnTo>
                                  <a:pt x="47625" y="877862"/>
                                </a:lnTo>
                                <a:close/>
                              </a:path>
                              <a:path w="47625" h="2447925">
                                <a:moveTo>
                                  <a:pt x="47625" y="534885"/>
                                </a:moveTo>
                                <a:lnTo>
                                  <a:pt x="26974" y="514350"/>
                                </a:lnTo>
                                <a:lnTo>
                                  <a:pt x="20662" y="514350"/>
                                </a:lnTo>
                                <a:lnTo>
                                  <a:pt x="0" y="534885"/>
                                </a:lnTo>
                                <a:lnTo>
                                  <a:pt x="0" y="541210"/>
                                </a:lnTo>
                                <a:lnTo>
                                  <a:pt x="23812" y="561975"/>
                                </a:lnTo>
                                <a:lnTo>
                                  <a:pt x="26974" y="561898"/>
                                </a:lnTo>
                                <a:lnTo>
                                  <a:pt x="47625" y="541210"/>
                                </a:lnTo>
                                <a:lnTo>
                                  <a:pt x="47625" y="538162"/>
                                </a:lnTo>
                                <a:lnTo>
                                  <a:pt x="47625" y="534885"/>
                                </a:lnTo>
                                <a:close/>
                              </a:path>
                              <a:path w="47625" h="2447925">
                                <a:moveTo>
                                  <a:pt x="47625" y="20535"/>
                                </a:moveTo>
                                <a:lnTo>
                                  <a:pt x="47028" y="17411"/>
                                </a:lnTo>
                                <a:lnTo>
                                  <a:pt x="44615" y="11607"/>
                                </a:lnTo>
                                <a:lnTo>
                                  <a:pt x="42887" y="9004"/>
                                </a:lnTo>
                                <a:lnTo>
                                  <a:pt x="40652" y="6845"/>
                                </a:lnTo>
                                <a:lnTo>
                                  <a:pt x="38430" y="4546"/>
                                </a:lnTo>
                                <a:lnTo>
                                  <a:pt x="35852" y="2832"/>
                                </a:lnTo>
                                <a:lnTo>
                                  <a:pt x="30010" y="596"/>
                                </a:lnTo>
                                <a:lnTo>
                                  <a:pt x="26974" y="0"/>
                                </a:lnTo>
                                <a:lnTo>
                                  <a:pt x="20662" y="0"/>
                                </a:lnTo>
                                <a:lnTo>
                                  <a:pt x="17627" y="596"/>
                                </a:lnTo>
                                <a:lnTo>
                                  <a:pt x="11785" y="2908"/>
                                </a:lnTo>
                                <a:lnTo>
                                  <a:pt x="9207" y="4546"/>
                                </a:lnTo>
                                <a:lnTo>
                                  <a:pt x="6985" y="6845"/>
                                </a:lnTo>
                                <a:lnTo>
                                  <a:pt x="4749" y="9004"/>
                                </a:lnTo>
                                <a:lnTo>
                                  <a:pt x="3022" y="11607"/>
                                </a:lnTo>
                                <a:lnTo>
                                  <a:pt x="609" y="17411"/>
                                </a:lnTo>
                                <a:lnTo>
                                  <a:pt x="0" y="20535"/>
                                </a:lnTo>
                                <a:lnTo>
                                  <a:pt x="0" y="26860"/>
                                </a:lnTo>
                                <a:lnTo>
                                  <a:pt x="23812" y="47625"/>
                                </a:lnTo>
                                <a:lnTo>
                                  <a:pt x="26974" y="47548"/>
                                </a:lnTo>
                                <a:lnTo>
                                  <a:pt x="47625" y="26860"/>
                                </a:lnTo>
                                <a:lnTo>
                                  <a:pt x="47625" y="23812"/>
                                </a:lnTo>
                                <a:lnTo>
                                  <a:pt x="47625" y="20535"/>
                                </a:lnTo>
                                <a:close/>
                              </a:path>
                            </a:pathLst>
                          </a:custGeom>
                          <a:solidFill>
                            <a:srgbClr val="2B816F"/>
                          </a:solidFill>
                        </wps:spPr>
                        <wps:bodyPr wrap="square" lIns="0" tIns="0" rIns="0" bIns="0" rtlCol="0">
                          <a:prstTxWarp prst="textNoShape">
                            <a:avLst/>
                          </a:prstTxWarp>
                          <a:noAutofit/>
                        </wps:bodyPr>
                      </wps:wsp>
                      <wps:wsp>
                        <wps:cNvPr id="265" name="Textbox 265"/>
                        <wps:cNvSpPr txBox="1"/>
                        <wps:spPr>
                          <a:xfrm>
                            <a:off x="0" y="742949"/>
                            <a:ext cx="5810250" cy="3314700"/>
                          </a:xfrm>
                          <a:prstGeom prst="rect">
                            <a:avLst/>
                          </a:prstGeom>
                        </wps:spPr>
                        <wps:txbx>
                          <w:txbxContent>
                            <w:p>
                              <w:pPr>
                                <w:spacing w:line="240" w:lineRule="auto" w:before="51"/>
                                <w:rPr>
                                  <w:sz w:val="22"/>
                                </w:rPr>
                              </w:pPr>
                            </w:p>
                            <w:p>
                              <w:pPr>
                                <w:spacing w:line="256" w:lineRule="auto" w:before="0"/>
                                <w:ind w:left="444" w:right="754" w:firstLine="0"/>
                                <w:jc w:val="both"/>
                                <w:rPr>
                                  <w:b/>
                                  <w:sz w:val="22"/>
                                </w:rPr>
                              </w:pPr>
                              <w:r>
                                <w:rPr>
                                  <w:b/>
                                  <w:sz w:val="22"/>
                                </w:rPr>
                                <w:t>Some women develop an increase in breast density with the current use </w:t>
                              </w:r>
                              <w:r>
                                <w:rPr>
                                  <w:b/>
                                  <w:sz w:val="22"/>
                                </w:rPr>
                                <w:t>of postmenopausal HT, more often associated with continuous, combined use of estrogen-progestin regimens.</w:t>
                              </w:r>
                            </w:p>
                            <w:p>
                              <w:pPr>
                                <w:spacing w:line="256" w:lineRule="auto" w:before="0"/>
                                <w:ind w:left="444" w:right="752" w:firstLine="0"/>
                                <w:jc w:val="both"/>
                                <w:rPr>
                                  <w:b/>
                                  <w:sz w:val="22"/>
                                </w:rPr>
                              </w:pPr>
                              <w:r>
                                <w:rPr>
                                  <w:b/>
                                  <w:sz w:val="22"/>
                                </w:rPr>
                                <w:t>The older a postmenopausal patient, the greater the risk of developing an increase</w:t>
                              </w:r>
                              <w:r>
                                <w:rPr>
                                  <w:b/>
                                  <w:spacing w:val="80"/>
                                  <w:sz w:val="22"/>
                                </w:rPr>
                                <w:t> </w:t>
                              </w:r>
                              <w:r>
                                <w:rPr>
                                  <w:b/>
                                  <w:sz w:val="22"/>
                                </w:rPr>
                                <w:t>in breast density with HT.</w:t>
                              </w:r>
                            </w:p>
                            <w:p>
                              <w:pPr>
                                <w:spacing w:line="256" w:lineRule="auto" w:before="0"/>
                                <w:ind w:left="444" w:right="753" w:firstLine="0"/>
                                <w:jc w:val="both"/>
                                <w:rPr>
                                  <w:b/>
                                  <w:sz w:val="22"/>
                                </w:rPr>
                              </w:pPr>
                              <w:r>
                                <w:rPr>
                                  <w:b/>
                                  <w:sz w:val="22"/>
                                </w:rPr>
                                <w:t>There is no strong evidence to indicate that new-onset breast tenderness or the increase in breast density with HT changes an individual’s risk of breast cancer.</w:t>
                              </w:r>
                            </w:p>
                            <w:p>
                              <w:pPr>
                                <w:spacing w:line="256" w:lineRule="auto" w:before="0"/>
                                <w:ind w:left="444" w:right="747" w:firstLine="0"/>
                                <w:jc w:val="both"/>
                                <w:rPr>
                                  <w:b/>
                                  <w:sz w:val="22"/>
                                </w:rPr>
                              </w:pPr>
                              <w:r>
                                <w:rPr>
                                  <w:b/>
                                  <w:sz w:val="22"/>
                                </w:rPr>
                                <w:t>The evidence to support a recommendation that HT should be discontinued for several weeks prior to mammography in women who have dense breasts is mixed, and the only randomized study found no impact of suspension of treatment on a mammography recall rate of about 10%. Nevertheless, this is a reasonable recommendation to consider on an individualized basis.</w:t>
                              </w:r>
                            </w:p>
                            <w:p>
                              <w:pPr>
                                <w:spacing w:line="256" w:lineRule="auto" w:before="0"/>
                                <w:ind w:left="444" w:right="757" w:firstLine="0"/>
                                <w:jc w:val="both"/>
                                <w:rPr>
                                  <w:b/>
                                  <w:sz w:val="22"/>
                                </w:rPr>
                              </w:pPr>
                              <w:r>
                                <w:rPr>
                                  <w:b/>
                                  <w:sz w:val="22"/>
                                </w:rPr>
                                <w:t>In women who develop mastalgia and/or an increase in breast density with postmenopausal HT, consider a dosage reduction of the administered hormones.</w:t>
                              </w:r>
                            </w:p>
                            <w:p>
                              <w:pPr>
                                <w:spacing w:line="256" w:lineRule="auto" w:before="0"/>
                                <w:ind w:left="444" w:right="750" w:firstLine="0"/>
                                <w:jc w:val="both"/>
                                <w:rPr>
                                  <w:b/>
                                  <w:sz w:val="22"/>
                                </w:rPr>
                              </w:pPr>
                              <w:r>
                                <w:rPr>
                                  <w:b/>
                                  <w:sz w:val="22"/>
                                </w:rPr>
                                <w:t>Systemic effects of LNG-releasing intrauterine contraceptive devices on </w:t>
                              </w:r>
                              <w:r>
                                <w:rPr>
                                  <w:b/>
                                  <w:sz w:val="22"/>
                                </w:rPr>
                                <w:t>breast</w:t>
                              </w:r>
                              <w:r>
                                <w:rPr>
                                  <w:b/>
                                  <w:spacing w:val="80"/>
                                  <w:sz w:val="22"/>
                                </w:rPr>
                                <w:t> </w:t>
                              </w:r>
                              <w:r>
                                <w:rPr>
                                  <w:b/>
                                  <w:sz w:val="22"/>
                                </w:rPr>
                                <w:t>tissue are plausible.</w:t>
                              </w:r>
                            </w:p>
                          </w:txbxContent>
                        </wps:txbx>
                        <wps:bodyPr wrap="square" lIns="0" tIns="0" rIns="0" bIns="0" rtlCol="0">
                          <a:noAutofit/>
                        </wps:bodyPr>
                      </wps:wsp>
                      <wps:wsp>
                        <wps:cNvPr id="266" name="Textbox 266"/>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20"/>
                                  <w:sz w:val="33"/>
                                </w:rPr>
                                <w:t> </w:t>
                              </w:r>
                              <w:r>
                                <w:rPr>
                                  <w:rFonts w:ascii="Arial"/>
                                  <w:color w:val="FFFFFF"/>
                                  <w:sz w:val="33"/>
                                </w:rPr>
                                <w:t>Points:</w:t>
                              </w:r>
                              <w:r>
                                <w:rPr>
                                  <w:rFonts w:ascii="Arial"/>
                                  <w:color w:val="FFFFFF"/>
                                  <w:spacing w:val="20"/>
                                  <w:sz w:val="33"/>
                                </w:rPr>
                                <w:t> </w:t>
                              </w:r>
                              <w:r>
                                <w:rPr>
                                  <w:rFonts w:ascii="Arial"/>
                                  <w:color w:val="FFFFFF"/>
                                  <w:sz w:val="33"/>
                                </w:rPr>
                                <w:t>Breast</w:t>
                              </w:r>
                              <w:r>
                                <w:rPr>
                                  <w:rFonts w:ascii="Arial"/>
                                  <w:color w:val="FFFFFF"/>
                                  <w:spacing w:val="21"/>
                                  <w:sz w:val="33"/>
                                </w:rPr>
                                <w:t> </w:t>
                              </w:r>
                              <w:r>
                                <w:rPr>
                                  <w:rFonts w:ascii="Arial"/>
                                  <w:color w:val="FFFFFF"/>
                                  <w:sz w:val="33"/>
                                </w:rPr>
                                <w:t>Density</w:t>
                              </w:r>
                              <w:r>
                                <w:rPr>
                                  <w:rFonts w:ascii="Arial"/>
                                  <w:color w:val="FFFFFF"/>
                                  <w:spacing w:val="20"/>
                                  <w:sz w:val="33"/>
                                </w:rPr>
                                <w:t> </w:t>
                              </w:r>
                              <w:r>
                                <w:rPr>
                                  <w:rFonts w:ascii="Arial"/>
                                  <w:color w:val="FFFFFF"/>
                                  <w:sz w:val="33"/>
                                </w:rPr>
                                <w:t>and</w:t>
                              </w:r>
                              <w:r>
                                <w:rPr>
                                  <w:rFonts w:ascii="Arial"/>
                                  <w:color w:val="FFFFFF"/>
                                  <w:spacing w:val="21"/>
                                  <w:sz w:val="33"/>
                                </w:rPr>
                                <w:t> </w:t>
                              </w:r>
                              <w:r>
                                <w:rPr>
                                  <w:rFonts w:ascii="Arial"/>
                                  <w:color w:val="FFFFFF"/>
                                  <w:sz w:val="33"/>
                                </w:rPr>
                                <w:t>Hormone</w:t>
                              </w:r>
                              <w:r>
                                <w:rPr>
                                  <w:rFonts w:ascii="Arial"/>
                                  <w:color w:val="FFFFFF"/>
                                  <w:spacing w:val="20"/>
                                  <w:sz w:val="33"/>
                                </w:rPr>
                                <w:t> </w:t>
                              </w:r>
                              <w:r>
                                <w:rPr>
                                  <w:rFonts w:ascii="Arial"/>
                                  <w:color w:val="FFFFFF"/>
                                  <w:spacing w:val="-5"/>
                                  <w:sz w:val="33"/>
                                </w:rPr>
                                <w:t>Use</w:t>
                              </w:r>
                            </w:p>
                          </w:txbxContent>
                        </wps:txbx>
                        <wps:bodyPr wrap="square" lIns="0" tIns="0" rIns="0" bIns="0" rtlCol="0">
                          <a:noAutofit/>
                        </wps:bodyPr>
                      </wps:wsp>
                    </wpg:wgp>
                  </a:graphicData>
                </a:graphic>
              </wp:anchor>
            </w:drawing>
          </mc:Choice>
          <mc:Fallback>
            <w:pict>
              <v:group style="position:absolute;margin-left:77.25pt;margin-top:18.370634pt;width:457.5pt;height:319.5pt;mso-position-horizontal-relative:page;mso-position-vertical-relative:paragraph;z-index:-15655936;mso-wrap-distance-left:0;mso-wrap-distance-right:0" id="docshapegroup236" coordorigin="1545,367" coordsize="9150,6390">
                <v:rect style="position:absolute;left:1545;top:367;width:9150;height:30" id="docshape237" filled="true" fillcolor="#d5e699" stroked="false">
                  <v:fill type="solid"/>
                </v:rect>
                <v:rect style="position:absolute;left:1545;top:1537;width:9150;height:5220" id="docshape238" filled="true" fillcolor="#e9f1cd" stroked="false">
                  <v:fill type="solid"/>
                </v:rect>
                <v:rect style="position:absolute;left:1545;top:457;width:9150;height:1080" id="docshape239" filled="true" fillcolor="#2b816f" stroked="false">
                  <v:fill type="solid"/>
                </v:rect>
                <v:shape style="position:absolute;left:1875;top:727;width:585;height:90" id="docshape240" coordorigin="1875,727" coordsize="585,90" path="m1926,817l1914,817,1908,816,1903,814,1897,812,1892,808,1888,804,1884,800,1881,795,1878,789,1876,784,1875,778,1875,766,1876,761,1881,750,1884,745,1888,741,1892,736,1897,733,1908,729,1914,727,1926,727,1932,729,1943,733,1948,736,1952,741,1956,745,1959,750,1964,761,1965,766,1965,778,1964,784,1962,789,1959,795,1956,800,1952,804,1948,808,1943,812,1937,814,1932,816,1926,817xm2091,817l2079,817,2073,816,2068,814,2062,812,2057,808,2053,804,2049,800,2046,795,2043,789,2041,784,2040,778,2040,766,2041,761,2046,750,2049,745,2053,741,2057,736,2062,733,2073,729,2079,727,2091,727,2097,729,2108,733,2112,736,2117,741,2121,745,2124,750,2129,761,2130,766,2130,778,2129,784,2126,789,2124,795,2121,800,2117,804,2112,808,2108,812,2102,814,2097,816,2091,817xm2256,817l2244,817,2238,816,2232,814,2227,812,2222,808,2218,804,2214,800,2210,795,2208,789,2206,784,2205,778,2205,766,2206,761,2210,750,2214,745,2218,741,2222,736,2227,733,2238,729,2244,727,2256,727,2261,729,2272,733,2277,736,2282,741,2286,745,2289,750,2294,761,2295,766,2295,778,2294,784,2291,789,2289,795,2286,800,2282,804,2277,808,2272,812,2267,814,2261,816,2256,817xm2421,817l2409,817,2403,816,2397,814,2392,812,2387,808,2383,804,2379,800,2375,795,2373,789,2371,784,2370,778,2370,766,2371,761,2375,750,2379,745,2383,741,2387,736,2392,733,2403,729,2409,727,2421,727,2426,729,2437,733,2442,736,2446,741,2451,745,2454,750,2458,761,2460,766,2460,778,2458,784,2456,789,2454,795,2451,800,2446,804,2442,808,2437,812,2432,814,2426,816,2421,817xe" filled="true" fillcolor="#d0e399" stroked="false">
                  <v:path arrowok="t"/>
                  <v:fill type="solid"/>
                </v:shape>
                <v:shape style="position:absolute;left:1754;top:1942;width:75;height:3855" id="docshape241" coordorigin="1755,1942" coordsize="75,3855" path="m1830,5755l1829,5750,1825,5741,1823,5737,1819,5733,1816,5730,1811,5727,1802,5723,1797,5722,1788,5722,1783,5723,1774,5727,1769,5730,1766,5733,1762,5737,1760,5741,1756,5750,1755,5755,1755,5765,1756,5770,1760,5779,1762,5783,1766,5786,1769,5790,1774,5792,1783,5796,1788,5797,1792,5797,1797,5797,1802,5796,1811,5792,1816,5790,1819,5786,1823,5783,1825,5779,1829,5770,1830,5765,1830,5760,1830,5755xm1830,5215l1829,5210,1825,5201,1823,5197,1819,5193,1816,5190,1811,5187,1802,5183,1797,5182,1788,5182,1783,5183,1774,5187,1769,5190,1766,5193,1762,5197,1760,5201,1756,5210,1755,5215,1755,5225,1756,5230,1760,5239,1762,5243,1766,5246,1769,5250,1774,5252,1783,5256,1788,5257,1792,5257,1797,5257,1802,5256,1811,5252,1816,5250,1819,5246,1823,5243,1825,5239,1829,5230,1830,5225,1830,5220,1830,5215xm1830,3865l1829,3860,1825,3851,1823,3847,1819,3843,1816,3840,1811,3837,1802,3833,1797,3832,1788,3832,1783,3833,1774,3837,1769,3840,1766,3843,1762,3847,1760,3851,1756,3860,1755,3865,1755,3875,1756,3879,1760,3889,1762,3893,1769,3900,1774,3902,1783,3906,1788,3907,1792,3907,1797,3907,1802,3906,1811,3902,1816,3900,1823,3893,1825,3889,1829,3879,1830,3875,1830,3870,1830,3865xm1830,3325l1829,3320,1825,3311,1823,3307,1819,3303,1816,3300,1811,3297,1802,3293,1797,3292,1788,3292,1783,3293,1774,3297,1769,3300,1766,3303,1762,3307,1760,3311,1756,3320,1755,3325,1755,3335,1756,3340,1760,3349,1762,3353,1766,3356,1769,3360,1774,3362,1778,3364,1783,3366,1788,3367,1792,3367,1797,3367,1802,3366,1807,3364,1811,3362,1816,3360,1819,3356,1823,3353,1825,3349,1829,3339,1830,3335,1830,3330,1830,3325xm1830,2785l1829,2780,1825,2771,1823,2767,1816,2760,1811,2757,1802,2753,1797,2752,1788,2752,1783,2753,1774,2757,1769,2760,1762,2767,1760,2771,1756,2780,1755,2785,1755,2795,1756,2800,1760,2809,1762,2813,1766,2816,1769,2820,1774,2822,1783,2826,1788,2827,1792,2827,1797,2827,1802,2826,1811,2822,1816,2820,1819,2816,1823,2813,1825,2809,1829,2800,1830,2795,1830,2790,1830,2785xm1830,1975l1829,1970,1825,1961,1823,1957,1819,1953,1816,1950,1811,1947,1802,1943,1797,1942,1788,1942,1783,1943,1774,1947,1769,1950,1766,1953,1762,1957,1760,1961,1756,1970,1755,1975,1755,1985,1756,1989,1760,1998,1762,2003,1766,2006,1769,2010,1774,2012,1783,2016,1788,2017,1792,2017,1797,2017,1802,2016,1811,2012,1816,2010,1819,2006,1823,2003,1825,1998,1829,1989,1830,1985,1830,1980,1830,1975xe" filled="true" fillcolor="#2b816f" stroked="false">
                  <v:path arrowok="t"/>
                  <v:fill type="solid"/>
                </v:shape>
                <v:shape style="position:absolute;left:1545;top:1537;width:9150;height:5220" type="#_x0000_t202" id="docshape242" filled="false" stroked="false">
                  <v:textbox inset="0,0,0,0">
                    <w:txbxContent>
                      <w:p>
                        <w:pPr>
                          <w:spacing w:line="240" w:lineRule="auto" w:before="51"/>
                          <w:rPr>
                            <w:sz w:val="22"/>
                          </w:rPr>
                        </w:pPr>
                      </w:p>
                      <w:p>
                        <w:pPr>
                          <w:spacing w:line="256" w:lineRule="auto" w:before="0"/>
                          <w:ind w:left="444" w:right="754" w:firstLine="0"/>
                          <w:jc w:val="both"/>
                          <w:rPr>
                            <w:b/>
                            <w:sz w:val="22"/>
                          </w:rPr>
                        </w:pPr>
                        <w:r>
                          <w:rPr>
                            <w:b/>
                            <w:sz w:val="22"/>
                          </w:rPr>
                          <w:t>Some women develop an increase in breast density with the current use </w:t>
                        </w:r>
                        <w:r>
                          <w:rPr>
                            <w:b/>
                            <w:sz w:val="22"/>
                          </w:rPr>
                          <w:t>of postmenopausal HT, more often associated with continuous, combined use of estrogen-progestin regimens.</w:t>
                        </w:r>
                      </w:p>
                      <w:p>
                        <w:pPr>
                          <w:spacing w:line="256" w:lineRule="auto" w:before="0"/>
                          <w:ind w:left="444" w:right="752" w:firstLine="0"/>
                          <w:jc w:val="both"/>
                          <w:rPr>
                            <w:b/>
                            <w:sz w:val="22"/>
                          </w:rPr>
                        </w:pPr>
                        <w:r>
                          <w:rPr>
                            <w:b/>
                            <w:sz w:val="22"/>
                          </w:rPr>
                          <w:t>The older a postmenopausal patient, the greater the risk of developing an increase</w:t>
                        </w:r>
                        <w:r>
                          <w:rPr>
                            <w:b/>
                            <w:spacing w:val="80"/>
                            <w:sz w:val="22"/>
                          </w:rPr>
                          <w:t> </w:t>
                        </w:r>
                        <w:r>
                          <w:rPr>
                            <w:b/>
                            <w:sz w:val="22"/>
                          </w:rPr>
                          <w:t>in breast density with HT.</w:t>
                        </w:r>
                      </w:p>
                      <w:p>
                        <w:pPr>
                          <w:spacing w:line="256" w:lineRule="auto" w:before="0"/>
                          <w:ind w:left="444" w:right="753" w:firstLine="0"/>
                          <w:jc w:val="both"/>
                          <w:rPr>
                            <w:b/>
                            <w:sz w:val="22"/>
                          </w:rPr>
                        </w:pPr>
                        <w:r>
                          <w:rPr>
                            <w:b/>
                            <w:sz w:val="22"/>
                          </w:rPr>
                          <w:t>There is no strong evidence to indicate that new-onset breast tenderness or the increase in breast density with HT changes an individual’s risk of breast cancer.</w:t>
                        </w:r>
                      </w:p>
                      <w:p>
                        <w:pPr>
                          <w:spacing w:line="256" w:lineRule="auto" w:before="0"/>
                          <w:ind w:left="444" w:right="747" w:firstLine="0"/>
                          <w:jc w:val="both"/>
                          <w:rPr>
                            <w:b/>
                            <w:sz w:val="22"/>
                          </w:rPr>
                        </w:pPr>
                        <w:r>
                          <w:rPr>
                            <w:b/>
                            <w:sz w:val="22"/>
                          </w:rPr>
                          <w:t>The evidence to support a recommendation that HT should be discontinued for several weeks prior to mammography in women who have dense breasts is mixed, and the only randomized study found no impact of suspension of treatment on a mammography recall rate of about 10%. Nevertheless, this is a reasonable recommendation to consider on an individualized basis.</w:t>
                        </w:r>
                      </w:p>
                      <w:p>
                        <w:pPr>
                          <w:spacing w:line="256" w:lineRule="auto" w:before="0"/>
                          <w:ind w:left="444" w:right="757" w:firstLine="0"/>
                          <w:jc w:val="both"/>
                          <w:rPr>
                            <w:b/>
                            <w:sz w:val="22"/>
                          </w:rPr>
                        </w:pPr>
                        <w:r>
                          <w:rPr>
                            <w:b/>
                            <w:sz w:val="22"/>
                          </w:rPr>
                          <w:t>In women who develop mastalgia and/or an increase in breast density with postmenopausal HT, consider a dosage reduction of the administered hormones.</w:t>
                        </w:r>
                      </w:p>
                      <w:p>
                        <w:pPr>
                          <w:spacing w:line="256" w:lineRule="auto" w:before="0"/>
                          <w:ind w:left="444" w:right="750" w:firstLine="0"/>
                          <w:jc w:val="both"/>
                          <w:rPr>
                            <w:b/>
                            <w:sz w:val="22"/>
                          </w:rPr>
                        </w:pPr>
                        <w:r>
                          <w:rPr>
                            <w:b/>
                            <w:sz w:val="22"/>
                          </w:rPr>
                          <w:t>Systemic effects of LNG-releasing intrauterine contraceptive devices on </w:t>
                        </w:r>
                        <w:r>
                          <w:rPr>
                            <w:b/>
                            <w:sz w:val="22"/>
                          </w:rPr>
                          <w:t>breast</w:t>
                        </w:r>
                        <w:r>
                          <w:rPr>
                            <w:b/>
                            <w:spacing w:val="80"/>
                            <w:sz w:val="22"/>
                          </w:rPr>
                          <w:t> </w:t>
                        </w:r>
                        <w:r>
                          <w:rPr>
                            <w:b/>
                            <w:sz w:val="22"/>
                          </w:rPr>
                          <w:t>tissue are plausible.</w:t>
                        </w:r>
                      </w:p>
                    </w:txbxContent>
                  </v:textbox>
                  <w10:wrap type="none"/>
                </v:shape>
                <v:shape style="position:absolute;left:1545;top:457;width:9150;height:1080" type="#_x0000_t202" id="docshape243"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20"/>
                            <w:sz w:val="33"/>
                          </w:rPr>
                          <w:t> </w:t>
                        </w:r>
                        <w:r>
                          <w:rPr>
                            <w:rFonts w:ascii="Arial"/>
                            <w:color w:val="FFFFFF"/>
                            <w:sz w:val="33"/>
                          </w:rPr>
                          <w:t>Points:</w:t>
                        </w:r>
                        <w:r>
                          <w:rPr>
                            <w:rFonts w:ascii="Arial"/>
                            <w:color w:val="FFFFFF"/>
                            <w:spacing w:val="20"/>
                            <w:sz w:val="33"/>
                          </w:rPr>
                          <w:t> </w:t>
                        </w:r>
                        <w:r>
                          <w:rPr>
                            <w:rFonts w:ascii="Arial"/>
                            <w:color w:val="FFFFFF"/>
                            <w:sz w:val="33"/>
                          </w:rPr>
                          <w:t>Breast</w:t>
                        </w:r>
                        <w:r>
                          <w:rPr>
                            <w:rFonts w:ascii="Arial"/>
                            <w:color w:val="FFFFFF"/>
                            <w:spacing w:val="21"/>
                            <w:sz w:val="33"/>
                          </w:rPr>
                          <w:t> </w:t>
                        </w:r>
                        <w:r>
                          <w:rPr>
                            <w:rFonts w:ascii="Arial"/>
                            <w:color w:val="FFFFFF"/>
                            <w:sz w:val="33"/>
                          </w:rPr>
                          <w:t>Density</w:t>
                        </w:r>
                        <w:r>
                          <w:rPr>
                            <w:rFonts w:ascii="Arial"/>
                            <w:color w:val="FFFFFF"/>
                            <w:spacing w:val="20"/>
                            <w:sz w:val="33"/>
                          </w:rPr>
                          <w:t> </w:t>
                        </w:r>
                        <w:r>
                          <w:rPr>
                            <w:rFonts w:ascii="Arial"/>
                            <w:color w:val="FFFFFF"/>
                            <w:sz w:val="33"/>
                          </w:rPr>
                          <w:t>and</w:t>
                        </w:r>
                        <w:r>
                          <w:rPr>
                            <w:rFonts w:ascii="Arial"/>
                            <w:color w:val="FFFFFF"/>
                            <w:spacing w:val="21"/>
                            <w:sz w:val="33"/>
                          </w:rPr>
                          <w:t> </w:t>
                        </w:r>
                        <w:r>
                          <w:rPr>
                            <w:rFonts w:ascii="Arial"/>
                            <w:color w:val="FFFFFF"/>
                            <w:sz w:val="33"/>
                          </w:rPr>
                          <w:t>Hormone</w:t>
                        </w:r>
                        <w:r>
                          <w:rPr>
                            <w:rFonts w:ascii="Arial"/>
                            <w:color w:val="FFFFFF"/>
                            <w:spacing w:val="20"/>
                            <w:sz w:val="33"/>
                          </w:rPr>
                          <w:t> </w:t>
                        </w:r>
                        <w:r>
                          <w:rPr>
                            <w:rFonts w:ascii="Arial"/>
                            <w:color w:val="FFFFFF"/>
                            <w:spacing w:val="-5"/>
                            <w:sz w:val="33"/>
                          </w:rPr>
                          <w:t>Use</w:t>
                        </w:r>
                      </w:p>
                    </w:txbxContent>
                  </v:textbox>
                  <w10:wrap type="none"/>
                </v:shape>
                <w10:wrap type="topAndBottom"/>
              </v:group>
            </w:pict>
          </mc:Fallback>
        </mc:AlternateContent>
      </w:r>
    </w:p>
    <w:p>
      <w:pPr>
        <w:pStyle w:val="BodyText"/>
        <w:spacing w:before="0"/>
        <w:ind w:left="0"/>
        <w:jc w:val="left"/>
      </w:pPr>
    </w:p>
    <w:p>
      <w:pPr>
        <w:pStyle w:val="BodyText"/>
        <w:spacing w:before="213"/>
        <w:ind w:left="0"/>
        <w:jc w:val="left"/>
      </w:pPr>
    </w:p>
    <w:p>
      <w:pPr>
        <w:spacing w:before="0"/>
        <w:ind w:left="99" w:right="0" w:firstLine="0"/>
        <w:jc w:val="both"/>
        <w:rPr>
          <w:rFonts w:ascii="Arial"/>
          <w:b/>
          <w:sz w:val="30"/>
        </w:rPr>
      </w:pPr>
      <w:r>
        <w:rPr>
          <w:rFonts w:ascii="Arial"/>
          <w:b/>
          <w:color w:val="2674AE"/>
          <w:sz w:val="30"/>
        </w:rPr>
        <w:t>The Effect of Hormone Therapy on Mammographic </w:t>
      </w:r>
      <w:r>
        <w:rPr>
          <w:rFonts w:ascii="Arial"/>
          <w:b/>
          <w:color w:val="2674AE"/>
          <w:spacing w:val="-2"/>
          <w:sz w:val="30"/>
        </w:rPr>
        <w:t>Screening</w:t>
      </w:r>
    </w:p>
    <w:p>
      <w:pPr>
        <w:pStyle w:val="BodyText"/>
        <w:spacing w:line="249" w:lineRule="auto" w:before="167"/>
        <w:ind w:right="98"/>
      </w:pPr>
      <w:r>
        <w:rPr/>
        <w:t>The impact of screening mammography has been established by multiple randomized trials: about a 28% reduction in breast cancer mortality in women</w:t>
      </w:r>
      <w:r>
        <w:rPr>
          <w:spacing w:val="-1"/>
        </w:rPr>
        <w:t> </w:t>
      </w:r>
      <w:r>
        <w:rPr/>
        <w:t>aged</w:t>
      </w:r>
      <w:r>
        <w:rPr>
          <w:spacing w:val="-1"/>
        </w:rPr>
        <w:t> </w:t>
      </w:r>
      <w:r>
        <w:rPr/>
        <w:t>50</w:t>
      </w:r>
      <w:r>
        <w:rPr>
          <w:spacing w:val="-1"/>
        </w:rPr>
        <w:t> </w:t>
      </w:r>
      <w:r>
        <w:rPr/>
        <w:t>years</w:t>
      </w:r>
      <w:r>
        <w:rPr>
          <w:spacing w:val="-1"/>
        </w:rPr>
        <w:t> </w:t>
      </w:r>
      <w:r>
        <w:rPr/>
        <w:t>and</w:t>
      </w:r>
      <w:r>
        <w:rPr>
          <w:spacing w:val="-1"/>
        </w:rPr>
        <w:t> </w:t>
      </w:r>
      <w:r>
        <w:rPr/>
        <w:t>above.</w:t>
      </w:r>
      <w:r>
        <w:rPr>
          <w:vertAlign w:val="superscript"/>
        </w:rPr>
        <w:t>946</w:t>
      </w:r>
      <w:r>
        <w:rPr>
          <w:spacing w:val="-1"/>
          <w:vertAlign w:val="baseline"/>
        </w:rPr>
        <w:t> </w:t>
      </w:r>
      <w:r>
        <w:rPr>
          <w:vertAlign w:val="baseline"/>
        </w:rPr>
        <w:t>At</w:t>
      </w:r>
      <w:r>
        <w:rPr>
          <w:spacing w:val="-1"/>
          <w:vertAlign w:val="baseline"/>
        </w:rPr>
        <w:t> </w:t>
      </w:r>
      <w:r>
        <w:rPr>
          <w:vertAlign w:val="baseline"/>
        </w:rPr>
        <w:t>the</w:t>
      </w:r>
      <w:r>
        <w:rPr>
          <w:spacing w:val="-1"/>
          <w:vertAlign w:val="baseline"/>
        </w:rPr>
        <w:t> </w:t>
      </w:r>
      <w:r>
        <w:rPr>
          <w:vertAlign w:val="baseline"/>
        </w:rPr>
        <w:t>same</w:t>
      </w:r>
      <w:r>
        <w:rPr>
          <w:spacing w:val="-1"/>
          <w:vertAlign w:val="baseline"/>
        </w:rPr>
        <w:t> </w:t>
      </w:r>
      <w:r>
        <w:rPr>
          <w:vertAlign w:val="baseline"/>
        </w:rPr>
        <w:t>time,</w:t>
      </w:r>
      <w:r>
        <w:rPr>
          <w:spacing w:val="-1"/>
          <w:vertAlign w:val="baseline"/>
        </w:rPr>
        <w:t> </w:t>
      </w:r>
      <w:r>
        <w:rPr>
          <w:vertAlign w:val="baseline"/>
        </w:rPr>
        <w:t>it</w:t>
      </w:r>
      <w:r>
        <w:rPr>
          <w:spacing w:val="-1"/>
          <w:vertAlign w:val="baseline"/>
        </w:rPr>
        <w:t> </w:t>
      </w:r>
      <w:r>
        <w:rPr>
          <w:vertAlign w:val="baseline"/>
        </w:rPr>
        <w:t>is</w:t>
      </w:r>
      <w:r>
        <w:rPr>
          <w:spacing w:val="-1"/>
          <w:vertAlign w:val="baseline"/>
        </w:rPr>
        <w:t> </w:t>
      </w:r>
      <w:r>
        <w:rPr>
          <w:vertAlign w:val="baseline"/>
        </w:rPr>
        <w:t>recognized</w:t>
      </w:r>
      <w:r>
        <w:rPr>
          <w:spacing w:val="-1"/>
          <w:vertAlign w:val="baseline"/>
        </w:rPr>
        <w:t> </w:t>
      </w:r>
      <w:r>
        <w:rPr>
          <w:vertAlign w:val="baseline"/>
        </w:rPr>
        <w:t>that</w:t>
      </w:r>
      <w:r>
        <w:rPr>
          <w:spacing w:val="-1"/>
          <w:vertAlign w:val="baseline"/>
        </w:rPr>
        <w:t> </w:t>
      </w:r>
      <w:r>
        <w:rPr>
          <w:vertAlign w:val="baseline"/>
        </w:rPr>
        <w:t>it is difficult for mammography to detect noncalcified masses, especially in dense breasts. This sensitivity problem has been improved by digital mammography, but not eliminated.</w:t>
      </w:r>
    </w:p>
    <w:p>
      <w:pPr>
        <w:pStyle w:val="BodyText"/>
        <w:spacing w:line="249" w:lineRule="auto" w:before="7"/>
        <w:ind w:right="99" w:firstLine="450"/>
      </w:pPr>
      <w:r>
        <w:rPr/>
        <w:t>Does the hormonal effect on breast density impair </w:t>
      </w:r>
      <w:r>
        <w:rPr/>
        <w:t>mammographic screening?</w:t>
      </w:r>
      <w:r>
        <w:rPr>
          <w:spacing w:val="-3"/>
        </w:rPr>
        <w:t> </w:t>
      </w:r>
      <w:r>
        <w:rPr/>
        <w:t>In other words, is there an increase in interval cancers and false-positive recalls in postmenopausal hormone users? In a review of seven studies,</w:t>
      </w:r>
      <w:r>
        <w:rPr>
          <w:spacing w:val="53"/>
          <w:w w:val="150"/>
        </w:rPr>
        <w:t> </w:t>
      </w:r>
      <w:r>
        <w:rPr/>
        <w:t>there</w:t>
      </w:r>
      <w:r>
        <w:rPr>
          <w:spacing w:val="54"/>
          <w:w w:val="150"/>
        </w:rPr>
        <w:t> </w:t>
      </w:r>
      <w:r>
        <w:rPr/>
        <w:t>were</w:t>
      </w:r>
      <w:r>
        <w:rPr>
          <w:spacing w:val="53"/>
          <w:w w:val="150"/>
        </w:rPr>
        <w:t> </w:t>
      </w:r>
      <w:r>
        <w:rPr/>
        <w:t>relatively</w:t>
      </w:r>
      <w:r>
        <w:rPr>
          <w:spacing w:val="54"/>
          <w:w w:val="150"/>
        </w:rPr>
        <w:t> </w:t>
      </w:r>
      <w:r>
        <w:rPr/>
        <w:t>few</w:t>
      </w:r>
      <w:r>
        <w:rPr>
          <w:spacing w:val="53"/>
          <w:w w:val="150"/>
        </w:rPr>
        <w:t> </w:t>
      </w:r>
      <w:r>
        <w:rPr/>
        <w:t>interval</w:t>
      </w:r>
      <w:r>
        <w:rPr>
          <w:spacing w:val="54"/>
          <w:w w:val="150"/>
        </w:rPr>
        <w:t> </w:t>
      </w:r>
      <w:r>
        <w:rPr/>
        <w:t>cancers</w:t>
      </w:r>
      <w:r>
        <w:rPr>
          <w:spacing w:val="53"/>
          <w:w w:val="150"/>
        </w:rPr>
        <w:t> </w:t>
      </w:r>
      <w:r>
        <w:rPr/>
        <w:t>in</w:t>
      </w:r>
      <w:r>
        <w:rPr>
          <w:spacing w:val="54"/>
          <w:w w:val="150"/>
        </w:rPr>
        <w:t> </w:t>
      </w:r>
      <w:r>
        <w:rPr/>
        <w:t>the</w:t>
      </w:r>
      <w:r>
        <w:rPr>
          <w:spacing w:val="53"/>
          <w:w w:val="150"/>
        </w:rPr>
        <w:t> </w:t>
      </w:r>
      <w:r>
        <w:rPr/>
        <w:t>user</w:t>
      </w:r>
      <w:r>
        <w:rPr>
          <w:spacing w:val="54"/>
          <w:w w:val="150"/>
        </w:rPr>
        <w:t> </w:t>
      </w:r>
      <w:r>
        <w:rPr>
          <w:spacing w:val="-2"/>
        </w:rPr>
        <w:t>groups;</w:t>
      </w:r>
    </w:p>
    <w:p>
      <w:pPr>
        <w:pStyle w:val="BodyText"/>
        <w:spacing w:after="0" w:line="249" w:lineRule="auto"/>
        <w:sectPr>
          <w:pgSz w:w="12240" w:h="15840"/>
          <w:pgMar w:top="1380" w:bottom="280" w:left="1440" w:right="1440"/>
        </w:sectPr>
      </w:pPr>
    </w:p>
    <w:p>
      <w:pPr>
        <w:pStyle w:val="BodyText"/>
        <w:spacing w:line="249" w:lineRule="auto"/>
        <w:ind w:right="98"/>
      </w:pPr>
      <w:r>
        <w:rPr/>
        <w:t>nevertheless, six of the seven studies reported decreased </w:t>
      </w:r>
      <w:r>
        <w:rPr/>
        <w:t>mammographic sensitivity in hormone users with a small increase in interval cancers in users compared with nonusers.</w:t>
      </w:r>
      <w:r>
        <w:rPr>
          <w:vertAlign w:val="superscript"/>
        </w:rPr>
        <w:t>947</w:t>
      </w:r>
      <w:r>
        <w:rPr>
          <w:vertAlign w:val="baseline"/>
        </w:rPr>
        <w:t> Excluding women under age 50, the RR for an interval cancer was summarized as 1.7 (CI = 1.2-2.4). American, Scottish, and Australian studies have indicated a 5% to 20% decrease in mammographic sensitivity in hormone users who have dense breasts.</w:t>
      </w:r>
      <w:r>
        <w:rPr>
          <w:vertAlign w:val="superscript"/>
        </w:rPr>
        <w:t>948-951</w:t>
      </w:r>
      <w:r>
        <w:rPr>
          <w:vertAlign w:val="baseline"/>
        </w:rPr>
        <w:t> A Finnish study concluded that women with the densest breasts, and using hormones, had the highest RR of breast cancer, but this conclusion was based on only four cases of cancer in women with dense breasts.</w:t>
      </w:r>
      <w:r>
        <w:rPr>
          <w:vertAlign w:val="superscript"/>
        </w:rPr>
        <w:t>952</w:t>
      </w:r>
    </w:p>
    <w:p>
      <w:pPr>
        <w:pStyle w:val="BodyText"/>
        <w:spacing w:line="249" w:lineRule="auto" w:before="11"/>
        <w:ind w:right="97" w:firstLine="450"/>
      </w:pPr>
      <w:r>
        <w:rPr/>
        <w:t>The risk of false-positive recall (mammographic specificity) was investigated in five studies.</w:t>
      </w:r>
      <w:r>
        <w:rPr>
          <w:vertAlign w:val="superscript"/>
        </w:rPr>
        <w:t>948,952-955</w:t>
      </w:r>
      <w:r>
        <w:rPr>
          <w:vertAlign w:val="baseline"/>
        </w:rPr>
        <w:t> The rate of false-positive recall </w:t>
      </w:r>
      <w:r>
        <w:rPr>
          <w:vertAlign w:val="baseline"/>
        </w:rPr>
        <w:t>in nonusers ranged from 2.1% in the United Kingdom to as high as 14.7% in an American program; four of the five studies found a slight increase in the risk of false-positive recalls in hormone users. In a French study, mammographic sensitivity was reduced from 92% to 71% in users because of an incidence of interval cancers that was 3.5 times that of nonusers</w:t>
      </w:r>
      <w:r>
        <w:rPr>
          <w:spacing w:val="40"/>
          <w:vertAlign w:val="baseline"/>
        </w:rPr>
        <w:t> </w:t>
      </w:r>
      <w:r>
        <w:rPr>
          <w:vertAlign w:val="baseline"/>
        </w:rPr>
        <w:t>within the first year of the initial examination and 1.7 times greater during the following 2 years.</w:t>
      </w:r>
      <w:r>
        <w:rPr>
          <w:vertAlign w:val="superscript"/>
        </w:rPr>
        <w:t>953</w:t>
      </w:r>
      <w:r>
        <w:rPr>
          <w:vertAlign w:val="baseline"/>
        </w:rPr>
        <w:t> Most of the hormone users were on combined estrogen-progestin regimens. The false-positive recall rate was only slightly higher, 3.3% in users and 2.8% in nonusers. A prospective study of screening mammograms from Massachusetts General Hospital concluded that recall rates were essentially the same comparing hormone users and nonusers and that HT rarely causes a diagnostic dilemma.</w:t>
      </w:r>
      <w:r>
        <w:rPr>
          <w:vertAlign w:val="superscript"/>
        </w:rPr>
        <w:t>954</w:t>
      </w:r>
      <w:r>
        <w:rPr>
          <w:vertAlign w:val="baseline"/>
        </w:rPr>
        <w:t> However, in New Hampshire, increased breast density and use of HT independently increased the need for supplemental imaging.</w:t>
      </w:r>
      <w:r>
        <w:rPr>
          <w:vertAlign w:val="superscript"/>
        </w:rPr>
        <w:t>955</w:t>
      </w:r>
    </w:p>
    <w:p>
      <w:pPr>
        <w:pStyle w:val="BodyText"/>
        <w:spacing w:line="249" w:lineRule="auto" w:before="19"/>
        <w:ind w:right="98" w:firstLine="450"/>
      </w:pPr>
      <w:r>
        <w:rPr/>
        <w:t>Treatment with either estrogen alone or estrogen-progestin in the WHI was associated with more abnormal mammograms compared with placebo.</w:t>
      </w:r>
      <w:r>
        <w:rPr>
          <w:vertAlign w:val="superscript"/>
        </w:rPr>
        <w:t>866,956</w:t>
      </w:r>
      <w:r>
        <w:rPr>
          <w:vertAlign w:val="baseline"/>
        </w:rPr>
        <w:t> The difference was about 12% with estrogen-progestin </w:t>
      </w:r>
      <w:r>
        <w:rPr>
          <w:vertAlign w:val="baseline"/>
        </w:rPr>
        <w:t>and 8% with estrogen alone, but remember the characteristics of the participants differed in the two arms of the clinical trial. Nevertheless, the higher prevalence with estrogen-progestin is consistent with the other studies in</w:t>
      </w:r>
      <w:r>
        <w:rPr>
          <w:spacing w:val="40"/>
          <w:vertAlign w:val="baseline"/>
        </w:rPr>
        <w:t> </w:t>
      </w:r>
      <w:r>
        <w:rPr>
          <w:vertAlign w:val="baseline"/>
        </w:rPr>
        <w:t>the literature. Overall, the studies have suggested a decrease in mammographic sensitivity with a small impact on specificity (false-recall </w:t>
      </w:r>
      <w:r>
        <w:rPr>
          <w:spacing w:val="-2"/>
          <w:vertAlign w:val="baseline"/>
        </w:rPr>
        <w:t>rates).</w:t>
      </w:r>
    </w:p>
    <w:p>
      <w:pPr>
        <w:spacing w:before="310"/>
        <w:ind w:left="99" w:right="0" w:firstLine="0"/>
        <w:jc w:val="both"/>
        <w:rPr>
          <w:rFonts w:ascii="Arial"/>
          <w:b/>
          <w:i/>
          <w:sz w:val="22"/>
        </w:rPr>
      </w:pPr>
      <w:r>
        <w:rPr>
          <w:rFonts w:ascii="Arial"/>
          <w:b/>
          <w:i/>
          <w:color w:val="A0234E"/>
          <w:sz w:val="22"/>
        </w:rPr>
        <w:t>Adding</w:t>
      </w:r>
      <w:r>
        <w:rPr>
          <w:rFonts w:ascii="Arial"/>
          <w:b/>
          <w:i/>
          <w:color w:val="A0234E"/>
          <w:spacing w:val="15"/>
          <w:sz w:val="22"/>
        </w:rPr>
        <w:t> </w:t>
      </w:r>
      <w:r>
        <w:rPr>
          <w:rFonts w:ascii="Arial"/>
          <w:b/>
          <w:i/>
          <w:color w:val="A0234E"/>
          <w:sz w:val="22"/>
        </w:rPr>
        <w:t>Ultrasound</w:t>
      </w:r>
      <w:r>
        <w:rPr>
          <w:rFonts w:ascii="Arial"/>
          <w:b/>
          <w:i/>
          <w:color w:val="A0234E"/>
          <w:spacing w:val="15"/>
          <w:sz w:val="22"/>
        </w:rPr>
        <w:t> </w:t>
      </w:r>
      <w:r>
        <w:rPr>
          <w:rFonts w:ascii="Arial"/>
          <w:b/>
          <w:i/>
          <w:color w:val="A0234E"/>
          <w:sz w:val="22"/>
        </w:rPr>
        <w:t>to</w:t>
      </w:r>
      <w:r>
        <w:rPr>
          <w:rFonts w:ascii="Arial"/>
          <w:b/>
          <w:i/>
          <w:color w:val="A0234E"/>
          <w:spacing w:val="15"/>
          <w:sz w:val="22"/>
        </w:rPr>
        <w:t> </w:t>
      </w:r>
      <w:r>
        <w:rPr>
          <w:rFonts w:ascii="Arial"/>
          <w:b/>
          <w:i/>
          <w:color w:val="A0234E"/>
          <w:spacing w:val="-2"/>
          <w:sz w:val="22"/>
        </w:rPr>
        <w:t>Mammography</w:t>
      </w:r>
    </w:p>
    <w:p>
      <w:pPr>
        <w:spacing w:after="0"/>
        <w:jc w:val="both"/>
        <w:rPr>
          <w:rFonts w:ascii="Arial"/>
          <w:b/>
          <w:i/>
          <w:sz w:val="22"/>
        </w:rPr>
        <w:sectPr>
          <w:pgSz w:w="12240" w:h="15840"/>
          <w:pgMar w:top="1380" w:bottom="280" w:left="1440" w:right="1440"/>
        </w:sectPr>
      </w:pPr>
    </w:p>
    <w:p>
      <w:pPr>
        <w:spacing w:line="249" w:lineRule="auto" w:before="65"/>
        <w:ind w:left="99" w:right="98" w:firstLine="0"/>
        <w:jc w:val="both"/>
        <w:rPr>
          <w:b/>
          <w:sz w:val="30"/>
        </w:rPr>
      </w:pPr>
      <w:r>
        <w:rPr>
          <w:sz w:val="30"/>
        </w:rPr>
        <w:t>The American College of Radiology conducted a prospective, </w:t>
      </w:r>
      <w:r>
        <w:rPr>
          <w:sz w:val="30"/>
        </w:rPr>
        <w:t>multicenter, randomized trial in 21 centers in the United States, with 2,725 women, designed to validate the performance of screening ultrasound in conjunction with mammography in women with dense breasts and at high risk for breast cancer.</w:t>
      </w:r>
      <w:r>
        <w:rPr>
          <w:sz w:val="30"/>
          <w:vertAlign w:val="superscript"/>
        </w:rPr>
        <w:t>957</w:t>
      </w:r>
      <w:r>
        <w:rPr>
          <w:sz w:val="30"/>
          <w:vertAlign w:val="baseline"/>
        </w:rPr>
        <w:t> Each patient underwent mammography and ultrasound in a randomized sequence. Forty cases of cancer were diagnosed, 12 on ultrasound alone, 12 on mammography alone, 8 suspicious with both techniques, and 8 with negative examinations. Adding ultrasound yielded</w:t>
      </w:r>
      <w:r>
        <w:rPr>
          <w:spacing w:val="40"/>
          <w:sz w:val="30"/>
          <w:vertAlign w:val="baseline"/>
        </w:rPr>
        <w:t> </w:t>
      </w:r>
      <w:r>
        <w:rPr>
          <w:sz w:val="30"/>
          <w:vertAlign w:val="baseline"/>
        </w:rPr>
        <w:t>an</w:t>
      </w:r>
      <w:r>
        <w:rPr>
          <w:spacing w:val="-2"/>
          <w:sz w:val="30"/>
          <w:vertAlign w:val="baseline"/>
        </w:rPr>
        <w:t> </w:t>
      </w:r>
      <w:r>
        <w:rPr>
          <w:sz w:val="30"/>
          <w:vertAlign w:val="baseline"/>
        </w:rPr>
        <w:t>additional</w:t>
      </w:r>
      <w:r>
        <w:rPr>
          <w:spacing w:val="-2"/>
          <w:sz w:val="30"/>
          <w:vertAlign w:val="baseline"/>
        </w:rPr>
        <w:t> </w:t>
      </w:r>
      <w:r>
        <w:rPr>
          <w:sz w:val="30"/>
          <w:vertAlign w:val="baseline"/>
        </w:rPr>
        <w:t>4.2</w:t>
      </w:r>
      <w:r>
        <w:rPr>
          <w:spacing w:val="-2"/>
          <w:sz w:val="30"/>
          <w:vertAlign w:val="baseline"/>
        </w:rPr>
        <w:t> </w:t>
      </w:r>
      <w:r>
        <w:rPr>
          <w:sz w:val="30"/>
          <w:vertAlign w:val="baseline"/>
        </w:rPr>
        <w:t>cancers</w:t>
      </w:r>
      <w:r>
        <w:rPr>
          <w:spacing w:val="-2"/>
          <w:sz w:val="30"/>
          <w:vertAlign w:val="baseline"/>
        </w:rPr>
        <w:t> </w:t>
      </w:r>
      <w:r>
        <w:rPr>
          <w:sz w:val="30"/>
          <w:vertAlign w:val="baseline"/>
        </w:rPr>
        <w:t>per</w:t>
      </w:r>
      <w:r>
        <w:rPr>
          <w:spacing w:val="-2"/>
          <w:sz w:val="30"/>
          <w:vertAlign w:val="baseline"/>
        </w:rPr>
        <w:t> </w:t>
      </w:r>
      <w:r>
        <w:rPr>
          <w:sz w:val="30"/>
          <w:vertAlign w:val="baseline"/>
        </w:rPr>
        <w:t>1,000</w:t>
      </w:r>
      <w:r>
        <w:rPr>
          <w:spacing w:val="-2"/>
          <w:sz w:val="30"/>
          <w:vertAlign w:val="baseline"/>
        </w:rPr>
        <w:t> </w:t>
      </w:r>
      <w:r>
        <w:rPr>
          <w:sz w:val="30"/>
          <w:vertAlign w:val="baseline"/>
        </w:rPr>
        <w:t>high-risk</w:t>
      </w:r>
      <w:r>
        <w:rPr>
          <w:spacing w:val="-2"/>
          <w:sz w:val="30"/>
          <w:vertAlign w:val="baseline"/>
        </w:rPr>
        <w:t> </w:t>
      </w:r>
      <w:r>
        <w:rPr>
          <w:sz w:val="30"/>
          <w:vertAlign w:val="baseline"/>
        </w:rPr>
        <w:t>women.</w:t>
      </w:r>
      <w:r>
        <w:rPr>
          <w:spacing w:val="-2"/>
          <w:sz w:val="30"/>
          <w:vertAlign w:val="baseline"/>
        </w:rPr>
        <w:t> </w:t>
      </w:r>
      <w:r>
        <w:rPr>
          <w:sz w:val="30"/>
          <w:vertAlign w:val="baseline"/>
        </w:rPr>
        <w:t>The</w:t>
      </w:r>
      <w:r>
        <w:rPr>
          <w:spacing w:val="-3"/>
          <w:sz w:val="30"/>
          <w:vertAlign w:val="baseline"/>
        </w:rPr>
        <w:t> </w:t>
      </w:r>
      <w:r>
        <w:rPr>
          <w:sz w:val="30"/>
          <w:vertAlign w:val="baseline"/>
        </w:rPr>
        <w:t>false-positive</w:t>
      </w:r>
      <w:r>
        <w:rPr>
          <w:spacing w:val="-3"/>
          <w:sz w:val="30"/>
          <w:vertAlign w:val="baseline"/>
        </w:rPr>
        <w:t> </w:t>
      </w:r>
      <w:r>
        <w:rPr>
          <w:sz w:val="30"/>
          <w:vertAlign w:val="baseline"/>
        </w:rPr>
        <w:t>rate for mammography alone was 4.4%, for ultrasound alone 8.1%, and for combined</w:t>
      </w:r>
      <w:r>
        <w:rPr>
          <w:spacing w:val="-4"/>
          <w:sz w:val="30"/>
          <w:vertAlign w:val="baseline"/>
        </w:rPr>
        <w:t> </w:t>
      </w:r>
      <w:r>
        <w:rPr>
          <w:sz w:val="30"/>
          <w:vertAlign w:val="baseline"/>
        </w:rPr>
        <w:t>mammography</w:t>
      </w:r>
      <w:r>
        <w:rPr>
          <w:spacing w:val="-4"/>
          <w:sz w:val="30"/>
          <w:vertAlign w:val="baseline"/>
        </w:rPr>
        <w:t> </w:t>
      </w:r>
      <w:r>
        <w:rPr>
          <w:sz w:val="30"/>
          <w:vertAlign w:val="baseline"/>
        </w:rPr>
        <w:t>plus</w:t>
      </w:r>
      <w:r>
        <w:rPr>
          <w:spacing w:val="-4"/>
          <w:sz w:val="30"/>
          <w:vertAlign w:val="baseline"/>
        </w:rPr>
        <w:t> </w:t>
      </w:r>
      <w:r>
        <w:rPr>
          <w:sz w:val="30"/>
          <w:vertAlign w:val="baseline"/>
        </w:rPr>
        <w:t>ultrasound</w:t>
      </w:r>
      <w:r>
        <w:rPr>
          <w:spacing w:val="-4"/>
          <w:sz w:val="30"/>
          <w:vertAlign w:val="baseline"/>
        </w:rPr>
        <w:t> </w:t>
      </w:r>
      <w:r>
        <w:rPr>
          <w:sz w:val="30"/>
          <w:vertAlign w:val="baseline"/>
        </w:rPr>
        <w:t>10.4%.</w:t>
      </w:r>
      <w:r>
        <w:rPr>
          <w:spacing w:val="-5"/>
          <w:sz w:val="30"/>
          <w:vertAlign w:val="baseline"/>
        </w:rPr>
        <w:t> </w:t>
      </w:r>
      <w:r>
        <w:rPr>
          <w:b/>
          <w:sz w:val="30"/>
          <w:vertAlign w:val="baseline"/>
        </w:rPr>
        <w:t>Thus,</w:t>
      </w:r>
      <w:r>
        <w:rPr>
          <w:b/>
          <w:spacing w:val="-4"/>
          <w:sz w:val="30"/>
          <w:vertAlign w:val="baseline"/>
        </w:rPr>
        <w:t> </w:t>
      </w:r>
      <w:r>
        <w:rPr>
          <w:b/>
          <w:sz w:val="30"/>
          <w:vertAlign w:val="baseline"/>
        </w:rPr>
        <w:t>adding</w:t>
      </w:r>
      <w:r>
        <w:rPr>
          <w:b/>
          <w:spacing w:val="-4"/>
          <w:sz w:val="30"/>
          <w:vertAlign w:val="baseline"/>
        </w:rPr>
        <w:t> </w:t>
      </w:r>
      <w:r>
        <w:rPr>
          <w:b/>
          <w:sz w:val="30"/>
          <w:vertAlign w:val="baseline"/>
        </w:rPr>
        <w:t>ultrasound to mammography screening in high-risk women with dense breasts improved the sensitivity of screening but increased the rate of false-positive examinations. Breast cancer mortality was not an end point in this trial, but the fact that the cancers detected by ultrasound are usually asymptomatic, node negative, and not detected by mammography should yield a reduction in mortality.</w:t>
      </w:r>
    </w:p>
    <w:p>
      <w:pPr>
        <w:pStyle w:val="BodyText"/>
        <w:spacing w:line="249" w:lineRule="auto" w:before="21"/>
        <w:ind w:right="97" w:firstLine="450"/>
      </w:pPr>
      <w:r>
        <w:rPr/>
        <w:t>Ultrasound</w:t>
      </w:r>
      <w:r>
        <w:rPr>
          <w:spacing w:val="-7"/>
        </w:rPr>
        <w:t> </w:t>
      </w:r>
      <w:r>
        <w:rPr/>
        <w:t>screening</w:t>
      </w:r>
      <w:r>
        <w:rPr>
          <w:spacing w:val="-7"/>
        </w:rPr>
        <w:t> </w:t>
      </w:r>
      <w:r>
        <w:rPr/>
        <w:t>can</w:t>
      </w:r>
      <w:r>
        <w:rPr>
          <w:spacing w:val="-7"/>
        </w:rPr>
        <w:t> </w:t>
      </w:r>
      <w:r>
        <w:rPr/>
        <w:t>detect</w:t>
      </w:r>
      <w:r>
        <w:rPr>
          <w:spacing w:val="-7"/>
        </w:rPr>
        <w:t> </w:t>
      </w:r>
      <w:r>
        <w:rPr/>
        <w:t>cancers</w:t>
      </w:r>
      <w:r>
        <w:rPr>
          <w:spacing w:val="-7"/>
        </w:rPr>
        <w:t> </w:t>
      </w:r>
      <w:r>
        <w:rPr/>
        <w:t>not</w:t>
      </w:r>
      <w:r>
        <w:rPr>
          <w:spacing w:val="-7"/>
        </w:rPr>
        <w:t> </w:t>
      </w:r>
      <w:r>
        <w:rPr/>
        <w:t>seen</w:t>
      </w:r>
      <w:r>
        <w:rPr>
          <w:spacing w:val="-7"/>
        </w:rPr>
        <w:t> </w:t>
      </w:r>
      <w:r>
        <w:rPr/>
        <w:t>on</w:t>
      </w:r>
      <w:r>
        <w:rPr>
          <w:spacing w:val="-7"/>
        </w:rPr>
        <w:t> </w:t>
      </w:r>
      <w:r>
        <w:rPr/>
        <w:t>mammography,</w:t>
      </w:r>
      <w:r>
        <w:rPr>
          <w:spacing w:val="-7"/>
        </w:rPr>
        <w:t> </w:t>
      </w:r>
      <w:r>
        <w:rPr/>
        <w:t>and its performance is not affected by dense breast tissue. Adding ultrasound to a screening program seems straightforward, but its impact on mortality reduction has not been measured in a large trial. In the single-center studies of screening ultrasound that have been published, cancers have been found only by ultrasound, and most are small, early-stage tumors. An Italian multicenter study reported that 29 cancers were found by ultrasound in 6,449 women with dense breasts and negative mammograms.</w:t>
      </w:r>
      <w:r>
        <w:rPr>
          <w:vertAlign w:val="superscript"/>
        </w:rPr>
        <w:t>958</w:t>
      </w:r>
    </w:p>
    <w:p>
      <w:pPr>
        <w:pStyle w:val="BodyText"/>
        <w:spacing w:line="249" w:lineRule="auto" w:before="9"/>
        <w:ind w:right="99" w:firstLine="450"/>
      </w:pPr>
      <w:r>
        <w:rPr/>
        <w:t>The problem with all screening methods is a substantial rate of false positives. In the American study, 91.4% of suspicious ultrasound findings were</w:t>
      </w:r>
      <w:r>
        <w:rPr>
          <w:spacing w:val="-6"/>
        </w:rPr>
        <w:t> </w:t>
      </w:r>
      <w:r>
        <w:rPr/>
        <w:t>benign.</w:t>
      </w:r>
      <w:r>
        <w:rPr>
          <w:vertAlign w:val="superscript"/>
        </w:rPr>
        <w:t>957</w:t>
      </w:r>
      <w:r>
        <w:rPr>
          <w:vertAlign w:val="baseline"/>
        </w:rPr>
        <w:t> The positive predictive value for ultrasound was only </w:t>
      </w:r>
      <w:r>
        <w:rPr>
          <w:vertAlign w:val="baseline"/>
        </w:rPr>
        <w:t>8.6%, but the value for mammography was 14.7%. The crucial question is how many false positives are worth the gain in additional cancer diagnoses. In the American study, the gain was an additional 29% (the number of cancers detected only by ultrasound). In women with elevated risks, this seems </w:t>
      </w:r>
      <w:r>
        <w:rPr>
          <w:spacing w:val="-2"/>
          <w:vertAlign w:val="baseline"/>
        </w:rPr>
        <w:t>worthwhile.</w:t>
      </w:r>
    </w:p>
    <w:p>
      <w:pPr>
        <w:spacing w:line="249" w:lineRule="auto" w:before="10"/>
        <w:ind w:left="99" w:right="97" w:firstLine="450"/>
        <w:jc w:val="both"/>
        <w:rPr>
          <w:sz w:val="30"/>
        </w:rPr>
      </w:pPr>
      <w:r>
        <w:rPr>
          <w:b/>
          <w:sz w:val="30"/>
        </w:rPr>
        <w:t>Combining MRI with mammography yields a very high sensitivity, and this is now recommended for women at very high risk for breast cancer.</w:t>
      </w:r>
      <w:r>
        <w:rPr>
          <w:b/>
          <w:spacing w:val="-1"/>
          <w:sz w:val="30"/>
        </w:rPr>
        <w:t> </w:t>
      </w:r>
      <w:r>
        <w:rPr>
          <w:sz w:val="30"/>
        </w:rPr>
        <w:t>Breast MRI is</w:t>
      </w:r>
      <w:r>
        <w:rPr>
          <w:spacing w:val="-1"/>
          <w:sz w:val="30"/>
        </w:rPr>
        <w:t> </w:t>
      </w:r>
      <w:r>
        <w:rPr>
          <w:sz w:val="30"/>
        </w:rPr>
        <w:t>the most sensitive</w:t>
      </w:r>
      <w:r>
        <w:rPr>
          <w:spacing w:val="-1"/>
          <w:sz w:val="30"/>
        </w:rPr>
        <w:t> </w:t>
      </w:r>
      <w:r>
        <w:rPr>
          <w:sz w:val="30"/>
        </w:rPr>
        <w:t>technique, but it</w:t>
      </w:r>
      <w:r>
        <w:rPr>
          <w:spacing w:val="-1"/>
          <w:sz w:val="30"/>
        </w:rPr>
        <w:t> </w:t>
      </w:r>
      <w:r>
        <w:rPr>
          <w:sz w:val="30"/>
        </w:rPr>
        <w:t>is very </w:t>
      </w:r>
      <w:r>
        <w:rPr>
          <w:spacing w:val="-2"/>
          <w:sz w:val="30"/>
        </w:rPr>
        <w:t>expensive,</w:t>
      </w:r>
    </w:p>
    <w:p>
      <w:pPr>
        <w:spacing w:after="0" w:line="249" w:lineRule="auto"/>
        <w:jc w:val="both"/>
        <w:rPr>
          <w:sz w:val="30"/>
        </w:rPr>
        <w:sectPr>
          <w:pgSz w:w="12240" w:h="15840"/>
          <w:pgMar w:top="1380" w:bottom="280" w:left="1440" w:right="1440"/>
        </w:sectPr>
      </w:pPr>
    </w:p>
    <w:p>
      <w:pPr>
        <w:pStyle w:val="BodyText"/>
        <w:spacing w:line="249" w:lineRule="auto"/>
        <w:ind w:right="102"/>
      </w:pPr>
      <w:r>
        <w:rPr/>
        <w:t>requires the intravenous injection of contrast, and is not always tolerated by patients. Ultrasound has the advantage of being less expensive, easily tolerated, and widely available. Thus, the combination of ultrasound and mammography</w:t>
      </w:r>
      <w:r>
        <w:rPr>
          <w:spacing w:val="-4"/>
        </w:rPr>
        <w:t> </w:t>
      </w:r>
      <w:r>
        <w:rPr/>
        <w:t>seems</w:t>
      </w:r>
      <w:r>
        <w:rPr>
          <w:spacing w:val="-4"/>
        </w:rPr>
        <w:t> </w:t>
      </w:r>
      <w:r>
        <w:rPr/>
        <w:t>best</w:t>
      </w:r>
      <w:r>
        <w:rPr>
          <w:spacing w:val="-4"/>
        </w:rPr>
        <w:t> </w:t>
      </w:r>
      <w:r>
        <w:rPr/>
        <w:t>for</w:t>
      </w:r>
      <w:r>
        <w:rPr>
          <w:spacing w:val="-4"/>
        </w:rPr>
        <w:t> </w:t>
      </w:r>
      <w:r>
        <w:rPr/>
        <w:t>women</w:t>
      </w:r>
      <w:r>
        <w:rPr>
          <w:spacing w:val="-4"/>
        </w:rPr>
        <w:t> </w:t>
      </w:r>
      <w:r>
        <w:rPr/>
        <w:t>of</w:t>
      </w:r>
      <w:r>
        <w:rPr>
          <w:spacing w:val="-4"/>
        </w:rPr>
        <w:t> </w:t>
      </w:r>
      <w:r>
        <w:rPr/>
        <w:t>intermediate</w:t>
      </w:r>
      <w:r>
        <w:rPr>
          <w:spacing w:val="-4"/>
        </w:rPr>
        <w:t> </w:t>
      </w:r>
      <w:r>
        <w:rPr/>
        <w:t>risk.</w:t>
      </w:r>
      <w:r>
        <w:rPr>
          <w:spacing w:val="-5"/>
        </w:rPr>
        <w:t> </w:t>
      </w:r>
      <w:r>
        <w:rPr/>
        <w:t>Ultrasound</w:t>
      </w:r>
      <w:r>
        <w:rPr>
          <w:spacing w:val="-4"/>
        </w:rPr>
        <w:t> </w:t>
      </w:r>
      <w:r>
        <w:rPr/>
        <w:t>has</w:t>
      </w:r>
      <w:r>
        <w:rPr>
          <w:spacing w:val="-4"/>
        </w:rPr>
        <w:t> </w:t>
      </w:r>
      <w:r>
        <w:rPr/>
        <w:t>a disadvantage of not detecting ductal carcinoma in situ, which is detected by mammography and MRI.</w:t>
      </w:r>
    </w:p>
    <w:p>
      <w:pPr>
        <w:pStyle w:val="BodyText"/>
        <w:spacing w:line="249" w:lineRule="auto" w:before="7"/>
        <w:ind w:right="98" w:firstLine="450"/>
        <w:rPr>
          <w:b/>
        </w:rPr>
      </w:pPr>
      <w:r>
        <w:rPr/>
        <w:t>In general, supplemental screening for dense breasts (either ultrasound or MRI) will identify more breast cancers (invasive cancers), but it may come at the cost of increased false-positive rates and biopsies.</w:t>
      </w:r>
      <w:r>
        <w:rPr>
          <w:vertAlign w:val="superscript"/>
        </w:rPr>
        <w:t>959</w:t>
      </w:r>
      <w:r>
        <w:rPr>
          <w:vertAlign w:val="baseline"/>
        </w:rPr>
        <w:t> What </w:t>
      </w:r>
      <w:r>
        <w:rPr>
          <w:vertAlign w:val="baseline"/>
        </w:rPr>
        <w:t>is</w:t>
      </w:r>
      <w:r>
        <w:rPr>
          <w:spacing w:val="40"/>
          <w:vertAlign w:val="baseline"/>
        </w:rPr>
        <w:t> </w:t>
      </w:r>
      <w:r>
        <w:rPr>
          <w:vertAlign w:val="baseline"/>
        </w:rPr>
        <w:t>not known, however, is if cancers identified from ultrasound and MRI have improved</w:t>
      </w:r>
      <w:r>
        <w:rPr>
          <w:spacing w:val="-5"/>
          <w:vertAlign w:val="baseline"/>
        </w:rPr>
        <w:t> </w:t>
      </w:r>
      <w:r>
        <w:rPr>
          <w:vertAlign w:val="baseline"/>
        </w:rPr>
        <w:t>outcomes</w:t>
      </w:r>
      <w:r>
        <w:rPr>
          <w:spacing w:val="-5"/>
          <w:vertAlign w:val="baseline"/>
        </w:rPr>
        <w:t> </w:t>
      </w:r>
      <w:r>
        <w:rPr>
          <w:vertAlign w:val="baseline"/>
        </w:rPr>
        <w:t>and</w:t>
      </w:r>
      <w:r>
        <w:rPr>
          <w:spacing w:val="-5"/>
          <w:vertAlign w:val="baseline"/>
        </w:rPr>
        <w:t> </w:t>
      </w:r>
      <w:r>
        <w:rPr>
          <w:vertAlign w:val="baseline"/>
        </w:rPr>
        <w:t>reduced</w:t>
      </w:r>
      <w:r>
        <w:rPr>
          <w:spacing w:val="-5"/>
          <w:vertAlign w:val="baseline"/>
        </w:rPr>
        <w:t> </w:t>
      </w:r>
      <w:r>
        <w:rPr>
          <w:vertAlign w:val="baseline"/>
        </w:rPr>
        <w:t>mortality.</w:t>
      </w:r>
      <w:r>
        <w:rPr>
          <w:vertAlign w:val="superscript"/>
        </w:rPr>
        <w:t>959</w:t>
      </w:r>
      <w:r>
        <w:rPr>
          <w:spacing w:val="-12"/>
          <w:vertAlign w:val="baseline"/>
        </w:rPr>
        <w:t> </w:t>
      </w:r>
      <w:r>
        <w:rPr>
          <w:b/>
          <w:vertAlign w:val="baseline"/>
        </w:rPr>
        <w:t>Further</w:t>
      </w:r>
      <w:r>
        <w:rPr>
          <w:b/>
          <w:spacing w:val="-2"/>
          <w:vertAlign w:val="baseline"/>
        </w:rPr>
        <w:t> </w:t>
      </w:r>
      <w:r>
        <w:rPr>
          <w:b/>
          <w:vertAlign w:val="baseline"/>
        </w:rPr>
        <w:t>research</w:t>
      </w:r>
      <w:r>
        <w:rPr>
          <w:b/>
          <w:spacing w:val="-2"/>
          <w:vertAlign w:val="baseline"/>
        </w:rPr>
        <w:t> </w:t>
      </w:r>
      <w:r>
        <w:rPr>
          <w:b/>
          <w:vertAlign w:val="baseline"/>
        </w:rPr>
        <w:t>studies</w:t>
      </w:r>
      <w:r>
        <w:rPr>
          <w:b/>
          <w:spacing w:val="-2"/>
          <w:vertAlign w:val="baseline"/>
        </w:rPr>
        <w:t> </w:t>
      </w:r>
      <w:r>
        <w:rPr>
          <w:b/>
          <w:vertAlign w:val="baseline"/>
        </w:rPr>
        <w:t>are clearly needed.</w:t>
      </w:r>
    </w:p>
    <w:p>
      <w:pPr>
        <w:pStyle w:val="BodyText"/>
        <w:spacing w:before="0"/>
        <w:ind w:left="0"/>
        <w:jc w:val="left"/>
        <w:rPr>
          <w:b/>
          <w:sz w:val="33"/>
        </w:rPr>
      </w:pPr>
    </w:p>
    <w:p>
      <w:pPr>
        <w:pStyle w:val="BodyText"/>
        <w:spacing w:before="284"/>
        <w:ind w:left="0"/>
        <w:jc w:val="left"/>
        <w:rPr>
          <w:b/>
          <w:sz w:val="33"/>
        </w:rPr>
      </w:pPr>
    </w:p>
    <w:p>
      <w:pPr>
        <w:pStyle w:val="Heading2"/>
      </w:pPr>
      <w:r>
        <w:rPr/>
        <mc:AlternateContent>
          <mc:Choice Requires="wps">
            <w:drawing>
              <wp:anchor distT="0" distB="0" distL="0" distR="0" allowOverlap="1" layoutInCell="1" locked="0" behindDoc="1" simplePos="0" relativeHeight="484587520">
                <wp:simplePos x="0" y="0"/>
                <wp:positionH relativeFrom="page">
                  <wp:posOffset>981075</wp:posOffset>
                </wp:positionH>
                <wp:positionV relativeFrom="paragraph">
                  <wp:posOffset>-279552</wp:posOffset>
                </wp:positionV>
                <wp:extent cx="5810250" cy="424815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5810250" cy="4248150"/>
                          <a:chExt cx="5810250" cy="4248150"/>
                        </a:xfrm>
                      </wpg:grpSpPr>
                      <wps:wsp>
                        <wps:cNvPr id="268" name="Graphic 26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69" name="Graphic 269"/>
                        <wps:cNvSpPr/>
                        <wps:spPr>
                          <a:xfrm>
                            <a:off x="0" y="742949"/>
                            <a:ext cx="5810250" cy="3505200"/>
                          </a:xfrm>
                          <a:custGeom>
                            <a:avLst/>
                            <a:gdLst/>
                            <a:ahLst/>
                            <a:cxnLst/>
                            <a:rect l="l" t="t" r="r" b="b"/>
                            <a:pathLst>
                              <a:path w="5810250" h="3505200">
                                <a:moveTo>
                                  <a:pt x="0" y="3505199"/>
                                </a:moveTo>
                                <a:lnTo>
                                  <a:pt x="5810249" y="3505199"/>
                                </a:lnTo>
                                <a:lnTo>
                                  <a:pt x="5810249" y="0"/>
                                </a:lnTo>
                                <a:lnTo>
                                  <a:pt x="0" y="0"/>
                                </a:lnTo>
                                <a:lnTo>
                                  <a:pt x="0" y="3505199"/>
                                </a:lnTo>
                                <a:close/>
                              </a:path>
                            </a:pathLst>
                          </a:custGeom>
                          <a:solidFill>
                            <a:srgbClr val="E9F1CD"/>
                          </a:solidFill>
                        </wps:spPr>
                        <wps:bodyPr wrap="square" lIns="0" tIns="0" rIns="0" bIns="0" rtlCol="0">
                          <a:prstTxWarp prst="textNoShape">
                            <a:avLst/>
                          </a:prstTxWarp>
                          <a:noAutofit/>
                        </wps:bodyPr>
                      </wps:wsp>
                      <wps:wsp>
                        <wps:cNvPr id="270" name="Graphic 270"/>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71" name="Graphic 271"/>
                        <wps:cNvSpPr/>
                        <wps:spPr>
                          <a:xfrm>
                            <a:off x="209549" y="228646"/>
                            <a:ext cx="371475" cy="57150"/>
                          </a:xfrm>
                          <a:custGeom>
                            <a:avLst/>
                            <a:gdLst/>
                            <a:ahLst/>
                            <a:cxnLst/>
                            <a:rect l="l" t="t" r="r" b="b"/>
                            <a:pathLst>
                              <a:path w="371475" h="57150">
                                <a:moveTo>
                                  <a:pt x="32364" y="57073"/>
                                </a:moveTo>
                                <a:lnTo>
                                  <a:pt x="24785" y="57073"/>
                                </a:lnTo>
                                <a:lnTo>
                                  <a:pt x="21140" y="56254"/>
                                </a:lnTo>
                                <a:lnTo>
                                  <a:pt x="0" y="32223"/>
                                </a:lnTo>
                                <a:lnTo>
                                  <a:pt x="0" y="24631"/>
                                </a:lnTo>
                                <a:lnTo>
                                  <a:pt x="725" y="20983"/>
                                </a:lnTo>
                                <a:lnTo>
                                  <a:pt x="2175" y="17487"/>
                                </a:lnTo>
                                <a:lnTo>
                                  <a:pt x="3625" y="13916"/>
                                </a:lnTo>
                                <a:lnTo>
                                  <a:pt x="5689" y="10868"/>
                                </a:lnTo>
                                <a:lnTo>
                                  <a:pt x="8369" y="8258"/>
                                </a:lnTo>
                                <a:lnTo>
                                  <a:pt x="11048" y="5581"/>
                                </a:lnTo>
                                <a:lnTo>
                                  <a:pt x="14138" y="3495"/>
                                </a:lnTo>
                                <a:lnTo>
                                  <a:pt x="21140" y="666"/>
                                </a:lnTo>
                                <a:lnTo>
                                  <a:pt x="24785" y="0"/>
                                </a:lnTo>
                                <a:lnTo>
                                  <a:pt x="32364" y="0"/>
                                </a:lnTo>
                                <a:lnTo>
                                  <a:pt x="36009" y="666"/>
                                </a:lnTo>
                                <a:lnTo>
                                  <a:pt x="43011" y="3495"/>
                                </a:lnTo>
                                <a:lnTo>
                                  <a:pt x="46101" y="5581"/>
                                </a:lnTo>
                                <a:lnTo>
                                  <a:pt x="48780" y="8258"/>
                                </a:lnTo>
                                <a:lnTo>
                                  <a:pt x="51459" y="10868"/>
                                </a:lnTo>
                                <a:lnTo>
                                  <a:pt x="53524" y="13916"/>
                                </a:lnTo>
                                <a:lnTo>
                                  <a:pt x="54974" y="17487"/>
                                </a:lnTo>
                                <a:lnTo>
                                  <a:pt x="56424" y="20983"/>
                                </a:lnTo>
                                <a:lnTo>
                                  <a:pt x="57149" y="24631"/>
                                </a:lnTo>
                                <a:lnTo>
                                  <a:pt x="57149" y="32223"/>
                                </a:lnTo>
                                <a:lnTo>
                                  <a:pt x="36009" y="56254"/>
                                </a:lnTo>
                                <a:lnTo>
                                  <a:pt x="32364" y="57073"/>
                                </a:lnTo>
                                <a:close/>
                              </a:path>
                              <a:path w="371475" h="57150">
                                <a:moveTo>
                                  <a:pt x="137044" y="57073"/>
                                </a:moveTo>
                                <a:lnTo>
                                  <a:pt x="129465" y="57073"/>
                                </a:lnTo>
                                <a:lnTo>
                                  <a:pt x="125820" y="56254"/>
                                </a:lnTo>
                                <a:lnTo>
                                  <a:pt x="104679" y="32223"/>
                                </a:lnTo>
                                <a:lnTo>
                                  <a:pt x="104679" y="24631"/>
                                </a:lnTo>
                                <a:lnTo>
                                  <a:pt x="105404" y="20983"/>
                                </a:lnTo>
                                <a:lnTo>
                                  <a:pt x="106854" y="17487"/>
                                </a:lnTo>
                                <a:lnTo>
                                  <a:pt x="108304" y="13916"/>
                                </a:lnTo>
                                <a:lnTo>
                                  <a:pt x="110369" y="10868"/>
                                </a:lnTo>
                                <a:lnTo>
                                  <a:pt x="113049" y="8258"/>
                                </a:lnTo>
                                <a:lnTo>
                                  <a:pt x="115728" y="5581"/>
                                </a:lnTo>
                                <a:lnTo>
                                  <a:pt x="118818" y="3495"/>
                                </a:lnTo>
                                <a:lnTo>
                                  <a:pt x="125820" y="666"/>
                                </a:lnTo>
                                <a:lnTo>
                                  <a:pt x="129465" y="0"/>
                                </a:lnTo>
                                <a:lnTo>
                                  <a:pt x="137044" y="0"/>
                                </a:lnTo>
                                <a:lnTo>
                                  <a:pt x="140689" y="666"/>
                                </a:lnTo>
                                <a:lnTo>
                                  <a:pt x="147690" y="3495"/>
                                </a:lnTo>
                                <a:lnTo>
                                  <a:pt x="150780" y="5581"/>
                                </a:lnTo>
                                <a:lnTo>
                                  <a:pt x="153460" y="8258"/>
                                </a:lnTo>
                                <a:lnTo>
                                  <a:pt x="156139" y="10868"/>
                                </a:lnTo>
                                <a:lnTo>
                                  <a:pt x="158204" y="13916"/>
                                </a:lnTo>
                                <a:lnTo>
                                  <a:pt x="159654" y="17487"/>
                                </a:lnTo>
                                <a:lnTo>
                                  <a:pt x="161104" y="20983"/>
                                </a:lnTo>
                                <a:lnTo>
                                  <a:pt x="161829" y="24631"/>
                                </a:lnTo>
                                <a:lnTo>
                                  <a:pt x="161829" y="32223"/>
                                </a:lnTo>
                                <a:lnTo>
                                  <a:pt x="140689" y="56254"/>
                                </a:lnTo>
                                <a:lnTo>
                                  <a:pt x="137044" y="57073"/>
                                </a:lnTo>
                                <a:close/>
                              </a:path>
                              <a:path w="371475" h="57150">
                                <a:moveTo>
                                  <a:pt x="241723" y="57073"/>
                                </a:moveTo>
                                <a:lnTo>
                                  <a:pt x="234145" y="57073"/>
                                </a:lnTo>
                                <a:lnTo>
                                  <a:pt x="230500" y="56254"/>
                                </a:lnTo>
                                <a:lnTo>
                                  <a:pt x="209359" y="32223"/>
                                </a:lnTo>
                                <a:lnTo>
                                  <a:pt x="209359" y="24631"/>
                                </a:lnTo>
                                <a:lnTo>
                                  <a:pt x="210084" y="20983"/>
                                </a:lnTo>
                                <a:lnTo>
                                  <a:pt x="211534" y="17487"/>
                                </a:lnTo>
                                <a:lnTo>
                                  <a:pt x="212984" y="13916"/>
                                </a:lnTo>
                                <a:lnTo>
                                  <a:pt x="215049" y="10868"/>
                                </a:lnTo>
                                <a:lnTo>
                                  <a:pt x="217728" y="8258"/>
                                </a:lnTo>
                                <a:lnTo>
                                  <a:pt x="220408" y="5581"/>
                                </a:lnTo>
                                <a:lnTo>
                                  <a:pt x="223498" y="3495"/>
                                </a:lnTo>
                                <a:lnTo>
                                  <a:pt x="230500" y="666"/>
                                </a:lnTo>
                                <a:lnTo>
                                  <a:pt x="234145" y="0"/>
                                </a:lnTo>
                                <a:lnTo>
                                  <a:pt x="241723" y="0"/>
                                </a:lnTo>
                                <a:lnTo>
                                  <a:pt x="245368" y="666"/>
                                </a:lnTo>
                                <a:lnTo>
                                  <a:pt x="252370" y="3495"/>
                                </a:lnTo>
                                <a:lnTo>
                                  <a:pt x="255460" y="5581"/>
                                </a:lnTo>
                                <a:lnTo>
                                  <a:pt x="258140" y="8258"/>
                                </a:lnTo>
                                <a:lnTo>
                                  <a:pt x="260819" y="10868"/>
                                </a:lnTo>
                                <a:lnTo>
                                  <a:pt x="262884" y="13916"/>
                                </a:lnTo>
                                <a:lnTo>
                                  <a:pt x="264334" y="17487"/>
                                </a:lnTo>
                                <a:lnTo>
                                  <a:pt x="265784" y="20983"/>
                                </a:lnTo>
                                <a:lnTo>
                                  <a:pt x="266509" y="24631"/>
                                </a:lnTo>
                                <a:lnTo>
                                  <a:pt x="266509" y="32223"/>
                                </a:lnTo>
                                <a:lnTo>
                                  <a:pt x="245368" y="56254"/>
                                </a:lnTo>
                                <a:lnTo>
                                  <a:pt x="241723" y="57073"/>
                                </a:lnTo>
                                <a:close/>
                              </a:path>
                              <a:path w="371475" h="57150">
                                <a:moveTo>
                                  <a:pt x="346403" y="57073"/>
                                </a:moveTo>
                                <a:lnTo>
                                  <a:pt x="338824" y="57073"/>
                                </a:lnTo>
                                <a:lnTo>
                                  <a:pt x="335179" y="56254"/>
                                </a:lnTo>
                                <a:lnTo>
                                  <a:pt x="314039" y="32223"/>
                                </a:lnTo>
                                <a:lnTo>
                                  <a:pt x="314039" y="24631"/>
                                </a:lnTo>
                                <a:lnTo>
                                  <a:pt x="314764" y="20983"/>
                                </a:lnTo>
                                <a:lnTo>
                                  <a:pt x="316214" y="17487"/>
                                </a:lnTo>
                                <a:lnTo>
                                  <a:pt x="317664" y="13916"/>
                                </a:lnTo>
                                <a:lnTo>
                                  <a:pt x="319729" y="10868"/>
                                </a:lnTo>
                                <a:lnTo>
                                  <a:pt x="322408" y="8258"/>
                                </a:lnTo>
                                <a:lnTo>
                                  <a:pt x="325088" y="5581"/>
                                </a:lnTo>
                                <a:lnTo>
                                  <a:pt x="328178" y="3495"/>
                                </a:lnTo>
                                <a:lnTo>
                                  <a:pt x="335179" y="666"/>
                                </a:lnTo>
                                <a:lnTo>
                                  <a:pt x="338824" y="0"/>
                                </a:lnTo>
                                <a:lnTo>
                                  <a:pt x="346403" y="0"/>
                                </a:lnTo>
                                <a:lnTo>
                                  <a:pt x="350048" y="666"/>
                                </a:lnTo>
                                <a:lnTo>
                                  <a:pt x="357050" y="3495"/>
                                </a:lnTo>
                                <a:lnTo>
                                  <a:pt x="360140" y="5581"/>
                                </a:lnTo>
                                <a:lnTo>
                                  <a:pt x="362819" y="8258"/>
                                </a:lnTo>
                                <a:lnTo>
                                  <a:pt x="365499" y="10868"/>
                                </a:lnTo>
                                <a:lnTo>
                                  <a:pt x="367563" y="13916"/>
                                </a:lnTo>
                                <a:lnTo>
                                  <a:pt x="369014" y="17487"/>
                                </a:lnTo>
                                <a:lnTo>
                                  <a:pt x="370464" y="20983"/>
                                </a:lnTo>
                                <a:lnTo>
                                  <a:pt x="371189" y="24631"/>
                                </a:lnTo>
                                <a:lnTo>
                                  <a:pt x="371189" y="32223"/>
                                </a:lnTo>
                                <a:lnTo>
                                  <a:pt x="350048" y="56254"/>
                                </a:lnTo>
                                <a:lnTo>
                                  <a:pt x="346403" y="57073"/>
                                </a:lnTo>
                                <a:close/>
                              </a:path>
                            </a:pathLst>
                          </a:custGeom>
                          <a:solidFill>
                            <a:srgbClr val="D0E399"/>
                          </a:solidFill>
                        </wps:spPr>
                        <wps:bodyPr wrap="square" lIns="0" tIns="0" rIns="0" bIns="0" rtlCol="0">
                          <a:prstTxWarp prst="textNoShape">
                            <a:avLst/>
                          </a:prstTxWarp>
                          <a:noAutofit/>
                        </wps:bodyPr>
                      </wps:wsp>
                      <wps:wsp>
                        <wps:cNvPr id="272" name="Graphic 272"/>
                        <wps:cNvSpPr/>
                        <wps:spPr>
                          <a:xfrm>
                            <a:off x="133337" y="1000130"/>
                            <a:ext cx="47625" cy="2466975"/>
                          </a:xfrm>
                          <a:custGeom>
                            <a:avLst/>
                            <a:gdLst/>
                            <a:ahLst/>
                            <a:cxnLst/>
                            <a:rect l="l" t="t" r="r" b="b"/>
                            <a:pathLst>
                              <a:path w="47625" h="2466975">
                                <a:moveTo>
                                  <a:pt x="47625" y="2439886"/>
                                </a:moveTo>
                                <a:lnTo>
                                  <a:pt x="47028" y="2436838"/>
                                </a:lnTo>
                                <a:lnTo>
                                  <a:pt x="44615" y="2431034"/>
                                </a:lnTo>
                                <a:lnTo>
                                  <a:pt x="42887" y="2428430"/>
                                </a:lnTo>
                                <a:lnTo>
                                  <a:pt x="40652" y="2426271"/>
                                </a:lnTo>
                                <a:lnTo>
                                  <a:pt x="38430" y="2423960"/>
                                </a:lnTo>
                                <a:lnTo>
                                  <a:pt x="35852" y="2422258"/>
                                </a:lnTo>
                                <a:lnTo>
                                  <a:pt x="30010" y="2419947"/>
                                </a:lnTo>
                                <a:lnTo>
                                  <a:pt x="26974" y="2419350"/>
                                </a:lnTo>
                                <a:lnTo>
                                  <a:pt x="20662" y="2419350"/>
                                </a:lnTo>
                                <a:lnTo>
                                  <a:pt x="17627" y="2419947"/>
                                </a:lnTo>
                                <a:lnTo>
                                  <a:pt x="11785" y="2422258"/>
                                </a:lnTo>
                                <a:lnTo>
                                  <a:pt x="9207" y="2423960"/>
                                </a:lnTo>
                                <a:lnTo>
                                  <a:pt x="6985" y="2426271"/>
                                </a:lnTo>
                                <a:lnTo>
                                  <a:pt x="4749" y="2428430"/>
                                </a:lnTo>
                                <a:lnTo>
                                  <a:pt x="3022" y="2430957"/>
                                </a:lnTo>
                                <a:lnTo>
                                  <a:pt x="609" y="2436761"/>
                                </a:lnTo>
                                <a:lnTo>
                                  <a:pt x="0" y="2439886"/>
                                </a:lnTo>
                                <a:lnTo>
                                  <a:pt x="0" y="2446210"/>
                                </a:lnTo>
                                <a:lnTo>
                                  <a:pt x="23812" y="2466975"/>
                                </a:lnTo>
                                <a:lnTo>
                                  <a:pt x="26974" y="2466898"/>
                                </a:lnTo>
                                <a:lnTo>
                                  <a:pt x="47625" y="2446210"/>
                                </a:lnTo>
                                <a:lnTo>
                                  <a:pt x="47625" y="2443162"/>
                                </a:lnTo>
                                <a:lnTo>
                                  <a:pt x="47625" y="2439886"/>
                                </a:lnTo>
                                <a:close/>
                              </a:path>
                              <a:path w="47625" h="2466975">
                                <a:moveTo>
                                  <a:pt x="47625" y="1582635"/>
                                </a:moveTo>
                                <a:lnTo>
                                  <a:pt x="47028" y="1579587"/>
                                </a:lnTo>
                                <a:lnTo>
                                  <a:pt x="44615" y="1573707"/>
                                </a:lnTo>
                                <a:lnTo>
                                  <a:pt x="42887" y="1571180"/>
                                </a:lnTo>
                                <a:lnTo>
                                  <a:pt x="40652" y="1569021"/>
                                </a:lnTo>
                                <a:lnTo>
                                  <a:pt x="38430" y="1566710"/>
                                </a:lnTo>
                                <a:lnTo>
                                  <a:pt x="35852" y="1565008"/>
                                </a:lnTo>
                                <a:lnTo>
                                  <a:pt x="32931" y="1563738"/>
                                </a:lnTo>
                                <a:lnTo>
                                  <a:pt x="30010" y="1562620"/>
                                </a:lnTo>
                                <a:lnTo>
                                  <a:pt x="26974" y="1562100"/>
                                </a:lnTo>
                                <a:lnTo>
                                  <a:pt x="20662" y="1562100"/>
                                </a:lnTo>
                                <a:lnTo>
                                  <a:pt x="17627" y="1562696"/>
                                </a:lnTo>
                                <a:lnTo>
                                  <a:pt x="11785" y="1565008"/>
                                </a:lnTo>
                                <a:lnTo>
                                  <a:pt x="9207" y="1566710"/>
                                </a:lnTo>
                                <a:lnTo>
                                  <a:pt x="6985" y="1569021"/>
                                </a:lnTo>
                                <a:lnTo>
                                  <a:pt x="4749" y="1571180"/>
                                </a:lnTo>
                                <a:lnTo>
                                  <a:pt x="3022" y="1573707"/>
                                </a:lnTo>
                                <a:lnTo>
                                  <a:pt x="609" y="1579511"/>
                                </a:lnTo>
                                <a:lnTo>
                                  <a:pt x="0" y="1582635"/>
                                </a:lnTo>
                                <a:lnTo>
                                  <a:pt x="0" y="1588960"/>
                                </a:lnTo>
                                <a:lnTo>
                                  <a:pt x="23812" y="1609725"/>
                                </a:lnTo>
                                <a:lnTo>
                                  <a:pt x="26974" y="1609648"/>
                                </a:lnTo>
                                <a:lnTo>
                                  <a:pt x="47625" y="1588960"/>
                                </a:lnTo>
                                <a:lnTo>
                                  <a:pt x="47625" y="1585912"/>
                                </a:lnTo>
                                <a:lnTo>
                                  <a:pt x="47625" y="1582635"/>
                                </a:lnTo>
                                <a:close/>
                              </a:path>
                              <a:path w="47625" h="2466975">
                                <a:moveTo>
                                  <a:pt x="47625" y="20612"/>
                                </a:moveTo>
                                <a:lnTo>
                                  <a:pt x="26974" y="0"/>
                                </a:lnTo>
                                <a:lnTo>
                                  <a:pt x="20662" y="0"/>
                                </a:lnTo>
                                <a:lnTo>
                                  <a:pt x="0" y="20612"/>
                                </a:lnTo>
                                <a:lnTo>
                                  <a:pt x="0" y="26860"/>
                                </a:lnTo>
                                <a:lnTo>
                                  <a:pt x="23812" y="47625"/>
                                </a:lnTo>
                                <a:lnTo>
                                  <a:pt x="26974" y="47548"/>
                                </a:lnTo>
                                <a:lnTo>
                                  <a:pt x="47625" y="26860"/>
                                </a:lnTo>
                                <a:lnTo>
                                  <a:pt x="47625" y="23812"/>
                                </a:lnTo>
                                <a:lnTo>
                                  <a:pt x="47625" y="20612"/>
                                </a:lnTo>
                                <a:close/>
                              </a:path>
                            </a:pathLst>
                          </a:custGeom>
                          <a:solidFill>
                            <a:srgbClr val="2B816F"/>
                          </a:solidFill>
                        </wps:spPr>
                        <wps:bodyPr wrap="square" lIns="0" tIns="0" rIns="0" bIns="0" rtlCol="0">
                          <a:prstTxWarp prst="textNoShape">
                            <a:avLst/>
                          </a:prstTxWarp>
                          <a:noAutofit/>
                        </wps:bodyPr>
                      </wps:wsp>
                    </wpg:wgp>
                  </a:graphicData>
                </a:graphic>
              </wp:anchor>
            </w:drawing>
          </mc:Choice>
          <mc:Fallback>
            <w:pict>
              <v:group style="position:absolute;margin-left:77.25pt;margin-top:-22.011972pt;width:457.5pt;height:334.5pt;mso-position-horizontal-relative:page;mso-position-vertical-relative:paragraph;z-index:-18728960" id="docshapegroup244" coordorigin="1545,-440" coordsize="9150,6690">
                <v:rect style="position:absolute;left:1545;top:-441;width:9150;height:30" id="docshape245" filled="true" fillcolor="#d5e699" stroked="false">
                  <v:fill type="solid"/>
                </v:rect>
                <v:rect style="position:absolute;left:1545;top:729;width:9150;height:5520" id="docshape246" filled="true" fillcolor="#e9f1cd" stroked="false">
                  <v:fill type="solid"/>
                </v:rect>
                <v:rect style="position:absolute;left:1545;top:-351;width:9150;height:1080" id="docshape247" filled="true" fillcolor="#2b816f" stroked="false">
                  <v:fill type="solid"/>
                </v:rect>
                <v:shape style="position:absolute;left:1875;top:-81;width:585;height:90" id="docshape248" coordorigin="1875,-80" coordsize="585,90" path="m1926,10l1914,10,1908,8,1897,4,1892,1,1884,-8,1881,-13,1876,-24,1875,-29,1875,-41,1876,-47,1878,-53,1881,-58,1884,-63,1888,-67,1892,-71,1897,-75,1908,-79,1914,-80,1926,-80,1932,-79,1943,-75,1948,-71,1952,-67,1956,-63,1959,-58,1962,-53,1964,-47,1965,-41,1965,-29,1964,-24,1959,-13,1956,-8,1948,1,1943,4,1932,8,1926,10xm2091,10l2079,10,2073,8,2062,4,2057,1,2049,-8,2046,-13,2041,-24,2040,-29,2040,-41,2041,-47,2043,-53,2046,-58,2049,-63,2053,-67,2057,-71,2062,-75,2073,-79,2079,-80,2091,-80,2097,-79,2108,-75,2112,-71,2117,-67,2121,-63,2124,-58,2126,-53,2129,-47,2130,-41,2130,-29,2129,-24,2124,-13,2121,-8,2112,1,2108,4,2097,8,2091,10xm2256,10l2244,10,2238,8,2227,4,2222,1,2214,-8,2210,-13,2206,-24,2205,-29,2205,-41,2206,-47,2208,-53,2210,-58,2214,-63,2218,-67,2222,-71,2227,-75,2238,-79,2244,-80,2256,-80,2261,-79,2272,-75,2277,-71,2282,-67,2286,-63,2289,-58,2291,-53,2294,-47,2295,-41,2295,-29,2294,-24,2289,-13,2286,-8,2277,1,2272,4,2261,8,2256,10xm2421,10l2409,10,2403,8,2392,4,2387,1,2379,-8,2375,-13,2371,-24,2370,-29,2370,-41,2371,-47,2373,-53,2375,-58,2379,-63,2383,-67,2387,-71,2392,-75,2403,-79,2409,-80,2421,-80,2426,-79,2437,-75,2442,-71,2446,-67,2451,-63,2454,-58,2456,-53,2458,-47,2460,-41,2460,-29,2458,-24,2454,-13,2451,-8,2442,1,2437,4,2426,8,2421,10xe" filled="true" fillcolor="#d0e399" stroked="false">
                  <v:path arrowok="t"/>
                  <v:fill type="solid"/>
                </v:shape>
                <v:shape style="position:absolute;left:1754;top:1134;width:75;height:3885" id="docshape249" coordorigin="1755,1135" coordsize="75,3885" path="m1830,4977l1829,4972,1825,4963,1823,4959,1819,4956,1816,4952,1811,4949,1802,4946,1797,4945,1788,4945,1783,4946,1774,4949,1769,4952,1766,4956,1762,4959,1760,4963,1756,4972,1755,4977,1755,4987,1756,4992,1760,5001,1762,5005,1766,5009,1769,5012,1774,5015,1783,5019,1788,5020,1792,5020,1797,5020,1802,5019,1811,5015,1816,5012,1819,5009,1823,5005,1825,5001,1829,4992,1830,4987,1830,4982,1830,4977xm1830,3627l1829,3622,1825,3613,1823,3609,1819,3606,1816,3602,1811,3599,1807,3597,1802,3596,1797,3595,1788,3595,1783,3596,1774,3599,1769,3602,1766,3606,1762,3609,1760,3613,1756,3622,1755,3627,1755,3637,1756,3642,1760,3651,1762,3655,1766,3659,1769,3662,1774,3665,1783,3669,1788,3670,1792,3670,1797,3670,1802,3669,1811,3665,1816,3662,1819,3659,1823,3655,1825,3651,1829,3642,1830,3637,1830,3632,1830,3627xm1830,1167l1829,1162,1825,1153,1823,1149,1816,1142,1811,1139,1802,1136,1797,1135,1788,1135,1783,1136,1778,1137,1774,1139,1769,1142,1762,1149,1760,1153,1756,1162,1755,1167,1755,1177,1756,1182,1760,1191,1762,1195,1766,1199,1769,1202,1774,1205,1783,1209,1788,1210,1792,1210,1797,1210,1802,1209,1811,1205,1816,1202,1819,1199,1823,1195,1825,1191,1829,1182,1830,1177,1830,1172,1830,1167xe" filled="true" fillcolor="#2b816f" stroked="false">
                  <v:path arrowok="t"/>
                  <v:fill type="solid"/>
                </v:shape>
                <w10:wrap type="none"/>
              </v:group>
            </w:pict>
          </mc:Fallback>
        </mc:AlternateContent>
      </w:r>
      <w:r>
        <w:rPr>
          <w:color w:val="FFFFFF"/>
        </w:rPr>
        <w:t>Key</w:t>
      </w:r>
      <w:r>
        <w:rPr>
          <w:color w:val="FFFFFF"/>
          <w:spacing w:val="27"/>
        </w:rPr>
        <w:t> </w:t>
      </w:r>
      <w:r>
        <w:rPr>
          <w:color w:val="FFFFFF"/>
        </w:rPr>
        <w:t>Points:</w:t>
      </w:r>
      <w:r>
        <w:rPr>
          <w:color w:val="FFFFFF"/>
          <w:spacing w:val="27"/>
        </w:rPr>
        <w:t> </w:t>
      </w:r>
      <w:r>
        <w:rPr>
          <w:color w:val="FFFFFF"/>
        </w:rPr>
        <w:t>Mammography</w:t>
      </w:r>
      <w:r>
        <w:rPr>
          <w:color w:val="FFFFFF"/>
          <w:spacing w:val="27"/>
        </w:rPr>
        <w:t> </w:t>
      </w:r>
      <w:r>
        <w:rPr>
          <w:color w:val="FFFFFF"/>
          <w:spacing w:val="-2"/>
        </w:rPr>
        <w:t>Screening</w:t>
      </w:r>
    </w:p>
    <w:p>
      <w:pPr>
        <w:pStyle w:val="BodyText"/>
        <w:spacing w:before="0"/>
        <w:ind w:left="0"/>
        <w:jc w:val="left"/>
        <w:rPr>
          <w:rFonts w:ascii="Arial"/>
          <w:sz w:val="22"/>
        </w:rPr>
      </w:pPr>
    </w:p>
    <w:p>
      <w:pPr>
        <w:pStyle w:val="BodyText"/>
        <w:spacing w:before="149"/>
        <w:ind w:left="0"/>
        <w:jc w:val="left"/>
        <w:rPr>
          <w:rFonts w:ascii="Arial"/>
          <w:sz w:val="22"/>
        </w:rPr>
      </w:pPr>
    </w:p>
    <w:p>
      <w:pPr>
        <w:spacing w:line="254" w:lineRule="auto" w:before="0"/>
        <w:ind w:left="549" w:right="848" w:firstLine="0"/>
        <w:jc w:val="both"/>
        <w:rPr>
          <w:position w:val="9"/>
          <w:sz w:val="17"/>
        </w:rPr>
      </w:pPr>
      <w:r>
        <w:rPr>
          <w:b/>
          <w:sz w:val="22"/>
        </w:rPr>
        <w:t>There is sufficient evidence to support utilizing more than one screening technique </w:t>
      </w:r>
      <w:r>
        <w:rPr>
          <w:sz w:val="22"/>
        </w:rPr>
        <w:t>(</w:t>
      </w:r>
      <w:r>
        <w:rPr>
          <w:b/>
          <w:sz w:val="22"/>
        </w:rPr>
        <w:t>mammography, ultrasound, and MRI</w:t>
      </w:r>
      <w:r>
        <w:rPr>
          <w:sz w:val="22"/>
        </w:rPr>
        <w:t>) </w:t>
      </w:r>
      <w:r>
        <w:rPr>
          <w:b/>
          <w:sz w:val="22"/>
        </w:rPr>
        <w:t>for high-risk patients defined as a combination of factors that produces a 3-fold increase in risk, especially in women with radiographically dense breast tissue. Thus far, over 90% of cancers detected only on ultrasound have been in women with dense breasts. Therefore, it seems advisable</w:t>
      </w:r>
      <w:r>
        <w:rPr>
          <w:b/>
          <w:spacing w:val="40"/>
          <w:sz w:val="22"/>
        </w:rPr>
        <w:t> </w:t>
      </w:r>
      <w:r>
        <w:rPr>
          <w:b/>
          <w:sz w:val="22"/>
        </w:rPr>
        <w:t>to</w:t>
      </w:r>
      <w:r>
        <w:rPr>
          <w:b/>
          <w:spacing w:val="40"/>
          <w:sz w:val="22"/>
        </w:rPr>
        <w:t> </w:t>
      </w:r>
      <w:r>
        <w:rPr>
          <w:b/>
          <w:sz w:val="22"/>
        </w:rPr>
        <w:t>add</w:t>
      </w:r>
      <w:r>
        <w:rPr>
          <w:b/>
          <w:spacing w:val="40"/>
          <w:sz w:val="22"/>
        </w:rPr>
        <w:t> </w:t>
      </w:r>
      <w:r>
        <w:rPr>
          <w:b/>
          <w:sz w:val="22"/>
        </w:rPr>
        <w:t>ultrasonography</w:t>
      </w:r>
      <w:r>
        <w:rPr>
          <w:b/>
          <w:spacing w:val="40"/>
          <w:sz w:val="22"/>
        </w:rPr>
        <w:t> </w:t>
      </w:r>
      <w:r>
        <w:rPr>
          <w:b/>
          <w:sz w:val="22"/>
        </w:rPr>
        <w:t>to</w:t>
      </w:r>
      <w:r>
        <w:rPr>
          <w:b/>
          <w:spacing w:val="40"/>
          <w:sz w:val="22"/>
        </w:rPr>
        <w:t> </w:t>
      </w:r>
      <w:r>
        <w:rPr>
          <w:b/>
          <w:sz w:val="22"/>
        </w:rPr>
        <w:t>mammography</w:t>
      </w:r>
      <w:r>
        <w:rPr>
          <w:b/>
          <w:spacing w:val="40"/>
          <w:sz w:val="22"/>
        </w:rPr>
        <w:t> </w:t>
      </w:r>
      <w:r>
        <w:rPr>
          <w:b/>
          <w:sz w:val="22"/>
        </w:rPr>
        <w:t>for</w:t>
      </w:r>
      <w:r>
        <w:rPr>
          <w:b/>
          <w:spacing w:val="40"/>
          <w:sz w:val="22"/>
        </w:rPr>
        <w:t> </w:t>
      </w:r>
      <w:r>
        <w:rPr>
          <w:b/>
          <w:sz w:val="22"/>
        </w:rPr>
        <w:t>hormone</w:t>
      </w:r>
      <w:r>
        <w:rPr>
          <w:b/>
          <w:spacing w:val="40"/>
          <w:sz w:val="22"/>
        </w:rPr>
        <w:t> </w:t>
      </w:r>
      <w:r>
        <w:rPr>
          <w:b/>
          <w:sz w:val="22"/>
        </w:rPr>
        <w:t>users</w:t>
      </w:r>
      <w:r>
        <w:rPr>
          <w:b/>
          <w:spacing w:val="40"/>
          <w:sz w:val="22"/>
        </w:rPr>
        <w:t> </w:t>
      </w:r>
      <w:r>
        <w:rPr>
          <w:b/>
          <w:sz w:val="22"/>
        </w:rPr>
        <w:t>who develop</w:t>
      </w:r>
      <w:r>
        <w:rPr>
          <w:b/>
          <w:spacing w:val="24"/>
          <w:sz w:val="22"/>
        </w:rPr>
        <w:t> </w:t>
      </w:r>
      <w:r>
        <w:rPr>
          <w:b/>
          <w:sz w:val="22"/>
        </w:rPr>
        <w:t>dense</w:t>
      </w:r>
      <w:r>
        <w:rPr>
          <w:b/>
          <w:spacing w:val="24"/>
          <w:sz w:val="22"/>
        </w:rPr>
        <w:t> </w:t>
      </w:r>
      <w:r>
        <w:rPr>
          <w:b/>
          <w:sz w:val="22"/>
        </w:rPr>
        <w:t>breasts,</w:t>
      </w:r>
      <w:r>
        <w:rPr>
          <w:b/>
          <w:spacing w:val="24"/>
          <w:sz w:val="22"/>
        </w:rPr>
        <w:t> </w:t>
      </w:r>
      <w:r>
        <w:rPr>
          <w:b/>
          <w:sz w:val="22"/>
        </w:rPr>
        <w:t>and</w:t>
      </w:r>
      <w:r>
        <w:rPr>
          <w:b/>
          <w:spacing w:val="24"/>
          <w:sz w:val="22"/>
        </w:rPr>
        <w:t> </w:t>
      </w:r>
      <w:r>
        <w:rPr>
          <w:b/>
          <w:sz w:val="22"/>
        </w:rPr>
        <w:t>the</w:t>
      </w:r>
      <w:r>
        <w:rPr>
          <w:b/>
          <w:spacing w:val="24"/>
          <w:sz w:val="22"/>
        </w:rPr>
        <w:t> </w:t>
      </w:r>
      <w:r>
        <w:rPr>
          <w:b/>
          <w:sz w:val="22"/>
        </w:rPr>
        <w:t>density</w:t>
      </w:r>
      <w:r>
        <w:rPr>
          <w:b/>
          <w:spacing w:val="24"/>
          <w:sz w:val="22"/>
        </w:rPr>
        <w:t> </w:t>
      </w:r>
      <w:r>
        <w:rPr>
          <w:b/>
          <w:sz w:val="22"/>
        </w:rPr>
        <w:t>persists</w:t>
      </w:r>
      <w:r>
        <w:rPr>
          <w:b/>
          <w:spacing w:val="24"/>
          <w:sz w:val="22"/>
        </w:rPr>
        <w:t> </w:t>
      </w:r>
      <w:r>
        <w:rPr>
          <w:b/>
          <w:sz w:val="22"/>
        </w:rPr>
        <w:t>despite</w:t>
      </w:r>
      <w:r>
        <w:rPr>
          <w:b/>
          <w:spacing w:val="24"/>
          <w:sz w:val="22"/>
        </w:rPr>
        <w:t> </w:t>
      </w:r>
      <w:r>
        <w:rPr>
          <w:b/>
          <w:sz w:val="22"/>
        </w:rPr>
        <w:t>a</w:t>
      </w:r>
      <w:r>
        <w:rPr>
          <w:b/>
          <w:spacing w:val="24"/>
          <w:sz w:val="22"/>
        </w:rPr>
        <w:t> </w:t>
      </w:r>
      <w:r>
        <w:rPr>
          <w:b/>
          <w:sz w:val="22"/>
        </w:rPr>
        <w:t>short</w:t>
      </w:r>
      <w:r>
        <w:rPr>
          <w:b/>
          <w:spacing w:val="24"/>
          <w:sz w:val="22"/>
        </w:rPr>
        <w:t> </w:t>
      </w:r>
      <w:r>
        <w:rPr>
          <w:b/>
          <w:sz w:val="22"/>
        </w:rPr>
        <w:t>period</w:t>
      </w:r>
      <w:r>
        <w:rPr>
          <w:b/>
          <w:spacing w:val="24"/>
          <w:sz w:val="22"/>
        </w:rPr>
        <w:t> </w:t>
      </w:r>
      <w:r>
        <w:rPr>
          <w:b/>
          <w:sz w:val="22"/>
        </w:rPr>
        <w:t>without</w:t>
      </w:r>
      <w:r>
        <w:rPr>
          <w:b/>
          <w:spacing w:val="24"/>
          <w:sz w:val="22"/>
        </w:rPr>
        <w:t> </w:t>
      </w:r>
      <w:r>
        <w:rPr>
          <w:b/>
          <w:sz w:val="22"/>
        </w:rPr>
        <w:t>HT. In addition, digital screening mammography is superior to conventional film screening for women with dense breasts.</w:t>
      </w:r>
      <w:r>
        <w:rPr>
          <w:position w:val="9"/>
          <w:sz w:val="17"/>
        </w:rPr>
        <w:t>960</w:t>
      </w:r>
    </w:p>
    <w:p>
      <w:pPr>
        <w:spacing w:line="256" w:lineRule="auto" w:before="3"/>
        <w:ind w:left="549" w:right="850" w:firstLine="0"/>
        <w:jc w:val="both"/>
        <w:rPr>
          <w:b/>
          <w:sz w:val="22"/>
        </w:rPr>
      </w:pPr>
      <w:r>
        <w:rPr>
          <w:b/>
          <w:sz w:val="22"/>
        </w:rPr>
        <w:t>Hormone users who develop an increase in breast density have a small decrease in mammography</w:t>
      </w:r>
      <w:r>
        <w:rPr>
          <w:b/>
          <w:spacing w:val="40"/>
          <w:sz w:val="22"/>
        </w:rPr>
        <w:t> </w:t>
      </w:r>
      <w:r>
        <w:rPr>
          <w:b/>
          <w:sz w:val="22"/>
        </w:rPr>
        <w:t>sensitivity</w:t>
      </w:r>
      <w:r>
        <w:rPr>
          <w:b/>
          <w:spacing w:val="40"/>
          <w:sz w:val="22"/>
        </w:rPr>
        <w:t> </w:t>
      </w:r>
      <w:r>
        <w:rPr>
          <w:b/>
          <w:sz w:val="22"/>
        </w:rPr>
        <w:t>and</w:t>
      </w:r>
      <w:r>
        <w:rPr>
          <w:b/>
          <w:spacing w:val="40"/>
          <w:sz w:val="22"/>
        </w:rPr>
        <w:t> </w:t>
      </w:r>
      <w:r>
        <w:rPr>
          <w:b/>
          <w:sz w:val="22"/>
        </w:rPr>
        <w:t>an</w:t>
      </w:r>
      <w:r>
        <w:rPr>
          <w:b/>
          <w:spacing w:val="40"/>
          <w:sz w:val="22"/>
        </w:rPr>
        <w:t> </w:t>
      </w:r>
      <w:r>
        <w:rPr>
          <w:b/>
          <w:sz w:val="22"/>
        </w:rPr>
        <w:t>increase</w:t>
      </w:r>
      <w:r>
        <w:rPr>
          <w:b/>
          <w:spacing w:val="40"/>
          <w:sz w:val="22"/>
        </w:rPr>
        <w:t> </w:t>
      </w:r>
      <w:r>
        <w:rPr>
          <w:b/>
          <w:sz w:val="22"/>
        </w:rPr>
        <w:t>in</w:t>
      </w:r>
      <w:r>
        <w:rPr>
          <w:b/>
          <w:spacing w:val="40"/>
          <w:sz w:val="22"/>
        </w:rPr>
        <w:t> </w:t>
      </w:r>
      <w:r>
        <w:rPr>
          <w:b/>
          <w:sz w:val="22"/>
        </w:rPr>
        <w:t>false</w:t>
      </w:r>
      <w:r>
        <w:rPr>
          <w:b/>
          <w:spacing w:val="40"/>
          <w:sz w:val="22"/>
        </w:rPr>
        <w:t> </w:t>
      </w:r>
      <w:r>
        <w:rPr>
          <w:b/>
          <w:sz w:val="22"/>
        </w:rPr>
        <w:t>recalls.</w:t>
      </w:r>
      <w:r>
        <w:rPr>
          <w:b/>
          <w:spacing w:val="40"/>
          <w:sz w:val="22"/>
        </w:rPr>
        <w:t> </w:t>
      </w:r>
      <w:r>
        <w:rPr>
          <w:b/>
          <w:sz w:val="22"/>
        </w:rPr>
        <w:t>An</w:t>
      </w:r>
      <w:r>
        <w:rPr>
          <w:b/>
          <w:spacing w:val="40"/>
          <w:sz w:val="22"/>
        </w:rPr>
        <w:t> </w:t>
      </w:r>
      <w:r>
        <w:rPr>
          <w:b/>
          <w:sz w:val="22"/>
        </w:rPr>
        <w:t>adverse</w:t>
      </w:r>
      <w:r>
        <w:rPr>
          <w:b/>
          <w:spacing w:val="40"/>
          <w:sz w:val="22"/>
        </w:rPr>
        <w:t> </w:t>
      </w:r>
      <w:r>
        <w:rPr>
          <w:b/>
          <w:sz w:val="22"/>
        </w:rPr>
        <w:t>impact</w:t>
      </w:r>
      <w:r>
        <w:rPr>
          <w:b/>
          <w:spacing w:val="40"/>
          <w:sz w:val="22"/>
        </w:rPr>
        <w:t> </w:t>
      </w:r>
      <w:r>
        <w:rPr>
          <w:b/>
          <w:sz w:val="22"/>
        </w:rPr>
        <w:t>of this</w:t>
      </w:r>
      <w:r>
        <w:rPr>
          <w:b/>
          <w:spacing w:val="26"/>
          <w:sz w:val="22"/>
        </w:rPr>
        <w:t> </w:t>
      </w:r>
      <w:r>
        <w:rPr>
          <w:b/>
          <w:sz w:val="22"/>
        </w:rPr>
        <w:t>increase</w:t>
      </w:r>
      <w:r>
        <w:rPr>
          <w:b/>
          <w:spacing w:val="26"/>
          <w:sz w:val="22"/>
        </w:rPr>
        <w:t> </w:t>
      </w:r>
      <w:r>
        <w:rPr>
          <w:b/>
          <w:sz w:val="22"/>
        </w:rPr>
        <w:t>in</w:t>
      </w:r>
      <w:r>
        <w:rPr>
          <w:b/>
          <w:spacing w:val="26"/>
          <w:sz w:val="22"/>
        </w:rPr>
        <w:t> </w:t>
      </w:r>
      <w:r>
        <w:rPr>
          <w:b/>
          <w:sz w:val="22"/>
        </w:rPr>
        <w:t>breast</w:t>
      </w:r>
      <w:r>
        <w:rPr>
          <w:b/>
          <w:spacing w:val="26"/>
          <w:sz w:val="22"/>
        </w:rPr>
        <w:t> </w:t>
      </w:r>
      <w:r>
        <w:rPr>
          <w:b/>
          <w:sz w:val="22"/>
        </w:rPr>
        <w:t>density</w:t>
      </w:r>
      <w:r>
        <w:rPr>
          <w:b/>
          <w:spacing w:val="26"/>
          <w:sz w:val="22"/>
        </w:rPr>
        <w:t> </w:t>
      </w:r>
      <w:r>
        <w:rPr>
          <w:b/>
          <w:sz w:val="22"/>
        </w:rPr>
        <w:t>is</w:t>
      </w:r>
      <w:r>
        <w:rPr>
          <w:b/>
          <w:spacing w:val="26"/>
          <w:sz w:val="22"/>
        </w:rPr>
        <w:t> </w:t>
      </w:r>
      <w:r>
        <w:rPr>
          <w:b/>
          <w:sz w:val="22"/>
        </w:rPr>
        <w:t>not</w:t>
      </w:r>
      <w:r>
        <w:rPr>
          <w:b/>
          <w:spacing w:val="26"/>
          <w:sz w:val="22"/>
        </w:rPr>
        <w:t> </w:t>
      </w:r>
      <w:r>
        <w:rPr>
          <w:b/>
          <w:sz w:val="22"/>
        </w:rPr>
        <w:t>apparent</w:t>
      </w:r>
      <w:r>
        <w:rPr>
          <w:b/>
          <w:spacing w:val="26"/>
          <w:sz w:val="22"/>
        </w:rPr>
        <w:t> </w:t>
      </w:r>
      <w:r>
        <w:rPr>
          <w:b/>
          <w:sz w:val="22"/>
        </w:rPr>
        <w:t>in</w:t>
      </w:r>
      <w:r>
        <w:rPr>
          <w:b/>
          <w:spacing w:val="26"/>
          <w:sz w:val="22"/>
        </w:rPr>
        <w:t> </w:t>
      </w:r>
      <w:r>
        <w:rPr>
          <w:b/>
          <w:sz w:val="22"/>
        </w:rPr>
        <w:t>breast</w:t>
      </w:r>
      <w:r>
        <w:rPr>
          <w:b/>
          <w:spacing w:val="26"/>
          <w:sz w:val="22"/>
        </w:rPr>
        <w:t> </w:t>
      </w:r>
      <w:r>
        <w:rPr>
          <w:b/>
          <w:sz w:val="22"/>
        </w:rPr>
        <w:t>cancer</w:t>
      </w:r>
      <w:r>
        <w:rPr>
          <w:b/>
          <w:spacing w:val="26"/>
          <w:sz w:val="22"/>
        </w:rPr>
        <w:t> </w:t>
      </w:r>
      <w:r>
        <w:rPr>
          <w:b/>
          <w:sz w:val="22"/>
        </w:rPr>
        <w:t>mortality</w:t>
      </w:r>
      <w:r>
        <w:rPr>
          <w:b/>
          <w:spacing w:val="26"/>
          <w:sz w:val="22"/>
        </w:rPr>
        <w:t> </w:t>
      </w:r>
      <w:r>
        <w:rPr>
          <w:b/>
          <w:sz w:val="22"/>
        </w:rPr>
        <w:t>statistics in hormone users. Digital mammography is preferred for women with dense</w:t>
      </w:r>
      <w:r>
        <w:rPr>
          <w:b/>
          <w:spacing w:val="80"/>
          <w:w w:val="150"/>
          <w:sz w:val="22"/>
        </w:rPr>
        <w:t> </w:t>
      </w:r>
      <w:r>
        <w:rPr>
          <w:b/>
          <w:spacing w:val="-2"/>
          <w:sz w:val="22"/>
        </w:rPr>
        <w:t>breasts.</w:t>
      </w:r>
    </w:p>
    <w:p>
      <w:pPr>
        <w:spacing w:line="256" w:lineRule="auto" w:before="0"/>
        <w:ind w:left="549" w:right="851" w:firstLine="0"/>
        <w:jc w:val="both"/>
        <w:rPr>
          <w:b/>
          <w:sz w:val="22"/>
        </w:rPr>
      </w:pPr>
      <w:r>
        <w:rPr>
          <w:b/>
          <w:sz w:val="22"/>
        </w:rPr>
        <w:t>Ultrasonography should be added to mammography screening in hormone users</w:t>
      </w:r>
      <w:r>
        <w:rPr>
          <w:b/>
          <w:spacing w:val="40"/>
          <w:sz w:val="22"/>
        </w:rPr>
        <w:t> </w:t>
      </w:r>
      <w:r>
        <w:rPr>
          <w:b/>
          <w:sz w:val="22"/>
        </w:rPr>
        <w:t>who</w:t>
      </w:r>
      <w:r>
        <w:rPr>
          <w:b/>
          <w:spacing w:val="40"/>
          <w:sz w:val="22"/>
        </w:rPr>
        <w:t> </w:t>
      </w:r>
      <w:r>
        <w:rPr>
          <w:b/>
          <w:sz w:val="22"/>
        </w:rPr>
        <w:t>develop</w:t>
      </w:r>
      <w:r>
        <w:rPr>
          <w:b/>
          <w:spacing w:val="40"/>
          <w:sz w:val="22"/>
        </w:rPr>
        <w:t> </w:t>
      </w:r>
      <w:r>
        <w:rPr>
          <w:b/>
          <w:sz w:val="22"/>
        </w:rPr>
        <w:t>dense</w:t>
      </w:r>
      <w:r>
        <w:rPr>
          <w:b/>
          <w:spacing w:val="40"/>
          <w:sz w:val="22"/>
        </w:rPr>
        <w:t> </w:t>
      </w:r>
      <w:r>
        <w:rPr>
          <w:b/>
          <w:sz w:val="22"/>
        </w:rPr>
        <w:t>breasts</w:t>
      </w:r>
      <w:r>
        <w:rPr>
          <w:b/>
          <w:spacing w:val="40"/>
          <w:sz w:val="22"/>
        </w:rPr>
        <w:t> </w:t>
      </w:r>
      <w:r>
        <w:rPr>
          <w:b/>
          <w:sz w:val="22"/>
        </w:rPr>
        <w:t>with</w:t>
      </w:r>
      <w:r>
        <w:rPr>
          <w:b/>
          <w:spacing w:val="40"/>
          <w:sz w:val="22"/>
        </w:rPr>
        <w:t> </w:t>
      </w:r>
      <w:r>
        <w:rPr>
          <w:b/>
          <w:sz w:val="22"/>
        </w:rPr>
        <w:t>no</w:t>
      </w:r>
      <w:r>
        <w:rPr>
          <w:b/>
          <w:spacing w:val="40"/>
          <w:sz w:val="22"/>
        </w:rPr>
        <w:t> </w:t>
      </w:r>
      <w:r>
        <w:rPr>
          <w:b/>
          <w:sz w:val="22"/>
        </w:rPr>
        <w:t>regression</w:t>
      </w:r>
      <w:r>
        <w:rPr>
          <w:b/>
          <w:spacing w:val="40"/>
          <w:sz w:val="22"/>
        </w:rPr>
        <w:t> </w:t>
      </w:r>
      <w:r>
        <w:rPr>
          <w:b/>
          <w:sz w:val="22"/>
        </w:rPr>
        <w:t>after</w:t>
      </w:r>
      <w:r>
        <w:rPr>
          <w:b/>
          <w:spacing w:val="40"/>
          <w:sz w:val="22"/>
        </w:rPr>
        <w:t> </w:t>
      </w:r>
      <w:r>
        <w:rPr>
          <w:b/>
          <w:sz w:val="22"/>
        </w:rPr>
        <w:t>a</w:t>
      </w:r>
      <w:r>
        <w:rPr>
          <w:b/>
          <w:spacing w:val="40"/>
          <w:sz w:val="22"/>
        </w:rPr>
        <w:t> </w:t>
      </w:r>
      <w:r>
        <w:rPr>
          <w:b/>
          <w:sz w:val="22"/>
        </w:rPr>
        <w:t>short</w:t>
      </w:r>
      <w:r>
        <w:rPr>
          <w:b/>
          <w:spacing w:val="40"/>
          <w:sz w:val="22"/>
        </w:rPr>
        <w:t> </w:t>
      </w:r>
      <w:r>
        <w:rPr>
          <w:b/>
          <w:sz w:val="22"/>
        </w:rPr>
        <w:t>period</w:t>
      </w:r>
      <w:r>
        <w:rPr>
          <w:b/>
          <w:spacing w:val="40"/>
          <w:sz w:val="22"/>
        </w:rPr>
        <w:t> </w:t>
      </w:r>
      <w:r>
        <w:rPr>
          <w:b/>
          <w:sz w:val="22"/>
        </w:rPr>
        <w:t>without hormone treatment.</w:t>
      </w:r>
    </w:p>
    <w:p>
      <w:pPr>
        <w:pStyle w:val="BodyText"/>
        <w:spacing w:before="0"/>
        <w:ind w:left="0"/>
        <w:jc w:val="left"/>
        <w:rPr>
          <w:b/>
          <w:sz w:val="22"/>
        </w:rPr>
      </w:pPr>
    </w:p>
    <w:p>
      <w:pPr>
        <w:pStyle w:val="BodyText"/>
        <w:spacing w:before="0"/>
        <w:ind w:left="0"/>
        <w:jc w:val="left"/>
        <w:rPr>
          <w:b/>
          <w:sz w:val="22"/>
        </w:rPr>
      </w:pPr>
    </w:p>
    <w:p>
      <w:pPr>
        <w:pStyle w:val="BodyText"/>
        <w:spacing w:before="0"/>
        <w:ind w:left="0"/>
        <w:jc w:val="left"/>
        <w:rPr>
          <w:b/>
          <w:sz w:val="22"/>
        </w:rPr>
      </w:pPr>
    </w:p>
    <w:p>
      <w:pPr>
        <w:pStyle w:val="BodyText"/>
        <w:spacing w:before="0"/>
        <w:ind w:left="0"/>
        <w:jc w:val="left"/>
        <w:rPr>
          <w:b/>
          <w:sz w:val="22"/>
        </w:rPr>
      </w:pPr>
    </w:p>
    <w:p>
      <w:pPr>
        <w:pStyle w:val="BodyText"/>
        <w:spacing w:before="228"/>
        <w:ind w:left="0"/>
        <w:jc w:val="left"/>
        <w:rPr>
          <w:b/>
          <w:sz w:val="22"/>
        </w:rPr>
      </w:pPr>
    </w:p>
    <w:p>
      <w:pPr>
        <w:spacing w:before="1"/>
        <w:ind w:left="99" w:right="0" w:firstLine="0"/>
        <w:jc w:val="left"/>
        <w:rPr>
          <w:rFonts w:ascii="Arial"/>
          <w:b/>
          <w:sz w:val="30"/>
        </w:rPr>
      </w:pPr>
      <w:r>
        <w:rPr>
          <w:rFonts w:ascii="Arial"/>
          <w:b/>
          <w:color w:val="2674AE"/>
          <w:sz w:val="30"/>
        </w:rPr>
        <w:t>The Effect of Progestins in Combined </w:t>
      </w:r>
      <w:r>
        <w:rPr>
          <w:rFonts w:ascii="Arial"/>
          <w:b/>
          <w:color w:val="2674AE"/>
          <w:spacing w:val="-2"/>
          <w:sz w:val="30"/>
        </w:rPr>
        <w:t>Regimens</w:t>
      </w:r>
    </w:p>
    <w:p>
      <w:pPr>
        <w:spacing w:after="0"/>
        <w:jc w:val="left"/>
        <w:rPr>
          <w:rFonts w:ascii="Arial"/>
          <w:b/>
          <w:sz w:val="30"/>
        </w:rPr>
        <w:sectPr>
          <w:pgSz w:w="12240" w:h="15840"/>
          <w:pgMar w:top="1380" w:bottom="280" w:left="1440" w:right="1440"/>
        </w:sectPr>
      </w:pPr>
    </w:p>
    <w:p>
      <w:pPr>
        <w:spacing w:line="249" w:lineRule="auto" w:before="65"/>
        <w:ind w:left="99" w:right="98" w:firstLine="0"/>
        <w:jc w:val="both"/>
        <w:rPr>
          <w:b/>
          <w:sz w:val="30"/>
        </w:rPr>
      </w:pPr>
      <w:r>
        <w:rPr>
          <w:sz w:val="30"/>
        </w:rPr>
        <w:t>Overall, studies support the conclusion that the RR of breast cancer </w:t>
      </w:r>
      <w:r>
        <w:rPr>
          <w:sz w:val="30"/>
        </w:rPr>
        <w:t>is higher in users of combinations of estrogen and progestin. The effect is confined to ER-positive, PR-positive (ER+/PR+) tumors, mainly lobular cancers. </w:t>
      </w:r>
      <w:r>
        <w:rPr>
          <w:b/>
          <w:sz w:val="30"/>
        </w:rPr>
        <w:t>What if this conclusion reflects early detection of better-differentiated tumors, a consequence of a favorable response of preexisting tumors to estrogen-progestin exposure?</w:t>
      </w:r>
    </w:p>
    <w:p>
      <w:pPr>
        <w:pStyle w:val="BodyText"/>
        <w:spacing w:line="249" w:lineRule="auto" w:before="7"/>
        <w:ind w:right="97" w:firstLine="450"/>
      </w:pPr>
      <w:r>
        <w:rPr/>
        <w:t>Almost every study that has reported an increase in breast cancer risk with postmenopausal HT has found the increase within a few years. Remember that although the doubling time of breast cancer is variable, </w:t>
      </w:r>
      <w:r>
        <w:rPr/>
        <w:t>in general, a tumor doubles in size every 100 days. Thus, it takes a single malignant cell approximately 7 years to become detectable by mammography</w:t>
      </w:r>
      <w:r>
        <w:rPr>
          <w:spacing w:val="-1"/>
        </w:rPr>
        <w:t> </w:t>
      </w:r>
      <w:r>
        <w:rPr/>
        <w:t>and</w:t>
      </w:r>
      <w:r>
        <w:rPr>
          <w:spacing w:val="-1"/>
        </w:rPr>
        <w:t> </w:t>
      </w:r>
      <w:r>
        <w:rPr/>
        <w:t>10</w:t>
      </w:r>
      <w:r>
        <w:rPr>
          <w:spacing w:val="-1"/>
        </w:rPr>
        <w:t> </w:t>
      </w:r>
      <w:r>
        <w:rPr/>
        <w:t>years</w:t>
      </w:r>
      <w:r>
        <w:rPr>
          <w:spacing w:val="-1"/>
        </w:rPr>
        <w:t> </w:t>
      </w:r>
      <w:r>
        <w:rPr/>
        <w:t>to</w:t>
      </w:r>
      <w:r>
        <w:rPr>
          <w:spacing w:val="-1"/>
        </w:rPr>
        <w:t> </w:t>
      </w:r>
      <w:r>
        <w:rPr/>
        <w:t>grow</w:t>
      </w:r>
      <w:r>
        <w:rPr>
          <w:spacing w:val="-1"/>
        </w:rPr>
        <w:t> </w:t>
      </w:r>
      <w:r>
        <w:rPr/>
        <w:t>to</w:t>
      </w:r>
      <w:r>
        <w:rPr>
          <w:spacing w:val="-1"/>
        </w:rPr>
        <w:t> </w:t>
      </w:r>
      <w:r>
        <w:rPr/>
        <w:t>a</w:t>
      </w:r>
      <w:r>
        <w:rPr>
          <w:spacing w:val="-1"/>
        </w:rPr>
        <w:t> </w:t>
      </w:r>
      <w:r>
        <w:rPr/>
        <w:t>clinically</w:t>
      </w:r>
      <w:r>
        <w:rPr>
          <w:spacing w:val="-1"/>
        </w:rPr>
        <w:t> </w:t>
      </w:r>
      <w:r>
        <w:rPr/>
        <w:t>detectable</w:t>
      </w:r>
      <w:r>
        <w:rPr>
          <w:spacing w:val="-1"/>
        </w:rPr>
        <w:t> </w:t>
      </w:r>
      <w:r>
        <w:rPr/>
        <w:t>1-cm</w:t>
      </w:r>
      <w:r>
        <w:rPr>
          <w:spacing w:val="-1"/>
        </w:rPr>
        <w:t> </w:t>
      </w:r>
      <w:r>
        <w:rPr/>
        <w:t>mass.</w:t>
      </w:r>
      <w:r>
        <w:rPr>
          <w:vertAlign w:val="superscript"/>
        </w:rPr>
        <w:t>961</w:t>
      </w:r>
      <w:r>
        <w:rPr>
          <w:vertAlign w:val="baseline"/>
        </w:rPr>
        <w:t> The rapid finding of an increased risk within a few years of exposure to HT suggests that the epidemiologic studies are detecting preexisting tumors.</w:t>
      </w:r>
    </w:p>
    <w:p>
      <w:pPr>
        <w:pStyle w:val="BodyText"/>
        <w:spacing w:line="249" w:lineRule="auto" w:before="10"/>
        <w:ind w:right="100" w:firstLine="450"/>
      </w:pPr>
      <w:r>
        <w:rPr/>
        <w:t>Older studies on the hormone receptor content in breast cancers diagnosed in hormone users were limited by small numbers. </w:t>
      </w:r>
      <w:r>
        <w:rPr/>
        <w:t>Furthermore, recent studies examining receptor status are likely to be more accurate in that receptor status assays have improved. In the Nurses’ Health Study, the use</w:t>
      </w:r>
      <w:r>
        <w:rPr>
          <w:spacing w:val="-4"/>
        </w:rPr>
        <w:t> </w:t>
      </w:r>
      <w:r>
        <w:rPr/>
        <w:t>of</w:t>
      </w:r>
      <w:r>
        <w:rPr>
          <w:spacing w:val="-4"/>
        </w:rPr>
        <w:t> </w:t>
      </w:r>
      <w:r>
        <w:rPr/>
        <w:t>postmenopausal</w:t>
      </w:r>
      <w:r>
        <w:rPr>
          <w:spacing w:val="-4"/>
        </w:rPr>
        <w:t> </w:t>
      </w:r>
      <w:r>
        <w:rPr/>
        <w:t>HT</w:t>
      </w:r>
      <w:r>
        <w:rPr>
          <w:spacing w:val="-4"/>
        </w:rPr>
        <w:t> </w:t>
      </w:r>
      <w:r>
        <w:rPr/>
        <w:t>has</w:t>
      </w:r>
      <w:r>
        <w:rPr>
          <w:spacing w:val="-4"/>
        </w:rPr>
        <w:t> </w:t>
      </w:r>
      <w:r>
        <w:rPr/>
        <w:t>been</w:t>
      </w:r>
      <w:r>
        <w:rPr>
          <w:spacing w:val="-4"/>
        </w:rPr>
        <w:t> </w:t>
      </w:r>
      <w:r>
        <w:rPr/>
        <w:t>associated</w:t>
      </w:r>
      <w:r>
        <w:rPr>
          <w:spacing w:val="-4"/>
        </w:rPr>
        <w:t> </w:t>
      </w:r>
      <w:r>
        <w:rPr/>
        <w:t>with</w:t>
      </w:r>
      <w:r>
        <w:rPr>
          <w:spacing w:val="-4"/>
        </w:rPr>
        <w:t> </w:t>
      </w:r>
      <w:r>
        <w:rPr/>
        <w:t>a</w:t>
      </w:r>
      <w:r>
        <w:rPr>
          <w:spacing w:val="-4"/>
        </w:rPr>
        <w:t> </w:t>
      </w:r>
      <w:r>
        <w:rPr/>
        <w:t>significant</w:t>
      </w:r>
      <w:r>
        <w:rPr>
          <w:spacing w:val="-4"/>
        </w:rPr>
        <w:t> </w:t>
      </w:r>
      <w:r>
        <w:rPr/>
        <w:t>increase</w:t>
      </w:r>
      <w:r>
        <w:rPr>
          <w:spacing w:val="-4"/>
        </w:rPr>
        <w:t> </w:t>
      </w:r>
      <w:r>
        <w:rPr/>
        <w:t>in ER+/PR+ breast cancer, but not in receptor-negative disease.</w:t>
      </w:r>
      <w:r>
        <w:rPr>
          <w:vertAlign w:val="superscript"/>
        </w:rPr>
        <w:t>962</w:t>
      </w:r>
      <w:r>
        <w:rPr>
          <w:vertAlign w:val="baseline"/>
        </w:rPr>
        <w:t> This relationship, greatest in lean women, was stronger and observed sooner</w:t>
      </w:r>
      <w:r>
        <w:rPr>
          <w:spacing w:val="40"/>
          <w:vertAlign w:val="baseline"/>
        </w:rPr>
        <w:t> </w:t>
      </w:r>
      <w:r>
        <w:rPr>
          <w:vertAlign w:val="baseline"/>
        </w:rPr>
        <w:t>with the use of estrogen-progestin, a significant increase with 5 or fewer years of combined use and no increase with 5 or fewer years of the use of estrogen alone. In a cohort of women from the area of Lund, Sweden, an increased risk of breast cancer was reported only in users of continuous combined estrogen-progestin, and this increase was observed within 2</w:t>
      </w:r>
      <w:r>
        <w:rPr>
          <w:spacing w:val="80"/>
          <w:w w:val="150"/>
          <w:vertAlign w:val="baseline"/>
        </w:rPr>
        <w:t> </w:t>
      </w:r>
      <w:r>
        <w:rPr>
          <w:vertAlign w:val="baseline"/>
        </w:rPr>
        <w:t>years of use.</w:t>
      </w:r>
      <w:r>
        <w:rPr>
          <w:vertAlign w:val="superscript"/>
        </w:rPr>
        <w:t>963</w:t>
      </w:r>
      <w:r>
        <w:rPr>
          <w:vertAlign w:val="baseline"/>
        </w:rPr>
        <w:t> Other epidemiologic studies have reported a similar greater risk in current users of continuous, combined estrogen-progestin, concentrated in ER-positive disease.</w:t>
      </w:r>
      <w:r>
        <w:rPr>
          <w:vertAlign w:val="superscript"/>
        </w:rPr>
        <w:t>847,850,853,964,965</w:t>
      </w:r>
      <w:r>
        <w:rPr>
          <w:vertAlign w:val="baseline"/>
        </w:rPr>
        <w:t> Indeed, the use of HT is the greatest predictor of ER-positive disease.</w:t>
      </w:r>
      <w:r>
        <w:rPr>
          <w:vertAlign w:val="superscript"/>
        </w:rPr>
        <w:t>966</w:t>
      </w:r>
      <w:r>
        <w:rPr>
          <w:vertAlign w:val="baseline"/>
        </w:rPr>
        <w:t> In a retrospective study in the Northern California Kaiser program, only the current use of combined estrogen and progestin increased the odds of ER-positive tumors.</w:t>
      </w:r>
      <w:r>
        <w:rPr>
          <w:vertAlign w:val="superscript"/>
        </w:rPr>
        <w:t>967</w:t>
      </w:r>
    </w:p>
    <w:p>
      <w:pPr>
        <w:pStyle w:val="BodyText"/>
        <w:spacing w:line="249" w:lineRule="auto" w:before="22"/>
        <w:ind w:right="97" w:firstLine="450"/>
      </w:pPr>
      <w:r>
        <w:rPr/>
        <w:t>E3N is a French prospective cohort study initiated in 1990, which concluded</w:t>
      </w:r>
      <w:r>
        <w:rPr>
          <w:spacing w:val="-1"/>
        </w:rPr>
        <w:t> </w:t>
      </w:r>
      <w:r>
        <w:rPr/>
        <w:t>that</w:t>
      </w:r>
      <w:r>
        <w:rPr>
          <w:spacing w:val="-1"/>
        </w:rPr>
        <w:t> </w:t>
      </w:r>
      <w:r>
        <w:rPr/>
        <w:t>it</w:t>
      </w:r>
      <w:r>
        <w:rPr>
          <w:spacing w:val="-1"/>
        </w:rPr>
        <w:t> </w:t>
      </w:r>
      <w:r>
        <w:rPr/>
        <w:t>would</w:t>
      </w:r>
      <w:r>
        <w:rPr>
          <w:spacing w:val="-1"/>
        </w:rPr>
        <w:t> </w:t>
      </w:r>
      <w:r>
        <w:rPr/>
        <w:t>be</w:t>
      </w:r>
      <w:r>
        <w:rPr>
          <w:spacing w:val="-1"/>
        </w:rPr>
        <w:t> </w:t>
      </w:r>
      <w:r>
        <w:rPr/>
        <w:t>preferable</w:t>
      </w:r>
      <w:r>
        <w:rPr>
          <w:spacing w:val="-1"/>
        </w:rPr>
        <w:t> </w:t>
      </w:r>
      <w:r>
        <w:rPr/>
        <w:t>to</w:t>
      </w:r>
      <w:r>
        <w:rPr>
          <w:spacing w:val="-1"/>
        </w:rPr>
        <w:t> </w:t>
      </w:r>
      <w:r>
        <w:rPr/>
        <w:t>use</w:t>
      </w:r>
      <w:r>
        <w:rPr>
          <w:spacing w:val="-1"/>
        </w:rPr>
        <w:t> </w:t>
      </w:r>
      <w:r>
        <w:rPr/>
        <w:t>progesterone</w:t>
      </w:r>
      <w:r>
        <w:rPr>
          <w:spacing w:val="-1"/>
        </w:rPr>
        <w:t> </w:t>
      </w:r>
      <w:r>
        <w:rPr/>
        <w:t>or</w:t>
      </w:r>
      <w:r>
        <w:rPr>
          <w:spacing w:val="-1"/>
        </w:rPr>
        <w:t> </w:t>
      </w:r>
      <w:r>
        <w:rPr/>
        <w:t>dydrogesterone because estrogen use with these two progestins was not associated with an increase</w:t>
      </w:r>
      <w:r>
        <w:rPr>
          <w:spacing w:val="17"/>
        </w:rPr>
        <w:t> </w:t>
      </w:r>
      <w:r>
        <w:rPr/>
        <w:t>in</w:t>
      </w:r>
      <w:r>
        <w:rPr>
          <w:spacing w:val="18"/>
        </w:rPr>
        <w:t> </w:t>
      </w:r>
      <w:r>
        <w:rPr/>
        <w:t>the</w:t>
      </w:r>
      <w:r>
        <w:rPr>
          <w:spacing w:val="17"/>
        </w:rPr>
        <w:t> </w:t>
      </w:r>
      <w:r>
        <w:rPr/>
        <w:t>RR</w:t>
      </w:r>
      <w:r>
        <w:rPr>
          <w:spacing w:val="18"/>
        </w:rPr>
        <w:t> </w:t>
      </w:r>
      <w:r>
        <w:rPr/>
        <w:t>of</w:t>
      </w:r>
      <w:r>
        <w:rPr>
          <w:spacing w:val="17"/>
        </w:rPr>
        <w:t> </w:t>
      </w:r>
      <w:r>
        <w:rPr/>
        <w:t>invasive</w:t>
      </w:r>
      <w:r>
        <w:rPr>
          <w:spacing w:val="18"/>
        </w:rPr>
        <w:t> </w:t>
      </w:r>
      <w:r>
        <w:rPr/>
        <w:t>breast</w:t>
      </w:r>
      <w:r>
        <w:rPr>
          <w:spacing w:val="17"/>
        </w:rPr>
        <w:t> </w:t>
      </w:r>
      <w:r>
        <w:rPr/>
        <w:t>cancer.</w:t>
      </w:r>
      <w:r>
        <w:rPr>
          <w:vertAlign w:val="superscript"/>
        </w:rPr>
        <w:t>968,969</w:t>
      </w:r>
      <w:r>
        <w:rPr>
          <w:spacing w:val="20"/>
          <w:vertAlign w:val="baseline"/>
        </w:rPr>
        <w:t> </w:t>
      </w:r>
      <w:r>
        <w:rPr>
          <w:vertAlign w:val="baseline"/>
        </w:rPr>
        <w:t>For</w:t>
      </w:r>
      <w:r>
        <w:rPr>
          <w:spacing w:val="21"/>
          <w:vertAlign w:val="baseline"/>
        </w:rPr>
        <w:t> </w:t>
      </w:r>
      <w:r>
        <w:rPr>
          <w:vertAlign w:val="baseline"/>
        </w:rPr>
        <w:t>any</w:t>
      </w:r>
      <w:r>
        <w:rPr>
          <w:spacing w:val="20"/>
          <w:vertAlign w:val="baseline"/>
        </w:rPr>
        <w:t> </w:t>
      </w:r>
      <w:r>
        <w:rPr>
          <w:vertAlign w:val="baseline"/>
        </w:rPr>
        <w:t>given</w:t>
      </w:r>
      <w:r>
        <w:rPr>
          <w:spacing w:val="20"/>
          <w:vertAlign w:val="baseline"/>
        </w:rPr>
        <w:t> </w:t>
      </w:r>
      <w:r>
        <w:rPr>
          <w:spacing w:val="-2"/>
          <w:vertAlign w:val="baseline"/>
        </w:rPr>
        <w:t>progestin,</w:t>
      </w:r>
    </w:p>
    <w:p>
      <w:pPr>
        <w:pStyle w:val="BodyText"/>
        <w:spacing w:after="0" w:line="249" w:lineRule="auto"/>
        <w:sectPr>
          <w:pgSz w:w="12240" w:h="15840"/>
          <w:pgMar w:top="1380" w:bottom="280" w:left="1440" w:right="1440"/>
        </w:sectPr>
      </w:pPr>
    </w:p>
    <w:p>
      <w:pPr>
        <w:pStyle w:val="BodyText"/>
        <w:spacing w:line="249" w:lineRule="auto"/>
        <w:ind w:right="98"/>
      </w:pPr>
      <w:r>
        <w:rPr/>
        <w:t>the route of administration of estrogen (oral or transdermal) had no effect</w:t>
      </w:r>
      <w:r>
        <w:rPr>
          <w:spacing w:val="40"/>
        </w:rPr>
        <w:t> </w:t>
      </w:r>
      <w:r>
        <w:rPr/>
        <w:t>on RR. A statistically significant increase in RR was associated with estrogen alone (RR = 1.29; CI = 1.02-1.65) and with progestins other than progesterone or dydrogesterone (RR = 1.69; CI = 1.50-1.91). The increased RRs</w:t>
      </w:r>
      <w:r>
        <w:rPr>
          <w:spacing w:val="-2"/>
        </w:rPr>
        <w:t> </w:t>
      </w:r>
      <w:r>
        <w:rPr/>
        <w:t>seemed</w:t>
      </w:r>
      <w:r>
        <w:rPr>
          <w:spacing w:val="-2"/>
        </w:rPr>
        <w:t> </w:t>
      </w:r>
      <w:r>
        <w:rPr/>
        <w:t>to</w:t>
      </w:r>
      <w:r>
        <w:rPr>
          <w:spacing w:val="-2"/>
        </w:rPr>
        <w:t> </w:t>
      </w:r>
      <w:r>
        <w:rPr/>
        <w:t>rapidly</w:t>
      </w:r>
      <w:r>
        <w:rPr>
          <w:spacing w:val="-2"/>
        </w:rPr>
        <w:t> </w:t>
      </w:r>
      <w:r>
        <w:rPr/>
        <w:t>dissipate</w:t>
      </w:r>
      <w:r>
        <w:rPr>
          <w:spacing w:val="-2"/>
        </w:rPr>
        <w:t> </w:t>
      </w:r>
      <w:r>
        <w:rPr/>
        <w:t>after</w:t>
      </w:r>
      <w:r>
        <w:rPr>
          <w:spacing w:val="-2"/>
        </w:rPr>
        <w:t> </w:t>
      </w:r>
      <w:r>
        <w:rPr/>
        <w:t>discontinuation</w:t>
      </w:r>
      <w:r>
        <w:rPr>
          <w:spacing w:val="-2"/>
        </w:rPr>
        <w:t> </w:t>
      </w:r>
      <w:r>
        <w:rPr/>
        <w:t>of</w:t>
      </w:r>
      <w:r>
        <w:rPr>
          <w:spacing w:val="-2"/>
        </w:rPr>
        <w:t> </w:t>
      </w:r>
      <w:r>
        <w:rPr/>
        <w:t>treatment;</w:t>
      </w:r>
      <w:r>
        <w:rPr>
          <w:spacing w:val="-2"/>
        </w:rPr>
        <w:t> </w:t>
      </w:r>
      <w:r>
        <w:rPr/>
        <w:t>although this analysis was initially limited by small numbers, it was confirmed in a later follow-up.</w:t>
      </w:r>
      <w:r>
        <w:rPr>
          <w:vertAlign w:val="superscript"/>
        </w:rPr>
        <w:t>970</w:t>
      </w:r>
    </w:p>
    <w:p>
      <w:pPr>
        <w:pStyle w:val="BodyText"/>
        <w:spacing w:line="249" w:lineRule="auto" w:before="8"/>
        <w:ind w:right="98" w:firstLine="450"/>
        <w:rPr>
          <w:b/>
        </w:rPr>
      </w:pPr>
      <w:r>
        <w:rPr/>
        <w:t>The French study argued that their results indicate that the “natural” progestins are safer than “synthetic” progestins. However, to accurately differentiate among various agents, one would have to be certain that </w:t>
      </w:r>
      <w:r>
        <w:rPr/>
        <w:t>the doses administered represented bioequivalent doses in terms of target tissue impact, something that would be difficult to do. Let us focus on the rapidity at which cases of breast cancer were identified. The use of estrogen combined with “other progestins” had an increased RR even with less than</w:t>
      </w:r>
      <w:r>
        <w:rPr>
          <w:spacing w:val="40"/>
        </w:rPr>
        <w:t> </w:t>
      </w:r>
      <w:r>
        <w:rPr/>
        <w:t>2 years of exposure (RR = 1.37; CI = 1.07-1.72). In their earlier report, an increased RR was even apparent with less than 1 year of exposure of estrogen combined with synthetic progestins.</w:t>
      </w:r>
      <w:r>
        <w:rPr>
          <w:vertAlign w:val="superscript"/>
        </w:rPr>
        <w:t>968</w:t>
      </w:r>
      <w:r>
        <w:rPr>
          <w:vertAlign w:val="baseline"/>
        </w:rPr>
        <w:t> </w:t>
      </w:r>
      <w:r>
        <w:rPr>
          <w:b/>
          <w:vertAlign w:val="baseline"/>
        </w:rPr>
        <w:t>The results in the French study could be due to earlier detection of preexisting tumors, an effect accelerated by specific progestins with greater potency.</w:t>
      </w:r>
    </w:p>
    <w:p>
      <w:pPr>
        <w:pStyle w:val="BodyText"/>
        <w:spacing w:line="249" w:lineRule="auto" w:before="15"/>
        <w:ind w:right="100" w:firstLine="450"/>
      </w:pPr>
      <w:r>
        <w:rPr/>
        <w:t>A follow-up report from the French study indicated that the </w:t>
      </w:r>
      <w:r>
        <w:rPr/>
        <w:t>increased risk of breast cancer was evident only in women with recent use of HT and not in past users.</w:t>
      </w:r>
      <w:r>
        <w:rPr>
          <w:vertAlign w:val="superscript"/>
        </w:rPr>
        <w:t>970</w:t>
      </w:r>
      <w:r>
        <w:rPr>
          <w:vertAlign w:val="baseline"/>
        </w:rPr>
        <w:t> Furthermore, the risk with short-term use was confined to hormone use with synthetic progestins for 2 years or fewer in the 3-year period</w:t>
      </w:r>
      <w:r>
        <w:rPr>
          <w:spacing w:val="-3"/>
          <w:vertAlign w:val="baseline"/>
        </w:rPr>
        <w:t> </w:t>
      </w:r>
      <w:r>
        <w:rPr>
          <w:vertAlign w:val="baseline"/>
        </w:rPr>
        <w:t>immediately</w:t>
      </w:r>
      <w:r>
        <w:rPr>
          <w:spacing w:val="-3"/>
          <w:vertAlign w:val="baseline"/>
        </w:rPr>
        <w:t> </w:t>
      </w:r>
      <w:r>
        <w:rPr>
          <w:vertAlign w:val="baseline"/>
        </w:rPr>
        <w:t>following</w:t>
      </w:r>
      <w:r>
        <w:rPr>
          <w:spacing w:val="-3"/>
          <w:vertAlign w:val="baseline"/>
        </w:rPr>
        <w:t> </w:t>
      </w:r>
      <w:r>
        <w:rPr>
          <w:vertAlign w:val="baseline"/>
        </w:rPr>
        <w:t>menopause.</w:t>
      </w:r>
      <w:r>
        <w:rPr>
          <w:spacing w:val="-3"/>
          <w:vertAlign w:val="baseline"/>
        </w:rPr>
        <w:t> </w:t>
      </w:r>
      <w:r>
        <w:rPr>
          <w:vertAlign w:val="baseline"/>
        </w:rPr>
        <w:t>With</w:t>
      </w:r>
      <w:r>
        <w:rPr>
          <w:spacing w:val="-3"/>
          <w:vertAlign w:val="baseline"/>
        </w:rPr>
        <w:t> </w:t>
      </w:r>
      <w:r>
        <w:rPr>
          <w:vertAlign w:val="baseline"/>
        </w:rPr>
        <w:t>longer</w:t>
      </w:r>
      <w:r>
        <w:rPr>
          <w:spacing w:val="-3"/>
          <w:vertAlign w:val="baseline"/>
        </w:rPr>
        <w:t> </w:t>
      </w:r>
      <w:r>
        <w:rPr>
          <w:vertAlign w:val="baseline"/>
        </w:rPr>
        <w:t>duration</w:t>
      </w:r>
      <w:r>
        <w:rPr>
          <w:spacing w:val="-3"/>
          <w:vertAlign w:val="baseline"/>
        </w:rPr>
        <w:t> </w:t>
      </w:r>
      <w:r>
        <w:rPr>
          <w:vertAlign w:val="baseline"/>
        </w:rPr>
        <w:t>of</w:t>
      </w:r>
      <w:r>
        <w:rPr>
          <w:spacing w:val="-3"/>
          <w:vertAlign w:val="baseline"/>
        </w:rPr>
        <w:t> </w:t>
      </w:r>
      <w:r>
        <w:rPr>
          <w:vertAlign w:val="baseline"/>
        </w:rPr>
        <w:t>hormone use, the risk was apparent even in those who initiated treatment years after the menopause. The logical conclusion is that this striking finding with short-term use early in the postmenopausal years reflects an impact of HT on preexisting tumors.</w:t>
      </w:r>
    </w:p>
    <w:p>
      <w:pPr>
        <w:pStyle w:val="BodyText"/>
        <w:spacing w:line="249" w:lineRule="auto" w:before="11"/>
        <w:ind w:right="102" w:firstLine="450"/>
      </w:pPr>
      <w:r>
        <w:rPr/>
        <w:t>More</w:t>
      </w:r>
      <w:r>
        <w:rPr>
          <w:spacing w:val="-1"/>
        </w:rPr>
        <w:t> </w:t>
      </w:r>
      <w:r>
        <w:rPr/>
        <w:t>recently,</w:t>
      </w:r>
      <w:r>
        <w:rPr>
          <w:spacing w:val="-1"/>
        </w:rPr>
        <w:t> </w:t>
      </w:r>
      <w:r>
        <w:rPr/>
        <w:t>a</w:t>
      </w:r>
      <w:r>
        <w:rPr>
          <w:spacing w:val="-1"/>
        </w:rPr>
        <w:t> </w:t>
      </w:r>
      <w:r>
        <w:rPr/>
        <w:t>study</w:t>
      </w:r>
      <w:r>
        <w:rPr>
          <w:spacing w:val="-1"/>
        </w:rPr>
        <w:t> </w:t>
      </w:r>
      <w:r>
        <w:rPr/>
        <w:t>from</w:t>
      </w:r>
      <w:r>
        <w:rPr>
          <w:spacing w:val="-1"/>
        </w:rPr>
        <w:t> </w:t>
      </w:r>
      <w:r>
        <w:rPr/>
        <w:t>England</w:t>
      </w:r>
      <w:r>
        <w:rPr>
          <w:spacing w:val="-1"/>
        </w:rPr>
        <w:t> </w:t>
      </w:r>
      <w:r>
        <w:rPr/>
        <w:t>analyzed</w:t>
      </w:r>
      <w:r>
        <w:rPr>
          <w:spacing w:val="-1"/>
        </w:rPr>
        <w:t> </w:t>
      </w:r>
      <w:r>
        <w:rPr/>
        <w:t>real-world</w:t>
      </w:r>
      <w:r>
        <w:rPr>
          <w:spacing w:val="-1"/>
        </w:rPr>
        <w:t> </w:t>
      </w:r>
      <w:r>
        <w:rPr/>
        <w:t>data</w:t>
      </w:r>
      <w:r>
        <w:rPr>
          <w:spacing w:val="-1"/>
        </w:rPr>
        <w:t> </w:t>
      </w:r>
      <w:r>
        <w:rPr/>
        <w:t>on</w:t>
      </w:r>
      <w:r>
        <w:rPr>
          <w:spacing w:val="-1"/>
        </w:rPr>
        <w:t> </w:t>
      </w:r>
      <w:r>
        <w:rPr/>
        <w:t>nearly 100,000 women with a primary diagnosis of breast cancer between </w:t>
      </w:r>
      <w:r>
        <w:rPr/>
        <w:t>1998 and 2018, and 457,498 female controls matched by age, general practice, and index date; relationships of HT use, duration of exposure, and type of HT with breast cancer were examined.</w:t>
      </w:r>
      <w:r>
        <w:rPr>
          <w:vertAlign w:val="superscript"/>
        </w:rPr>
        <w:t>971</w:t>
      </w:r>
      <w:r>
        <w:rPr>
          <w:vertAlign w:val="baseline"/>
        </w:rPr>
        <w:t> An increased rate of breast cancer was noted for current users of HT with less than 5 or greater than 5 years of hormone use (either estrogen alone or combination of estrogen and progestin)</w:t>
      </w:r>
      <w:r>
        <w:rPr>
          <w:spacing w:val="12"/>
          <w:vertAlign w:val="baseline"/>
        </w:rPr>
        <w:t> </w:t>
      </w:r>
      <w:r>
        <w:rPr>
          <w:vertAlign w:val="baseline"/>
        </w:rPr>
        <w:t>as</w:t>
      </w:r>
      <w:r>
        <w:rPr>
          <w:spacing w:val="12"/>
          <w:vertAlign w:val="baseline"/>
        </w:rPr>
        <w:t> </w:t>
      </w:r>
      <w:r>
        <w:rPr>
          <w:vertAlign w:val="baseline"/>
        </w:rPr>
        <w:t>well</w:t>
      </w:r>
      <w:r>
        <w:rPr>
          <w:spacing w:val="12"/>
          <w:vertAlign w:val="baseline"/>
        </w:rPr>
        <w:t> </w:t>
      </w:r>
      <w:r>
        <w:rPr>
          <w:vertAlign w:val="baseline"/>
        </w:rPr>
        <w:t>as</w:t>
      </w:r>
      <w:r>
        <w:rPr>
          <w:spacing w:val="12"/>
          <w:vertAlign w:val="baseline"/>
        </w:rPr>
        <w:t> </w:t>
      </w:r>
      <w:r>
        <w:rPr>
          <w:vertAlign w:val="baseline"/>
        </w:rPr>
        <w:t>for</w:t>
      </w:r>
      <w:r>
        <w:rPr>
          <w:spacing w:val="12"/>
          <w:vertAlign w:val="baseline"/>
        </w:rPr>
        <w:t> </w:t>
      </w:r>
      <w:r>
        <w:rPr>
          <w:vertAlign w:val="baseline"/>
        </w:rPr>
        <w:t>previous</w:t>
      </w:r>
      <w:r>
        <w:rPr>
          <w:spacing w:val="12"/>
          <w:vertAlign w:val="baseline"/>
        </w:rPr>
        <w:t> </w:t>
      </w:r>
      <w:r>
        <w:rPr>
          <w:vertAlign w:val="baseline"/>
        </w:rPr>
        <w:t>users</w:t>
      </w:r>
      <w:r>
        <w:rPr>
          <w:spacing w:val="12"/>
          <w:vertAlign w:val="baseline"/>
        </w:rPr>
        <w:t> </w:t>
      </w:r>
      <w:r>
        <w:rPr>
          <w:vertAlign w:val="baseline"/>
        </w:rPr>
        <w:t>of</w:t>
      </w:r>
      <w:r>
        <w:rPr>
          <w:spacing w:val="12"/>
          <w:vertAlign w:val="baseline"/>
        </w:rPr>
        <w:t> </w:t>
      </w:r>
      <w:r>
        <w:rPr>
          <w:vertAlign w:val="baseline"/>
        </w:rPr>
        <w:t>combination</w:t>
      </w:r>
      <w:r>
        <w:rPr>
          <w:spacing w:val="12"/>
          <w:vertAlign w:val="baseline"/>
        </w:rPr>
        <w:t> </w:t>
      </w:r>
      <w:r>
        <w:rPr>
          <w:vertAlign w:val="baseline"/>
        </w:rPr>
        <w:t>HT</w:t>
      </w:r>
      <w:r>
        <w:rPr>
          <w:spacing w:val="12"/>
          <w:vertAlign w:val="baseline"/>
        </w:rPr>
        <w:t> </w:t>
      </w:r>
      <w:r>
        <w:rPr>
          <w:vertAlign w:val="baseline"/>
        </w:rPr>
        <w:t>for</w:t>
      </w:r>
      <w:r>
        <w:rPr>
          <w:spacing w:val="12"/>
          <w:vertAlign w:val="baseline"/>
        </w:rPr>
        <w:t> </w:t>
      </w:r>
      <w:r>
        <w:rPr>
          <w:vertAlign w:val="baseline"/>
        </w:rPr>
        <w:t>more</w:t>
      </w:r>
      <w:r>
        <w:rPr>
          <w:spacing w:val="12"/>
          <w:vertAlign w:val="baseline"/>
        </w:rPr>
        <w:t> </w:t>
      </w:r>
      <w:r>
        <w:rPr>
          <w:vertAlign w:val="baseline"/>
        </w:rPr>
        <w:t>than</w:t>
      </w:r>
      <w:r>
        <w:rPr>
          <w:spacing w:val="12"/>
          <w:vertAlign w:val="baseline"/>
        </w:rPr>
        <w:t> </w:t>
      </w:r>
      <w:r>
        <w:rPr>
          <w:spacing w:val="-10"/>
          <w:vertAlign w:val="baseline"/>
        </w:rPr>
        <w:t>5</w:t>
      </w:r>
    </w:p>
    <w:p>
      <w:pPr>
        <w:pStyle w:val="BodyText"/>
        <w:spacing w:after="0" w:line="249" w:lineRule="auto"/>
        <w:sectPr>
          <w:pgSz w:w="12240" w:h="15840"/>
          <w:pgMar w:top="1380" w:bottom="280" w:left="1440" w:right="1440"/>
        </w:sectPr>
      </w:pPr>
    </w:p>
    <w:p>
      <w:pPr>
        <w:pStyle w:val="BodyText"/>
        <w:spacing w:line="249" w:lineRule="auto"/>
        <w:ind w:right="102"/>
      </w:pPr>
      <w:r>
        <w:rPr/>
        <w:t>years. The authors have carefully placed their findings into practical counseling terms for patients and providers in indicating that there </w:t>
      </w:r>
      <w:r>
        <w:rPr/>
        <w:t>were approximately 3 to 8 extra cases per 10,000 women years for current estrogen-only users, 9 to 36 per 10,000 in current combination therapy users, and 2 to 8 per 10,000 for previous greater than 5-year combination HT users. This study also broke down the higher risk types of progestogens and can serve as a meaningful guide toward counseling patients on HT-related risks.</w:t>
      </w:r>
    </w:p>
    <w:p>
      <w:pPr>
        <w:pStyle w:val="BodyText"/>
        <w:spacing w:line="249" w:lineRule="auto" w:before="9"/>
        <w:ind w:right="99" w:firstLine="450"/>
      </w:pPr>
      <w:r>
        <w:rPr/>
        <w:t>Molecular biology studies have attempted to gain clarity on the effects of estrogens and various progestins in HT formulations on breast </w:t>
      </w:r>
      <w:r>
        <w:rPr/>
        <w:t>cancer risk. In vitro studies using microarray analysis have profiled the gene network both up- and downregulated by estrogen.</w:t>
      </w:r>
      <w:r>
        <w:rPr>
          <w:vertAlign w:val="superscript"/>
        </w:rPr>
        <w:t>972</w:t>
      </w:r>
      <w:r>
        <w:rPr>
          <w:vertAlign w:val="baseline"/>
        </w:rPr>
        <w:t> Genes that are upregulated by estrogen are downregulated by estrogen-progestin treatment.</w:t>
      </w:r>
      <w:r>
        <w:rPr>
          <w:vertAlign w:val="superscript"/>
        </w:rPr>
        <w:t>973</w:t>
      </w:r>
      <w:r>
        <w:rPr>
          <w:vertAlign w:val="baseline"/>
        </w:rPr>
        <w:t> Comparing hormone users and nonusers, 276 genes were activated by hormone exposure (11 of the 13 women used estrogen-progestin</w:t>
      </w:r>
      <w:r>
        <w:rPr>
          <w:spacing w:val="-2"/>
          <w:vertAlign w:val="baseline"/>
        </w:rPr>
        <w:t> </w:t>
      </w:r>
      <w:r>
        <w:rPr>
          <w:vertAlign w:val="baseline"/>
        </w:rPr>
        <w:t>and</w:t>
      </w:r>
      <w:r>
        <w:rPr>
          <w:spacing w:val="-2"/>
          <w:vertAlign w:val="baseline"/>
        </w:rPr>
        <w:t> </w:t>
      </w:r>
      <w:r>
        <w:rPr>
          <w:vertAlign w:val="baseline"/>
        </w:rPr>
        <w:t>2</w:t>
      </w:r>
      <w:r>
        <w:rPr>
          <w:spacing w:val="-2"/>
          <w:vertAlign w:val="baseline"/>
        </w:rPr>
        <w:t> </w:t>
      </w:r>
      <w:r>
        <w:rPr>
          <w:vertAlign w:val="baseline"/>
        </w:rPr>
        <w:t>used</w:t>
      </w:r>
      <w:r>
        <w:rPr>
          <w:spacing w:val="-2"/>
          <w:vertAlign w:val="baseline"/>
        </w:rPr>
        <w:t> </w:t>
      </w:r>
      <w:r>
        <w:rPr>
          <w:vertAlign w:val="baseline"/>
        </w:rPr>
        <w:t>estrogen</w:t>
      </w:r>
      <w:r>
        <w:rPr>
          <w:spacing w:val="-2"/>
          <w:vertAlign w:val="baseline"/>
        </w:rPr>
        <w:t> </w:t>
      </w:r>
      <w:r>
        <w:rPr>
          <w:vertAlign w:val="baseline"/>
        </w:rPr>
        <w:t>alone).</w:t>
      </w:r>
      <w:r>
        <w:rPr>
          <w:spacing w:val="-3"/>
          <w:vertAlign w:val="baseline"/>
        </w:rPr>
        <w:t> </w:t>
      </w:r>
      <w:r>
        <w:rPr>
          <w:vertAlign w:val="baseline"/>
        </w:rPr>
        <w:t>All</w:t>
      </w:r>
      <w:r>
        <w:rPr>
          <w:spacing w:val="-2"/>
          <w:vertAlign w:val="baseline"/>
        </w:rPr>
        <w:t> </w:t>
      </w:r>
      <w:r>
        <w:rPr>
          <w:vertAlign w:val="baseline"/>
        </w:rPr>
        <w:t>patients</w:t>
      </w:r>
      <w:r>
        <w:rPr>
          <w:spacing w:val="-2"/>
          <w:vertAlign w:val="baseline"/>
        </w:rPr>
        <w:t> </w:t>
      </w:r>
      <w:r>
        <w:rPr>
          <w:vertAlign w:val="baseline"/>
        </w:rPr>
        <w:t>in</w:t>
      </w:r>
      <w:r>
        <w:rPr>
          <w:spacing w:val="-2"/>
          <w:vertAlign w:val="baseline"/>
        </w:rPr>
        <w:t> </w:t>
      </w:r>
      <w:r>
        <w:rPr>
          <w:vertAlign w:val="baseline"/>
        </w:rPr>
        <w:t>this</w:t>
      </w:r>
      <w:r>
        <w:rPr>
          <w:spacing w:val="-2"/>
          <w:vertAlign w:val="baseline"/>
        </w:rPr>
        <w:t> </w:t>
      </w:r>
      <w:r>
        <w:rPr>
          <w:vertAlign w:val="baseline"/>
        </w:rPr>
        <w:t>cluster</w:t>
      </w:r>
      <w:r>
        <w:rPr>
          <w:spacing w:val="-2"/>
          <w:vertAlign w:val="baseline"/>
        </w:rPr>
        <w:t> </w:t>
      </w:r>
      <w:r>
        <w:rPr>
          <w:vertAlign w:val="baseline"/>
        </w:rPr>
        <w:t>were</w:t>
      </w:r>
      <w:r>
        <w:rPr>
          <w:spacing w:val="-2"/>
          <w:vertAlign w:val="baseline"/>
        </w:rPr>
        <w:t> </w:t>
      </w:r>
      <w:r>
        <w:rPr>
          <w:vertAlign w:val="baseline"/>
        </w:rPr>
        <w:t>free</w:t>
      </w:r>
      <w:r>
        <w:rPr>
          <w:spacing w:val="-2"/>
          <w:vertAlign w:val="baseline"/>
        </w:rPr>
        <w:t> </w:t>
      </w:r>
      <w:r>
        <w:rPr>
          <w:vertAlign w:val="baseline"/>
        </w:rPr>
        <w:t>of recurrence 5 years after diagnosis. In a cohort of 131 women, those patients exhibiting the gene profile associated with estrogen-progestin exposure preferentially benefited from tamoxifen treatment.</w:t>
      </w:r>
      <w:r>
        <w:rPr>
          <w:vertAlign w:val="superscript"/>
        </w:rPr>
        <w:t>973</w:t>
      </w:r>
      <w:r>
        <w:rPr>
          <w:vertAlign w:val="baseline"/>
        </w:rPr>
        <w:t> This Swedish study found that estrogen-progestin use altered the gene expression profile only</w:t>
      </w:r>
      <w:r>
        <w:rPr>
          <w:spacing w:val="80"/>
          <w:vertAlign w:val="baseline"/>
        </w:rPr>
        <w:t> </w:t>
      </w:r>
      <w:r>
        <w:rPr>
          <w:vertAlign w:val="baseline"/>
        </w:rPr>
        <w:t>in ER-positive cancers. Among the genes regulated, many were involved in either DNA repair or cell cycle regulation. For example, the p63 gene, involved in tumor differentiation, was overexpressed in estrogen-progestin users. Previous reports have found this gene to be expressed in normal tissue, partially expressed in ductal hyperplasia and not invasive cancers.</w:t>
      </w:r>
      <w:r>
        <w:rPr>
          <w:vertAlign w:val="superscript"/>
        </w:rPr>
        <w:t>974</w:t>
      </w:r>
    </w:p>
    <w:p>
      <w:pPr>
        <w:pStyle w:val="BodyText"/>
        <w:spacing w:line="249" w:lineRule="auto" w:before="21"/>
        <w:ind w:right="99" w:firstLine="450"/>
      </w:pPr>
      <w:r>
        <w:rPr/>
        <w:t>It is well recognized that early pregnancy produces a mammary </w:t>
      </w:r>
      <w:r>
        <w:rPr/>
        <w:t>gland that is resistant to carcinogenesis. In rodents, this is accomplished by treatment with estrogen plus a progestin. The refractory phenotype that is produced is associated with progestin-induced changes in gene expression involved in cell proliferation.</w:t>
      </w:r>
      <w:r>
        <w:rPr>
          <w:vertAlign w:val="superscript"/>
        </w:rPr>
        <w:t>975</w:t>
      </w:r>
    </w:p>
    <w:p>
      <w:pPr>
        <w:pStyle w:val="BodyText"/>
        <w:spacing w:line="249" w:lineRule="auto" w:before="7"/>
        <w:ind w:right="98" w:firstLine="450"/>
      </w:pPr>
      <w:r>
        <w:rPr/>
        <w:t>The PR is induced by estrogens at the transcriptional level and decreased by progestins at both the transcriptional and translational levels (probably through receptor phosphorylation).</w:t>
      </w:r>
      <w:r>
        <w:rPr>
          <w:vertAlign w:val="superscript"/>
        </w:rPr>
        <w:t>976</w:t>
      </w:r>
      <w:r>
        <w:rPr>
          <w:vertAlign w:val="baseline"/>
        </w:rPr>
        <w:t> The PR has two </w:t>
      </w:r>
      <w:r>
        <w:rPr>
          <w:vertAlign w:val="baseline"/>
        </w:rPr>
        <w:t>major isoforms, designated the A and B receptors.</w:t>
      </w:r>
      <w:r>
        <w:rPr>
          <w:vertAlign w:val="superscript"/>
        </w:rPr>
        <w:t>977</w:t>
      </w:r>
      <w:r>
        <w:rPr>
          <w:vertAlign w:val="baseline"/>
        </w:rPr>
        <w:t> The two forms are expressed by a single gene, a consequence of transcription from distinctly different promoters,</w:t>
      </w:r>
      <w:r>
        <w:rPr>
          <w:spacing w:val="-3"/>
          <w:vertAlign w:val="baseline"/>
        </w:rPr>
        <w:t> </w:t>
      </w:r>
      <w:r>
        <w:rPr>
          <w:vertAlign w:val="baseline"/>
        </w:rPr>
        <w:t>in</w:t>
      </w:r>
      <w:r>
        <w:rPr>
          <w:spacing w:val="-3"/>
          <w:vertAlign w:val="baseline"/>
        </w:rPr>
        <w:t> </w:t>
      </w:r>
      <w:r>
        <w:rPr>
          <w:vertAlign w:val="baseline"/>
        </w:rPr>
        <w:t>a</w:t>
      </w:r>
      <w:r>
        <w:rPr>
          <w:spacing w:val="-2"/>
          <w:vertAlign w:val="baseline"/>
        </w:rPr>
        <w:t> </w:t>
      </w:r>
      <w:r>
        <w:rPr>
          <w:vertAlign w:val="baseline"/>
        </w:rPr>
        <w:t>complex</w:t>
      </w:r>
      <w:r>
        <w:rPr>
          <w:spacing w:val="-3"/>
          <w:vertAlign w:val="baseline"/>
        </w:rPr>
        <w:t> </w:t>
      </w:r>
      <w:r>
        <w:rPr>
          <w:vertAlign w:val="baseline"/>
        </w:rPr>
        <w:t>system</w:t>
      </w:r>
      <w:r>
        <w:rPr>
          <w:spacing w:val="-2"/>
          <w:vertAlign w:val="baseline"/>
        </w:rPr>
        <w:t> </w:t>
      </w:r>
      <w:r>
        <w:rPr>
          <w:vertAlign w:val="baseline"/>
        </w:rPr>
        <w:t>of</w:t>
      </w:r>
      <w:r>
        <w:rPr>
          <w:spacing w:val="-3"/>
          <w:vertAlign w:val="baseline"/>
        </w:rPr>
        <w:t> </w:t>
      </w:r>
      <w:r>
        <w:rPr>
          <w:vertAlign w:val="baseline"/>
        </w:rPr>
        <w:t>transcription</w:t>
      </w:r>
      <w:r>
        <w:rPr>
          <w:spacing w:val="-2"/>
          <w:vertAlign w:val="baseline"/>
        </w:rPr>
        <w:t> </w:t>
      </w:r>
      <w:r>
        <w:rPr>
          <w:vertAlign w:val="baseline"/>
        </w:rPr>
        <w:t>regulation.</w:t>
      </w:r>
      <w:r>
        <w:rPr>
          <w:vertAlign w:val="superscript"/>
        </w:rPr>
        <w:t>978</w:t>
      </w:r>
      <w:r>
        <w:rPr>
          <w:spacing w:val="-4"/>
          <w:vertAlign w:val="baseline"/>
        </w:rPr>
        <w:t> </w:t>
      </w:r>
      <w:r>
        <w:rPr>
          <w:spacing w:val="-2"/>
          <w:vertAlign w:val="baseline"/>
        </w:rPr>
        <w:t>Progestational</w:t>
      </w:r>
    </w:p>
    <w:p>
      <w:pPr>
        <w:pStyle w:val="BodyText"/>
        <w:spacing w:after="0" w:line="249" w:lineRule="auto"/>
        <w:sectPr>
          <w:pgSz w:w="12240" w:h="15840"/>
          <w:pgMar w:top="1380" w:bottom="280" w:left="1440" w:right="1440"/>
        </w:sectPr>
      </w:pPr>
    </w:p>
    <w:p>
      <w:pPr>
        <w:pStyle w:val="BodyText"/>
        <w:spacing w:line="249" w:lineRule="auto"/>
        <w:ind w:right="103"/>
      </w:pPr>
      <w:r>
        <w:rPr/>
        <w:t>agents can elicit a variety of responses determined by target </w:t>
      </w:r>
      <w:r>
        <w:rPr/>
        <w:t>tissue production and activity of the two receptor forms with dimerization as AA and BB (homodimers) or AB (heterodimer).</w:t>
      </w:r>
    </w:p>
    <w:p>
      <w:pPr>
        <w:pStyle w:val="BodyText"/>
        <w:spacing w:line="249" w:lineRule="auto" w:before="3"/>
        <w:ind w:right="97" w:firstLine="450"/>
      </w:pPr>
      <w:r>
        <w:rPr/>
        <w:t>PR-A and PR-B are expressed in various amounts in breast cancer and endometrial cancer cell lines. Studies indicate that the two receptors can be regulated independently; for example, the relative levels differ in the endometrium</w:t>
      </w:r>
      <w:r>
        <w:rPr>
          <w:spacing w:val="-7"/>
        </w:rPr>
        <w:t> </w:t>
      </w:r>
      <w:r>
        <w:rPr/>
        <w:t>during</w:t>
      </w:r>
      <w:r>
        <w:rPr>
          <w:spacing w:val="-7"/>
        </w:rPr>
        <w:t> </w:t>
      </w:r>
      <w:r>
        <w:rPr/>
        <w:t>the</w:t>
      </w:r>
      <w:r>
        <w:rPr>
          <w:spacing w:val="-7"/>
        </w:rPr>
        <w:t> </w:t>
      </w:r>
      <w:r>
        <w:rPr/>
        <w:t>menstrual</w:t>
      </w:r>
      <w:r>
        <w:rPr>
          <w:spacing w:val="-7"/>
        </w:rPr>
        <w:t> </w:t>
      </w:r>
      <w:r>
        <w:rPr/>
        <w:t>cycle.</w:t>
      </w:r>
      <w:r>
        <w:rPr>
          <w:vertAlign w:val="superscript"/>
        </w:rPr>
        <w:t>979</w:t>
      </w:r>
      <w:r>
        <w:rPr>
          <w:spacing w:val="-5"/>
          <w:vertAlign w:val="baseline"/>
        </w:rPr>
        <w:t> </w:t>
      </w:r>
      <w:r>
        <w:rPr>
          <w:vertAlign w:val="baseline"/>
        </w:rPr>
        <w:t>Tissue</w:t>
      </w:r>
      <w:r>
        <w:rPr>
          <w:spacing w:val="-5"/>
          <w:vertAlign w:val="baseline"/>
        </w:rPr>
        <w:t> </w:t>
      </w:r>
      <w:r>
        <w:rPr>
          <w:vertAlign w:val="baseline"/>
        </w:rPr>
        <w:t>specificity</w:t>
      </w:r>
      <w:r>
        <w:rPr>
          <w:spacing w:val="-5"/>
          <w:vertAlign w:val="baseline"/>
        </w:rPr>
        <w:t> </w:t>
      </w:r>
      <w:r>
        <w:rPr>
          <w:vertAlign w:val="baseline"/>
        </w:rPr>
        <w:t>with</w:t>
      </w:r>
      <w:r>
        <w:rPr>
          <w:spacing w:val="-5"/>
          <w:vertAlign w:val="baseline"/>
        </w:rPr>
        <w:t> </w:t>
      </w:r>
      <w:r>
        <w:rPr>
          <w:vertAlign w:val="baseline"/>
        </w:rPr>
        <w:t>the</w:t>
      </w:r>
      <w:r>
        <w:rPr>
          <w:spacing w:val="-5"/>
          <w:vertAlign w:val="baseline"/>
        </w:rPr>
        <w:t> </w:t>
      </w:r>
      <w:r>
        <w:rPr>
          <w:vertAlign w:val="baseline"/>
        </w:rPr>
        <w:t>PR</w:t>
      </w:r>
      <w:r>
        <w:rPr>
          <w:spacing w:val="-5"/>
          <w:vertAlign w:val="baseline"/>
        </w:rPr>
        <w:t> </w:t>
      </w:r>
      <w:r>
        <w:rPr>
          <w:vertAlign w:val="baseline"/>
        </w:rPr>
        <w:t>is influenced</w:t>
      </w:r>
      <w:r>
        <w:rPr>
          <w:spacing w:val="-1"/>
          <w:vertAlign w:val="baseline"/>
        </w:rPr>
        <w:t> </w:t>
      </w:r>
      <w:r>
        <w:rPr>
          <w:vertAlign w:val="baseline"/>
        </w:rPr>
        <w:t>by</w:t>
      </w:r>
      <w:r>
        <w:rPr>
          <w:spacing w:val="-1"/>
          <w:vertAlign w:val="baseline"/>
        </w:rPr>
        <w:t> </w:t>
      </w:r>
      <w:r>
        <w:rPr>
          <w:vertAlign w:val="baseline"/>
        </w:rPr>
        <w:t>which</w:t>
      </w:r>
      <w:r>
        <w:rPr>
          <w:spacing w:val="-1"/>
          <w:vertAlign w:val="baseline"/>
        </w:rPr>
        <w:t> </w:t>
      </w:r>
      <w:r>
        <w:rPr>
          <w:vertAlign w:val="baseline"/>
        </w:rPr>
        <w:t>receptor</w:t>
      </w:r>
      <w:r>
        <w:rPr>
          <w:spacing w:val="-1"/>
          <w:vertAlign w:val="baseline"/>
        </w:rPr>
        <w:t> </w:t>
      </w:r>
      <w:r>
        <w:rPr>
          <w:vertAlign w:val="baseline"/>
        </w:rPr>
        <w:t>and</w:t>
      </w:r>
      <w:r>
        <w:rPr>
          <w:spacing w:val="-1"/>
          <w:vertAlign w:val="baseline"/>
        </w:rPr>
        <w:t> </w:t>
      </w:r>
      <w:r>
        <w:rPr>
          <w:vertAlign w:val="baseline"/>
        </w:rPr>
        <w:t>which</w:t>
      </w:r>
      <w:r>
        <w:rPr>
          <w:spacing w:val="-1"/>
          <w:vertAlign w:val="baseline"/>
        </w:rPr>
        <w:t> </w:t>
      </w:r>
      <w:r>
        <w:rPr>
          <w:vertAlign w:val="baseline"/>
        </w:rPr>
        <w:t>dimer</w:t>
      </w:r>
      <w:r>
        <w:rPr>
          <w:spacing w:val="-1"/>
          <w:vertAlign w:val="baseline"/>
        </w:rPr>
        <w:t> </w:t>
      </w:r>
      <w:r>
        <w:rPr>
          <w:vertAlign w:val="baseline"/>
        </w:rPr>
        <w:t>is</w:t>
      </w:r>
      <w:r>
        <w:rPr>
          <w:spacing w:val="-1"/>
          <w:vertAlign w:val="baseline"/>
        </w:rPr>
        <w:t> </w:t>
      </w:r>
      <w:r>
        <w:rPr>
          <w:vertAlign w:val="baseline"/>
        </w:rPr>
        <w:t>active,</w:t>
      </w:r>
      <w:r>
        <w:rPr>
          <w:spacing w:val="-1"/>
          <w:vertAlign w:val="baseline"/>
        </w:rPr>
        <w:t> </w:t>
      </w:r>
      <w:r>
        <w:rPr>
          <w:vertAlign w:val="baseline"/>
        </w:rPr>
        <w:t>and</w:t>
      </w:r>
      <w:r>
        <w:rPr>
          <w:spacing w:val="-1"/>
          <w:vertAlign w:val="baseline"/>
        </w:rPr>
        <w:t> </w:t>
      </w:r>
      <w:r>
        <w:rPr>
          <w:vertAlign w:val="baseline"/>
        </w:rPr>
        <w:t>in</w:t>
      </w:r>
      <w:r>
        <w:rPr>
          <w:spacing w:val="-1"/>
          <w:vertAlign w:val="baseline"/>
        </w:rPr>
        <w:t> </w:t>
      </w:r>
      <w:r>
        <w:rPr>
          <w:vertAlign w:val="baseline"/>
        </w:rPr>
        <w:t>addition,</w:t>
      </w:r>
      <w:r>
        <w:rPr>
          <w:spacing w:val="-1"/>
          <w:vertAlign w:val="baseline"/>
        </w:rPr>
        <w:t> </w:t>
      </w:r>
      <w:r>
        <w:rPr>
          <w:vertAlign w:val="baseline"/>
        </w:rPr>
        <w:t>the transcriptional activities of PR-A and PR-B depend on target cell differences, especially in promoter context. In most cells, PR-B is the positive regulator of progesterone-responsive genes, and PR-A inhibits PR-B</w:t>
      </w:r>
      <w:r>
        <w:rPr>
          <w:spacing w:val="-4"/>
          <w:vertAlign w:val="baseline"/>
        </w:rPr>
        <w:t> </w:t>
      </w:r>
      <w:r>
        <w:rPr>
          <w:vertAlign w:val="baseline"/>
        </w:rPr>
        <w:t>activity.</w:t>
      </w:r>
      <w:r>
        <w:rPr>
          <w:spacing w:val="-4"/>
          <w:vertAlign w:val="baseline"/>
        </w:rPr>
        <w:t> </w:t>
      </w:r>
      <w:r>
        <w:rPr>
          <w:vertAlign w:val="baseline"/>
        </w:rPr>
        <w:t>Thus, repression of human ER transcriptional activity (as well as glucocorticoid, mineralocorticoid, and androgen transcription) is dependent on the expression of PR-A.</w:t>
      </w:r>
      <w:r>
        <w:rPr>
          <w:vertAlign w:val="superscript"/>
        </w:rPr>
        <w:t>980,981</w:t>
      </w:r>
      <w:r>
        <w:rPr>
          <w:vertAlign w:val="baseline"/>
        </w:rPr>
        <w:t> The PR-A and PR-B have different molecular functions, affecting different genes, and, therefore, target tissue response</w:t>
      </w:r>
      <w:r>
        <w:rPr>
          <w:spacing w:val="-1"/>
          <w:vertAlign w:val="baseline"/>
        </w:rPr>
        <w:t> </w:t>
      </w:r>
      <w:r>
        <w:rPr>
          <w:vertAlign w:val="baseline"/>
        </w:rPr>
        <w:t>to</w:t>
      </w:r>
      <w:r>
        <w:rPr>
          <w:spacing w:val="-1"/>
          <w:vertAlign w:val="baseline"/>
        </w:rPr>
        <w:t> </w:t>
      </w:r>
      <w:r>
        <w:rPr>
          <w:vertAlign w:val="baseline"/>
        </w:rPr>
        <w:t>progesterone</w:t>
      </w:r>
      <w:r>
        <w:rPr>
          <w:spacing w:val="-1"/>
          <w:vertAlign w:val="baseline"/>
        </w:rPr>
        <w:t> </w:t>
      </w:r>
      <w:r>
        <w:rPr>
          <w:vertAlign w:val="baseline"/>
        </w:rPr>
        <w:t>will</w:t>
      </w:r>
      <w:r>
        <w:rPr>
          <w:spacing w:val="-1"/>
          <w:vertAlign w:val="baseline"/>
        </w:rPr>
        <w:t> </w:t>
      </w:r>
      <w:r>
        <w:rPr>
          <w:vertAlign w:val="baseline"/>
        </w:rPr>
        <w:t>be</w:t>
      </w:r>
      <w:r>
        <w:rPr>
          <w:spacing w:val="-1"/>
          <w:vertAlign w:val="baseline"/>
        </w:rPr>
        <w:t> </w:t>
      </w:r>
      <w:r>
        <w:rPr>
          <w:vertAlign w:val="baseline"/>
        </w:rPr>
        <w:t>influenced</w:t>
      </w:r>
      <w:r>
        <w:rPr>
          <w:spacing w:val="-1"/>
          <w:vertAlign w:val="baseline"/>
        </w:rPr>
        <w:t> </w:t>
      </w:r>
      <w:r>
        <w:rPr>
          <w:vertAlign w:val="baseline"/>
        </w:rPr>
        <w:t>by</w:t>
      </w:r>
      <w:r>
        <w:rPr>
          <w:spacing w:val="-1"/>
          <w:vertAlign w:val="baseline"/>
        </w:rPr>
        <w:t> </w:t>
      </w:r>
      <w:r>
        <w:rPr>
          <w:vertAlign w:val="baseline"/>
        </w:rPr>
        <w:t>the</w:t>
      </w:r>
      <w:r>
        <w:rPr>
          <w:spacing w:val="-1"/>
          <w:vertAlign w:val="baseline"/>
        </w:rPr>
        <w:t> </w:t>
      </w:r>
      <w:r>
        <w:rPr>
          <w:vertAlign w:val="baseline"/>
        </w:rPr>
        <w:t>differential</w:t>
      </w:r>
      <w:r>
        <w:rPr>
          <w:spacing w:val="-1"/>
          <w:vertAlign w:val="baseline"/>
        </w:rPr>
        <w:t> </w:t>
      </w:r>
      <w:r>
        <w:rPr>
          <w:vertAlign w:val="baseline"/>
        </w:rPr>
        <w:t>expression</w:t>
      </w:r>
      <w:r>
        <w:rPr>
          <w:spacing w:val="-1"/>
          <w:vertAlign w:val="baseline"/>
        </w:rPr>
        <w:t> </w:t>
      </w:r>
      <w:r>
        <w:rPr>
          <w:vertAlign w:val="baseline"/>
        </w:rPr>
        <w:t>of each receptor and the ratio of their concentrations, as well as the target tissue context of adaptor proteins.</w:t>
      </w:r>
      <w:r>
        <w:rPr>
          <w:vertAlign w:val="superscript"/>
        </w:rPr>
        <w:t>982,983</w:t>
      </w:r>
    </w:p>
    <w:p>
      <w:pPr>
        <w:spacing w:line="249" w:lineRule="auto" w:before="19"/>
        <w:ind w:left="99" w:right="98" w:firstLine="450"/>
        <w:jc w:val="both"/>
        <w:rPr>
          <w:sz w:val="30"/>
        </w:rPr>
      </w:pPr>
      <w:r>
        <w:rPr>
          <w:b/>
          <w:sz w:val="30"/>
        </w:rPr>
        <w:t>PR-A-positive breast cells exhibit more aggressive growth, and </w:t>
      </w:r>
      <w:r>
        <w:rPr>
          <w:b/>
          <w:sz w:val="30"/>
        </w:rPr>
        <w:t>PR-A isoforms are dominant in the absence of progesterone. </w:t>
      </w:r>
      <w:r>
        <w:rPr>
          <w:sz w:val="30"/>
        </w:rPr>
        <w:t>Even without its</w:t>
      </w:r>
      <w:r>
        <w:rPr>
          <w:spacing w:val="-4"/>
          <w:sz w:val="30"/>
        </w:rPr>
        <w:t> </w:t>
      </w:r>
      <w:r>
        <w:rPr>
          <w:sz w:val="30"/>
        </w:rPr>
        <w:t>ligand,</w:t>
      </w:r>
      <w:r>
        <w:rPr>
          <w:spacing w:val="-4"/>
          <w:sz w:val="30"/>
        </w:rPr>
        <w:t> </w:t>
      </w:r>
      <w:r>
        <w:rPr>
          <w:sz w:val="30"/>
        </w:rPr>
        <w:t>PR-A</w:t>
      </w:r>
      <w:r>
        <w:rPr>
          <w:spacing w:val="-4"/>
          <w:sz w:val="30"/>
        </w:rPr>
        <w:t> </w:t>
      </w:r>
      <w:r>
        <w:rPr>
          <w:sz w:val="30"/>
        </w:rPr>
        <w:t>can</w:t>
      </w:r>
      <w:r>
        <w:rPr>
          <w:spacing w:val="-4"/>
          <w:sz w:val="30"/>
        </w:rPr>
        <w:t> </w:t>
      </w:r>
      <w:r>
        <w:rPr>
          <w:sz w:val="30"/>
        </w:rPr>
        <w:t>exert</w:t>
      </w:r>
      <w:r>
        <w:rPr>
          <w:spacing w:val="-4"/>
          <w:sz w:val="30"/>
        </w:rPr>
        <w:t> </w:t>
      </w:r>
      <w:r>
        <w:rPr>
          <w:sz w:val="30"/>
        </w:rPr>
        <w:t>gene</w:t>
      </w:r>
      <w:r>
        <w:rPr>
          <w:spacing w:val="-4"/>
          <w:sz w:val="30"/>
        </w:rPr>
        <w:t> </w:t>
      </w:r>
      <w:r>
        <w:rPr>
          <w:sz w:val="30"/>
        </w:rPr>
        <w:t>regulation</w:t>
      </w:r>
      <w:r>
        <w:rPr>
          <w:spacing w:val="-4"/>
          <w:sz w:val="30"/>
        </w:rPr>
        <w:t> </w:t>
      </w:r>
      <w:r>
        <w:rPr>
          <w:sz w:val="30"/>
        </w:rPr>
        <w:t>in</w:t>
      </w:r>
      <w:r>
        <w:rPr>
          <w:spacing w:val="-4"/>
          <w:sz w:val="30"/>
        </w:rPr>
        <w:t> </w:t>
      </w:r>
      <w:r>
        <w:rPr>
          <w:sz w:val="30"/>
        </w:rPr>
        <w:t>ER-positive</w:t>
      </w:r>
      <w:r>
        <w:rPr>
          <w:spacing w:val="-4"/>
          <w:sz w:val="30"/>
        </w:rPr>
        <w:t> </w:t>
      </w:r>
      <w:r>
        <w:rPr>
          <w:sz w:val="30"/>
        </w:rPr>
        <w:t>breast</w:t>
      </w:r>
      <w:r>
        <w:rPr>
          <w:spacing w:val="-4"/>
          <w:sz w:val="30"/>
        </w:rPr>
        <w:t> </w:t>
      </w:r>
      <w:r>
        <w:rPr>
          <w:sz w:val="30"/>
        </w:rPr>
        <w:t>cell</w:t>
      </w:r>
      <w:r>
        <w:rPr>
          <w:spacing w:val="-4"/>
          <w:sz w:val="30"/>
        </w:rPr>
        <w:t> </w:t>
      </w:r>
      <w:r>
        <w:rPr>
          <w:sz w:val="30"/>
        </w:rPr>
        <w:t>lines.</w:t>
      </w:r>
      <w:r>
        <w:rPr>
          <w:sz w:val="30"/>
          <w:vertAlign w:val="superscript"/>
        </w:rPr>
        <w:t>984</w:t>
      </w:r>
      <w:r>
        <w:rPr>
          <w:sz w:val="30"/>
          <w:vertAlign w:val="baseline"/>
        </w:rPr>
        <w:t> In the absence of progesterone, PR-A upregulates genes known to be associated with invasion and poor prognosis, including those genes that provide resistance to apoptosis. In the presence of progesterone, PR-B is a stronger regulator of gene transcription. The breasts of normal women express equal amounts of PR-A and PR-B.</w:t>
      </w:r>
    </w:p>
    <w:p>
      <w:pPr>
        <w:pStyle w:val="BodyText"/>
        <w:spacing w:line="249" w:lineRule="auto" w:before="10"/>
        <w:ind w:right="100" w:firstLine="450"/>
      </w:pPr>
      <w:r>
        <w:rPr/>
        <w:t>PR-A excess and breast cancer are linked. ER-positive tumors with </w:t>
      </w:r>
      <w:r>
        <w:rPr/>
        <w:t>a higher rate of recurrence are rich in the PR-A isoform.</w:t>
      </w:r>
      <w:r>
        <w:rPr>
          <w:vertAlign w:val="superscript"/>
        </w:rPr>
        <w:t>984</w:t>
      </w:r>
      <w:r>
        <w:rPr>
          <w:vertAlign w:val="baseline"/>
        </w:rPr>
        <w:t> As breast cancers become less differentiated, metastatic tumors become dominated by either PR-A or PR-B. PR-A-rich tumors with a low PR-A:PR-B ratio do poorly and respond less well to tamoxifen.</w:t>
      </w:r>
      <w:r>
        <w:rPr>
          <w:vertAlign w:val="superscript"/>
        </w:rPr>
        <w:t>985</w:t>
      </w:r>
      <w:r>
        <w:rPr>
          <w:vertAlign w:val="baseline"/>
        </w:rPr>
        <w:t> PR-A excess is also present in breast tissue from women with the </w:t>
      </w:r>
      <w:r>
        <w:rPr>
          <w:i/>
          <w:vertAlign w:val="baseline"/>
        </w:rPr>
        <w:t>BRCA </w:t>
      </w:r>
      <w:r>
        <w:rPr>
          <w:vertAlign w:val="baseline"/>
        </w:rPr>
        <w:t>mutations.</w:t>
      </w:r>
      <w:r>
        <w:rPr>
          <w:vertAlign w:val="superscript"/>
        </w:rPr>
        <w:t>986</w:t>
      </w:r>
    </w:p>
    <w:p>
      <w:pPr>
        <w:pStyle w:val="BodyText"/>
        <w:spacing w:line="249" w:lineRule="auto" w:before="7"/>
        <w:ind w:right="98" w:firstLine="450"/>
      </w:pPr>
      <w:r>
        <w:rPr/>
        <w:t>Thus, PRs are not just passive markers of estrogen activity. </w:t>
      </w:r>
      <w:r>
        <w:rPr/>
        <w:t>ER+/PR+ tumors are well differentiated and have better outcomes. In the absence of progesterone, the unliganded PR-A can adversely influence the cell biology of</w:t>
      </w:r>
      <w:r>
        <w:rPr>
          <w:spacing w:val="30"/>
        </w:rPr>
        <w:t> </w:t>
      </w:r>
      <w:r>
        <w:rPr/>
        <w:t>ER-positive</w:t>
      </w:r>
      <w:r>
        <w:rPr>
          <w:spacing w:val="30"/>
        </w:rPr>
        <w:t> </w:t>
      </w:r>
      <w:r>
        <w:rPr/>
        <w:t>tumors.</w:t>
      </w:r>
      <w:r>
        <w:rPr>
          <w:spacing w:val="29"/>
        </w:rPr>
        <w:t> </w:t>
      </w:r>
      <w:r>
        <w:rPr/>
        <w:t>Cells</w:t>
      </w:r>
      <w:r>
        <w:rPr>
          <w:spacing w:val="35"/>
        </w:rPr>
        <w:t> </w:t>
      </w:r>
      <w:r>
        <w:rPr/>
        <w:t>rich</w:t>
      </w:r>
      <w:r>
        <w:rPr>
          <w:spacing w:val="35"/>
        </w:rPr>
        <w:t> </w:t>
      </w:r>
      <w:r>
        <w:rPr/>
        <w:t>in</w:t>
      </w:r>
      <w:r>
        <w:rPr>
          <w:spacing w:val="35"/>
        </w:rPr>
        <w:t> </w:t>
      </w:r>
      <w:r>
        <w:rPr/>
        <w:t>PR-A</w:t>
      </w:r>
      <w:r>
        <w:rPr>
          <w:spacing w:val="35"/>
        </w:rPr>
        <w:t> </w:t>
      </w:r>
      <w:r>
        <w:rPr/>
        <w:t>are</w:t>
      </w:r>
      <w:r>
        <w:rPr>
          <w:spacing w:val="35"/>
        </w:rPr>
        <w:t> </w:t>
      </w:r>
      <w:r>
        <w:rPr/>
        <w:t>more</w:t>
      </w:r>
      <w:r>
        <w:rPr>
          <w:spacing w:val="35"/>
        </w:rPr>
        <w:t> </w:t>
      </w:r>
      <w:r>
        <w:rPr/>
        <w:t>likely</w:t>
      </w:r>
      <w:r>
        <w:rPr>
          <w:spacing w:val="35"/>
        </w:rPr>
        <w:t> </w:t>
      </w:r>
      <w:r>
        <w:rPr/>
        <w:t>to</w:t>
      </w:r>
      <w:r>
        <w:rPr>
          <w:spacing w:val="35"/>
        </w:rPr>
        <w:t> </w:t>
      </w:r>
      <w:r>
        <w:rPr/>
        <w:t>be</w:t>
      </w:r>
      <w:r>
        <w:rPr>
          <w:spacing w:val="35"/>
        </w:rPr>
        <w:t> </w:t>
      </w:r>
      <w:r>
        <w:rPr>
          <w:spacing w:val="-2"/>
        </w:rPr>
        <w:t>invasive,</w:t>
      </w:r>
    </w:p>
    <w:p>
      <w:pPr>
        <w:pStyle w:val="BodyText"/>
        <w:spacing w:after="0" w:line="249" w:lineRule="auto"/>
        <w:sectPr>
          <w:pgSz w:w="12240" w:h="15840"/>
          <w:pgMar w:top="1380" w:bottom="280" w:left="1440" w:right="1440"/>
        </w:sectPr>
      </w:pPr>
    </w:p>
    <w:p>
      <w:pPr>
        <w:pStyle w:val="BodyText"/>
        <w:spacing w:line="249" w:lineRule="auto"/>
        <w:ind w:right="98"/>
      </w:pPr>
      <w:r>
        <w:rPr/>
        <w:t>poorly differentiated, and aggressive. In</w:t>
      </w:r>
      <w:r>
        <w:rPr>
          <w:spacing w:val="-1"/>
        </w:rPr>
        <w:t> </w:t>
      </w:r>
      <w:r>
        <w:rPr/>
        <w:t>monkeys,</w:t>
      </w:r>
      <w:r>
        <w:rPr>
          <w:spacing w:val="-1"/>
        </w:rPr>
        <w:t> </w:t>
      </w:r>
      <w:r>
        <w:rPr/>
        <w:t>the</w:t>
      </w:r>
      <w:r>
        <w:rPr>
          <w:spacing w:val="-1"/>
        </w:rPr>
        <w:t> </w:t>
      </w:r>
      <w:r>
        <w:rPr/>
        <w:t>breast</w:t>
      </w:r>
      <w:r>
        <w:rPr>
          <w:spacing w:val="-1"/>
        </w:rPr>
        <w:t> </w:t>
      </w:r>
      <w:r>
        <w:rPr/>
        <w:t>levels</w:t>
      </w:r>
      <w:r>
        <w:rPr>
          <w:spacing w:val="-1"/>
        </w:rPr>
        <w:t> </w:t>
      </w:r>
      <w:r>
        <w:rPr/>
        <w:t>of</w:t>
      </w:r>
      <w:r>
        <w:rPr>
          <w:spacing w:val="-1"/>
        </w:rPr>
        <w:t> </w:t>
      </w:r>
      <w:r>
        <w:rPr/>
        <w:t>PR-A were unchanged after 3 years of treatment with conjugated </w:t>
      </w:r>
      <w:r>
        <w:rPr/>
        <w:t>estrogens alone.</w:t>
      </w:r>
      <w:r>
        <w:rPr>
          <w:vertAlign w:val="superscript"/>
        </w:rPr>
        <w:t>987</w:t>
      </w:r>
      <w:r>
        <w:rPr>
          <w:vertAlign w:val="baseline"/>
        </w:rPr>
        <w:t> Treatment with conjugated estrogens and MPA produced a decline in PR-A levels, producing a 10-fold beneficial change in the PR-A:PR-B ratio. It is possible that the exposure of an ER-positive tumor to estrogen-progestin treatment can prevent an unfavorable PR-A:PR-B ratio,</w:t>
      </w:r>
      <w:r>
        <w:rPr>
          <w:spacing w:val="40"/>
          <w:vertAlign w:val="baseline"/>
        </w:rPr>
        <w:t> </w:t>
      </w:r>
      <w:r>
        <w:rPr>
          <w:vertAlign w:val="baseline"/>
        </w:rPr>
        <w:t>promoting the beneficial actions of PR-B. In addition, progestins may activate androgen receptors, a factor that has been demonstrated to inhibit growth and cause apoptosis in breast cancer cells.</w:t>
      </w:r>
      <w:r>
        <w:rPr>
          <w:vertAlign w:val="superscript"/>
        </w:rPr>
        <w:t>988,989</w:t>
      </w:r>
    </w:p>
    <w:p>
      <w:pPr>
        <w:pStyle w:val="BodyText"/>
        <w:spacing w:line="249" w:lineRule="auto" w:before="11"/>
        <w:ind w:right="99" w:firstLine="450"/>
      </w:pPr>
      <w:r>
        <w:rPr/>
        <w:t>In a series of in vitro experiments, estradiol and its catechol </w:t>
      </w:r>
      <w:r>
        <w:rPr/>
        <w:t>metabolites induced neoplastic transformation in human breast epithelial cells.</w:t>
      </w:r>
      <w:r>
        <w:rPr>
          <w:vertAlign w:val="superscript"/>
        </w:rPr>
        <w:t>990</w:t>
      </w:r>
      <w:r>
        <w:rPr>
          <w:vertAlign w:val="baseline"/>
        </w:rPr>
        <w:t> This, of course, would be consistent with a genomic impact of estrogen that initiates breast cancer, an effect earlier than a promoting influence on already-established cancers. However, it is difficult to transfer in vitro effects on cell lines to the in vivo situation, and this is especially true with breast tissue that is bathed in a complicated and large collection of stimulating and inhibiting substances. Furthermore, the cells in the in vitro experiments were negative for both ER and PR. These receptor-negative malignant cells may well be something different than the receptor-positive tumors associated with postmenopausal HT.</w:t>
      </w:r>
    </w:p>
    <w:p>
      <w:pPr>
        <w:pStyle w:val="BodyText"/>
        <w:spacing w:line="249" w:lineRule="auto" w:before="13"/>
        <w:ind w:right="100" w:firstLine="450"/>
      </w:pPr>
      <w:r>
        <w:rPr/>
        <w:t>Favorable effects of progestin exposure are reflected in the studies of</w:t>
      </w:r>
      <w:r>
        <w:rPr>
          <w:spacing w:val="40"/>
        </w:rPr>
        <w:t> </w:t>
      </w:r>
      <w:r>
        <w:rPr/>
        <w:t>the association between endogenous hormone levels and the risk of breast cancer. A pooled analysis of nine prospective studies of postmenopausal women concluded that the risk of breast cancer increases with increasing concentrations of all endogenous estrogens and androgens, including estradiol, estrone, estrone sulfate, androstenedione, DHEA, DHEA-S, </w:t>
      </w:r>
      <w:r>
        <w:rPr/>
        <w:t>and testosterone.</w:t>
      </w:r>
      <w:r>
        <w:rPr>
          <w:vertAlign w:val="superscript"/>
        </w:rPr>
        <w:t>991</w:t>
      </w:r>
      <w:r>
        <w:rPr>
          <w:vertAlign w:val="baseline"/>
        </w:rPr>
        <w:t> The overall increase in breast cancer risk was about 2-fold comparing the lowest endogenous levels in postmenopausal women with</w:t>
      </w:r>
      <w:r>
        <w:rPr>
          <w:spacing w:val="40"/>
          <w:vertAlign w:val="baseline"/>
        </w:rPr>
        <w:t> </w:t>
      </w:r>
      <w:r>
        <w:rPr>
          <w:vertAlign w:val="baseline"/>
        </w:rPr>
        <w:t>the highest levels. Women who ultimately develop breast cancer do not have different blood levels of progesterone.</w:t>
      </w:r>
      <w:r>
        <w:rPr>
          <w:vertAlign w:val="superscript"/>
        </w:rPr>
        <w:t>834</w:t>
      </w:r>
      <w:r>
        <w:rPr>
          <w:vertAlign w:val="baseline"/>
        </w:rPr>
        <w:t> Postmenopausal women who are overweight have an increased risk of breast cancer, and an analysis that adjusted for the increase in circulating estrogens associated with obesity concluded that the increasing risk with increasing body weight is the result of the increase in estrogens.</w:t>
      </w:r>
      <w:r>
        <w:rPr>
          <w:vertAlign w:val="superscript"/>
        </w:rPr>
        <w:t>992</w:t>
      </w:r>
    </w:p>
    <w:p>
      <w:pPr>
        <w:pStyle w:val="BodyText"/>
        <w:spacing w:line="249" w:lineRule="auto" w:before="17"/>
        <w:ind w:right="105" w:firstLine="450"/>
      </w:pPr>
      <w:r>
        <w:rPr/>
        <w:t>In contrast to the endometrium, epithelial cell proliferation in </w:t>
      </w:r>
      <w:r>
        <w:rPr/>
        <w:t>the</w:t>
      </w:r>
      <w:r>
        <w:rPr>
          <w:spacing w:val="40"/>
        </w:rPr>
        <w:t> </w:t>
      </w:r>
      <w:r>
        <w:rPr/>
        <w:t>normal</w:t>
      </w:r>
      <w:r>
        <w:rPr>
          <w:spacing w:val="62"/>
          <w:w w:val="150"/>
        </w:rPr>
        <w:t> </w:t>
      </w:r>
      <w:r>
        <w:rPr/>
        <w:t>breast</w:t>
      </w:r>
      <w:r>
        <w:rPr>
          <w:spacing w:val="63"/>
          <w:w w:val="150"/>
        </w:rPr>
        <w:t> </w:t>
      </w:r>
      <w:r>
        <w:rPr/>
        <w:t>and</w:t>
      </w:r>
      <w:r>
        <w:rPr>
          <w:spacing w:val="62"/>
          <w:w w:val="150"/>
        </w:rPr>
        <w:t> </w:t>
      </w:r>
      <w:r>
        <w:rPr/>
        <w:t>in</w:t>
      </w:r>
      <w:r>
        <w:rPr>
          <w:spacing w:val="63"/>
          <w:w w:val="150"/>
        </w:rPr>
        <w:t> </w:t>
      </w:r>
      <w:r>
        <w:rPr/>
        <w:t>ER-positive</w:t>
      </w:r>
      <w:r>
        <w:rPr>
          <w:spacing w:val="62"/>
          <w:w w:val="150"/>
        </w:rPr>
        <w:t> </w:t>
      </w:r>
      <w:r>
        <w:rPr/>
        <w:t>tumors</w:t>
      </w:r>
      <w:r>
        <w:rPr>
          <w:spacing w:val="63"/>
          <w:w w:val="150"/>
        </w:rPr>
        <w:t> </w:t>
      </w:r>
      <w:r>
        <w:rPr/>
        <w:t>reaches</w:t>
      </w:r>
      <w:r>
        <w:rPr>
          <w:spacing w:val="62"/>
          <w:w w:val="150"/>
        </w:rPr>
        <w:t> </w:t>
      </w:r>
      <w:r>
        <w:rPr/>
        <w:t>its</w:t>
      </w:r>
      <w:r>
        <w:rPr>
          <w:spacing w:val="63"/>
          <w:w w:val="150"/>
        </w:rPr>
        <w:t> </w:t>
      </w:r>
      <w:r>
        <w:rPr/>
        <w:t>peak</w:t>
      </w:r>
      <w:r>
        <w:rPr>
          <w:spacing w:val="62"/>
          <w:w w:val="150"/>
        </w:rPr>
        <w:t> </w:t>
      </w:r>
      <w:r>
        <w:rPr/>
        <w:t>during</w:t>
      </w:r>
      <w:r>
        <w:rPr>
          <w:spacing w:val="63"/>
          <w:w w:val="150"/>
        </w:rPr>
        <w:t> </w:t>
      </w:r>
      <w:r>
        <w:rPr>
          <w:spacing w:val="-5"/>
        </w:rPr>
        <w:t>the</w:t>
      </w:r>
    </w:p>
    <w:p>
      <w:pPr>
        <w:pStyle w:val="BodyText"/>
        <w:spacing w:after="0" w:line="249" w:lineRule="auto"/>
        <w:sectPr>
          <w:pgSz w:w="12240" w:h="15840"/>
          <w:pgMar w:top="1380" w:bottom="280" w:left="1440" w:right="1440"/>
        </w:sectPr>
      </w:pPr>
    </w:p>
    <w:p>
      <w:pPr>
        <w:pStyle w:val="BodyText"/>
        <w:spacing w:line="249" w:lineRule="auto"/>
        <w:ind w:right="97"/>
      </w:pPr>
      <w:r>
        <w:rPr/>
        <w:t>progesterone-dominant luteal phase of the menstrual cycle.</w:t>
      </w:r>
      <w:r>
        <w:rPr>
          <w:vertAlign w:val="superscript"/>
        </w:rPr>
        <w:t>963,993-995</w:t>
      </w:r>
      <w:r>
        <w:rPr>
          <w:vertAlign w:val="baseline"/>
        </w:rPr>
        <w:t> </w:t>
      </w:r>
      <w:r>
        <w:rPr>
          <w:vertAlign w:val="baseline"/>
        </w:rPr>
        <w:t>This observation has been the driving force behind the argument that progesterone (progestins) is the major hormonal mitogen in the breast. However, studies do not support a major role for an adverse progestational influence. In animal models, it is estrogen that is the major inducer of proliferation and not progesterone. Indeed, evidence indicates that with increasing duration of exposure, progesterone can limit breast epithelial growth as it does with endometrial epithelium.</w:t>
      </w:r>
      <w:r>
        <w:rPr>
          <w:vertAlign w:val="superscript"/>
        </w:rPr>
        <w:t>996-998</w:t>
      </w:r>
      <w:r>
        <w:rPr>
          <w:vertAlign w:val="baseline"/>
        </w:rPr>
        <w:t> In vitro studies of normal breast epithelial cells reveal that progestins inhibit proliferation.</w:t>
      </w:r>
      <w:r>
        <w:rPr>
          <w:vertAlign w:val="superscript"/>
        </w:rPr>
        <w:t>999</w:t>
      </w:r>
      <w:r>
        <w:rPr>
          <w:vertAlign w:val="baseline"/>
        </w:rPr>
        <w:t> The story with human breast tissue specimens removed after the patients were treated with estradiol and progestin is more confusing, indicating, on one hand, that progestins inhibit in vivo estradiol-induced proliferation</w:t>
      </w:r>
      <w:r>
        <w:rPr>
          <w:vertAlign w:val="superscript"/>
        </w:rPr>
        <w:t>996,998,1000</w:t>
      </w:r>
      <w:r>
        <w:rPr>
          <w:vertAlign w:val="baseline"/>
        </w:rPr>
        <w:t> and, on the other hand, markers of epithelial and stromal cell proliferation were higher in women being treated with</w:t>
      </w:r>
      <w:r>
        <w:rPr>
          <w:spacing w:val="40"/>
          <w:vertAlign w:val="baseline"/>
        </w:rPr>
        <w:t> </w:t>
      </w:r>
      <w:r>
        <w:rPr>
          <w:vertAlign w:val="baseline"/>
        </w:rPr>
        <w:t>estrogen-progestin.</w:t>
      </w:r>
      <w:r>
        <w:rPr>
          <w:vertAlign w:val="superscript"/>
        </w:rPr>
        <w:t>183,1001</w:t>
      </w:r>
      <w:r>
        <w:rPr>
          <w:vertAlign w:val="baseline"/>
        </w:rPr>
        <w:t> Nevertheless, progestins have been demonstrated to decrease antiapoptotic protein expression,</w:t>
      </w:r>
      <w:r>
        <w:rPr>
          <w:vertAlign w:val="superscript"/>
        </w:rPr>
        <w:t>1002</w:t>
      </w:r>
      <w:r>
        <w:rPr>
          <w:vertAlign w:val="baseline"/>
        </w:rPr>
        <w:t> and apoptosis in breast tissue is higher in the luteal phase than in the follicular phase.</w:t>
      </w:r>
      <w:r>
        <w:rPr>
          <w:vertAlign w:val="superscript"/>
        </w:rPr>
        <w:t>1003</w:t>
      </w:r>
      <w:r>
        <w:rPr>
          <w:vertAlign w:val="baseline"/>
        </w:rPr>
        <w:t> Conversely, research comparing human breast cancer cell lines to noncancerous cells has demonstrated that progestogens differentially affect breast</w:t>
      </w:r>
      <w:r>
        <w:rPr>
          <w:spacing w:val="-5"/>
          <w:vertAlign w:val="baseline"/>
        </w:rPr>
        <w:t> </w:t>
      </w:r>
      <w:r>
        <w:rPr>
          <w:vertAlign w:val="baseline"/>
        </w:rPr>
        <w:t>cell</w:t>
      </w:r>
      <w:r>
        <w:rPr>
          <w:spacing w:val="-5"/>
          <w:vertAlign w:val="baseline"/>
        </w:rPr>
        <w:t> </w:t>
      </w:r>
      <w:r>
        <w:rPr>
          <w:vertAlign w:val="baseline"/>
        </w:rPr>
        <w:t>proliferative</w:t>
      </w:r>
      <w:r>
        <w:rPr>
          <w:spacing w:val="-5"/>
          <w:vertAlign w:val="baseline"/>
        </w:rPr>
        <w:t> </w:t>
      </w:r>
      <w:r>
        <w:rPr>
          <w:vertAlign w:val="baseline"/>
        </w:rPr>
        <w:t>activity.</w:t>
      </w:r>
      <w:r>
        <w:rPr>
          <w:vertAlign w:val="superscript"/>
        </w:rPr>
        <w:t>1004,1005</w:t>
      </w:r>
      <w:r>
        <w:rPr>
          <w:spacing w:val="-7"/>
          <w:vertAlign w:val="baseline"/>
        </w:rPr>
        <w:t> </w:t>
      </w:r>
      <w:r>
        <w:rPr>
          <w:vertAlign w:val="baseline"/>
        </w:rPr>
        <w:t>A</w:t>
      </w:r>
      <w:r>
        <w:rPr>
          <w:spacing w:val="-7"/>
          <w:vertAlign w:val="baseline"/>
        </w:rPr>
        <w:t> </w:t>
      </w:r>
      <w:r>
        <w:rPr>
          <w:vertAlign w:val="baseline"/>
        </w:rPr>
        <w:t>study</w:t>
      </w:r>
      <w:r>
        <w:rPr>
          <w:spacing w:val="-7"/>
          <w:vertAlign w:val="baseline"/>
        </w:rPr>
        <w:t> </w:t>
      </w:r>
      <w:r>
        <w:rPr>
          <w:vertAlign w:val="baseline"/>
        </w:rPr>
        <w:t>by</w:t>
      </w:r>
      <w:r>
        <w:rPr>
          <w:spacing w:val="-7"/>
          <w:vertAlign w:val="baseline"/>
        </w:rPr>
        <w:t> </w:t>
      </w:r>
      <w:r>
        <w:rPr>
          <w:vertAlign w:val="baseline"/>
        </w:rPr>
        <w:t>Courtin</w:t>
      </w:r>
      <w:r>
        <w:rPr>
          <w:spacing w:val="-7"/>
          <w:vertAlign w:val="baseline"/>
        </w:rPr>
        <w:t> </w:t>
      </w:r>
      <w:r>
        <w:rPr>
          <w:vertAlign w:val="baseline"/>
        </w:rPr>
        <w:t>et</w:t>
      </w:r>
      <w:r>
        <w:rPr>
          <w:spacing w:val="-7"/>
          <w:vertAlign w:val="baseline"/>
        </w:rPr>
        <w:t> </w:t>
      </w:r>
      <w:r>
        <w:rPr>
          <w:vertAlign w:val="baseline"/>
        </w:rPr>
        <w:t>al</w:t>
      </w:r>
      <w:r>
        <w:rPr>
          <w:spacing w:val="-7"/>
          <w:vertAlign w:val="baseline"/>
        </w:rPr>
        <w:t> </w:t>
      </w:r>
      <w:r>
        <w:rPr>
          <w:vertAlign w:val="baseline"/>
        </w:rPr>
        <w:t>analyzed</w:t>
      </w:r>
      <w:r>
        <w:rPr>
          <w:spacing w:val="-7"/>
          <w:vertAlign w:val="baseline"/>
        </w:rPr>
        <w:t> </w:t>
      </w:r>
      <w:r>
        <w:rPr>
          <w:vertAlign w:val="baseline"/>
        </w:rPr>
        <w:t>the effects of estradiol (E2) alone, E2 + progesterone (P4), and E2 + MPA on cellular proliferation and apoptosis in breast cancer cells, as well as normal human breast cells.</w:t>
      </w:r>
      <w:r>
        <w:rPr>
          <w:vertAlign w:val="superscript"/>
        </w:rPr>
        <w:t>1006</w:t>
      </w:r>
      <w:r>
        <w:rPr>
          <w:vertAlign w:val="baseline"/>
        </w:rPr>
        <w:t> Treatment with E2 alone in all cell types resulted in increased</w:t>
      </w:r>
      <w:r>
        <w:rPr>
          <w:spacing w:val="-2"/>
          <w:vertAlign w:val="baseline"/>
        </w:rPr>
        <w:t> </w:t>
      </w:r>
      <w:r>
        <w:rPr>
          <w:vertAlign w:val="baseline"/>
        </w:rPr>
        <w:t>cell</w:t>
      </w:r>
      <w:r>
        <w:rPr>
          <w:spacing w:val="-2"/>
          <w:vertAlign w:val="baseline"/>
        </w:rPr>
        <w:t> </w:t>
      </w:r>
      <w:r>
        <w:rPr>
          <w:vertAlign w:val="baseline"/>
        </w:rPr>
        <w:t>proliferation.</w:t>
      </w:r>
      <w:r>
        <w:rPr>
          <w:spacing w:val="-3"/>
          <w:vertAlign w:val="baseline"/>
        </w:rPr>
        <w:t> </w:t>
      </w:r>
      <w:r>
        <w:rPr>
          <w:vertAlign w:val="baseline"/>
        </w:rPr>
        <w:t>In</w:t>
      </w:r>
      <w:r>
        <w:rPr>
          <w:spacing w:val="-1"/>
          <w:vertAlign w:val="baseline"/>
        </w:rPr>
        <w:t> </w:t>
      </w:r>
      <w:r>
        <w:rPr>
          <w:vertAlign w:val="baseline"/>
        </w:rPr>
        <w:t>normal</w:t>
      </w:r>
      <w:r>
        <w:rPr>
          <w:spacing w:val="-1"/>
          <w:vertAlign w:val="baseline"/>
        </w:rPr>
        <w:t> </w:t>
      </w:r>
      <w:r>
        <w:rPr>
          <w:vertAlign w:val="baseline"/>
        </w:rPr>
        <w:t>human</w:t>
      </w:r>
      <w:r>
        <w:rPr>
          <w:spacing w:val="-1"/>
          <w:vertAlign w:val="baseline"/>
        </w:rPr>
        <w:t> </w:t>
      </w:r>
      <w:r>
        <w:rPr>
          <w:vertAlign w:val="baseline"/>
        </w:rPr>
        <w:t>breast</w:t>
      </w:r>
      <w:r>
        <w:rPr>
          <w:spacing w:val="-1"/>
          <w:vertAlign w:val="baseline"/>
        </w:rPr>
        <w:t> </w:t>
      </w:r>
      <w:r>
        <w:rPr>
          <w:vertAlign w:val="baseline"/>
        </w:rPr>
        <w:t>cells,</w:t>
      </w:r>
      <w:r>
        <w:rPr>
          <w:spacing w:val="-2"/>
          <w:vertAlign w:val="baseline"/>
        </w:rPr>
        <w:t> </w:t>
      </w:r>
      <w:r>
        <w:rPr>
          <w:vertAlign w:val="baseline"/>
        </w:rPr>
        <w:t>the</w:t>
      </w:r>
      <w:r>
        <w:rPr>
          <w:spacing w:val="-1"/>
          <w:vertAlign w:val="baseline"/>
        </w:rPr>
        <w:t> </w:t>
      </w:r>
      <w:r>
        <w:rPr>
          <w:vertAlign w:val="baseline"/>
        </w:rPr>
        <w:t>addition</w:t>
      </w:r>
      <w:r>
        <w:rPr>
          <w:spacing w:val="-1"/>
          <w:vertAlign w:val="baseline"/>
        </w:rPr>
        <w:t> </w:t>
      </w:r>
      <w:r>
        <w:rPr>
          <w:vertAlign w:val="baseline"/>
        </w:rPr>
        <w:t>of</w:t>
      </w:r>
      <w:r>
        <w:rPr>
          <w:spacing w:val="-1"/>
          <w:vertAlign w:val="baseline"/>
        </w:rPr>
        <w:t> </w:t>
      </w:r>
      <w:r>
        <w:rPr>
          <w:vertAlign w:val="baseline"/>
        </w:rPr>
        <w:t>P4 blocked estradiol’s proliferative effect and also resulted in an increased number of apoptotic cells. When normal cells were treated with E2+MPA, however, there was little effect on cellular proliferation, and the number of apoptotic</w:t>
      </w:r>
      <w:r>
        <w:rPr>
          <w:spacing w:val="-6"/>
          <w:vertAlign w:val="baseline"/>
        </w:rPr>
        <w:t> </w:t>
      </w:r>
      <w:r>
        <w:rPr>
          <w:vertAlign w:val="baseline"/>
        </w:rPr>
        <w:t>cells</w:t>
      </w:r>
      <w:r>
        <w:rPr>
          <w:spacing w:val="-6"/>
          <w:vertAlign w:val="baseline"/>
        </w:rPr>
        <w:t> </w:t>
      </w:r>
      <w:r>
        <w:rPr>
          <w:vertAlign w:val="baseline"/>
        </w:rPr>
        <w:t>was</w:t>
      </w:r>
      <w:r>
        <w:rPr>
          <w:spacing w:val="-6"/>
          <w:vertAlign w:val="baseline"/>
        </w:rPr>
        <w:t> </w:t>
      </w:r>
      <w:r>
        <w:rPr>
          <w:vertAlign w:val="baseline"/>
        </w:rPr>
        <w:t>decreased.</w:t>
      </w:r>
      <w:r>
        <w:rPr>
          <w:spacing w:val="-7"/>
          <w:vertAlign w:val="baseline"/>
        </w:rPr>
        <w:t> </w:t>
      </w:r>
      <w:r>
        <w:rPr>
          <w:vertAlign w:val="baseline"/>
        </w:rPr>
        <w:t>In</w:t>
      </w:r>
      <w:r>
        <w:rPr>
          <w:spacing w:val="-2"/>
          <w:vertAlign w:val="baseline"/>
        </w:rPr>
        <w:t> </w:t>
      </w:r>
      <w:r>
        <w:rPr>
          <w:vertAlign w:val="baseline"/>
        </w:rPr>
        <w:t>MCF-7</w:t>
      </w:r>
      <w:r>
        <w:rPr>
          <w:spacing w:val="-2"/>
          <w:vertAlign w:val="baseline"/>
        </w:rPr>
        <w:t> </w:t>
      </w:r>
      <w:r>
        <w:rPr>
          <w:vertAlign w:val="baseline"/>
        </w:rPr>
        <w:t>and</w:t>
      </w:r>
      <w:r>
        <w:rPr>
          <w:spacing w:val="-2"/>
          <w:vertAlign w:val="baseline"/>
        </w:rPr>
        <w:t> </w:t>
      </w:r>
      <w:r>
        <w:rPr>
          <w:vertAlign w:val="baseline"/>
        </w:rPr>
        <w:t>T-47D</w:t>
      </w:r>
      <w:r>
        <w:rPr>
          <w:spacing w:val="-2"/>
          <w:vertAlign w:val="baseline"/>
        </w:rPr>
        <w:t> </w:t>
      </w:r>
      <w:r>
        <w:rPr>
          <w:vertAlign w:val="baseline"/>
        </w:rPr>
        <w:t>breast</w:t>
      </w:r>
      <w:r>
        <w:rPr>
          <w:spacing w:val="-2"/>
          <w:vertAlign w:val="baseline"/>
        </w:rPr>
        <w:t> </w:t>
      </w:r>
      <w:r>
        <w:rPr>
          <w:vertAlign w:val="baseline"/>
        </w:rPr>
        <w:t>cancer</w:t>
      </w:r>
      <w:r>
        <w:rPr>
          <w:spacing w:val="-2"/>
          <w:vertAlign w:val="baseline"/>
        </w:rPr>
        <w:t> </w:t>
      </w:r>
      <w:r>
        <w:rPr>
          <w:vertAlign w:val="baseline"/>
        </w:rPr>
        <w:t>cell</w:t>
      </w:r>
      <w:r>
        <w:rPr>
          <w:spacing w:val="-2"/>
          <w:vertAlign w:val="baseline"/>
        </w:rPr>
        <w:t> </w:t>
      </w:r>
      <w:r>
        <w:rPr>
          <w:vertAlign w:val="baseline"/>
        </w:rPr>
        <w:t>lines, MPA did not induce cellular proliferation, and neither MPA nor P4 affected apoptosis in these cells. Microarray studies revealed induction of different sets of genes in hormonally treated cells, compared to control cells. E2+MPA modified genes in a distinctly different pattern from E2+P4. In a study by Sweeney et al, it was found that MPA combined with E2 stimulated proliferation in long-term estrogen-deprived MCF-7 (MCF-7:5C) cells, while E2 alone resulted in cell death.</w:t>
      </w:r>
      <w:r>
        <w:rPr>
          <w:vertAlign w:val="superscript"/>
        </w:rPr>
        <w:t>1007</w:t>
      </w:r>
      <w:r>
        <w:rPr>
          <w:vertAlign w:val="baseline"/>
        </w:rPr>
        <w:t> Additional support for progestogens’</w:t>
      </w:r>
      <w:r>
        <w:rPr>
          <w:spacing w:val="49"/>
          <w:vertAlign w:val="baseline"/>
        </w:rPr>
        <w:t> </w:t>
      </w:r>
      <w:r>
        <w:rPr>
          <w:vertAlign w:val="baseline"/>
        </w:rPr>
        <w:t>role</w:t>
      </w:r>
      <w:r>
        <w:rPr>
          <w:spacing w:val="51"/>
          <w:vertAlign w:val="baseline"/>
        </w:rPr>
        <w:t> </w:t>
      </w:r>
      <w:r>
        <w:rPr>
          <w:vertAlign w:val="baseline"/>
        </w:rPr>
        <w:t>in</w:t>
      </w:r>
      <w:r>
        <w:rPr>
          <w:spacing w:val="51"/>
          <w:vertAlign w:val="baseline"/>
        </w:rPr>
        <w:t> </w:t>
      </w:r>
      <w:r>
        <w:rPr>
          <w:vertAlign w:val="baseline"/>
        </w:rPr>
        <w:t>breast</w:t>
      </w:r>
      <w:r>
        <w:rPr>
          <w:spacing w:val="51"/>
          <w:vertAlign w:val="baseline"/>
        </w:rPr>
        <w:t> </w:t>
      </w:r>
      <w:r>
        <w:rPr>
          <w:vertAlign w:val="baseline"/>
        </w:rPr>
        <w:t>cancer</w:t>
      </w:r>
      <w:r>
        <w:rPr>
          <w:spacing w:val="51"/>
          <w:vertAlign w:val="baseline"/>
        </w:rPr>
        <w:t> </w:t>
      </w:r>
      <w:r>
        <w:rPr>
          <w:vertAlign w:val="baseline"/>
        </w:rPr>
        <w:t>comes</w:t>
      </w:r>
      <w:r>
        <w:rPr>
          <w:spacing w:val="51"/>
          <w:vertAlign w:val="baseline"/>
        </w:rPr>
        <w:t> </w:t>
      </w:r>
      <w:r>
        <w:rPr>
          <w:vertAlign w:val="baseline"/>
        </w:rPr>
        <w:t>from</w:t>
      </w:r>
      <w:r>
        <w:rPr>
          <w:spacing w:val="51"/>
          <w:vertAlign w:val="baseline"/>
        </w:rPr>
        <w:t> </w:t>
      </w:r>
      <w:r>
        <w:rPr>
          <w:vertAlign w:val="baseline"/>
        </w:rPr>
        <w:t>studies</w:t>
      </w:r>
      <w:r>
        <w:rPr>
          <w:spacing w:val="51"/>
          <w:vertAlign w:val="baseline"/>
        </w:rPr>
        <w:t> </w:t>
      </w:r>
      <w:r>
        <w:rPr>
          <w:vertAlign w:val="baseline"/>
        </w:rPr>
        <w:t>analyzing</w:t>
      </w:r>
      <w:r>
        <w:rPr>
          <w:spacing w:val="51"/>
          <w:vertAlign w:val="baseline"/>
        </w:rPr>
        <w:t> </w:t>
      </w:r>
      <w:r>
        <w:rPr>
          <w:spacing w:val="-17"/>
          <w:vertAlign w:val="baseline"/>
        </w:rPr>
        <w:t>MPA’s</w:t>
      </w:r>
    </w:p>
    <w:p>
      <w:pPr>
        <w:pStyle w:val="BodyText"/>
        <w:spacing w:after="0" w:line="249" w:lineRule="auto"/>
        <w:sectPr>
          <w:pgSz w:w="12240" w:h="15840"/>
          <w:pgMar w:top="1380" w:bottom="280" w:left="1440" w:right="1440"/>
        </w:sectPr>
      </w:pPr>
    </w:p>
    <w:p>
      <w:pPr>
        <w:pStyle w:val="BodyText"/>
        <w:spacing w:line="249" w:lineRule="auto"/>
        <w:ind w:right="98"/>
      </w:pPr>
      <w:r>
        <w:rPr/>
        <w:t>effects on estrogen-metabolizing enzymes in breast cancer cells. Using </w:t>
      </w:r>
      <w:r>
        <w:rPr/>
        <w:t>T-47D and MCF-7 (breast cancer cells), it was demonstrated that E2+MPA increased the expression of estrogen-activating enzymes but not the expression of estrogen-inactivating enzymes.</w:t>
      </w:r>
      <w:r>
        <w:rPr>
          <w:vertAlign w:val="superscript"/>
        </w:rPr>
        <w:t>1007</w:t>
      </w:r>
      <w:r>
        <w:rPr>
          <w:vertAlign w:val="baseline"/>
        </w:rPr>
        <w:t> This increase was greater than cells treated with E2 alone. Although there was an increase in</w:t>
      </w:r>
      <w:r>
        <w:rPr>
          <w:spacing w:val="40"/>
          <w:vertAlign w:val="baseline"/>
        </w:rPr>
        <w:t> </w:t>
      </w:r>
      <w:r>
        <w:rPr>
          <w:vertAlign w:val="baseline"/>
        </w:rPr>
        <w:t>estrogen-activating enzymes, there was no associated increase in cell proliferation. It is important to note, however, that locally increased estrogen levels can be seen in the breast cancer cell milieu, and this high-estrogen environment facilitates cancer cell growth.</w:t>
      </w:r>
      <w:r>
        <w:rPr>
          <w:vertAlign w:val="superscript"/>
        </w:rPr>
        <w:t>1007</w:t>
      </w:r>
      <w:r>
        <w:rPr>
          <w:vertAlign w:val="baseline"/>
        </w:rPr>
        <w:t> Thus, MPA may exert</w:t>
      </w:r>
      <w:r>
        <w:rPr>
          <w:spacing w:val="-2"/>
          <w:vertAlign w:val="baseline"/>
        </w:rPr>
        <w:t> </w:t>
      </w:r>
      <w:r>
        <w:rPr>
          <w:vertAlign w:val="baseline"/>
        </w:rPr>
        <w:t>its</w:t>
      </w:r>
      <w:r>
        <w:rPr>
          <w:spacing w:val="-2"/>
          <w:vertAlign w:val="baseline"/>
        </w:rPr>
        <w:t> </w:t>
      </w:r>
      <w:r>
        <w:rPr>
          <w:vertAlign w:val="baseline"/>
        </w:rPr>
        <w:t>carcinogenic</w:t>
      </w:r>
      <w:r>
        <w:rPr>
          <w:spacing w:val="-2"/>
          <w:vertAlign w:val="baseline"/>
        </w:rPr>
        <w:t> </w:t>
      </w:r>
      <w:r>
        <w:rPr>
          <w:vertAlign w:val="baseline"/>
        </w:rPr>
        <w:t>effect</w:t>
      </w:r>
      <w:r>
        <w:rPr>
          <w:spacing w:val="-2"/>
          <w:vertAlign w:val="baseline"/>
        </w:rPr>
        <w:t> </w:t>
      </w:r>
      <w:r>
        <w:rPr>
          <w:vertAlign w:val="baseline"/>
        </w:rPr>
        <w:t>via</w:t>
      </w:r>
      <w:r>
        <w:rPr>
          <w:spacing w:val="-2"/>
          <w:vertAlign w:val="baseline"/>
        </w:rPr>
        <w:t> </w:t>
      </w:r>
      <w:r>
        <w:rPr>
          <w:vertAlign w:val="baseline"/>
        </w:rPr>
        <w:t>induction</w:t>
      </w:r>
      <w:r>
        <w:rPr>
          <w:spacing w:val="-2"/>
          <w:vertAlign w:val="baseline"/>
        </w:rPr>
        <w:t> </w:t>
      </w:r>
      <w:r>
        <w:rPr>
          <w:vertAlign w:val="baseline"/>
        </w:rPr>
        <w:t>of</w:t>
      </w:r>
      <w:r>
        <w:rPr>
          <w:spacing w:val="-2"/>
          <w:vertAlign w:val="baseline"/>
        </w:rPr>
        <w:t> </w:t>
      </w:r>
      <w:r>
        <w:rPr>
          <w:vertAlign w:val="baseline"/>
        </w:rPr>
        <w:t>a</w:t>
      </w:r>
      <w:r>
        <w:rPr>
          <w:spacing w:val="-2"/>
          <w:vertAlign w:val="baseline"/>
        </w:rPr>
        <w:t> </w:t>
      </w:r>
      <w:r>
        <w:rPr>
          <w:vertAlign w:val="baseline"/>
        </w:rPr>
        <w:t>local</w:t>
      </w:r>
      <w:r>
        <w:rPr>
          <w:spacing w:val="-2"/>
          <w:vertAlign w:val="baseline"/>
        </w:rPr>
        <w:t> </w:t>
      </w:r>
      <w:r>
        <w:rPr>
          <w:vertAlign w:val="baseline"/>
        </w:rPr>
        <w:t>state</w:t>
      </w:r>
      <w:r>
        <w:rPr>
          <w:spacing w:val="-2"/>
          <w:vertAlign w:val="baseline"/>
        </w:rPr>
        <w:t> </w:t>
      </w:r>
      <w:r>
        <w:rPr>
          <w:vertAlign w:val="baseline"/>
        </w:rPr>
        <w:t>of</w:t>
      </w:r>
      <w:r>
        <w:rPr>
          <w:spacing w:val="-2"/>
          <w:vertAlign w:val="baseline"/>
        </w:rPr>
        <w:t> </w:t>
      </w:r>
      <w:r>
        <w:rPr>
          <w:vertAlign w:val="baseline"/>
        </w:rPr>
        <w:t>estrogen</w:t>
      </w:r>
      <w:r>
        <w:rPr>
          <w:spacing w:val="-2"/>
          <w:vertAlign w:val="baseline"/>
        </w:rPr>
        <w:t> </w:t>
      </w:r>
      <w:r>
        <w:rPr>
          <w:vertAlign w:val="baseline"/>
        </w:rPr>
        <w:t>excess. However, as mentioned earlier, these in vitro models must be interpreted with caution, as what happens in vivo is influenced by many other factors.</w:t>
      </w:r>
    </w:p>
    <w:p>
      <w:pPr>
        <w:pStyle w:val="BodyText"/>
        <w:spacing w:line="249" w:lineRule="auto" w:before="14"/>
        <w:ind w:right="98" w:firstLine="450"/>
      </w:pPr>
      <w:r>
        <w:rPr/>
        <w:t>In the postmenopausal monkey model, greater breast cell proliferation was observed after 30 months of treatment with estrogen-progestin compared with estrogen alone.</w:t>
      </w:r>
      <w:r>
        <w:rPr>
          <w:vertAlign w:val="superscript"/>
        </w:rPr>
        <w:t>1008</w:t>
      </w:r>
      <w:r>
        <w:rPr>
          <w:vertAlign w:val="baseline"/>
        </w:rPr>
        <w:t> In this same model, the administration of progesterone produced no differences in proliferation markers, but adding MPA to estrogen increased breast proliferation by about 30% compared with placebo.</w:t>
      </w:r>
      <w:r>
        <w:rPr>
          <w:vertAlign w:val="superscript"/>
        </w:rPr>
        <w:t>1009,1010</w:t>
      </w:r>
      <w:r>
        <w:rPr>
          <w:vertAlign w:val="baseline"/>
        </w:rPr>
        <w:t> However, in this 2-month study, the administration </w:t>
      </w:r>
      <w:r>
        <w:rPr>
          <w:vertAlign w:val="baseline"/>
        </w:rPr>
        <w:t>of progesterone inexplicably lowered the blood levels of estradiol and estrone by 30% to 50%, in contrast to no effect with MPA. Thus, the tissue results may reflect estrogen differences, not progestin differences. Nevertheless, the monkey experiments do not detect a beneficial effect of MPA. A 2-year monkey study recorded lower levels of p53, a tumor suppressor gene, and lower levels of caspase-3, an enzyme involved in apoptosis with use of MPA</w:t>
      </w:r>
      <w:r>
        <w:rPr>
          <w:vertAlign w:val="superscript"/>
        </w:rPr>
        <w:t>1011</w:t>
      </w:r>
      <w:r>
        <w:rPr>
          <w:vertAlign w:val="baseline"/>
        </w:rPr>
        <w:t> Given the marked similarities in macaques to human gene coding sequences, this primate serves as a more reliable model for studying the effects of menopausal HT on breast cancer acquisition.</w:t>
      </w:r>
    </w:p>
    <w:p>
      <w:pPr>
        <w:pStyle w:val="BodyText"/>
        <w:spacing w:line="249" w:lineRule="auto" w:before="19"/>
        <w:ind w:right="100" w:firstLine="450"/>
      </w:pPr>
      <w:r>
        <w:rPr/>
        <w:t>A prospective study of premenopausal women in Italy found that </w:t>
      </w:r>
      <w:r>
        <w:rPr/>
        <w:t>higher progesterone levels in the luteal phase were associated with a reduction in breast cancer risk.</w:t>
      </w:r>
      <w:r>
        <w:rPr>
          <w:vertAlign w:val="superscript"/>
        </w:rPr>
        <w:t>1012</w:t>
      </w:r>
      <w:r>
        <w:rPr>
          <w:vertAlign w:val="baseline"/>
        </w:rPr>
        <w:t> However, a nested case-control analysis based on the Nurses’ Health Study could find no influence of progesterone levels on breast cancer risk.</w:t>
      </w:r>
      <w:r>
        <w:rPr>
          <w:vertAlign w:val="superscript"/>
        </w:rPr>
        <w:t>1013</w:t>
      </w:r>
      <w:r>
        <w:rPr>
          <w:vertAlign w:val="baseline"/>
        </w:rPr>
        <w:t> In this study, women with the highest levels of total and free estradiol in the early follicular phase had about a 2-fold increase in breast cancer risk, predominantly ER+/PR+ tumors, and a similar increase in risk was associated with higher levels of total and free testosterone and androstenedione.</w:t>
      </w:r>
      <w:r>
        <w:rPr>
          <w:spacing w:val="14"/>
          <w:vertAlign w:val="baseline"/>
        </w:rPr>
        <w:t> </w:t>
      </w:r>
      <w:r>
        <w:rPr>
          <w:vertAlign w:val="baseline"/>
        </w:rPr>
        <w:t>There</w:t>
      </w:r>
      <w:r>
        <w:rPr>
          <w:spacing w:val="22"/>
          <w:vertAlign w:val="baseline"/>
        </w:rPr>
        <w:t> </w:t>
      </w:r>
      <w:r>
        <w:rPr>
          <w:vertAlign w:val="baseline"/>
        </w:rPr>
        <w:t>was</w:t>
      </w:r>
      <w:r>
        <w:rPr>
          <w:spacing w:val="22"/>
          <w:vertAlign w:val="baseline"/>
        </w:rPr>
        <w:t> </w:t>
      </w:r>
      <w:r>
        <w:rPr>
          <w:vertAlign w:val="baseline"/>
        </w:rPr>
        <w:t>no</w:t>
      </w:r>
      <w:r>
        <w:rPr>
          <w:spacing w:val="22"/>
          <w:vertAlign w:val="baseline"/>
        </w:rPr>
        <w:t> </w:t>
      </w:r>
      <w:r>
        <w:rPr>
          <w:vertAlign w:val="baseline"/>
        </w:rPr>
        <w:t>association</w:t>
      </w:r>
      <w:r>
        <w:rPr>
          <w:spacing w:val="22"/>
          <w:vertAlign w:val="baseline"/>
        </w:rPr>
        <w:t> </w:t>
      </w:r>
      <w:r>
        <w:rPr>
          <w:vertAlign w:val="baseline"/>
        </w:rPr>
        <w:t>with</w:t>
      </w:r>
      <w:r>
        <w:rPr>
          <w:spacing w:val="22"/>
          <w:vertAlign w:val="baseline"/>
        </w:rPr>
        <w:t> </w:t>
      </w:r>
      <w:r>
        <w:rPr>
          <w:vertAlign w:val="baseline"/>
        </w:rPr>
        <w:t>luteal</w:t>
      </w:r>
      <w:r>
        <w:rPr>
          <w:spacing w:val="22"/>
          <w:vertAlign w:val="baseline"/>
        </w:rPr>
        <w:t> </w:t>
      </w:r>
      <w:r>
        <w:rPr>
          <w:vertAlign w:val="baseline"/>
        </w:rPr>
        <w:t>estradiol</w:t>
      </w:r>
      <w:r>
        <w:rPr>
          <w:spacing w:val="22"/>
          <w:vertAlign w:val="baseline"/>
        </w:rPr>
        <w:t> </w:t>
      </w:r>
      <w:r>
        <w:rPr>
          <w:vertAlign w:val="baseline"/>
        </w:rPr>
        <w:t>levels,</w:t>
      </w:r>
      <w:r>
        <w:rPr>
          <w:spacing w:val="22"/>
          <w:vertAlign w:val="baseline"/>
        </w:rPr>
        <w:t> </w:t>
      </w:r>
      <w:r>
        <w:rPr>
          <w:spacing w:val="-5"/>
          <w:vertAlign w:val="baseline"/>
        </w:rPr>
        <w:t>and</w:t>
      </w:r>
    </w:p>
    <w:p>
      <w:pPr>
        <w:pStyle w:val="BodyText"/>
        <w:spacing w:after="0" w:line="249" w:lineRule="auto"/>
        <w:sectPr>
          <w:pgSz w:w="12240" w:h="15840"/>
          <w:pgMar w:top="1380" w:bottom="280" w:left="1440" w:right="1440"/>
        </w:sectPr>
      </w:pPr>
    </w:p>
    <w:p>
      <w:pPr>
        <w:pStyle w:val="BodyText"/>
        <w:spacing w:line="249" w:lineRule="auto"/>
        <w:ind w:right="97"/>
      </w:pPr>
      <w:r>
        <w:rPr/>
        <w:t>the authors speculated that this is because early follicular phase </w:t>
      </w:r>
      <w:r>
        <w:rPr/>
        <w:t>levels reflect nonovarian target tissue levels and also that progesterone downregulation of ERs may occur in the breast during the luteal phase.</w:t>
      </w:r>
    </w:p>
    <w:p>
      <w:pPr>
        <w:pStyle w:val="BodyText"/>
        <w:spacing w:line="249" w:lineRule="auto" w:before="3"/>
        <w:ind w:right="98" w:firstLine="450"/>
      </w:pPr>
      <w:r>
        <w:rPr/>
        <w:t>Although it is not a uniform story, it is possible that favorable breast tissue effects of progestins translate into better differentiation and earlier detection of preexisting tumors. Supporting data can be found in </w:t>
      </w:r>
      <w:r>
        <w:rPr/>
        <w:t>two important American studies. A retrospective cohort study in the Southern California Kaiser program found a reduction in breast cancer case mortality that was significant only among women with breast cancer who were users of estrogen-progestin, not with estrogen alone.</w:t>
      </w:r>
      <w:r>
        <w:rPr>
          <w:vertAlign w:val="superscript"/>
        </w:rPr>
        <w:t>1014</w:t>
      </w:r>
      <w:r>
        <w:rPr>
          <w:vertAlign w:val="baseline"/>
        </w:rPr>
        <w:t> An increase in lower-grade, lower-stage, and ER-positive cancer was found only in current users of estrogen-progestin. In a study remarkable for its size, 374,465 women screened in six US mammography centers.</w:t>
      </w:r>
      <w:r>
        <w:rPr>
          <w:vertAlign w:val="superscript"/>
        </w:rPr>
        <w:t>851</w:t>
      </w:r>
      <w:r>
        <w:rPr>
          <w:vertAlign w:val="baseline"/>
        </w:rPr>
        <w:t> These data are consistent with a beneficial effect of estrogen-progestin treatment.</w:t>
      </w:r>
    </w:p>
    <w:p>
      <w:pPr>
        <w:pStyle w:val="BodyText"/>
        <w:spacing w:line="249" w:lineRule="auto" w:before="14"/>
        <w:ind w:right="97" w:firstLine="450"/>
      </w:pPr>
      <w:r>
        <w:rPr/>
        <w:t>Breast</w:t>
      </w:r>
      <w:r>
        <w:rPr>
          <w:spacing w:val="-2"/>
        </w:rPr>
        <w:t> </w:t>
      </w:r>
      <w:r>
        <w:rPr/>
        <w:t>cancer</w:t>
      </w:r>
      <w:r>
        <w:rPr>
          <w:spacing w:val="-2"/>
        </w:rPr>
        <w:t> </w:t>
      </w:r>
      <w:r>
        <w:rPr/>
        <w:t>mortality</w:t>
      </w:r>
      <w:r>
        <w:rPr>
          <w:spacing w:val="-2"/>
        </w:rPr>
        <w:t> </w:t>
      </w:r>
      <w:r>
        <w:rPr/>
        <w:t>was</w:t>
      </w:r>
      <w:r>
        <w:rPr>
          <w:spacing w:val="-2"/>
        </w:rPr>
        <w:t> </w:t>
      </w:r>
      <w:r>
        <w:rPr/>
        <w:t>recorded</w:t>
      </w:r>
      <w:r>
        <w:rPr>
          <w:spacing w:val="-2"/>
        </w:rPr>
        <w:t> </w:t>
      </w:r>
      <w:r>
        <w:rPr/>
        <w:t>in</w:t>
      </w:r>
      <w:r>
        <w:rPr>
          <w:spacing w:val="-2"/>
        </w:rPr>
        <w:t> </w:t>
      </w:r>
      <w:r>
        <w:rPr/>
        <w:t>the</w:t>
      </w:r>
      <w:r>
        <w:rPr>
          <w:spacing w:val="-2"/>
        </w:rPr>
        <w:t> </w:t>
      </w:r>
      <w:r>
        <w:rPr/>
        <w:t>Collaborative</w:t>
      </w:r>
      <w:r>
        <w:rPr>
          <w:spacing w:val="-2"/>
        </w:rPr>
        <w:t> </w:t>
      </w:r>
      <w:r>
        <w:rPr/>
        <w:t>Breast</w:t>
      </w:r>
      <w:r>
        <w:rPr>
          <w:spacing w:val="-2"/>
        </w:rPr>
        <w:t> </w:t>
      </w:r>
      <w:r>
        <w:rPr/>
        <w:t>Cancer Study Cohort, a prospective cohort of 12,269 postmenopausal women </w:t>
      </w:r>
      <w:r>
        <w:rPr/>
        <w:t>from Wisconsin, Massachusetts, and New Hampshire.</w:t>
      </w:r>
      <w:r>
        <w:rPr>
          <w:vertAlign w:val="superscript"/>
        </w:rPr>
        <w:t>1015</w:t>
      </w:r>
      <w:r>
        <w:rPr>
          <w:vertAlign w:val="baseline"/>
        </w:rPr>
        <w:t> Women were followed for an average of 10.3 years after breast cancer diagnosis. After adjusting for BMI, smoking, and history of mammography screening, compared with nonusers, mortality from breast cancer was lower among current users of estrogen-progestin and an even greater effect, a 40% reduction, with 5 or more years of use. These are striking data. The strength of the study is the large size of the cohort. Indeed, this is the strongest evidence thus far published that the use of estrogen-progestin is associated with the development of less aggressive breast cancers. Even in studies that adjusted for the prevalence of mammography screening, breast cancers in hormone users were smaller, had fewer positive axillary lymph nodes, and were of lower-grade disease. More recently, a 15-year prospective cohort study published in 2020 provided additional evidence toward the relationship of type and duration of HT and breast cancer risk. Participants included a total of 75,398 postmenopausal women (31,439 with hysterectomy and 43,959 with intact uteri) for whom information on HT use was available at study baseline</w:t>
      </w:r>
      <w:r>
        <w:rPr>
          <w:vertAlign w:val="superscript"/>
        </w:rPr>
        <w:t>1016</w:t>
      </w:r>
      <w:r>
        <w:rPr>
          <w:spacing w:val="-2"/>
          <w:vertAlign w:val="baseline"/>
        </w:rPr>
        <w:t> </w:t>
      </w:r>
      <w:r>
        <w:rPr>
          <w:vertAlign w:val="baseline"/>
        </w:rPr>
        <w:t>as</w:t>
      </w:r>
      <w:r>
        <w:rPr>
          <w:spacing w:val="-2"/>
          <w:vertAlign w:val="baseline"/>
        </w:rPr>
        <w:t> </w:t>
      </w:r>
      <w:r>
        <w:rPr>
          <w:vertAlign w:val="baseline"/>
        </w:rPr>
        <w:t>well</w:t>
      </w:r>
      <w:r>
        <w:rPr>
          <w:spacing w:val="-2"/>
          <w:vertAlign w:val="baseline"/>
        </w:rPr>
        <w:t> </w:t>
      </w:r>
      <w:r>
        <w:rPr>
          <w:vertAlign w:val="baseline"/>
        </w:rPr>
        <w:t>as</w:t>
      </w:r>
      <w:r>
        <w:rPr>
          <w:spacing w:val="-2"/>
          <w:vertAlign w:val="baseline"/>
        </w:rPr>
        <w:t> </w:t>
      </w:r>
      <w:r>
        <w:rPr>
          <w:vertAlign w:val="baseline"/>
        </w:rPr>
        <w:t>at</w:t>
      </w:r>
      <w:r>
        <w:rPr>
          <w:spacing w:val="-2"/>
          <w:vertAlign w:val="baseline"/>
        </w:rPr>
        <w:t> </w:t>
      </w:r>
      <w:r>
        <w:rPr>
          <w:vertAlign w:val="baseline"/>
        </w:rPr>
        <w:t>a</w:t>
      </w:r>
      <w:r>
        <w:rPr>
          <w:spacing w:val="-2"/>
          <w:vertAlign w:val="baseline"/>
        </w:rPr>
        <w:t> </w:t>
      </w:r>
      <w:r>
        <w:rPr>
          <w:vertAlign w:val="baseline"/>
        </w:rPr>
        <w:t>follow-up</w:t>
      </w:r>
      <w:r>
        <w:rPr>
          <w:spacing w:val="-2"/>
          <w:vertAlign w:val="baseline"/>
        </w:rPr>
        <w:t> </w:t>
      </w:r>
      <w:r>
        <w:rPr>
          <w:vertAlign w:val="baseline"/>
        </w:rPr>
        <w:t>survey</w:t>
      </w:r>
      <w:r>
        <w:rPr>
          <w:spacing w:val="-2"/>
          <w:vertAlign w:val="baseline"/>
        </w:rPr>
        <w:t> </w:t>
      </w:r>
      <w:r>
        <w:rPr>
          <w:vertAlign w:val="baseline"/>
        </w:rPr>
        <w:t>undertaken</w:t>
      </w:r>
      <w:r>
        <w:rPr>
          <w:spacing w:val="-2"/>
          <w:vertAlign w:val="baseline"/>
        </w:rPr>
        <w:t> </w:t>
      </w:r>
      <w:r>
        <w:rPr>
          <w:vertAlign w:val="baseline"/>
        </w:rPr>
        <w:t>in</w:t>
      </w:r>
      <w:r>
        <w:rPr>
          <w:spacing w:val="-2"/>
          <w:vertAlign w:val="baseline"/>
        </w:rPr>
        <w:t> </w:t>
      </w:r>
      <w:r>
        <w:rPr>
          <w:vertAlign w:val="baseline"/>
        </w:rPr>
        <w:t>2004</w:t>
      </w:r>
      <w:r>
        <w:rPr>
          <w:spacing w:val="-2"/>
          <w:vertAlign w:val="baseline"/>
        </w:rPr>
        <w:t> </w:t>
      </w:r>
      <w:r>
        <w:rPr>
          <w:vertAlign w:val="baseline"/>
        </w:rPr>
        <w:t>and</w:t>
      </w:r>
      <w:r>
        <w:rPr>
          <w:spacing w:val="-2"/>
          <w:vertAlign w:val="baseline"/>
        </w:rPr>
        <w:t> </w:t>
      </w:r>
      <w:r>
        <w:rPr>
          <w:vertAlign w:val="baseline"/>
        </w:rPr>
        <w:t>through 2011.</w:t>
      </w:r>
      <w:r>
        <w:rPr>
          <w:vertAlign w:val="superscript"/>
        </w:rPr>
        <w:t>1017</w:t>
      </w:r>
      <w:r>
        <w:rPr>
          <w:vertAlign w:val="baseline"/>
        </w:rPr>
        <w:t> In estrogen-only users, at baseline, the risk of breast cancer was not increased in current users of ET (HR = 1.05, 95% CI = 0.95-1.16); however,</w:t>
      </w:r>
      <w:r>
        <w:rPr>
          <w:spacing w:val="43"/>
          <w:w w:val="150"/>
          <w:vertAlign w:val="baseline"/>
        </w:rPr>
        <w:t> </w:t>
      </w:r>
      <w:r>
        <w:rPr>
          <w:vertAlign w:val="baseline"/>
        </w:rPr>
        <w:t>estrogen</w:t>
      </w:r>
      <w:r>
        <w:rPr>
          <w:spacing w:val="43"/>
          <w:w w:val="150"/>
          <w:vertAlign w:val="baseline"/>
        </w:rPr>
        <w:t> </w:t>
      </w:r>
      <w:r>
        <w:rPr>
          <w:vertAlign w:val="baseline"/>
        </w:rPr>
        <w:t>use</w:t>
      </w:r>
      <w:r>
        <w:rPr>
          <w:spacing w:val="43"/>
          <w:w w:val="150"/>
          <w:vertAlign w:val="baseline"/>
        </w:rPr>
        <w:t> </w:t>
      </w:r>
      <w:r>
        <w:rPr>
          <w:vertAlign w:val="baseline"/>
        </w:rPr>
        <w:t>was</w:t>
      </w:r>
      <w:r>
        <w:rPr>
          <w:spacing w:val="43"/>
          <w:w w:val="150"/>
          <w:vertAlign w:val="baseline"/>
        </w:rPr>
        <w:t> </w:t>
      </w:r>
      <w:r>
        <w:rPr>
          <w:vertAlign w:val="baseline"/>
        </w:rPr>
        <w:t>associated</w:t>
      </w:r>
      <w:r>
        <w:rPr>
          <w:spacing w:val="44"/>
          <w:w w:val="150"/>
          <w:vertAlign w:val="baseline"/>
        </w:rPr>
        <w:t> </w:t>
      </w:r>
      <w:r>
        <w:rPr>
          <w:vertAlign w:val="baseline"/>
        </w:rPr>
        <w:t>with</w:t>
      </w:r>
      <w:r>
        <w:rPr>
          <w:spacing w:val="43"/>
          <w:w w:val="150"/>
          <w:vertAlign w:val="baseline"/>
        </w:rPr>
        <w:t> </w:t>
      </w:r>
      <w:r>
        <w:rPr>
          <w:vertAlign w:val="baseline"/>
        </w:rPr>
        <w:t>an</w:t>
      </w:r>
      <w:r>
        <w:rPr>
          <w:spacing w:val="43"/>
          <w:w w:val="150"/>
          <w:vertAlign w:val="baseline"/>
        </w:rPr>
        <w:t> </w:t>
      </w:r>
      <w:r>
        <w:rPr>
          <w:vertAlign w:val="baseline"/>
        </w:rPr>
        <w:t>increased</w:t>
      </w:r>
      <w:r>
        <w:rPr>
          <w:spacing w:val="43"/>
          <w:w w:val="150"/>
          <w:vertAlign w:val="baseline"/>
        </w:rPr>
        <w:t> </w:t>
      </w:r>
      <w:r>
        <w:rPr>
          <w:vertAlign w:val="baseline"/>
        </w:rPr>
        <w:t>risk</w:t>
      </w:r>
      <w:r>
        <w:rPr>
          <w:spacing w:val="43"/>
          <w:w w:val="150"/>
          <w:vertAlign w:val="baseline"/>
        </w:rPr>
        <w:t> </w:t>
      </w:r>
      <w:r>
        <w:rPr>
          <w:vertAlign w:val="baseline"/>
        </w:rPr>
        <w:t>of</w:t>
      </w:r>
      <w:r>
        <w:rPr>
          <w:spacing w:val="44"/>
          <w:w w:val="150"/>
          <w:vertAlign w:val="baseline"/>
        </w:rPr>
        <w:t> </w:t>
      </w:r>
      <w:r>
        <w:rPr>
          <w:spacing w:val="-2"/>
          <w:vertAlign w:val="baseline"/>
        </w:rPr>
        <w:t>breast</w:t>
      </w:r>
    </w:p>
    <w:p>
      <w:pPr>
        <w:pStyle w:val="BodyText"/>
        <w:spacing w:after="0" w:line="249" w:lineRule="auto"/>
        <w:sectPr>
          <w:pgSz w:w="12240" w:h="15840"/>
          <w:pgMar w:top="1380" w:bottom="280" w:left="1440" w:right="1440"/>
        </w:sectPr>
      </w:pPr>
    </w:p>
    <w:p>
      <w:pPr>
        <w:pStyle w:val="BodyText"/>
        <w:spacing w:line="249" w:lineRule="auto"/>
        <w:ind w:right="97"/>
      </w:pPr>
      <w:r>
        <w:rPr/>
        <w:t>cancer in women continuing to use estrogen through 2004 (HR = 1.35, 95% CI = 1.04-1.75). In combination (E+P) hormone users, ever use of E+P </w:t>
      </w:r>
      <w:r>
        <w:rPr/>
        <w:t>at baseline was associated with an increased risk for breast cancer (HR = 1.54, 95% CI = 1.44-1.64); with ongoing use of E+P, there was a doubling in this risk with 10 or more years of use, and this exaggerated risk persisted in those who continued E+P through 2004 (HR = 1.80, 95% CI = 1.39-2.32). Of note, no association was seen in women who discontinued E+P before 2004 (HR = 1.14, 95% CI = 0.99-1.30). Based on this large population-based longitudinal study spanning 15 years of follow-up, it appears that while short-term use of estrogen alone may not confer increased risk (consistent with findings from WHI E-alone trial), with long-term use, excess</w:t>
      </w:r>
      <w:r>
        <w:rPr>
          <w:spacing w:val="-2"/>
        </w:rPr>
        <w:t> </w:t>
      </w:r>
      <w:r>
        <w:rPr/>
        <w:t>risk</w:t>
      </w:r>
      <w:r>
        <w:rPr>
          <w:spacing w:val="-2"/>
        </w:rPr>
        <w:t> </w:t>
      </w:r>
      <w:r>
        <w:rPr/>
        <w:t>may</w:t>
      </w:r>
      <w:r>
        <w:rPr>
          <w:spacing w:val="-2"/>
        </w:rPr>
        <w:t> </w:t>
      </w:r>
      <w:r>
        <w:rPr/>
        <w:t>be</w:t>
      </w:r>
      <w:r>
        <w:rPr>
          <w:spacing w:val="-2"/>
        </w:rPr>
        <w:t> </w:t>
      </w:r>
      <w:r>
        <w:rPr/>
        <w:t>apparent.</w:t>
      </w:r>
      <w:r>
        <w:rPr>
          <w:spacing w:val="-3"/>
        </w:rPr>
        <w:t> </w:t>
      </w:r>
      <w:r>
        <w:rPr/>
        <w:t>Similar to findings from the WHI E+P trial, an increased risk in breast cancer was evident with estrogen plus progestin combination use, and this risk was noted to exaggerate with ongoing long-term HT use.</w:t>
      </w:r>
    </w:p>
    <w:p>
      <w:pPr>
        <w:spacing w:line="249" w:lineRule="auto" w:before="18"/>
        <w:ind w:left="99" w:right="105" w:firstLine="450"/>
        <w:jc w:val="both"/>
        <w:rPr>
          <w:b/>
          <w:sz w:val="30"/>
        </w:rPr>
      </w:pPr>
      <w:r>
        <w:rPr>
          <w:b/>
          <w:sz w:val="30"/>
        </w:rPr>
        <w:t>The following evidence supports a beneficial impact of progestins</w:t>
      </w:r>
      <w:r>
        <w:rPr>
          <w:b/>
          <w:spacing w:val="40"/>
          <w:sz w:val="30"/>
        </w:rPr>
        <w:t> </w:t>
      </w:r>
      <w:r>
        <w:rPr>
          <w:b/>
          <w:sz w:val="30"/>
        </w:rPr>
        <w:t>on preexisting tumors:</w:t>
      </w:r>
    </w:p>
    <w:p>
      <w:pPr>
        <w:pStyle w:val="ListParagraph"/>
        <w:numPr>
          <w:ilvl w:val="0"/>
          <w:numId w:val="15"/>
        </w:numPr>
        <w:tabs>
          <w:tab w:pos="399" w:val="left" w:leader="none"/>
        </w:tabs>
        <w:spacing w:line="266" w:lineRule="auto" w:before="258" w:after="0"/>
        <w:ind w:left="399" w:right="104" w:hanging="280"/>
        <w:jc w:val="both"/>
        <w:rPr>
          <w:b/>
          <w:sz w:val="30"/>
        </w:rPr>
      </w:pPr>
      <w:r>
        <w:rPr>
          <w:b/>
          <w:sz w:val="30"/>
        </w:rPr>
        <w:t>An increase in ER-positive tumors is seen sooner with estrogen-progestin treatment, and greater risk is observed with </w:t>
      </w:r>
      <w:r>
        <w:rPr>
          <w:b/>
          <w:sz w:val="30"/>
        </w:rPr>
        <w:t>continuous, daily estrogen-progestin use.</w:t>
      </w:r>
    </w:p>
    <w:p>
      <w:pPr>
        <w:pStyle w:val="ListParagraph"/>
        <w:numPr>
          <w:ilvl w:val="0"/>
          <w:numId w:val="15"/>
        </w:numPr>
        <w:tabs>
          <w:tab w:pos="399" w:val="left" w:leader="none"/>
        </w:tabs>
        <w:spacing w:line="280" w:lineRule="auto" w:before="21" w:after="0"/>
        <w:ind w:left="399" w:right="109" w:hanging="280"/>
        <w:jc w:val="both"/>
        <w:rPr>
          <w:b/>
          <w:sz w:val="30"/>
        </w:rPr>
      </w:pPr>
      <w:r>
        <w:rPr>
          <w:b/>
          <w:sz w:val="30"/>
        </w:rPr>
        <w:t>Genes upregulated by estrogen are downregulated by </w:t>
      </w:r>
      <w:r>
        <w:rPr>
          <w:b/>
          <w:sz w:val="30"/>
        </w:rPr>
        <w:t>estrogen-progestin therapy.</w:t>
      </w:r>
    </w:p>
    <w:p>
      <w:pPr>
        <w:pStyle w:val="ListParagraph"/>
        <w:numPr>
          <w:ilvl w:val="0"/>
          <w:numId w:val="15"/>
        </w:numPr>
        <w:tabs>
          <w:tab w:pos="399" w:val="left" w:leader="none"/>
        </w:tabs>
        <w:spacing w:line="280" w:lineRule="auto" w:before="3" w:after="0"/>
        <w:ind w:left="399" w:right="107" w:hanging="280"/>
        <w:jc w:val="both"/>
        <w:rPr>
          <w:b/>
          <w:sz w:val="30"/>
        </w:rPr>
      </w:pPr>
      <w:r>
        <w:rPr>
          <w:b/>
          <w:sz w:val="30"/>
        </w:rPr>
        <w:t>Genes that are activated by estrogen-progestin are involved in </w:t>
      </w:r>
      <w:r>
        <w:rPr>
          <w:b/>
          <w:sz w:val="30"/>
        </w:rPr>
        <w:t>DNA repair and cell cycle regulation.</w:t>
      </w:r>
    </w:p>
    <w:p>
      <w:pPr>
        <w:pStyle w:val="ListParagraph"/>
        <w:numPr>
          <w:ilvl w:val="0"/>
          <w:numId w:val="15"/>
        </w:numPr>
        <w:tabs>
          <w:tab w:pos="399" w:val="left" w:leader="none"/>
        </w:tabs>
        <w:spacing w:line="266" w:lineRule="auto" w:before="2" w:after="0"/>
        <w:ind w:left="399" w:right="109" w:hanging="280"/>
        <w:jc w:val="both"/>
        <w:rPr>
          <w:b/>
          <w:sz w:val="30"/>
        </w:rPr>
      </w:pPr>
      <w:r>
        <w:rPr>
          <w:b/>
          <w:sz w:val="30"/>
        </w:rPr>
        <w:t>Progestins decrease breast tissue levels of PR-A, causing a beneficial change in the PR-A:PR-B ratio that is associated with better differentiation and outcome.</w:t>
      </w:r>
    </w:p>
    <w:p>
      <w:pPr>
        <w:pStyle w:val="ListParagraph"/>
        <w:numPr>
          <w:ilvl w:val="0"/>
          <w:numId w:val="15"/>
        </w:numPr>
        <w:tabs>
          <w:tab w:pos="399" w:val="left" w:leader="none"/>
        </w:tabs>
        <w:spacing w:line="280" w:lineRule="auto" w:before="22" w:after="0"/>
        <w:ind w:left="399" w:right="110" w:hanging="280"/>
        <w:jc w:val="both"/>
        <w:rPr>
          <w:b/>
          <w:sz w:val="30"/>
        </w:rPr>
      </w:pPr>
      <w:r>
        <w:rPr>
          <w:b/>
          <w:sz w:val="30"/>
        </w:rPr>
        <w:t>A reduction in breast cancer case mortality has been reported with estrogen-progestin use and not estrogen alone.</w:t>
      </w:r>
    </w:p>
    <w:p>
      <w:pPr>
        <w:pStyle w:val="BodyText"/>
        <w:spacing w:before="1"/>
        <w:ind w:left="0"/>
        <w:jc w:val="left"/>
        <w:rPr>
          <w:b/>
        </w:rPr>
      </w:pPr>
    </w:p>
    <w:p>
      <w:pPr>
        <w:spacing w:before="0"/>
        <w:ind w:left="99" w:right="0" w:firstLine="0"/>
        <w:jc w:val="both"/>
        <w:rPr>
          <w:rFonts w:ascii="Arial"/>
          <w:b/>
          <w:sz w:val="30"/>
        </w:rPr>
      </w:pPr>
      <w:r>
        <w:rPr>
          <w:rFonts w:ascii="Arial"/>
          <w:b/>
          <w:color w:val="2674AE"/>
          <w:sz w:val="30"/>
        </w:rPr>
        <w:t>Prevalence of Breast Cancer and Hormone </w:t>
      </w:r>
      <w:r>
        <w:rPr>
          <w:rFonts w:ascii="Arial"/>
          <w:b/>
          <w:color w:val="2674AE"/>
          <w:spacing w:val="-2"/>
          <w:sz w:val="30"/>
        </w:rPr>
        <w:t>Therapy</w:t>
      </w:r>
    </w:p>
    <w:p>
      <w:pPr>
        <w:pStyle w:val="BodyText"/>
        <w:spacing w:line="249" w:lineRule="auto" w:before="166"/>
        <w:ind w:right="103"/>
      </w:pPr>
      <w:r>
        <w:rPr/>
        <w:t>Multiple reports have documented a decline of breast cancer incidence </w:t>
      </w:r>
      <w:r>
        <w:rPr/>
        <w:t>in the</w:t>
      </w:r>
      <w:r>
        <w:rPr>
          <w:spacing w:val="61"/>
        </w:rPr>
        <w:t> </w:t>
      </w:r>
      <w:r>
        <w:rPr/>
        <w:t>United</w:t>
      </w:r>
      <w:r>
        <w:rPr>
          <w:spacing w:val="61"/>
        </w:rPr>
        <w:t> </w:t>
      </w:r>
      <w:r>
        <w:rPr/>
        <w:t>States</w:t>
      </w:r>
      <w:r>
        <w:rPr>
          <w:spacing w:val="61"/>
        </w:rPr>
        <w:t> </w:t>
      </w:r>
      <w:r>
        <w:rPr/>
        <w:t>that</w:t>
      </w:r>
      <w:r>
        <w:rPr>
          <w:spacing w:val="61"/>
        </w:rPr>
        <w:t> </w:t>
      </w:r>
      <w:r>
        <w:rPr/>
        <w:t>paralleled</w:t>
      </w:r>
      <w:r>
        <w:rPr>
          <w:spacing w:val="61"/>
        </w:rPr>
        <w:t> </w:t>
      </w:r>
      <w:r>
        <w:rPr/>
        <w:t>the</w:t>
      </w:r>
      <w:r>
        <w:rPr>
          <w:spacing w:val="61"/>
        </w:rPr>
        <w:t> </w:t>
      </w:r>
      <w:r>
        <w:rPr/>
        <w:t>decrease</w:t>
      </w:r>
      <w:r>
        <w:rPr>
          <w:spacing w:val="61"/>
        </w:rPr>
        <w:t> </w:t>
      </w:r>
      <w:r>
        <w:rPr/>
        <w:t>in</w:t>
      </w:r>
      <w:r>
        <w:rPr>
          <w:spacing w:val="61"/>
        </w:rPr>
        <w:t> </w:t>
      </w:r>
      <w:r>
        <w:rPr/>
        <w:t>use</w:t>
      </w:r>
      <w:r>
        <w:rPr>
          <w:spacing w:val="61"/>
        </w:rPr>
        <w:t> </w:t>
      </w:r>
      <w:r>
        <w:rPr/>
        <w:t>of</w:t>
      </w:r>
      <w:r>
        <w:rPr>
          <w:spacing w:val="61"/>
        </w:rPr>
        <w:t> </w:t>
      </w:r>
      <w:r>
        <w:rPr/>
        <w:t>menopausal</w:t>
      </w:r>
      <w:r>
        <w:rPr>
          <w:spacing w:val="61"/>
        </w:rPr>
        <w:t> </w:t>
      </w:r>
      <w:r>
        <w:rPr>
          <w:spacing w:val="-5"/>
        </w:rPr>
        <w:t>HT</w:t>
      </w:r>
    </w:p>
    <w:p>
      <w:pPr>
        <w:pStyle w:val="BodyText"/>
        <w:spacing w:after="0" w:line="249" w:lineRule="auto"/>
        <w:sectPr>
          <w:pgSz w:w="12240" w:h="15840"/>
          <w:pgMar w:top="1380" w:bottom="280" w:left="1440" w:right="1440"/>
        </w:sectPr>
      </w:pPr>
    </w:p>
    <w:p>
      <w:pPr>
        <w:pStyle w:val="BodyText"/>
        <w:spacing w:line="249" w:lineRule="auto"/>
        <w:ind w:right="98"/>
      </w:pPr>
      <w:r>
        <w:rPr/>
        <w:t>following the publications from the WHI hormone trials.</w:t>
      </w:r>
      <w:r>
        <w:rPr>
          <w:vertAlign w:val="superscript"/>
        </w:rPr>
        <w:t>1018-1021</w:t>
      </w:r>
      <w:r>
        <w:rPr>
          <w:vertAlign w:val="baseline"/>
        </w:rPr>
        <w:t> A </w:t>
      </w:r>
      <w:r>
        <w:rPr>
          <w:vertAlign w:val="baseline"/>
        </w:rPr>
        <w:t>similar decline was documented in France, Scotland, Switzerland, and Australia.</w:t>
      </w:r>
      <w:r>
        <w:rPr>
          <w:vertAlign w:val="superscript"/>
        </w:rPr>
        <w:t>1022-1025</w:t>
      </w:r>
      <w:r>
        <w:rPr>
          <w:vertAlign w:val="baseline"/>
        </w:rPr>
        <w:t> The decline was partially influenced by a decrease in screening mammography in the United States, but the correlation with hormone use exists even when the examined population includes only women screened with mammography. A similar pattern was evident in the WHI in the years following the cancelation of the estrogen-progestin arm</w:t>
      </w:r>
      <w:r>
        <w:rPr>
          <w:spacing w:val="80"/>
          <w:w w:val="150"/>
          <w:vertAlign w:val="baseline"/>
        </w:rPr>
        <w:t> </w:t>
      </w:r>
      <w:r>
        <w:rPr>
          <w:vertAlign w:val="baseline"/>
        </w:rPr>
        <w:t>as well as among the women in the observational arm, despite no change in the frequency of mammography in the WHI population.</w:t>
      </w:r>
      <w:r>
        <w:rPr>
          <w:vertAlign w:val="superscript"/>
        </w:rPr>
        <w:t>1026</w:t>
      </w:r>
    </w:p>
    <w:p>
      <w:pPr>
        <w:pStyle w:val="BodyText"/>
        <w:spacing w:line="249" w:lineRule="auto" w:before="11"/>
        <w:ind w:right="100" w:firstLine="450"/>
      </w:pPr>
      <w:r>
        <w:rPr/>
        <w:t>This decrease in prevalence is consistent with the uniform findings </w:t>
      </w:r>
      <w:r>
        <w:rPr/>
        <w:t>in case-control and cohort studies of an increase in breast cancer risk only in current users, with a rapid reduction after cessation of treatment. An</w:t>
      </w:r>
      <w:r>
        <w:rPr>
          <w:spacing w:val="-2"/>
        </w:rPr>
        <w:t> </w:t>
      </w:r>
      <w:r>
        <w:rPr/>
        <w:t>impact on existing tumors is supported by the other side of the coin, apparent in breast cancer statistics derived from the area around Geneva, Switzerland. Beginning in 1997, the peak breast cancer incidence in the Geneva area moved to a younger group of women (ages 60-64), with an increase occurring only in stage I and II diseases with ER-positive tumors in hormone users.</w:t>
      </w:r>
      <w:r>
        <w:rPr>
          <w:vertAlign w:val="superscript"/>
        </w:rPr>
        <w:t>1027</w:t>
      </w:r>
    </w:p>
    <w:p>
      <w:pPr>
        <w:pStyle w:val="BodyText"/>
        <w:spacing w:line="249" w:lineRule="auto" w:before="11"/>
        <w:ind w:right="97" w:firstLine="450"/>
      </w:pPr>
      <w:r>
        <w:rPr/>
        <w:t>As discussed previously, the 20-year follow-up study of WHI hormone trial participants provided valuable insights into long-term effects of a relatively short-term exposure (during the course of WHI hormone trials) </w:t>
      </w:r>
      <w:r>
        <w:rPr/>
        <w:t>to estrogen plus progestin and estrogen alone.</w:t>
      </w:r>
      <w:r>
        <w:rPr>
          <w:vertAlign w:val="superscript"/>
        </w:rPr>
        <w:t>1017</w:t>
      </w:r>
      <w:r>
        <w:rPr>
          <w:vertAlign w:val="baseline"/>
        </w:rPr>
        <w:t> As was suggested by initial results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respective</w:t>
      </w:r>
      <w:r>
        <w:rPr>
          <w:spacing w:val="-2"/>
          <w:vertAlign w:val="baseline"/>
        </w:rPr>
        <w:t> </w:t>
      </w:r>
      <w:r>
        <w:rPr>
          <w:vertAlign w:val="baseline"/>
        </w:rPr>
        <w:t>WHI</w:t>
      </w:r>
      <w:r>
        <w:rPr>
          <w:spacing w:val="-2"/>
          <w:vertAlign w:val="baseline"/>
        </w:rPr>
        <w:t> </w:t>
      </w:r>
      <w:r>
        <w:rPr>
          <w:vertAlign w:val="baseline"/>
        </w:rPr>
        <w:t>hormone</w:t>
      </w:r>
      <w:r>
        <w:rPr>
          <w:spacing w:val="-2"/>
          <w:vertAlign w:val="baseline"/>
        </w:rPr>
        <w:t> </w:t>
      </w:r>
      <w:r>
        <w:rPr>
          <w:vertAlign w:val="baseline"/>
        </w:rPr>
        <w:t>trials,</w:t>
      </w:r>
      <w:r>
        <w:rPr>
          <w:spacing w:val="-2"/>
          <w:vertAlign w:val="baseline"/>
        </w:rPr>
        <w:t> </w:t>
      </w:r>
      <w:r>
        <w:rPr>
          <w:vertAlign w:val="baseline"/>
        </w:rPr>
        <w:t>at</w:t>
      </w:r>
      <w:r>
        <w:rPr>
          <w:spacing w:val="-2"/>
          <w:vertAlign w:val="baseline"/>
        </w:rPr>
        <w:t> </w:t>
      </w:r>
      <w:r>
        <w:rPr>
          <w:vertAlign w:val="baseline"/>
        </w:rPr>
        <w:t>a</w:t>
      </w:r>
      <w:r>
        <w:rPr>
          <w:spacing w:val="-2"/>
          <w:vertAlign w:val="baseline"/>
        </w:rPr>
        <w:t> </w:t>
      </w:r>
      <w:r>
        <w:rPr>
          <w:vertAlign w:val="baseline"/>
        </w:rPr>
        <w:t>median</w:t>
      </w:r>
      <w:r>
        <w:rPr>
          <w:spacing w:val="-2"/>
          <w:vertAlign w:val="baseline"/>
        </w:rPr>
        <w:t> </w:t>
      </w:r>
      <w:r>
        <w:rPr>
          <w:vertAlign w:val="baseline"/>
        </w:rPr>
        <w:t>of</w:t>
      </w:r>
      <w:r>
        <w:rPr>
          <w:spacing w:val="-2"/>
          <w:vertAlign w:val="baseline"/>
        </w:rPr>
        <w:t> </w:t>
      </w:r>
      <w:r>
        <w:rPr>
          <w:vertAlign w:val="baseline"/>
        </w:rPr>
        <w:t>20-year</w:t>
      </w:r>
      <w:r>
        <w:rPr>
          <w:spacing w:val="-2"/>
          <w:vertAlign w:val="baseline"/>
        </w:rPr>
        <w:t> </w:t>
      </w:r>
      <w:r>
        <w:rPr>
          <w:vertAlign w:val="baseline"/>
        </w:rPr>
        <w:t>follow-up, differences in breast cancer incidence persisted in participants of the</w:t>
      </w:r>
      <w:r>
        <w:rPr>
          <w:spacing w:val="40"/>
          <w:vertAlign w:val="baseline"/>
        </w:rPr>
        <w:t> </w:t>
      </w:r>
      <w:r>
        <w:rPr>
          <w:vertAlign w:val="baseline"/>
        </w:rPr>
        <w:t>two WHI hormone trials. The incidence of breast cancers was significantly higher in participants assigned to estrogen plus progestin versus placebo at</w:t>
      </w:r>
      <w:r>
        <w:rPr>
          <w:spacing w:val="40"/>
          <w:vertAlign w:val="baseline"/>
        </w:rPr>
        <w:t> </w:t>
      </w:r>
      <w:r>
        <w:rPr>
          <w:vertAlign w:val="baseline"/>
        </w:rPr>
        <w:t>a median 20 years of follow-up (annualized rate was 0.45% in the E+P arm vs 0.36% in the placebo arm; HR = 1.28; 95% CI = 1.13-1.45; </w:t>
      </w:r>
      <w:r>
        <w:rPr>
          <w:i/>
          <w:vertAlign w:val="baseline"/>
        </w:rPr>
        <w:t>P </w:t>
      </w:r>
      <w:r>
        <w:rPr>
          <w:vertAlign w:val="baseline"/>
        </w:rPr>
        <w:t>&lt; 0.001). However, despite the exaggerated risk of developing breast cancer in estrogen plus progestin group, there were no significant differences in</w:t>
      </w:r>
      <w:r>
        <w:rPr>
          <w:spacing w:val="40"/>
          <w:vertAlign w:val="baseline"/>
        </w:rPr>
        <w:t> </w:t>
      </w:r>
      <w:r>
        <w:rPr>
          <w:vertAlign w:val="baseline"/>
        </w:rPr>
        <w:t>breast cancer-related mortality between E+P and placebo groups. Not only did the previously observed reduction in breast cancer incidence in the estrogen-alone hormone trial persist at a median of 20 years of follow-up (annualized rate was 0.30% in participants in the E-alone arm vs 0.37% in the placebo group; HR = 0.78; 95% CI = 0.65-0.93; </w:t>
      </w:r>
      <w:r>
        <w:rPr>
          <w:i/>
          <w:vertAlign w:val="baseline"/>
        </w:rPr>
        <w:t>P </w:t>
      </w:r>
      <w:r>
        <w:rPr>
          <w:vertAlign w:val="baseline"/>
        </w:rPr>
        <w:t>= 0.005), but the risk of</w:t>
      </w:r>
      <w:r>
        <w:rPr>
          <w:spacing w:val="50"/>
          <w:vertAlign w:val="baseline"/>
        </w:rPr>
        <w:t>  </w:t>
      </w:r>
      <w:r>
        <w:rPr>
          <w:vertAlign w:val="baseline"/>
        </w:rPr>
        <w:t>breast</w:t>
      </w:r>
      <w:r>
        <w:rPr>
          <w:spacing w:val="51"/>
          <w:vertAlign w:val="baseline"/>
        </w:rPr>
        <w:t>  </w:t>
      </w:r>
      <w:r>
        <w:rPr>
          <w:vertAlign w:val="baseline"/>
        </w:rPr>
        <w:t>cancer-related</w:t>
      </w:r>
      <w:r>
        <w:rPr>
          <w:spacing w:val="50"/>
          <w:vertAlign w:val="baseline"/>
        </w:rPr>
        <w:t>  </w:t>
      </w:r>
      <w:r>
        <w:rPr>
          <w:vertAlign w:val="baseline"/>
        </w:rPr>
        <w:t>mortality</w:t>
      </w:r>
      <w:r>
        <w:rPr>
          <w:spacing w:val="51"/>
          <w:vertAlign w:val="baseline"/>
        </w:rPr>
        <w:t>  </w:t>
      </w:r>
      <w:r>
        <w:rPr>
          <w:vertAlign w:val="baseline"/>
        </w:rPr>
        <w:t>was</w:t>
      </w:r>
      <w:r>
        <w:rPr>
          <w:spacing w:val="51"/>
          <w:vertAlign w:val="baseline"/>
        </w:rPr>
        <w:t>  </w:t>
      </w:r>
      <w:r>
        <w:rPr>
          <w:vertAlign w:val="baseline"/>
        </w:rPr>
        <w:t>also</w:t>
      </w:r>
      <w:r>
        <w:rPr>
          <w:spacing w:val="50"/>
          <w:vertAlign w:val="baseline"/>
        </w:rPr>
        <w:t>  </w:t>
      </w:r>
      <w:r>
        <w:rPr>
          <w:vertAlign w:val="baseline"/>
        </w:rPr>
        <w:t>significantly</w:t>
      </w:r>
      <w:r>
        <w:rPr>
          <w:spacing w:val="51"/>
          <w:vertAlign w:val="baseline"/>
        </w:rPr>
        <w:t>  </w:t>
      </w:r>
      <w:r>
        <w:rPr>
          <w:vertAlign w:val="baseline"/>
        </w:rPr>
        <w:t>lesser</w:t>
      </w:r>
      <w:r>
        <w:rPr>
          <w:spacing w:val="50"/>
          <w:vertAlign w:val="baseline"/>
        </w:rPr>
        <w:t>  </w:t>
      </w:r>
      <w:r>
        <w:rPr>
          <w:spacing w:val="-5"/>
          <w:vertAlign w:val="baseline"/>
        </w:rPr>
        <w:t>in</w:t>
      </w:r>
    </w:p>
    <w:p>
      <w:pPr>
        <w:pStyle w:val="BodyText"/>
        <w:spacing w:after="0" w:line="249" w:lineRule="auto"/>
        <w:sectPr>
          <w:pgSz w:w="12240" w:h="15840"/>
          <w:pgMar w:top="1380" w:bottom="280" w:left="1440" w:right="1440"/>
        </w:sectPr>
      </w:pPr>
    </w:p>
    <w:p>
      <w:pPr>
        <w:pStyle w:val="BodyText"/>
        <w:spacing w:line="249" w:lineRule="auto"/>
        <w:ind w:right="105"/>
      </w:pPr>
      <w:r>
        <w:rPr/>
        <w:t>participants of the estrogen-alone arm of WHI compared to placebo (HR = 0.60; 95% CI = 0.37-0.97; </w:t>
      </w:r>
      <w:r>
        <w:rPr>
          <w:i/>
        </w:rPr>
        <w:t>P </w:t>
      </w:r>
      <w:r>
        <w:rPr/>
        <w:t>= 0.04).</w:t>
      </w:r>
      <w:r>
        <w:rPr>
          <w:vertAlign w:val="superscript"/>
        </w:rPr>
        <w:t>1026</w:t>
      </w:r>
    </w:p>
    <w:p>
      <w:pPr>
        <w:pStyle w:val="BodyText"/>
        <w:spacing w:line="249" w:lineRule="auto" w:before="2"/>
        <w:ind w:right="99" w:firstLine="450"/>
      </w:pPr>
      <w:r>
        <w:rPr/>
        <w:t>The national decline in prevalence and the WHI results are both consistent with an impact of HT on preexisting tumors. If HT is </w:t>
      </w:r>
      <w:r>
        <w:rPr/>
        <w:t>affecting preexisting tumors, one would expect small, undetectable tumors to stop changing (at least temporarily) when women discontinue HT. This</w:t>
      </w:r>
      <w:r>
        <w:rPr>
          <w:spacing w:val="-5"/>
        </w:rPr>
        <w:t> </w:t>
      </w:r>
      <w:r>
        <w:rPr/>
        <w:t>response would be consistent with the effects being reported, a decrease in ER-positive tumors in younger postmenopausal women. The data most likely primarily reflect existing cancers just below the detection limit in 2002 that slowed or stopped their growing.</w:t>
      </w:r>
    </w:p>
    <w:p>
      <w:pPr>
        <w:pStyle w:val="BodyText"/>
        <w:spacing w:line="249" w:lineRule="auto" w:before="10"/>
        <w:ind w:right="97" w:firstLine="450"/>
      </w:pPr>
      <w:r>
        <w:rPr/>
        <w:t>The choice of estrogen used in the estrogen-alone arm of the WHI (CEE) has been suggested as one factor that may explain the favorable effects seen on the breast in the E-alone hormone trial. The CEE formulation contains a mixture of multiple estrogens, and each </w:t>
      </w:r>
      <w:r>
        <w:rPr/>
        <w:t>estrogen type not only preferentially binds the two ERs (ER-a and ER-β) but may also exert differential actions depending on the target tissue.</w:t>
      </w:r>
      <w:r>
        <w:rPr>
          <w:vertAlign w:val="superscript"/>
        </w:rPr>
        <w:t>1028,1029</w:t>
      </w:r>
      <w:r>
        <w:rPr>
          <w:vertAlign w:val="baseline"/>
        </w:rPr>
        <w:t> In studying the effects of 11 equine estrogens (in CEE preparations) on the transcriptional activity of ER-a and ER-β, it was found that many of the equine estrogens preferentially bind ER-β. ER-β activation can inhibit ER-a activity on cell proliferation.</w:t>
      </w:r>
      <w:r>
        <w:rPr>
          <w:vertAlign w:val="superscript"/>
        </w:rPr>
        <w:t>1030-1032</w:t>
      </w:r>
      <w:r>
        <w:rPr>
          <w:vertAlign w:val="baseline"/>
        </w:rPr>
        <w:t> The potential SERM-like properties of CEE have also been demonstrated in breast cancer cells treated with CEE and estradiol, where CEE and estradiol were noted to have distinct effects on gene expression.</w:t>
      </w:r>
      <w:r>
        <w:rPr>
          <w:vertAlign w:val="superscript"/>
        </w:rPr>
        <w:t>1033</w:t>
      </w:r>
      <w:r>
        <w:rPr>
          <w:vertAlign w:val="baseline"/>
        </w:rPr>
        <w:t> Furthermore, it has been demonstrated that several estrogenic compounds in CEE act as partial estrogen agonists; thus, like SERMs, the differences in binding and downstream cell signaling may afford CEE with specific tissue manifestations that are unlike estradiol’s purely stimulatory effects (ie, manifestation of ER antagonistic effects).</w:t>
      </w:r>
      <w:r>
        <w:rPr>
          <w:vertAlign w:val="superscript"/>
        </w:rPr>
        <w:t>1033,1034</w:t>
      </w:r>
      <w:r>
        <w:rPr>
          <w:vertAlign w:val="baseline"/>
        </w:rPr>
        <w:t> This inhibition induced by equine estrogens may in part explain</w:t>
      </w:r>
      <w:r>
        <w:rPr>
          <w:spacing w:val="-3"/>
          <w:vertAlign w:val="baseline"/>
        </w:rPr>
        <w:t> </w:t>
      </w:r>
      <w:r>
        <w:rPr>
          <w:vertAlign w:val="baseline"/>
        </w:rPr>
        <w:t>the</w:t>
      </w:r>
      <w:r>
        <w:rPr>
          <w:spacing w:val="-3"/>
          <w:vertAlign w:val="baseline"/>
        </w:rPr>
        <w:t> </w:t>
      </w:r>
      <w:r>
        <w:rPr>
          <w:vertAlign w:val="baseline"/>
        </w:rPr>
        <w:t>decreased</w:t>
      </w:r>
      <w:r>
        <w:rPr>
          <w:spacing w:val="-3"/>
          <w:vertAlign w:val="baseline"/>
        </w:rPr>
        <w:t> </w:t>
      </w:r>
      <w:r>
        <w:rPr>
          <w:vertAlign w:val="baseline"/>
        </w:rPr>
        <w:t>risk</w:t>
      </w:r>
      <w:r>
        <w:rPr>
          <w:spacing w:val="-3"/>
          <w:vertAlign w:val="baseline"/>
        </w:rPr>
        <w:t> </w:t>
      </w:r>
      <w:r>
        <w:rPr>
          <w:vertAlign w:val="baseline"/>
        </w:rPr>
        <w:t>of</w:t>
      </w:r>
      <w:r>
        <w:rPr>
          <w:spacing w:val="-3"/>
          <w:vertAlign w:val="baseline"/>
        </w:rPr>
        <w:t> </w:t>
      </w:r>
      <w:r>
        <w:rPr>
          <w:vertAlign w:val="baseline"/>
        </w:rPr>
        <w:t>breast</w:t>
      </w:r>
      <w:r>
        <w:rPr>
          <w:spacing w:val="-3"/>
          <w:vertAlign w:val="baseline"/>
        </w:rPr>
        <w:t> </w:t>
      </w:r>
      <w:r>
        <w:rPr>
          <w:vertAlign w:val="baseline"/>
        </w:rPr>
        <w:t>cancer</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WHI</w:t>
      </w:r>
      <w:r>
        <w:rPr>
          <w:spacing w:val="-3"/>
          <w:vertAlign w:val="baseline"/>
        </w:rPr>
        <w:t> </w:t>
      </w:r>
      <w:r>
        <w:rPr>
          <w:vertAlign w:val="baseline"/>
        </w:rPr>
        <w:t>estrogen-alone</w:t>
      </w:r>
      <w:r>
        <w:rPr>
          <w:spacing w:val="-3"/>
          <w:vertAlign w:val="baseline"/>
        </w:rPr>
        <w:t> </w:t>
      </w:r>
      <w:r>
        <w:rPr>
          <w:vertAlign w:val="baseline"/>
        </w:rPr>
        <w:t>study; however, additional research is needed before definitive conclusions can be made. The theory that CEE may reduce the risk of breast cancer is supported by 20-year follow-up data from WHI discussed earlier that showed a significantly reduced risk of breast cancer in participants of WHI E-alone hormone trial.</w:t>
      </w:r>
      <w:r>
        <w:rPr>
          <w:vertAlign w:val="superscript"/>
        </w:rPr>
        <w:t>1035</w:t>
      </w:r>
    </w:p>
    <w:p>
      <w:pPr>
        <w:pStyle w:val="BodyText"/>
        <w:spacing w:line="249" w:lineRule="auto" w:before="30"/>
        <w:ind w:right="102" w:firstLine="450"/>
      </w:pPr>
      <w:r>
        <w:rPr/>
        <w:t>Lastly, the SERM BZA paired with a CEE may further allow </w:t>
      </w:r>
      <w:r>
        <w:rPr/>
        <w:t>for favorable</w:t>
      </w:r>
      <w:r>
        <w:rPr>
          <w:spacing w:val="25"/>
        </w:rPr>
        <w:t> </w:t>
      </w:r>
      <w:r>
        <w:rPr/>
        <w:t>effects</w:t>
      </w:r>
      <w:r>
        <w:rPr>
          <w:spacing w:val="27"/>
        </w:rPr>
        <w:t> </w:t>
      </w:r>
      <w:r>
        <w:rPr/>
        <w:t>on</w:t>
      </w:r>
      <w:r>
        <w:rPr>
          <w:spacing w:val="28"/>
        </w:rPr>
        <w:t> </w:t>
      </w:r>
      <w:r>
        <w:rPr/>
        <w:t>breast</w:t>
      </w:r>
      <w:r>
        <w:rPr>
          <w:spacing w:val="27"/>
        </w:rPr>
        <w:t> </w:t>
      </w:r>
      <w:r>
        <w:rPr/>
        <w:t>tissue;</w:t>
      </w:r>
      <w:r>
        <w:rPr>
          <w:spacing w:val="28"/>
        </w:rPr>
        <w:t> </w:t>
      </w:r>
      <w:r>
        <w:rPr/>
        <w:t>BZA/CEE</w:t>
      </w:r>
      <w:r>
        <w:rPr>
          <w:spacing w:val="27"/>
        </w:rPr>
        <w:t> </w:t>
      </w:r>
      <w:r>
        <w:rPr/>
        <w:t>also</w:t>
      </w:r>
      <w:r>
        <w:rPr>
          <w:spacing w:val="28"/>
        </w:rPr>
        <w:t> </w:t>
      </w:r>
      <w:r>
        <w:rPr/>
        <w:t>has</w:t>
      </w:r>
      <w:r>
        <w:rPr>
          <w:spacing w:val="27"/>
        </w:rPr>
        <w:t> </w:t>
      </w:r>
      <w:r>
        <w:rPr/>
        <w:t>the</w:t>
      </w:r>
      <w:r>
        <w:rPr>
          <w:spacing w:val="28"/>
        </w:rPr>
        <w:t> </w:t>
      </w:r>
      <w:r>
        <w:rPr/>
        <w:t>added</w:t>
      </w:r>
      <w:r>
        <w:rPr>
          <w:spacing w:val="27"/>
        </w:rPr>
        <w:t> </w:t>
      </w:r>
      <w:r>
        <w:rPr/>
        <w:t>benefit</w:t>
      </w:r>
      <w:r>
        <w:rPr>
          <w:spacing w:val="28"/>
        </w:rPr>
        <w:t> </w:t>
      </w:r>
      <w:r>
        <w:rPr>
          <w:spacing w:val="-5"/>
        </w:rPr>
        <w:t>of</w:t>
      </w:r>
    </w:p>
    <w:p>
      <w:pPr>
        <w:pStyle w:val="BodyText"/>
        <w:spacing w:after="0" w:line="249" w:lineRule="auto"/>
        <w:sectPr>
          <w:pgSz w:w="12240" w:h="15840"/>
          <w:pgMar w:top="1380" w:bottom="280" w:left="1440" w:right="1440"/>
        </w:sectPr>
      </w:pPr>
    </w:p>
    <w:p>
      <w:pPr>
        <w:pStyle w:val="BodyText"/>
        <w:jc w:val="left"/>
      </w:pPr>
      <w:r>
        <w:rPr/>
        <w:t>avoiding a </w:t>
      </w:r>
      <w:r>
        <w:rPr>
          <w:spacing w:val="-2"/>
        </w:rPr>
        <w:t>progestin.</w:t>
      </w:r>
      <w:r>
        <w:rPr>
          <w:spacing w:val="-2"/>
          <w:vertAlign w:val="superscript"/>
        </w:rPr>
        <w:t>231</w:t>
      </w:r>
    </w:p>
    <w:p>
      <w:pPr>
        <w:pStyle w:val="BodyText"/>
        <w:spacing w:before="0"/>
        <w:ind w:left="0"/>
        <w:jc w:val="left"/>
        <w:rPr>
          <w:sz w:val="20"/>
        </w:rPr>
      </w:pPr>
    </w:p>
    <w:p>
      <w:pPr>
        <w:pStyle w:val="BodyText"/>
        <w:spacing w:before="126"/>
        <w:ind w:left="0"/>
        <w:jc w:val="left"/>
        <w:rPr>
          <w:sz w:val="20"/>
        </w:rPr>
      </w:pPr>
      <w:r>
        <w:rPr>
          <w:sz w:val="20"/>
        </w:rPr>
        <mc:AlternateContent>
          <mc:Choice Requires="wps">
            <w:drawing>
              <wp:anchor distT="0" distB="0" distL="0" distR="0" allowOverlap="1" layoutInCell="1" locked="0" behindDoc="1" simplePos="0" relativeHeight="487661568">
                <wp:simplePos x="0" y="0"/>
                <wp:positionH relativeFrom="page">
                  <wp:posOffset>981075</wp:posOffset>
                </wp:positionH>
                <wp:positionV relativeFrom="paragraph">
                  <wp:posOffset>241374</wp:posOffset>
                </wp:positionV>
                <wp:extent cx="5810250" cy="2000250"/>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5810250" cy="2000250"/>
                          <a:chExt cx="5810250" cy="2000250"/>
                        </a:xfrm>
                      </wpg:grpSpPr>
                      <wps:wsp>
                        <wps:cNvPr id="274" name="Graphic 27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75" name="Graphic 275"/>
                        <wps:cNvSpPr/>
                        <wps:spPr>
                          <a:xfrm>
                            <a:off x="0" y="742949"/>
                            <a:ext cx="5810250" cy="1257300"/>
                          </a:xfrm>
                          <a:custGeom>
                            <a:avLst/>
                            <a:gdLst/>
                            <a:ahLst/>
                            <a:cxnLst/>
                            <a:rect l="l" t="t" r="r" b="b"/>
                            <a:pathLst>
                              <a:path w="5810250" h="1257300">
                                <a:moveTo>
                                  <a:pt x="0" y="1257299"/>
                                </a:moveTo>
                                <a:lnTo>
                                  <a:pt x="5810249" y="1257299"/>
                                </a:lnTo>
                                <a:lnTo>
                                  <a:pt x="5810249" y="0"/>
                                </a:lnTo>
                                <a:lnTo>
                                  <a:pt x="0" y="0"/>
                                </a:lnTo>
                                <a:lnTo>
                                  <a:pt x="0" y="1257299"/>
                                </a:lnTo>
                                <a:close/>
                              </a:path>
                            </a:pathLst>
                          </a:custGeom>
                          <a:solidFill>
                            <a:srgbClr val="E9F1CD"/>
                          </a:solidFill>
                        </wps:spPr>
                        <wps:bodyPr wrap="square" lIns="0" tIns="0" rIns="0" bIns="0" rtlCol="0">
                          <a:prstTxWarp prst="textNoShape">
                            <a:avLst/>
                          </a:prstTxWarp>
                          <a:noAutofit/>
                        </wps:bodyPr>
                      </wps:wsp>
                      <wps:wsp>
                        <wps:cNvPr id="276" name="Graphic 276"/>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77" name="Graphic 277"/>
                        <wps:cNvSpPr/>
                        <wps:spPr>
                          <a:xfrm>
                            <a:off x="209549" y="228650"/>
                            <a:ext cx="371475" cy="57150"/>
                          </a:xfrm>
                          <a:custGeom>
                            <a:avLst/>
                            <a:gdLst/>
                            <a:ahLst/>
                            <a:cxnLst/>
                            <a:rect l="l" t="t" r="r" b="b"/>
                            <a:pathLst>
                              <a:path w="371475" h="57150">
                                <a:moveTo>
                                  <a:pt x="28575" y="57149"/>
                                </a:moveTo>
                                <a:lnTo>
                                  <a:pt x="24785" y="56997"/>
                                </a:lnTo>
                                <a:lnTo>
                                  <a:pt x="21140" y="56254"/>
                                </a:lnTo>
                                <a:lnTo>
                                  <a:pt x="17639" y="54768"/>
                                </a:lnTo>
                                <a:lnTo>
                                  <a:pt x="14138" y="53425"/>
                                </a:lnTo>
                                <a:lnTo>
                                  <a:pt x="11048" y="51349"/>
                                </a:lnTo>
                                <a:lnTo>
                                  <a:pt x="5689" y="45986"/>
                                </a:lnTo>
                                <a:lnTo>
                                  <a:pt x="3625" y="42862"/>
                                </a:lnTo>
                                <a:lnTo>
                                  <a:pt x="2175" y="39290"/>
                                </a:lnTo>
                                <a:lnTo>
                                  <a:pt x="725" y="35871"/>
                                </a:lnTo>
                                <a:lnTo>
                                  <a:pt x="0" y="32299"/>
                                </a:lnTo>
                                <a:lnTo>
                                  <a:pt x="0" y="24707"/>
                                </a:lnTo>
                                <a:lnTo>
                                  <a:pt x="725" y="20983"/>
                                </a:lnTo>
                                <a:lnTo>
                                  <a:pt x="2175" y="17564"/>
                                </a:lnTo>
                                <a:lnTo>
                                  <a:pt x="3625" y="13992"/>
                                </a:lnTo>
                                <a:lnTo>
                                  <a:pt x="5689" y="10868"/>
                                </a:lnTo>
                                <a:lnTo>
                                  <a:pt x="8369" y="8334"/>
                                </a:lnTo>
                                <a:lnTo>
                                  <a:pt x="11048" y="5505"/>
                                </a:lnTo>
                                <a:lnTo>
                                  <a:pt x="14138" y="3419"/>
                                </a:lnTo>
                                <a:lnTo>
                                  <a:pt x="21140" y="742"/>
                                </a:lnTo>
                                <a:lnTo>
                                  <a:pt x="24785" y="0"/>
                                </a:lnTo>
                                <a:lnTo>
                                  <a:pt x="32364" y="0"/>
                                </a:lnTo>
                                <a:lnTo>
                                  <a:pt x="36009" y="742"/>
                                </a:lnTo>
                                <a:lnTo>
                                  <a:pt x="43011" y="3419"/>
                                </a:lnTo>
                                <a:lnTo>
                                  <a:pt x="46101" y="5505"/>
                                </a:lnTo>
                                <a:lnTo>
                                  <a:pt x="48780" y="8334"/>
                                </a:lnTo>
                                <a:lnTo>
                                  <a:pt x="51459" y="10868"/>
                                </a:lnTo>
                                <a:lnTo>
                                  <a:pt x="53524" y="13992"/>
                                </a:lnTo>
                                <a:lnTo>
                                  <a:pt x="54974" y="17564"/>
                                </a:lnTo>
                                <a:lnTo>
                                  <a:pt x="56424" y="20983"/>
                                </a:lnTo>
                                <a:lnTo>
                                  <a:pt x="57149" y="24707"/>
                                </a:lnTo>
                                <a:lnTo>
                                  <a:pt x="57149" y="32299"/>
                                </a:lnTo>
                                <a:lnTo>
                                  <a:pt x="56424" y="35871"/>
                                </a:lnTo>
                                <a:lnTo>
                                  <a:pt x="54974" y="39290"/>
                                </a:lnTo>
                                <a:lnTo>
                                  <a:pt x="53524" y="42862"/>
                                </a:lnTo>
                                <a:lnTo>
                                  <a:pt x="51459" y="45986"/>
                                </a:lnTo>
                                <a:lnTo>
                                  <a:pt x="46101" y="51349"/>
                                </a:lnTo>
                                <a:lnTo>
                                  <a:pt x="43011" y="53425"/>
                                </a:lnTo>
                                <a:lnTo>
                                  <a:pt x="39510" y="54768"/>
                                </a:lnTo>
                                <a:lnTo>
                                  <a:pt x="36009" y="56254"/>
                                </a:lnTo>
                                <a:lnTo>
                                  <a:pt x="32364" y="56997"/>
                                </a:lnTo>
                                <a:lnTo>
                                  <a:pt x="28575" y="57149"/>
                                </a:lnTo>
                                <a:close/>
                              </a:path>
                              <a:path w="371475" h="57150">
                                <a:moveTo>
                                  <a:pt x="133254" y="57149"/>
                                </a:moveTo>
                                <a:lnTo>
                                  <a:pt x="129465" y="56997"/>
                                </a:lnTo>
                                <a:lnTo>
                                  <a:pt x="125820" y="56254"/>
                                </a:lnTo>
                                <a:lnTo>
                                  <a:pt x="122319" y="54768"/>
                                </a:lnTo>
                                <a:lnTo>
                                  <a:pt x="118818" y="53425"/>
                                </a:lnTo>
                                <a:lnTo>
                                  <a:pt x="115728" y="51349"/>
                                </a:lnTo>
                                <a:lnTo>
                                  <a:pt x="110369" y="45986"/>
                                </a:lnTo>
                                <a:lnTo>
                                  <a:pt x="108304" y="42862"/>
                                </a:lnTo>
                                <a:lnTo>
                                  <a:pt x="106854" y="39290"/>
                                </a:lnTo>
                                <a:lnTo>
                                  <a:pt x="105404" y="35871"/>
                                </a:lnTo>
                                <a:lnTo>
                                  <a:pt x="104679" y="32299"/>
                                </a:lnTo>
                                <a:lnTo>
                                  <a:pt x="104679" y="24707"/>
                                </a:lnTo>
                                <a:lnTo>
                                  <a:pt x="105404" y="20983"/>
                                </a:lnTo>
                                <a:lnTo>
                                  <a:pt x="106854" y="17564"/>
                                </a:lnTo>
                                <a:lnTo>
                                  <a:pt x="108304" y="13992"/>
                                </a:lnTo>
                                <a:lnTo>
                                  <a:pt x="110369" y="10868"/>
                                </a:lnTo>
                                <a:lnTo>
                                  <a:pt x="113049" y="8334"/>
                                </a:lnTo>
                                <a:lnTo>
                                  <a:pt x="115728" y="5505"/>
                                </a:lnTo>
                                <a:lnTo>
                                  <a:pt x="118818" y="3419"/>
                                </a:lnTo>
                                <a:lnTo>
                                  <a:pt x="125820" y="742"/>
                                </a:lnTo>
                                <a:lnTo>
                                  <a:pt x="129465" y="0"/>
                                </a:lnTo>
                                <a:lnTo>
                                  <a:pt x="137044" y="0"/>
                                </a:lnTo>
                                <a:lnTo>
                                  <a:pt x="140689" y="742"/>
                                </a:lnTo>
                                <a:lnTo>
                                  <a:pt x="147690" y="3419"/>
                                </a:lnTo>
                                <a:lnTo>
                                  <a:pt x="150780" y="5505"/>
                                </a:lnTo>
                                <a:lnTo>
                                  <a:pt x="153460" y="8334"/>
                                </a:lnTo>
                                <a:lnTo>
                                  <a:pt x="156139" y="10868"/>
                                </a:lnTo>
                                <a:lnTo>
                                  <a:pt x="158204" y="13992"/>
                                </a:lnTo>
                                <a:lnTo>
                                  <a:pt x="159654" y="17564"/>
                                </a:lnTo>
                                <a:lnTo>
                                  <a:pt x="161104" y="20983"/>
                                </a:lnTo>
                                <a:lnTo>
                                  <a:pt x="161829" y="24707"/>
                                </a:lnTo>
                                <a:lnTo>
                                  <a:pt x="161829" y="32299"/>
                                </a:lnTo>
                                <a:lnTo>
                                  <a:pt x="161104" y="35871"/>
                                </a:lnTo>
                                <a:lnTo>
                                  <a:pt x="159654" y="39290"/>
                                </a:lnTo>
                                <a:lnTo>
                                  <a:pt x="158204" y="42862"/>
                                </a:lnTo>
                                <a:lnTo>
                                  <a:pt x="156139" y="45986"/>
                                </a:lnTo>
                                <a:lnTo>
                                  <a:pt x="150780" y="51349"/>
                                </a:lnTo>
                                <a:lnTo>
                                  <a:pt x="147690" y="53425"/>
                                </a:lnTo>
                                <a:lnTo>
                                  <a:pt x="144189" y="54768"/>
                                </a:lnTo>
                                <a:lnTo>
                                  <a:pt x="140689" y="56254"/>
                                </a:lnTo>
                                <a:lnTo>
                                  <a:pt x="137044" y="56997"/>
                                </a:lnTo>
                                <a:lnTo>
                                  <a:pt x="133254" y="57149"/>
                                </a:lnTo>
                                <a:close/>
                              </a:path>
                              <a:path w="371475" h="57150">
                                <a:moveTo>
                                  <a:pt x="237934" y="57149"/>
                                </a:moveTo>
                                <a:lnTo>
                                  <a:pt x="234145" y="56997"/>
                                </a:lnTo>
                                <a:lnTo>
                                  <a:pt x="230500" y="56254"/>
                                </a:lnTo>
                                <a:lnTo>
                                  <a:pt x="226999" y="54768"/>
                                </a:lnTo>
                                <a:lnTo>
                                  <a:pt x="223498" y="53425"/>
                                </a:lnTo>
                                <a:lnTo>
                                  <a:pt x="220408" y="51349"/>
                                </a:lnTo>
                                <a:lnTo>
                                  <a:pt x="215049" y="45986"/>
                                </a:lnTo>
                                <a:lnTo>
                                  <a:pt x="212984" y="42862"/>
                                </a:lnTo>
                                <a:lnTo>
                                  <a:pt x="211534" y="39290"/>
                                </a:lnTo>
                                <a:lnTo>
                                  <a:pt x="210084" y="35871"/>
                                </a:lnTo>
                                <a:lnTo>
                                  <a:pt x="209359" y="32299"/>
                                </a:lnTo>
                                <a:lnTo>
                                  <a:pt x="209359" y="24707"/>
                                </a:lnTo>
                                <a:lnTo>
                                  <a:pt x="210084" y="20983"/>
                                </a:lnTo>
                                <a:lnTo>
                                  <a:pt x="211534" y="17564"/>
                                </a:lnTo>
                                <a:lnTo>
                                  <a:pt x="212984" y="13992"/>
                                </a:lnTo>
                                <a:lnTo>
                                  <a:pt x="215049" y="10868"/>
                                </a:lnTo>
                                <a:lnTo>
                                  <a:pt x="217728" y="8334"/>
                                </a:lnTo>
                                <a:lnTo>
                                  <a:pt x="220408" y="5505"/>
                                </a:lnTo>
                                <a:lnTo>
                                  <a:pt x="223498" y="3419"/>
                                </a:lnTo>
                                <a:lnTo>
                                  <a:pt x="230500" y="742"/>
                                </a:lnTo>
                                <a:lnTo>
                                  <a:pt x="234145" y="0"/>
                                </a:lnTo>
                                <a:lnTo>
                                  <a:pt x="241723" y="0"/>
                                </a:lnTo>
                                <a:lnTo>
                                  <a:pt x="245368" y="742"/>
                                </a:lnTo>
                                <a:lnTo>
                                  <a:pt x="252370" y="3419"/>
                                </a:lnTo>
                                <a:lnTo>
                                  <a:pt x="255460" y="5505"/>
                                </a:lnTo>
                                <a:lnTo>
                                  <a:pt x="258140" y="8334"/>
                                </a:lnTo>
                                <a:lnTo>
                                  <a:pt x="260819" y="10868"/>
                                </a:lnTo>
                                <a:lnTo>
                                  <a:pt x="262884" y="13992"/>
                                </a:lnTo>
                                <a:lnTo>
                                  <a:pt x="264334" y="17564"/>
                                </a:lnTo>
                                <a:lnTo>
                                  <a:pt x="265784" y="20983"/>
                                </a:lnTo>
                                <a:lnTo>
                                  <a:pt x="266509" y="24707"/>
                                </a:lnTo>
                                <a:lnTo>
                                  <a:pt x="266509" y="32299"/>
                                </a:lnTo>
                                <a:lnTo>
                                  <a:pt x="265784" y="35871"/>
                                </a:lnTo>
                                <a:lnTo>
                                  <a:pt x="264334" y="39290"/>
                                </a:lnTo>
                                <a:lnTo>
                                  <a:pt x="262884" y="42862"/>
                                </a:lnTo>
                                <a:lnTo>
                                  <a:pt x="260819" y="45986"/>
                                </a:lnTo>
                                <a:lnTo>
                                  <a:pt x="255460" y="51349"/>
                                </a:lnTo>
                                <a:lnTo>
                                  <a:pt x="252370" y="53425"/>
                                </a:lnTo>
                                <a:lnTo>
                                  <a:pt x="248869" y="54768"/>
                                </a:lnTo>
                                <a:lnTo>
                                  <a:pt x="245368" y="56254"/>
                                </a:lnTo>
                                <a:lnTo>
                                  <a:pt x="241723" y="56997"/>
                                </a:lnTo>
                                <a:lnTo>
                                  <a:pt x="237934" y="57149"/>
                                </a:lnTo>
                                <a:close/>
                              </a:path>
                              <a:path w="371475" h="57150">
                                <a:moveTo>
                                  <a:pt x="342614" y="57149"/>
                                </a:moveTo>
                                <a:lnTo>
                                  <a:pt x="338824" y="56997"/>
                                </a:lnTo>
                                <a:lnTo>
                                  <a:pt x="335179" y="56254"/>
                                </a:lnTo>
                                <a:lnTo>
                                  <a:pt x="331679" y="54768"/>
                                </a:lnTo>
                                <a:lnTo>
                                  <a:pt x="328178" y="53425"/>
                                </a:lnTo>
                                <a:lnTo>
                                  <a:pt x="325088" y="51349"/>
                                </a:lnTo>
                                <a:lnTo>
                                  <a:pt x="319729" y="45986"/>
                                </a:lnTo>
                                <a:lnTo>
                                  <a:pt x="317664" y="42862"/>
                                </a:lnTo>
                                <a:lnTo>
                                  <a:pt x="316214" y="39290"/>
                                </a:lnTo>
                                <a:lnTo>
                                  <a:pt x="314764" y="35871"/>
                                </a:lnTo>
                                <a:lnTo>
                                  <a:pt x="314039" y="32299"/>
                                </a:lnTo>
                                <a:lnTo>
                                  <a:pt x="314039" y="24707"/>
                                </a:lnTo>
                                <a:lnTo>
                                  <a:pt x="314764" y="20983"/>
                                </a:lnTo>
                                <a:lnTo>
                                  <a:pt x="316214" y="17564"/>
                                </a:lnTo>
                                <a:lnTo>
                                  <a:pt x="317664" y="13992"/>
                                </a:lnTo>
                                <a:lnTo>
                                  <a:pt x="319729" y="10868"/>
                                </a:lnTo>
                                <a:lnTo>
                                  <a:pt x="322408" y="8334"/>
                                </a:lnTo>
                                <a:lnTo>
                                  <a:pt x="325088" y="5505"/>
                                </a:lnTo>
                                <a:lnTo>
                                  <a:pt x="328178" y="3419"/>
                                </a:lnTo>
                                <a:lnTo>
                                  <a:pt x="335179" y="742"/>
                                </a:lnTo>
                                <a:lnTo>
                                  <a:pt x="338824" y="0"/>
                                </a:lnTo>
                                <a:lnTo>
                                  <a:pt x="346403" y="0"/>
                                </a:lnTo>
                                <a:lnTo>
                                  <a:pt x="350048" y="742"/>
                                </a:lnTo>
                                <a:lnTo>
                                  <a:pt x="357050" y="3419"/>
                                </a:lnTo>
                                <a:lnTo>
                                  <a:pt x="360140" y="5505"/>
                                </a:lnTo>
                                <a:lnTo>
                                  <a:pt x="362819" y="8334"/>
                                </a:lnTo>
                                <a:lnTo>
                                  <a:pt x="365499" y="10868"/>
                                </a:lnTo>
                                <a:lnTo>
                                  <a:pt x="367563" y="13992"/>
                                </a:lnTo>
                                <a:lnTo>
                                  <a:pt x="369014" y="17564"/>
                                </a:lnTo>
                                <a:lnTo>
                                  <a:pt x="370464" y="20983"/>
                                </a:lnTo>
                                <a:lnTo>
                                  <a:pt x="371189" y="24707"/>
                                </a:lnTo>
                                <a:lnTo>
                                  <a:pt x="371189" y="32299"/>
                                </a:lnTo>
                                <a:lnTo>
                                  <a:pt x="370464" y="35871"/>
                                </a:lnTo>
                                <a:lnTo>
                                  <a:pt x="369014" y="39290"/>
                                </a:lnTo>
                                <a:lnTo>
                                  <a:pt x="367563" y="42862"/>
                                </a:lnTo>
                                <a:lnTo>
                                  <a:pt x="365499" y="45986"/>
                                </a:lnTo>
                                <a:lnTo>
                                  <a:pt x="360140" y="51349"/>
                                </a:lnTo>
                                <a:lnTo>
                                  <a:pt x="357050" y="53425"/>
                                </a:lnTo>
                                <a:lnTo>
                                  <a:pt x="353549" y="54768"/>
                                </a:lnTo>
                                <a:lnTo>
                                  <a:pt x="350048" y="56254"/>
                                </a:lnTo>
                                <a:lnTo>
                                  <a:pt x="346403" y="56997"/>
                                </a:lnTo>
                                <a:lnTo>
                                  <a:pt x="342614" y="57149"/>
                                </a:lnTo>
                                <a:close/>
                              </a:path>
                            </a:pathLst>
                          </a:custGeom>
                          <a:solidFill>
                            <a:srgbClr val="D0E399"/>
                          </a:solidFill>
                        </wps:spPr>
                        <wps:bodyPr wrap="square" lIns="0" tIns="0" rIns="0" bIns="0" rtlCol="0">
                          <a:prstTxWarp prst="textNoShape">
                            <a:avLst/>
                          </a:prstTxWarp>
                          <a:noAutofit/>
                        </wps:bodyPr>
                      </wps:wsp>
                      <wps:wsp>
                        <wps:cNvPr id="278" name="Graphic 278"/>
                        <wps:cNvSpPr/>
                        <wps:spPr>
                          <a:xfrm>
                            <a:off x="133337" y="1000131"/>
                            <a:ext cx="47625" cy="390525"/>
                          </a:xfrm>
                          <a:custGeom>
                            <a:avLst/>
                            <a:gdLst/>
                            <a:ahLst/>
                            <a:cxnLst/>
                            <a:rect l="l" t="t" r="r" b="b"/>
                            <a:pathLst>
                              <a:path w="47625" h="390525">
                                <a:moveTo>
                                  <a:pt x="47625" y="363435"/>
                                </a:moveTo>
                                <a:lnTo>
                                  <a:pt x="26974" y="342900"/>
                                </a:lnTo>
                                <a:lnTo>
                                  <a:pt x="20662" y="342900"/>
                                </a:lnTo>
                                <a:lnTo>
                                  <a:pt x="17627" y="343496"/>
                                </a:lnTo>
                                <a:lnTo>
                                  <a:pt x="14706" y="344690"/>
                                </a:lnTo>
                                <a:lnTo>
                                  <a:pt x="11785" y="345719"/>
                                </a:lnTo>
                                <a:lnTo>
                                  <a:pt x="0" y="363435"/>
                                </a:lnTo>
                                <a:lnTo>
                                  <a:pt x="0" y="369684"/>
                                </a:lnTo>
                                <a:lnTo>
                                  <a:pt x="14706" y="388429"/>
                                </a:lnTo>
                                <a:lnTo>
                                  <a:pt x="17627" y="389775"/>
                                </a:lnTo>
                                <a:lnTo>
                                  <a:pt x="20662" y="390372"/>
                                </a:lnTo>
                                <a:lnTo>
                                  <a:pt x="23812" y="390525"/>
                                </a:lnTo>
                                <a:lnTo>
                                  <a:pt x="26974" y="390372"/>
                                </a:lnTo>
                                <a:lnTo>
                                  <a:pt x="30010" y="389775"/>
                                </a:lnTo>
                                <a:lnTo>
                                  <a:pt x="32931" y="388429"/>
                                </a:lnTo>
                                <a:lnTo>
                                  <a:pt x="35852" y="387248"/>
                                </a:lnTo>
                                <a:lnTo>
                                  <a:pt x="47625" y="369684"/>
                                </a:lnTo>
                                <a:lnTo>
                                  <a:pt x="47625" y="366712"/>
                                </a:lnTo>
                                <a:lnTo>
                                  <a:pt x="47625" y="363435"/>
                                </a:lnTo>
                                <a:close/>
                              </a:path>
                              <a:path w="47625" h="390525">
                                <a:moveTo>
                                  <a:pt x="47625" y="20535"/>
                                </a:moveTo>
                                <a:lnTo>
                                  <a:pt x="26974" y="0"/>
                                </a:lnTo>
                                <a:lnTo>
                                  <a:pt x="20662" y="0"/>
                                </a:lnTo>
                                <a:lnTo>
                                  <a:pt x="0" y="20535"/>
                                </a:lnTo>
                                <a:lnTo>
                                  <a:pt x="0" y="26936"/>
                                </a:lnTo>
                                <a:lnTo>
                                  <a:pt x="14706" y="45681"/>
                                </a:lnTo>
                                <a:lnTo>
                                  <a:pt x="17627" y="47028"/>
                                </a:lnTo>
                                <a:lnTo>
                                  <a:pt x="20662" y="47625"/>
                                </a:lnTo>
                                <a:lnTo>
                                  <a:pt x="26974" y="47625"/>
                                </a:lnTo>
                                <a:lnTo>
                                  <a:pt x="30010" y="47028"/>
                                </a:lnTo>
                                <a:lnTo>
                                  <a:pt x="32931" y="45681"/>
                                </a:lnTo>
                                <a:lnTo>
                                  <a:pt x="35852" y="44500"/>
                                </a:lnTo>
                                <a:lnTo>
                                  <a:pt x="47625" y="26936"/>
                                </a:lnTo>
                                <a:lnTo>
                                  <a:pt x="47625" y="23812"/>
                                </a:lnTo>
                                <a:lnTo>
                                  <a:pt x="47625" y="20535"/>
                                </a:lnTo>
                                <a:close/>
                              </a:path>
                            </a:pathLst>
                          </a:custGeom>
                          <a:solidFill>
                            <a:srgbClr val="2B816F"/>
                          </a:solidFill>
                        </wps:spPr>
                        <wps:bodyPr wrap="square" lIns="0" tIns="0" rIns="0" bIns="0" rtlCol="0">
                          <a:prstTxWarp prst="textNoShape">
                            <a:avLst/>
                          </a:prstTxWarp>
                          <a:noAutofit/>
                        </wps:bodyPr>
                      </wps:wsp>
                      <wps:wsp>
                        <wps:cNvPr id="279" name="Textbox 279"/>
                        <wps:cNvSpPr txBox="1"/>
                        <wps:spPr>
                          <a:xfrm>
                            <a:off x="0" y="742949"/>
                            <a:ext cx="5810250" cy="1257300"/>
                          </a:xfrm>
                          <a:prstGeom prst="rect">
                            <a:avLst/>
                          </a:prstGeom>
                        </wps:spPr>
                        <wps:txbx>
                          <w:txbxContent>
                            <w:p>
                              <w:pPr>
                                <w:spacing w:line="240" w:lineRule="auto" w:before="51"/>
                                <w:rPr>
                                  <w:sz w:val="22"/>
                                </w:rPr>
                              </w:pPr>
                            </w:p>
                            <w:p>
                              <w:pPr>
                                <w:spacing w:line="256" w:lineRule="auto" w:before="0"/>
                                <w:ind w:left="444" w:right="610" w:firstLine="0"/>
                                <w:jc w:val="left"/>
                                <w:rPr>
                                  <w:b/>
                                  <w:sz w:val="22"/>
                                </w:rPr>
                              </w:pPr>
                              <w:r>
                                <w:rPr>
                                  <w:b/>
                                  <w:sz w:val="22"/>
                                </w:rPr>
                                <w:t>A</w:t>
                              </w:r>
                              <w:r>
                                <w:rPr>
                                  <w:b/>
                                  <w:spacing w:val="40"/>
                                  <w:sz w:val="22"/>
                                </w:rPr>
                                <w:t> </w:t>
                              </w:r>
                              <w:r>
                                <w:rPr>
                                  <w:b/>
                                  <w:sz w:val="22"/>
                                </w:rPr>
                                <w:t>decrease</w:t>
                              </w:r>
                              <w:r>
                                <w:rPr>
                                  <w:b/>
                                  <w:spacing w:val="40"/>
                                  <w:sz w:val="22"/>
                                </w:rPr>
                                <w:t> </w:t>
                              </w:r>
                              <w:r>
                                <w:rPr>
                                  <w:b/>
                                  <w:sz w:val="22"/>
                                </w:rPr>
                                <w:t>in</w:t>
                              </w:r>
                              <w:r>
                                <w:rPr>
                                  <w:b/>
                                  <w:spacing w:val="40"/>
                                  <w:sz w:val="22"/>
                                </w:rPr>
                                <w:t> </w:t>
                              </w:r>
                              <w:r>
                                <w:rPr>
                                  <w:b/>
                                  <w:sz w:val="22"/>
                                </w:rPr>
                                <w:t>breast</w:t>
                              </w:r>
                              <w:r>
                                <w:rPr>
                                  <w:b/>
                                  <w:spacing w:val="40"/>
                                  <w:sz w:val="22"/>
                                </w:rPr>
                                <w:t> </w:t>
                              </w:r>
                              <w:r>
                                <w:rPr>
                                  <w:b/>
                                  <w:sz w:val="22"/>
                                </w:rPr>
                                <w:t>cancer</w:t>
                              </w:r>
                              <w:r>
                                <w:rPr>
                                  <w:b/>
                                  <w:spacing w:val="40"/>
                                  <w:sz w:val="22"/>
                                </w:rPr>
                                <w:t> </w:t>
                              </w:r>
                              <w:r>
                                <w:rPr>
                                  <w:b/>
                                  <w:sz w:val="22"/>
                                </w:rPr>
                                <w:t>prevalence</w:t>
                              </w:r>
                              <w:r>
                                <w:rPr>
                                  <w:b/>
                                  <w:spacing w:val="40"/>
                                  <w:sz w:val="22"/>
                                </w:rPr>
                                <w:t> </w:t>
                              </w:r>
                              <w:r>
                                <w:rPr>
                                  <w:b/>
                                  <w:sz w:val="22"/>
                                </w:rPr>
                                <w:t>paralleled</w:t>
                              </w:r>
                              <w:r>
                                <w:rPr>
                                  <w:b/>
                                  <w:spacing w:val="40"/>
                                  <w:sz w:val="22"/>
                                </w:rPr>
                                <w:t> </w:t>
                              </w:r>
                              <w:r>
                                <w:rPr>
                                  <w:b/>
                                  <w:sz w:val="22"/>
                                </w:rPr>
                                <w:t>the</w:t>
                              </w:r>
                              <w:r>
                                <w:rPr>
                                  <w:b/>
                                  <w:spacing w:val="40"/>
                                  <w:sz w:val="22"/>
                                </w:rPr>
                                <w:t> </w:t>
                              </w:r>
                              <w:r>
                                <w:rPr>
                                  <w:b/>
                                  <w:sz w:val="22"/>
                                </w:rPr>
                                <w:t>decrease</w:t>
                              </w:r>
                              <w:r>
                                <w:rPr>
                                  <w:b/>
                                  <w:spacing w:val="40"/>
                                  <w:sz w:val="22"/>
                                </w:rPr>
                                <w:t> </w:t>
                              </w:r>
                              <w:r>
                                <w:rPr>
                                  <w:b/>
                                  <w:sz w:val="22"/>
                                </w:rPr>
                                <w:t>in</w:t>
                              </w:r>
                              <w:r>
                                <w:rPr>
                                  <w:b/>
                                  <w:spacing w:val="40"/>
                                  <w:sz w:val="22"/>
                                </w:rPr>
                                <w:t> </w:t>
                              </w:r>
                              <w:r>
                                <w:rPr>
                                  <w:b/>
                                  <w:sz w:val="22"/>
                                </w:rPr>
                                <w:t>hormone</w:t>
                              </w:r>
                              <w:r>
                                <w:rPr>
                                  <w:b/>
                                  <w:spacing w:val="40"/>
                                  <w:sz w:val="22"/>
                                </w:rPr>
                                <w:t> </w:t>
                              </w:r>
                              <w:r>
                                <w:rPr>
                                  <w:b/>
                                  <w:sz w:val="22"/>
                                </w:rPr>
                                <w:t>use following the publicity generated by the WHI publications.</w:t>
                              </w:r>
                            </w:p>
                            <w:p>
                              <w:pPr>
                                <w:spacing w:line="256" w:lineRule="auto" w:before="0"/>
                                <w:ind w:left="444" w:right="610" w:firstLine="0"/>
                                <w:jc w:val="left"/>
                                <w:rPr>
                                  <w:b/>
                                  <w:sz w:val="22"/>
                                </w:rPr>
                              </w:pPr>
                              <w:r>
                                <w:rPr>
                                  <w:b/>
                                  <w:sz w:val="22"/>
                                </w:rPr>
                                <w:t>The</w:t>
                              </w:r>
                              <w:r>
                                <w:rPr>
                                  <w:b/>
                                  <w:spacing w:val="33"/>
                                  <w:sz w:val="22"/>
                                </w:rPr>
                                <w:t> </w:t>
                              </w:r>
                              <w:r>
                                <w:rPr>
                                  <w:b/>
                                  <w:sz w:val="22"/>
                                </w:rPr>
                                <w:t>decrease</w:t>
                              </w:r>
                              <w:r>
                                <w:rPr>
                                  <w:b/>
                                  <w:spacing w:val="33"/>
                                  <w:sz w:val="22"/>
                                </w:rPr>
                                <w:t> </w:t>
                              </w:r>
                              <w:r>
                                <w:rPr>
                                  <w:b/>
                                  <w:sz w:val="22"/>
                                </w:rPr>
                                <w:t>in</w:t>
                              </w:r>
                              <w:r>
                                <w:rPr>
                                  <w:b/>
                                  <w:spacing w:val="33"/>
                                  <w:sz w:val="22"/>
                                </w:rPr>
                                <w:t> </w:t>
                              </w:r>
                              <w:r>
                                <w:rPr>
                                  <w:b/>
                                  <w:sz w:val="22"/>
                                </w:rPr>
                                <w:t>prevalence</w:t>
                              </w:r>
                              <w:r>
                                <w:rPr>
                                  <w:b/>
                                  <w:spacing w:val="33"/>
                                  <w:sz w:val="22"/>
                                </w:rPr>
                                <w:t> </w:t>
                              </w:r>
                              <w:r>
                                <w:rPr>
                                  <w:b/>
                                  <w:sz w:val="22"/>
                                </w:rPr>
                                <w:t>is</w:t>
                              </w:r>
                              <w:r>
                                <w:rPr>
                                  <w:b/>
                                  <w:spacing w:val="33"/>
                                  <w:sz w:val="22"/>
                                </w:rPr>
                                <w:t> </w:t>
                              </w:r>
                              <w:r>
                                <w:rPr>
                                  <w:b/>
                                  <w:sz w:val="22"/>
                                </w:rPr>
                                <w:t>consistent</w:t>
                              </w:r>
                              <w:r>
                                <w:rPr>
                                  <w:b/>
                                  <w:spacing w:val="33"/>
                                  <w:sz w:val="22"/>
                                </w:rPr>
                                <w:t> </w:t>
                              </w:r>
                              <w:r>
                                <w:rPr>
                                  <w:b/>
                                  <w:sz w:val="22"/>
                                </w:rPr>
                                <w:t>with</w:t>
                              </w:r>
                              <w:r>
                                <w:rPr>
                                  <w:b/>
                                  <w:spacing w:val="33"/>
                                  <w:sz w:val="22"/>
                                </w:rPr>
                                <w:t> </w:t>
                              </w:r>
                              <w:r>
                                <w:rPr>
                                  <w:b/>
                                  <w:sz w:val="22"/>
                                </w:rPr>
                                <w:t>the</w:t>
                              </w:r>
                              <w:r>
                                <w:rPr>
                                  <w:b/>
                                  <w:spacing w:val="33"/>
                                  <w:sz w:val="22"/>
                                </w:rPr>
                                <w:t> </w:t>
                              </w:r>
                              <w:r>
                                <w:rPr>
                                  <w:b/>
                                  <w:sz w:val="22"/>
                                </w:rPr>
                                <w:t>removal</w:t>
                              </w:r>
                              <w:r>
                                <w:rPr>
                                  <w:b/>
                                  <w:spacing w:val="33"/>
                                  <w:sz w:val="22"/>
                                </w:rPr>
                                <w:t> </w:t>
                              </w:r>
                              <w:r>
                                <w:rPr>
                                  <w:b/>
                                  <w:sz w:val="22"/>
                                </w:rPr>
                                <w:t>of</w:t>
                              </w:r>
                              <w:r>
                                <w:rPr>
                                  <w:b/>
                                  <w:spacing w:val="33"/>
                                  <w:sz w:val="22"/>
                                </w:rPr>
                                <w:t> </w:t>
                              </w:r>
                              <w:r>
                                <w:rPr>
                                  <w:b/>
                                  <w:sz w:val="22"/>
                                </w:rPr>
                                <w:t>hormonal</w:t>
                              </w:r>
                              <w:r>
                                <w:rPr>
                                  <w:b/>
                                  <w:spacing w:val="33"/>
                                  <w:sz w:val="22"/>
                                </w:rPr>
                                <w:t> </w:t>
                              </w:r>
                              <w:r>
                                <w:rPr>
                                  <w:b/>
                                  <w:sz w:val="22"/>
                                </w:rPr>
                                <w:t>effects</w:t>
                              </w:r>
                              <w:r>
                                <w:rPr>
                                  <w:b/>
                                  <w:spacing w:val="33"/>
                                  <w:sz w:val="22"/>
                                </w:rPr>
                                <w:t> </w:t>
                              </w:r>
                              <w:r>
                                <w:rPr>
                                  <w:b/>
                                  <w:sz w:val="22"/>
                                </w:rPr>
                                <w:t>on small undetectable tumors.</w:t>
                              </w:r>
                            </w:p>
                          </w:txbxContent>
                        </wps:txbx>
                        <wps:bodyPr wrap="square" lIns="0" tIns="0" rIns="0" bIns="0" rtlCol="0">
                          <a:noAutofit/>
                        </wps:bodyPr>
                      </wps:wsp>
                      <wps:wsp>
                        <wps:cNvPr id="280" name="Textbox 280"/>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22"/>
                                  <w:sz w:val="33"/>
                                </w:rPr>
                                <w:t> </w:t>
                              </w:r>
                              <w:r>
                                <w:rPr>
                                  <w:rFonts w:ascii="Arial"/>
                                  <w:color w:val="FFFFFF"/>
                                  <w:sz w:val="33"/>
                                </w:rPr>
                                <w:t>Points:</w:t>
                              </w:r>
                              <w:r>
                                <w:rPr>
                                  <w:rFonts w:ascii="Arial"/>
                                  <w:color w:val="FFFFFF"/>
                                  <w:spacing w:val="22"/>
                                  <w:sz w:val="33"/>
                                </w:rPr>
                                <w:t> </w:t>
                              </w:r>
                              <w:r>
                                <w:rPr>
                                  <w:rFonts w:ascii="Arial"/>
                                  <w:color w:val="FFFFFF"/>
                                  <w:sz w:val="33"/>
                                </w:rPr>
                                <w:t>Breast</w:t>
                              </w:r>
                              <w:r>
                                <w:rPr>
                                  <w:rFonts w:ascii="Arial"/>
                                  <w:color w:val="FFFFFF"/>
                                  <w:spacing w:val="23"/>
                                  <w:sz w:val="33"/>
                                </w:rPr>
                                <w:t> </w:t>
                              </w:r>
                              <w:r>
                                <w:rPr>
                                  <w:rFonts w:ascii="Arial"/>
                                  <w:color w:val="FFFFFF"/>
                                  <w:sz w:val="33"/>
                                </w:rPr>
                                <w:t>Cancer</w:t>
                              </w:r>
                              <w:r>
                                <w:rPr>
                                  <w:rFonts w:ascii="Arial"/>
                                  <w:color w:val="FFFFFF"/>
                                  <w:spacing w:val="22"/>
                                  <w:sz w:val="33"/>
                                </w:rPr>
                                <w:t> </w:t>
                              </w:r>
                              <w:r>
                                <w:rPr>
                                  <w:rFonts w:ascii="Arial"/>
                                  <w:color w:val="FFFFFF"/>
                                  <w:sz w:val="33"/>
                                </w:rPr>
                                <w:t>Prevalence</w:t>
                              </w:r>
                              <w:r>
                                <w:rPr>
                                  <w:rFonts w:ascii="Arial"/>
                                  <w:color w:val="FFFFFF"/>
                                  <w:spacing w:val="23"/>
                                  <w:sz w:val="33"/>
                                </w:rPr>
                                <w:t> </w:t>
                              </w:r>
                              <w:r>
                                <w:rPr>
                                  <w:rFonts w:ascii="Arial"/>
                                  <w:color w:val="FFFFFF"/>
                                  <w:sz w:val="33"/>
                                </w:rPr>
                                <w:t>and</w:t>
                              </w:r>
                              <w:r>
                                <w:rPr>
                                  <w:rFonts w:ascii="Arial"/>
                                  <w:color w:val="FFFFFF"/>
                                  <w:spacing w:val="22"/>
                                  <w:sz w:val="33"/>
                                </w:rPr>
                                <w:t> </w:t>
                              </w:r>
                              <w:r>
                                <w:rPr>
                                  <w:rFonts w:ascii="Arial"/>
                                  <w:color w:val="FFFFFF"/>
                                  <w:sz w:val="33"/>
                                </w:rPr>
                                <w:t>Hormone</w:t>
                              </w:r>
                              <w:r>
                                <w:rPr>
                                  <w:rFonts w:ascii="Arial"/>
                                  <w:color w:val="FFFFFF"/>
                                  <w:spacing w:val="23"/>
                                  <w:sz w:val="33"/>
                                </w:rPr>
                                <w:t> </w:t>
                              </w:r>
                              <w:r>
                                <w:rPr>
                                  <w:rFonts w:ascii="Arial"/>
                                  <w:color w:val="FFFFFF"/>
                                  <w:spacing w:val="-5"/>
                                  <w:sz w:val="33"/>
                                </w:rPr>
                                <w:t>Use</w:t>
                              </w:r>
                            </w:p>
                          </w:txbxContent>
                        </wps:txbx>
                        <wps:bodyPr wrap="square" lIns="0" tIns="0" rIns="0" bIns="0" rtlCol="0">
                          <a:noAutofit/>
                        </wps:bodyPr>
                      </wps:wsp>
                    </wpg:wgp>
                  </a:graphicData>
                </a:graphic>
              </wp:anchor>
            </w:drawing>
          </mc:Choice>
          <mc:Fallback>
            <w:pict>
              <v:group style="position:absolute;margin-left:77.25pt;margin-top:19.005886pt;width:457.5pt;height:157.5pt;mso-position-horizontal-relative:page;mso-position-vertical-relative:paragraph;z-index:-15654912;mso-wrap-distance-left:0;mso-wrap-distance-right:0" id="docshapegroup250" coordorigin="1545,380" coordsize="9150,3150">
                <v:rect style="position:absolute;left:1545;top:380;width:9150;height:30" id="docshape251" filled="true" fillcolor="#d5e699" stroked="false">
                  <v:fill type="solid"/>
                </v:rect>
                <v:rect style="position:absolute;left:1545;top:1550;width:9150;height:1980" id="docshape252" filled="true" fillcolor="#e9f1cd" stroked="false">
                  <v:fill type="solid"/>
                </v:rect>
                <v:rect style="position:absolute;left:1545;top:470;width:9150;height:1080" id="docshape253" filled="true" fillcolor="#2b816f" stroked="false">
                  <v:fill type="solid"/>
                </v:rect>
                <v:shape style="position:absolute;left:1875;top:740;width:585;height:90" id="docshape254" coordorigin="1875,740" coordsize="585,90" path="m1920,830l1914,830,1908,829,1903,826,1897,824,1892,821,1884,813,1881,808,1878,802,1876,797,1875,791,1875,779,1876,773,1878,768,1881,762,1884,757,1888,753,1892,749,1897,746,1908,741,1914,740,1926,740,1932,741,1943,746,1948,749,1952,753,1956,757,1959,762,1962,768,1964,773,1965,779,1965,791,1964,797,1962,802,1959,808,1956,813,1948,821,1943,824,1937,826,1932,829,1926,830,1920,830xm2085,830l2079,830,2073,829,2068,826,2062,824,2057,821,2049,813,2046,808,2043,802,2041,797,2040,791,2040,779,2041,773,2043,768,2046,762,2049,757,2053,753,2057,749,2062,746,2073,741,2079,740,2091,740,2097,741,2108,746,2112,749,2117,753,2121,757,2124,762,2126,768,2129,773,2130,779,2130,791,2129,797,2126,802,2124,808,2121,813,2112,821,2108,824,2102,826,2097,829,2091,830,2085,830xm2250,830l2244,830,2238,829,2232,826,2227,824,2222,821,2214,813,2210,808,2208,802,2206,797,2205,791,2205,779,2206,773,2208,768,2210,762,2214,757,2218,753,2222,749,2227,746,2238,741,2244,740,2256,740,2261,741,2272,746,2277,749,2282,753,2286,757,2289,762,2291,768,2294,773,2295,779,2295,791,2294,797,2291,802,2289,808,2286,813,2277,821,2272,824,2267,826,2261,829,2256,830,2250,830xm2415,830l2409,830,2403,829,2397,826,2392,824,2387,821,2379,813,2375,808,2373,802,2371,797,2370,791,2370,779,2371,773,2373,768,2375,762,2379,757,2383,753,2387,749,2392,746,2403,741,2409,740,2421,740,2426,741,2437,746,2442,749,2446,753,2451,757,2454,762,2456,768,2458,773,2460,779,2460,791,2458,797,2456,802,2454,808,2451,813,2442,821,2437,824,2432,826,2426,829,2421,830,2415,830xe" filled="true" fillcolor="#d0e399" stroked="false">
                  <v:path arrowok="t"/>
                  <v:fill type="solid"/>
                </v:shape>
                <v:shape style="position:absolute;left:1754;top:1955;width:75;height:615" id="docshape255" coordorigin="1755,1955" coordsize="75,615" path="m1830,2527l1829,2523,1825,2513,1823,2509,1816,2502,1811,2500,1807,2498,1802,2496,1797,2495,1788,2495,1783,2496,1778,2498,1774,2500,1769,2502,1762,2509,1760,2513,1756,2523,1755,2527,1755,2537,1756,2542,1760,2551,1762,2555,1769,2562,1774,2565,1778,2567,1783,2569,1788,2570,1792,2570,1797,2570,1802,2569,1807,2567,1811,2565,1816,2562,1823,2555,1825,2551,1829,2542,1830,2537,1830,2533,1830,2527xm1830,1987l1829,1983,1825,1973,1823,1969,1816,1962,1811,1960,1807,1958,1802,1956,1797,1955,1788,1955,1783,1956,1778,1958,1774,1960,1769,1962,1762,1969,1760,1973,1756,1983,1755,1987,1755,1998,1756,2002,1760,2011,1762,2016,1769,2023,1774,2025,1778,2027,1783,2029,1788,2030,1797,2030,1802,2029,1807,2027,1811,2025,1816,2023,1823,2016,1825,2011,1829,2002,1830,1998,1830,1993,1830,1987xe" filled="true" fillcolor="#2b816f" stroked="false">
                  <v:path arrowok="t"/>
                  <v:fill type="solid"/>
                </v:shape>
                <v:shape style="position:absolute;left:1545;top:1550;width:9150;height:1980" type="#_x0000_t202" id="docshape256" filled="false" stroked="false">
                  <v:textbox inset="0,0,0,0">
                    <w:txbxContent>
                      <w:p>
                        <w:pPr>
                          <w:spacing w:line="240" w:lineRule="auto" w:before="51"/>
                          <w:rPr>
                            <w:sz w:val="22"/>
                          </w:rPr>
                        </w:pPr>
                      </w:p>
                      <w:p>
                        <w:pPr>
                          <w:spacing w:line="256" w:lineRule="auto" w:before="0"/>
                          <w:ind w:left="444" w:right="610" w:firstLine="0"/>
                          <w:jc w:val="left"/>
                          <w:rPr>
                            <w:b/>
                            <w:sz w:val="22"/>
                          </w:rPr>
                        </w:pPr>
                        <w:r>
                          <w:rPr>
                            <w:b/>
                            <w:sz w:val="22"/>
                          </w:rPr>
                          <w:t>A</w:t>
                        </w:r>
                        <w:r>
                          <w:rPr>
                            <w:b/>
                            <w:spacing w:val="40"/>
                            <w:sz w:val="22"/>
                          </w:rPr>
                          <w:t> </w:t>
                        </w:r>
                        <w:r>
                          <w:rPr>
                            <w:b/>
                            <w:sz w:val="22"/>
                          </w:rPr>
                          <w:t>decrease</w:t>
                        </w:r>
                        <w:r>
                          <w:rPr>
                            <w:b/>
                            <w:spacing w:val="40"/>
                            <w:sz w:val="22"/>
                          </w:rPr>
                          <w:t> </w:t>
                        </w:r>
                        <w:r>
                          <w:rPr>
                            <w:b/>
                            <w:sz w:val="22"/>
                          </w:rPr>
                          <w:t>in</w:t>
                        </w:r>
                        <w:r>
                          <w:rPr>
                            <w:b/>
                            <w:spacing w:val="40"/>
                            <w:sz w:val="22"/>
                          </w:rPr>
                          <w:t> </w:t>
                        </w:r>
                        <w:r>
                          <w:rPr>
                            <w:b/>
                            <w:sz w:val="22"/>
                          </w:rPr>
                          <w:t>breast</w:t>
                        </w:r>
                        <w:r>
                          <w:rPr>
                            <w:b/>
                            <w:spacing w:val="40"/>
                            <w:sz w:val="22"/>
                          </w:rPr>
                          <w:t> </w:t>
                        </w:r>
                        <w:r>
                          <w:rPr>
                            <w:b/>
                            <w:sz w:val="22"/>
                          </w:rPr>
                          <w:t>cancer</w:t>
                        </w:r>
                        <w:r>
                          <w:rPr>
                            <w:b/>
                            <w:spacing w:val="40"/>
                            <w:sz w:val="22"/>
                          </w:rPr>
                          <w:t> </w:t>
                        </w:r>
                        <w:r>
                          <w:rPr>
                            <w:b/>
                            <w:sz w:val="22"/>
                          </w:rPr>
                          <w:t>prevalence</w:t>
                        </w:r>
                        <w:r>
                          <w:rPr>
                            <w:b/>
                            <w:spacing w:val="40"/>
                            <w:sz w:val="22"/>
                          </w:rPr>
                          <w:t> </w:t>
                        </w:r>
                        <w:r>
                          <w:rPr>
                            <w:b/>
                            <w:sz w:val="22"/>
                          </w:rPr>
                          <w:t>paralleled</w:t>
                        </w:r>
                        <w:r>
                          <w:rPr>
                            <w:b/>
                            <w:spacing w:val="40"/>
                            <w:sz w:val="22"/>
                          </w:rPr>
                          <w:t> </w:t>
                        </w:r>
                        <w:r>
                          <w:rPr>
                            <w:b/>
                            <w:sz w:val="22"/>
                          </w:rPr>
                          <w:t>the</w:t>
                        </w:r>
                        <w:r>
                          <w:rPr>
                            <w:b/>
                            <w:spacing w:val="40"/>
                            <w:sz w:val="22"/>
                          </w:rPr>
                          <w:t> </w:t>
                        </w:r>
                        <w:r>
                          <w:rPr>
                            <w:b/>
                            <w:sz w:val="22"/>
                          </w:rPr>
                          <w:t>decrease</w:t>
                        </w:r>
                        <w:r>
                          <w:rPr>
                            <w:b/>
                            <w:spacing w:val="40"/>
                            <w:sz w:val="22"/>
                          </w:rPr>
                          <w:t> </w:t>
                        </w:r>
                        <w:r>
                          <w:rPr>
                            <w:b/>
                            <w:sz w:val="22"/>
                          </w:rPr>
                          <w:t>in</w:t>
                        </w:r>
                        <w:r>
                          <w:rPr>
                            <w:b/>
                            <w:spacing w:val="40"/>
                            <w:sz w:val="22"/>
                          </w:rPr>
                          <w:t> </w:t>
                        </w:r>
                        <w:r>
                          <w:rPr>
                            <w:b/>
                            <w:sz w:val="22"/>
                          </w:rPr>
                          <w:t>hormone</w:t>
                        </w:r>
                        <w:r>
                          <w:rPr>
                            <w:b/>
                            <w:spacing w:val="40"/>
                            <w:sz w:val="22"/>
                          </w:rPr>
                          <w:t> </w:t>
                        </w:r>
                        <w:r>
                          <w:rPr>
                            <w:b/>
                            <w:sz w:val="22"/>
                          </w:rPr>
                          <w:t>use following the publicity generated by the WHI publications.</w:t>
                        </w:r>
                      </w:p>
                      <w:p>
                        <w:pPr>
                          <w:spacing w:line="256" w:lineRule="auto" w:before="0"/>
                          <w:ind w:left="444" w:right="610" w:firstLine="0"/>
                          <w:jc w:val="left"/>
                          <w:rPr>
                            <w:b/>
                            <w:sz w:val="22"/>
                          </w:rPr>
                        </w:pPr>
                        <w:r>
                          <w:rPr>
                            <w:b/>
                            <w:sz w:val="22"/>
                          </w:rPr>
                          <w:t>The</w:t>
                        </w:r>
                        <w:r>
                          <w:rPr>
                            <w:b/>
                            <w:spacing w:val="33"/>
                            <w:sz w:val="22"/>
                          </w:rPr>
                          <w:t> </w:t>
                        </w:r>
                        <w:r>
                          <w:rPr>
                            <w:b/>
                            <w:sz w:val="22"/>
                          </w:rPr>
                          <w:t>decrease</w:t>
                        </w:r>
                        <w:r>
                          <w:rPr>
                            <w:b/>
                            <w:spacing w:val="33"/>
                            <w:sz w:val="22"/>
                          </w:rPr>
                          <w:t> </w:t>
                        </w:r>
                        <w:r>
                          <w:rPr>
                            <w:b/>
                            <w:sz w:val="22"/>
                          </w:rPr>
                          <w:t>in</w:t>
                        </w:r>
                        <w:r>
                          <w:rPr>
                            <w:b/>
                            <w:spacing w:val="33"/>
                            <w:sz w:val="22"/>
                          </w:rPr>
                          <w:t> </w:t>
                        </w:r>
                        <w:r>
                          <w:rPr>
                            <w:b/>
                            <w:sz w:val="22"/>
                          </w:rPr>
                          <w:t>prevalence</w:t>
                        </w:r>
                        <w:r>
                          <w:rPr>
                            <w:b/>
                            <w:spacing w:val="33"/>
                            <w:sz w:val="22"/>
                          </w:rPr>
                          <w:t> </w:t>
                        </w:r>
                        <w:r>
                          <w:rPr>
                            <w:b/>
                            <w:sz w:val="22"/>
                          </w:rPr>
                          <w:t>is</w:t>
                        </w:r>
                        <w:r>
                          <w:rPr>
                            <w:b/>
                            <w:spacing w:val="33"/>
                            <w:sz w:val="22"/>
                          </w:rPr>
                          <w:t> </w:t>
                        </w:r>
                        <w:r>
                          <w:rPr>
                            <w:b/>
                            <w:sz w:val="22"/>
                          </w:rPr>
                          <w:t>consistent</w:t>
                        </w:r>
                        <w:r>
                          <w:rPr>
                            <w:b/>
                            <w:spacing w:val="33"/>
                            <w:sz w:val="22"/>
                          </w:rPr>
                          <w:t> </w:t>
                        </w:r>
                        <w:r>
                          <w:rPr>
                            <w:b/>
                            <w:sz w:val="22"/>
                          </w:rPr>
                          <w:t>with</w:t>
                        </w:r>
                        <w:r>
                          <w:rPr>
                            <w:b/>
                            <w:spacing w:val="33"/>
                            <w:sz w:val="22"/>
                          </w:rPr>
                          <w:t> </w:t>
                        </w:r>
                        <w:r>
                          <w:rPr>
                            <w:b/>
                            <w:sz w:val="22"/>
                          </w:rPr>
                          <w:t>the</w:t>
                        </w:r>
                        <w:r>
                          <w:rPr>
                            <w:b/>
                            <w:spacing w:val="33"/>
                            <w:sz w:val="22"/>
                          </w:rPr>
                          <w:t> </w:t>
                        </w:r>
                        <w:r>
                          <w:rPr>
                            <w:b/>
                            <w:sz w:val="22"/>
                          </w:rPr>
                          <w:t>removal</w:t>
                        </w:r>
                        <w:r>
                          <w:rPr>
                            <w:b/>
                            <w:spacing w:val="33"/>
                            <w:sz w:val="22"/>
                          </w:rPr>
                          <w:t> </w:t>
                        </w:r>
                        <w:r>
                          <w:rPr>
                            <w:b/>
                            <w:sz w:val="22"/>
                          </w:rPr>
                          <w:t>of</w:t>
                        </w:r>
                        <w:r>
                          <w:rPr>
                            <w:b/>
                            <w:spacing w:val="33"/>
                            <w:sz w:val="22"/>
                          </w:rPr>
                          <w:t> </w:t>
                        </w:r>
                        <w:r>
                          <w:rPr>
                            <w:b/>
                            <w:sz w:val="22"/>
                          </w:rPr>
                          <w:t>hormonal</w:t>
                        </w:r>
                        <w:r>
                          <w:rPr>
                            <w:b/>
                            <w:spacing w:val="33"/>
                            <w:sz w:val="22"/>
                          </w:rPr>
                          <w:t> </w:t>
                        </w:r>
                        <w:r>
                          <w:rPr>
                            <w:b/>
                            <w:sz w:val="22"/>
                          </w:rPr>
                          <w:t>effects</w:t>
                        </w:r>
                        <w:r>
                          <w:rPr>
                            <w:b/>
                            <w:spacing w:val="33"/>
                            <w:sz w:val="22"/>
                          </w:rPr>
                          <w:t> </w:t>
                        </w:r>
                        <w:r>
                          <w:rPr>
                            <w:b/>
                            <w:sz w:val="22"/>
                          </w:rPr>
                          <w:t>on small undetectable tumors.</w:t>
                        </w:r>
                      </w:p>
                    </w:txbxContent>
                  </v:textbox>
                  <w10:wrap type="none"/>
                </v:shape>
                <v:shape style="position:absolute;left:1545;top:470;width:9150;height:1080" type="#_x0000_t202" id="docshape257"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22"/>
                            <w:sz w:val="33"/>
                          </w:rPr>
                          <w:t> </w:t>
                        </w:r>
                        <w:r>
                          <w:rPr>
                            <w:rFonts w:ascii="Arial"/>
                            <w:color w:val="FFFFFF"/>
                            <w:sz w:val="33"/>
                          </w:rPr>
                          <w:t>Points:</w:t>
                        </w:r>
                        <w:r>
                          <w:rPr>
                            <w:rFonts w:ascii="Arial"/>
                            <w:color w:val="FFFFFF"/>
                            <w:spacing w:val="22"/>
                            <w:sz w:val="33"/>
                          </w:rPr>
                          <w:t> </w:t>
                        </w:r>
                        <w:r>
                          <w:rPr>
                            <w:rFonts w:ascii="Arial"/>
                            <w:color w:val="FFFFFF"/>
                            <w:sz w:val="33"/>
                          </w:rPr>
                          <w:t>Breast</w:t>
                        </w:r>
                        <w:r>
                          <w:rPr>
                            <w:rFonts w:ascii="Arial"/>
                            <w:color w:val="FFFFFF"/>
                            <w:spacing w:val="23"/>
                            <w:sz w:val="33"/>
                          </w:rPr>
                          <w:t> </w:t>
                        </w:r>
                        <w:r>
                          <w:rPr>
                            <w:rFonts w:ascii="Arial"/>
                            <w:color w:val="FFFFFF"/>
                            <w:sz w:val="33"/>
                          </w:rPr>
                          <w:t>Cancer</w:t>
                        </w:r>
                        <w:r>
                          <w:rPr>
                            <w:rFonts w:ascii="Arial"/>
                            <w:color w:val="FFFFFF"/>
                            <w:spacing w:val="22"/>
                            <w:sz w:val="33"/>
                          </w:rPr>
                          <w:t> </w:t>
                        </w:r>
                        <w:r>
                          <w:rPr>
                            <w:rFonts w:ascii="Arial"/>
                            <w:color w:val="FFFFFF"/>
                            <w:sz w:val="33"/>
                          </w:rPr>
                          <w:t>Prevalence</w:t>
                        </w:r>
                        <w:r>
                          <w:rPr>
                            <w:rFonts w:ascii="Arial"/>
                            <w:color w:val="FFFFFF"/>
                            <w:spacing w:val="23"/>
                            <w:sz w:val="33"/>
                          </w:rPr>
                          <w:t> </w:t>
                        </w:r>
                        <w:r>
                          <w:rPr>
                            <w:rFonts w:ascii="Arial"/>
                            <w:color w:val="FFFFFF"/>
                            <w:sz w:val="33"/>
                          </w:rPr>
                          <w:t>and</w:t>
                        </w:r>
                        <w:r>
                          <w:rPr>
                            <w:rFonts w:ascii="Arial"/>
                            <w:color w:val="FFFFFF"/>
                            <w:spacing w:val="22"/>
                            <w:sz w:val="33"/>
                          </w:rPr>
                          <w:t> </w:t>
                        </w:r>
                        <w:r>
                          <w:rPr>
                            <w:rFonts w:ascii="Arial"/>
                            <w:color w:val="FFFFFF"/>
                            <w:sz w:val="33"/>
                          </w:rPr>
                          <w:t>Hormone</w:t>
                        </w:r>
                        <w:r>
                          <w:rPr>
                            <w:rFonts w:ascii="Arial"/>
                            <w:color w:val="FFFFFF"/>
                            <w:spacing w:val="23"/>
                            <w:sz w:val="33"/>
                          </w:rPr>
                          <w:t> </w:t>
                        </w:r>
                        <w:r>
                          <w:rPr>
                            <w:rFonts w:ascii="Arial"/>
                            <w:color w:val="FFFFFF"/>
                            <w:spacing w:val="-5"/>
                            <w:sz w:val="33"/>
                          </w:rPr>
                          <w:t>Use</w:t>
                        </w:r>
                      </w:p>
                    </w:txbxContent>
                  </v:textbox>
                  <w10:wrap type="none"/>
                </v:shape>
                <w10:wrap type="topAndBottom"/>
              </v:group>
            </w:pict>
          </mc:Fallback>
        </mc:AlternateContent>
      </w:r>
    </w:p>
    <w:p>
      <w:pPr>
        <w:pStyle w:val="BodyText"/>
        <w:spacing w:before="0"/>
        <w:ind w:left="0"/>
        <w:jc w:val="left"/>
      </w:pPr>
    </w:p>
    <w:p>
      <w:pPr>
        <w:pStyle w:val="BodyText"/>
        <w:spacing w:before="213"/>
        <w:ind w:left="0"/>
        <w:jc w:val="left"/>
      </w:pPr>
    </w:p>
    <w:p>
      <w:pPr>
        <w:spacing w:before="0"/>
        <w:ind w:left="99" w:right="0" w:firstLine="0"/>
        <w:jc w:val="both"/>
        <w:rPr>
          <w:rFonts w:ascii="Arial"/>
          <w:b/>
          <w:sz w:val="30"/>
        </w:rPr>
      </w:pPr>
      <w:r>
        <w:rPr>
          <w:rFonts w:ascii="Arial"/>
          <w:b/>
          <w:color w:val="2674AE"/>
          <w:sz w:val="30"/>
        </w:rPr>
        <w:t>Hormone Therapy and the</w:t>
      </w:r>
      <w:r>
        <w:rPr>
          <w:rFonts w:ascii="Arial"/>
          <w:b/>
          <w:color w:val="2674AE"/>
          <w:spacing w:val="-1"/>
          <w:sz w:val="30"/>
        </w:rPr>
        <w:t> </w:t>
      </w:r>
      <w:r>
        <w:rPr>
          <w:rFonts w:ascii="Arial"/>
          <w:b/>
          <w:i/>
          <w:color w:val="2674AE"/>
          <w:sz w:val="30"/>
        </w:rPr>
        <w:t>BRCA</w:t>
      </w:r>
      <w:r>
        <w:rPr>
          <w:rFonts w:ascii="Arial"/>
          <w:b/>
          <w:i/>
          <w:color w:val="2674AE"/>
          <w:spacing w:val="-1"/>
          <w:sz w:val="30"/>
        </w:rPr>
        <w:t> </w:t>
      </w:r>
      <w:r>
        <w:rPr>
          <w:rFonts w:ascii="Arial"/>
          <w:b/>
          <w:color w:val="2674AE"/>
          <w:spacing w:val="-2"/>
          <w:sz w:val="30"/>
        </w:rPr>
        <w:t>Mutations</w:t>
      </w:r>
    </w:p>
    <w:p>
      <w:pPr>
        <w:pStyle w:val="BodyText"/>
        <w:spacing w:line="249" w:lineRule="auto" w:before="167"/>
        <w:ind w:right="100"/>
      </w:pPr>
      <w:r>
        <w:rPr/>
        <w:t>Women with either </w:t>
      </w:r>
      <w:r>
        <w:rPr>
          <w:i/>
        </w:rPr>
        <w:t>BRCA1 </w:t>
      </w:r>
      <w:r>
        <w:rPr/>
        <w:t>or </w:t>
      </w:r>
      <w:r>
        <w:rPr>
          <w:i/>
        </w:rPr>
        <w:t>BRCA2 </w:t>
      </w:r>
      <w:r>
        <w:rPr/>
        <w:t>germline mutations are advised </w:t>
      </w:r>
      <w:r>
        <w:rPr/>
        <w:t>to undergo bilateral prophylactic oophorectomy after completion of childbearing</w:t>
      </w:r>
      <w:r>
        <w:rPr>
          <w:spacing w:val="-2"/>
        </w:rPr>
        <w:t> </w:t>
      </w:r>
      <w:r>
        <w:rPr/>
        <w:t>because</w:t>
      </w:r>
      <w:r>
        <w:rPr>
          <w:spacing w:val="-2"/>
        </w:rPr>
        <w:t> </w:t>
      </w:r>
      <w:r>
        <w:rPr/>
        <w:t>of</w:t>
      </w:r>
      <w:r>
        <w:rPr>
          <w:spacing w:val="-2"/>
        </w:rPr>
        <w:t> </w:t>
      </w:r>
      <w:r>
        <w:rPr/>
        <w:t>a</w:t>
      </w:r>
      <w:r>
        <w:rPr>
          <w:spacing w:val="-2"/>
        </w:rPr>
        <w:t> </w:t>
      </w:r>
      <w:r>
        <w:rPr/>
        <w:t>high</w:t>
      </w:r>
      <w:r>
        <w:rPr>
          <w:spacing w:val="-2"/>
        </w:rPr>
        <w:t> </w:t>
      </w:r>
      <w:r>
        <w:rPr/>
        <w:t>lifetime</w:t>
      </w:r>
      <w:r>
        <w:rPr>
          <w:spacing w:val="-2"/>
        </w:rPr>
        <w:t> </w:t>
      </w:r>
      <w:r>
        <w:rPr/>
        <w:t>risk</w:t>
      </w:r>
      <w:r>
        <w:rPr>
          <w:spacing w:val="-2"/>
        </w:rPr>
        <w:t> </w:t>
      </w:r>
      <w:r>
        <w:rPr/>
        <w:t>(~90%)</w:t>
      </w:r>
      <w:r>
        <w:rPr>
          <w:spacing w:val="-2"/>
        </w:rPr>
        <w:t> </w:t>
      </w:r>
      <w:r>
        <w:rPr/>
        <w:t>for</w:t>
      </w:r>
      <w:r>
        <w:rPr>
          <w:spacing w:val="-2"/>
        </w:rPr>
        <w:t> </w:t>
      </w:r>
      <w:r>
        <w:rPr/>
        <w:t>developing</w:t>
      </w:r>
      <w:r>
        <w:rPr>
          <w:spacing w:val="-2"/>
        </w:rPr>
        <w:t> </w:t>
      </w:r>
      <w:r>
        <w:rPr/>
        <w:t>breast</w:t>
      </w:r>
      <w:r>
        <w:rPr>
          <w:spacing w:val="-2"/>
        </w:rPr>
        <w:t> </w:t>
      </w:r>
      <w:r>
        <w:rPr/>
        <w:t>or ovarian cancer. This surgery reduces the risk of ovarian cancer by about 90% and the risk of breast cancer by about 50%. These relatively young women must consider the postoperative consequences of surgical menopause in their decision-making. In a cohort of 462 women with </w:t>
      </w:r>
      <w:r>
        <w:rPr>
          <w:i/>
        </w:rPr>
        <w:t>BRCA1/2 </w:t>
      </w:r>
      <w:r>
        <w:rPr/>
        <w:t>mutations from 13 medical centers in North America and Europe, the incidence of breast cancer was compared in 155 of the women who had undergone bilateral prophylactic oophorectomy with 307 women who did not have the operation.</w:t>
      </w:r>
      <w:r>
        <w:rPr>
          <w:vertAlign w:val="superscript"/>
        </w:rPr>
        <w:t>1036</w:t>
      </w:r>
      <w:r>
        <w:rPr>
          <w:vertAlign w:val="baseline"/>
        </w:rPr>
        <w:t> The women who had oophorectomy had a 60% reduction in the risk of developing breast cancer.</w:t>
      </w:r>
    </w:p>
    <w:p>
      <w:pPr>
        <w:spacing w:line="249" w:lineRule="auto" w:before="15"/>
        <w:ind w:left="99" w:right="97" w:firstLine="450"/>
        <w:jc w:val="both"/>
        <w:rPr>
          <w:sz w:val="30"/>
        </w:rPr>
      </w:pPr>
      <w:r>
        <w:rPr>
          <w:b/>
          <w:sz w:val="30"/>
        </w:rPr>
        <w:t>HT of any type did not alter the reduction in breast cancer experienced by the women undergoing oophorectomy. </w:t>
      </w:r>
      <w:r>
        <w:rPr>
          <w:sz w:val="30"/>
        </w:rPr>
        <w:t>Thus, short-term use (several years) of HT did not have an adverse effect on the </w:t>
      </w:r>
      <w:r>
        <w:rPr>
          <w:sz w:val="30"/>
        </w:rPr>
        <w:t>beneficial reduction in breast cancer risk following prophylactic oophorectomy. In a later follow-up of this group of women, 93 (60%) of the women who underwent</w:t>
      </w:r>
      <w:r>
        <w:rPr>
          <w:spacing w:val="-1"/>
          <w:sz w:val="30"/>
        </w:rPr>
        <w:t> </w:t>
      </w:r>
      <w:r>
        <w:rPr>
          <w:sz w:val="30"/>
        </w:rPr>
        <w:t>oophorectomy used HT.</w:t>
      </w:r>
      <w:r>
        <w:rPr>
          <w:sz w:val="30"/>
          <w:vertAlign w:val="superscript"/>
        </w:rPr>
        <w:t>1037</w:t>
      </w:r>
      <w:r>
        <w:rPr>
          <w:spacing w:val="3"/>
          <w:sz w:val="30"/>
          <w:vertAlign w:val="baseline"/>
        </w:rPr>
        <w:t> </w:t>
      </w:r>
      <w:r>
        <w:rPr>
          <w:sz w:val="30"/>
          <w:vertAlign w:val="baseline"/>
        </w:rPr>
        <w:t>The</w:t>
      </w:r>
      <w:r>
        <w:rPr>
          <w:spacing w:val="4"/>
          <w:sz w:val="30"/>
          <w:vertAlign w:val="baseline"/>
        </w:rPr>
        <w:t> </w:t>
      </w:r>
      <w:r>
        <w:rPr>
          <w:sz w:val="30"/>
          <w:vertAlign w:val="baseline"/>
        </w:rPr>
        <w:t>average</w:t>
      </w:r>
      <w:r>
        <w:rPr>
          <w:spacing w:val="5"/>
          <w:sz w:val="30"/>
          <w:vertAlign w:val="baseline"/>
        </w:rPr>
        <w:t> </w:t>
      </w:r>
      <w:r>
        <w:rPr>
          <w:sz w:val="30"/>
          <w:vertAlign w:val="baseline"/>
        </w:rPr>
        <w:t>length</w:t>
      </w:r>
      <w:r>
        <w:rPr>
          <w:spacing w:val="4"/>
          <w:sz w:val="30"/>
          <w:vertAlign w:val="baseline"/>
        </w:rPr>
        <w:t> </w:t>
      </w:r>
      <w:r>
        <w:rPr>
          <w:sz w:val="30"/>
          <w:vertAlign w:val="baseline"/>
        </w:rPr>
        <w:t>of</w:t>
      </w:r>
      <w:r>
        <w:rPr>
          <w:spacing w:val="4"/>
          <w:sz w:val="30"/>
          <w:vertAlign w:val="baseline"/>
        </w:rPr>
        <w:t> </w:t>
      </w:r>
      <w:r>
        <w:rPr>
          <w:sz w:val="30"/>
          <w:vertAlign w:val="baseline"/>
        </w:rPr>
        <w:t>follow-up</w:t>
      </w:r>
      <w:r>
        <w:rPr>
          <w:spacing w:val="5"/>
          <w:sz w:val="30"/>
          <w:vertAlign w:val="baseline"/>
        </w:rPr>
        <w:t> </w:t>
      </w:r>
      <w:r>
        <w:rPr>
          <w:spacing w:val="-5"/>
          <w:sz w:val="30"/>
          <w:vertAlign w:val="baseline"/>
        </w:rPr>
        <w:t>was</w:t>
      </w:r>
    </w:p>
    <w:p>
      <w:pPr>
        <w:pStyle w:val="BodyText"/>
        <w:spacing w:line="249" w:lineRule="auto" w:before="7"/>
        <w:ind w:right="108"/>
      </w:pPr>
      <w:r>
        <w:rPr/>
        <w:t>2.6</w:t>
      </w:r>
      <w:r>
        <w:rPr>
          <w:spacing w:val="-3"/>
        </w:rPr>
        <w:t> </w:t>
      </w:r>
      <w:r>
        <w:rPr/>
        <w:t>years</w:t>
      </w:r>
      <w:r>
        <w:rPr>
          <w:spacing w:val="-3"/>
        </w:rPr>
        <w:t> </w:t>
      </w:r>
      <w:r>
        <w:rPr/>
        <w:t>(&gt;5</w:t>
      </w:r>
      <w:r>
        <w:rPr>
          <w:spacing w:val="-3"/>
        </w:rPr>
        <w:t> </w:t>
      </w:r>
      <w:r>
        <w:rPr/>
        <w:t>years</w:t>
      </w:r>
      <w:r>
        <w:rPr>
          <w:spacing w:val="-3"/>
        </w:rPr>
        <w:t> </w:t>
      </w:r>
      <w:r>
        <w:rPr/>
        <w:t>in</w:t>
      </w:r>
      <w:r>
        <w:rPr>
          <w:spacing w:val="-3"/>
        </w:rPr>
        <w:t> </w:t>
      </w:r>
      <w:r>
        <w:rPr/>
        <w:t>16%)</w:t>
      </w:r>
      <w:r>
        <w:rPr>
          <w:spacing w:val="-3"/>
        </w:rPr>
        <w:t> </w:t>
      </w:r>
      <w:r>
        <w:rPr/>
        <w:t>in</w:t>
      </w:r>
      <w:r>
        <w:rPr>
          <w:spacing w:val="-3"/>
        </w:rPr>
        <w:t> </w:t>
      </w:r>
      <w:r>
        <w:rPr/>
        <w:t>the</w:t>
      </w:r>
      <w:r>
        <w:rPr>
          <w:spacing w:val="-3"/>
        </w:rPr>
        <w:t> </w:t>
      </w:r>
      <w:r>
        <w:rPr/>
        <w:t>surgically</w:t>
      </w:r>
      <w:r>
        <w:rPr>
          <w:spacing w:val="-3"/>
        </w:rPr>
        <w:t> </w:t>
      </w:r>
      <w:r>
        <w:rPr/>
        <w:t>treated</w:t>
      </w:r>
      <w:r>
        <w:rPr>
          <w:spacing w:val="-3"/>
        </w:rPr>
        <w:t> </w:t>
      </w:r>
      <w:r>
        <w:rPr/>
        <w:t>group</w:t>
      </w:r>
      <w:r>
        <w:rPr>
          <w:spacing w:val="-3"/>
        </w:rPr>
        <w:t> </w:t>
      </w:r>
      <w:r>
        <w:rPr/>
        <w:t>and</w:t>
      </w:r>
      <w:r>
        <w:rPr>
          <w:spacing w:val="-3"/>
        </w:rPr>
        <w:t> </w:t>
      </w:r>
      <w:r>
        <w:rPr/>
        <w:t>4.1</w:t>
      </w:r>
      <w:r>
        <w:rPr>
          <w:spacing w:val="-3"/>
        </w:rPr>
        <w:t> </w:t>
      </w:r>
      <w:r>
        <w:rPr/>
        <w:t>years</w:t>
      </w:r>
      <w:r>
        <w:rPr>
          <w:spacing w:val="-3"/>
        </w:rPr>
        <w:t> </w:t>
      </w:r>
      <w:r>
        <w:rPr/>
        <w:t>(&gt;5 years</w:t>
      </w:r>
      <w:r>
        <w:rPr>
          <w:spacing w:val="42"/>
        </w:rPr>
        <w:t> </w:t>
      </w:r>
      <w:r>
        <w:rPr/>
        <w:t>in</w:t>
      </w:r>
      <w:r>
        <w:rPr>
          <w:spacing w:val="42"/>
        </w:rPr>
        <w:t> </w:t>
      </w:r>
      <w:r>
        <w:rPr/>
        <w:t>33%)</w:t>
      </w:r>
      <w:r>
        <w:rPr>
          <w:spacing w:val="42"/>
        </w:rPr>
        <w:t> </w:t>
      </w:r>
      <w:r>
        <w:rPr/>
        <w:t>in</w:t>
      </w:r>
      <w:r>
        <w:rPr>
          <w:spacing w:val="42"/>
        </w:rPr>
        <w:t> </w:t>
      </w:r>
      <w:r>
        <w:rPr/>
        <w:t>the</w:t>
      </w:r>
      <w:r>
        <w:rPr>
          <w:spacing w:val="42"/>
        </w:rPr>
        <w:t> </w:t>
      </w:r>
      <w:r>
        <w:rPr/>
        <w:t>nonoophorectomized</w:t>
      </w:r>
      <w:r>
        <w:rPr>
          <w:spacing w:val="42"/>
        </w:rPr>
        <w:t> </w:t>
      </w:r>
      <w:r>
        <w:rPr/>
        <w:t>group.</w:t>
      </w:r>
      <w:r>
        <w:rPr>
          <w:spacing w:val="42"/>
        </w:rPr>
        <w:t> </w:t>
      </w:r>
      <w:r>
        <w:rPr/>
        <w:t>There</w:t>
      </w:r>
      <w:r>
        <w:rPr>
          <w:spacing w:val="42"/>
        </w:rPr>
        <w:t> </w:t>
      </w:r>
      <w:r>
        <w:rPr/>
        <w:t>was</w:t>
      </w:r>
      <w:r>
        <w:rPr>
          <w:spacing w:val="42"/>
        </w:rPr>
        <w:t> </w:t>
      </w:r>
      <w:r>
        <w:rPr/>
        <w:t>no</w:t>
      </w:r>
      <w:r>
        <w:rPr>
          <w:spacing w:val="42"/>
        </w:rPr>
        <w:t> </w:t>
      </w:r>
      <w:r>
        <w:rPr/>
        <w:t>hint</w:t>
      </w:r>
      <w:r>
        <w:rPr>
          <w:spacing w:val="42"/>
        </w:rPr>
        <w:t> </w:t>
      </w:r>
      <w:r>
        <w:rPr/>
        <w:t>of</w:t>
      </w:r>
      <w:r>
        <w:rPr>
          <w:spacing w:val="42"/>
        </w:rPr>
        <w:t> </w:t>
      </w:r>
      <w:r>
        <w:rPr>
          <w:spacing w:val="-10"/>
        </w:rPr>
        <w:t>a</w:t>
      </w:r>
    </w:p>
    <w:p>
      <w:pPr>
        <w:pStyle w:val="BodyText"/>
        <w:spacing w:after="0" w:line="249" w:lineRule="auto"/>
        <w:sectPr>
          <w:pgSz w:w="12240" w:h="15840"/>
          <w:pgMar w:top="1380" w:bottom="280" w:left="1440" w:right="1440"/>
        </w:sectPr>
      </w:pPr>
    </w:p>
    <w:p>
      <w:pPr>
        <w:pStyle w:val="BodyText"/>
        <w:spacing w:line="249" w:lineRule="auto"/>
        <w:ind w:right="100"/>
      </w:pPr>
      <w:r>
        <w:rPr/>
        <w:t>difference in breast cancer reduction comparing hormone users </w:t>
      </w:r>
      <w:r>
        <w:rPr/>
        <w:t>and nonusers. The findings were similar in 34 women who used a combination of estrogen and progestin, but the power of this finding was limited by the small number in this category.</w:t>
      </w:r>
    </w:p>
    <w:p>
      <w:pPr>
        <w:pStyle w:val="BodyText"/>
        <w:spacing w:line="249" w:lineRule="auto" w:before="5"/>
        <w:ind w:right="97" w:firstLine="450"/>
        <w:rPr>
          <w:i/>
        </w:rPr>
      </w:pPr>
      <w:r>
        <w:rPr/>
        <w:t>A case-control study of 472 postmenopausal women with a </w:t>
      </w:r>
      <w:r>
        <w:rPr>
          <w:i/>
        </w:rPr>
        <w:t>BRCA1</w:t>
      </w:r>
      <w:r>
        <w:rPr>
          <w:i/>
        </w:rPr>
        <w:t> </w:t>
      </w:r>
      <w:r>
        <w:rPr/>
        <w:t>mutation found that women who used HT after prophylactic oophorectomy, either estrogen only or combined estrogen-progestin, not only did not have an increased risk of breast cancer, but hormone use was actually associated with a decreased risk.</w:t>
      </w:r>
      <w:r>
        <w:rPr>
          <w:vertAlign w:val="superscript"/>
        </w:rPr>
        <w:t>1038</w:t>
      </w:r>
      <w:r>
        <w:rPr>
          <w:vertAlign w:val="baseline"/>
        </w:rPr>
        <w:t> The findings were the same regardless of duration of use, or if it was current or past use. This conclusion is encouraging but limited by the fact that 68% of the tumors in the study were ER-negative, making the ER-positive tumors (that are more likely to be influenced by hormone</w:t>
      </w:r>
      <w:r>
        <w:rPr>
          <w:spacing w:val="-3"/>
          <w:vertAlign w:val="baseline"/>
        </w:rPr>
        <w:t> </w:t>
      </w:r>
      <w:r>
        <w:rPr>
          <w:vertAlign w:val="baseline"/>
        </w:rPr>
        <w:t>use)</w:t>
      </w:r>
      <w:r>
        <w:rPr>
          <w:spacing w:val="-3"/>
          <w:vertAlign w:val="baseline"/>
        </w:rPr>
        <w:t> </w:t>
      </w:r>
      <w:r>
        <w:rPr>
          <w:vertAlign w:val="baseline"/>
        </w:rPr>
        <w:t>relatively</w:t>
      </w:r>
      <w:r>
        <w:rPr>
          <w:spacing w:val="-3"/>
          <w:vertAlign w:val="baseline"/>
        </w:rPr>
        <w:t> </w:t>
      </w:r>
      <w:r>
        <w:rPr>
          <w:vertAlign w:val="baseline"/>
        </w:rPr>
        <w:t>small</w:t>
      </w:r>
      <w:r>
        <w:rPr>
          <w:spacing w:val="-3"/>
          <w:vertAlign w:val="baseline"/>
        </w:rPr>
        <w:t> </w:t>
      </w:r>
      <w:r>
        <w:rPr>
          <w:vertAlign w:val="baseline"/>
        </w:rPr>
        <w:t>in</w:t>
      </w:r>
      <w:r>
        <w:rPr>
          <w:spacing w:val="-3"/>
          <w:vertAlign w:val="baseline"/>
        </w:rPr>
        <w:t> </w:t>
      </w:r>
      <w:r>
        <w:rPr>
          <w:vertAlign w:val="baseline"/>
        </w:rPr>
        <w:t>number.</w:t>
      </w:r>
      <w:r>
        <w:rPr>
          <w:spacing w:val="-3"/>
          <w:vertAlign w:val="baseline"/>
        </w:rPr>
        <w:t> </w:t>
      </w:r>
      <w:r>
        <w:rPr>
          <w:vertAlign w:val="baseline"/>
        </w:rPr>
        <w:t>More recently, HT-related risk for breast</w:t>
      </w:r>
      <w:r>
        <w:rPr>
          <w:spacing w:val="-3"/>
          <w:vertAlign w:val="baseline"/>
        </w:rPr>
        <w:t> </w:t>
      </w:r>
      <w:r>
        <w:rPr>
          <w:vertAlign w:val="baseline"/>
        </w:rPr>
        <w:t>cancer</w:t>
      </w:r>
      <w:r>
        <w:rPr>
          <w:spacing w:val="-3"/>
          <w:vertAlign w:val="baseline"/>
        </w:rPr>
        <w:t> </w:t>
      </w:r>
      <w:r>
        <w:rPr>
          <w:vertAlign w:val="baseline"/>
        </w:rPr>
        <w:t>in</w:t>
      </w:r>
      <w:r>
        <w:rPr>
          <w:spacing w:val="-4"/>
          <w:vertAlign w:val="baseline"/>
        </w:rPr>
        <w:t> </w:t>
      </w:r>
      <w:r>
        <w:rPr>
          <w:i/>
          <w:vertAlign w:val="baseline"/>
        </w:rPr>
        <w:t>BRCA1</w:t>
      </w:r>
      <w:r>
        <w:rPr>
          <w:i/>
          <w:spacing w:val="-4"/>
          <w:vertAlign w:val="baseline"/>
        </w:rPr>
        <w:t> </w:t>
      </w:r>
      <w:r>
        <w:rPr>
          <w:vertAlign w:val="baseline"/>
        </w:rPr>
        <w:t>mutation</w:t>
      </w:r>
      <w:r>
        <w:rPr>
          <w:spacing w:val="-3"/>
          <w:vertAlign w:val="baseline"/>
        </w:rPr>
        <w:t> </w:t>
      </w:r>
      <w:r>
        <w:rPr>
          <w:vertAlign w:val="baseline"/>
        </w:rPr>
        <w:t>previvors</w:t>
      </w:r>
      <w:r>
        <w:rPr>
          <w:spacing w:val="-3"/>
          <w:vertAlign w:val="baseline"/>
        </w:rPr>
        <w:t> </w:t>
      </w:r>
      <w:r>
        <w:rPr>
          <w:vertAlign w:val="baseline"/>
        </w:rPr>
        <w:t>(without</w:t>
      </w:r>
      <w:r>
        <w:rPr>
          <w:spacing w:val="-3"/>
          <w:vertAlign w:val="baseline"/>
        </w:rPr>
        <w:t> </w:t>
      </w:r>
      <w:r>
        <w:rPr>
          <w:vertAlign w:val="baseline"/>
        </w:rPr>
        <w:t>prior</w:t>
      </w:r>
      <w:r>
        <w:rPr>
          <w:spacing w:val="-3"/>
          <w:vertAlign w:val="baseline"/>
        </w:rPr>
        <w:t> </w:t>
      </w:r>
      <w:r>
        <w:rPr>
          <w:vertAlign w:val="baseline"/>
        </w:rPr>
        <w:t>history</w:t>
      </w:r>
      <w:r>
        <w:rPr>
          <w:spacing w:val="-3"/>
          <w:vertAlign w:val="baseline"/>
        </w:rPr>
        <w:t> </w:t>
      </w:r>
      <w:r>
        <w:rPr>
          <w:vertAlign w:val="baseline"/>
        </w:rPr>
        <w:t>of</w:t>
      </w:r>
      <w:r>
        <w:rPr>
          <w:spacing w:val="-3"/>
          <w:vertAlign w:val="baseline"/>
        </w:rPr>
        <w:t> </w:t>
      </w:r>
      <w:r>
        <w:rPr>
          <w:vertAlign w:val="baseline"/>
        </w:rPr>
        <w:t>cancer) who had undergone risk-reducing oophorectomy was examined in a prospective multicenter, multinational cohort study.</w:t>
      </w:r>
      <w:r>
        <w:rPr>
          <w:vertAlign w:val="superscript"/>
        </w:rPr>
        <w:t>1039</w:t>
      </w:r>
      <w:r>
        <w:rPr>
          <w:vertAlign w:val="baseline"/>
        </w:rPr>
        <w:t> Participants were enrolled between 1995 and 2017, with a mean follow-up of 7.6 years. The use</w:t>
      </w:r>
      <w:r>
        <w:rPr>
          <w:spacing w:val="-3"/>
          <w:vertAlign w:val="baseline"/>
        </w:rPr>
        <w:t> </w:t>
      </w:r>
      <w:r>
        <w:rPr>
          <w:vertAlign w:val="baseline"/>
        </w:rPr>
        <w:t>of</w:t>
      </w:r>
      <w:r>
        <w:rPr>
          <w:spacing w:val="-3"/>
          <w:vertAlign w:val="baseline"/>
        </w:rPr>
        <w:t> </w:t>
      </w:r>
      <w:r>
        <w:rPr>
          <w:vertAlign w:val="baseline"/>
        </w:rPr>
        <w:t>HT</w:t>
      </w:r>
      <w:r>
        <w:rPr>
          <w:spacing w:val="-3"/>
          <w:vertAlign w:val="baseline"/>
        </w:rPr>
        <w:t> </w:t>
      </w:r>
      <w:r>
        <w:rPr>
          <w:vertAlign w:val="baseline"/>
        </w:rPr>
        <w:t>was</w:t>
      </w:r>
      <w:r>
        <w:rPr>
          <w:spacing w:val="-3"/>
          <w:vertAlign w:val="baseline"/>
        </w:rPr>
        <w:t> </w:t>
      </w:r>
      <w:r>
        <w:rPr>
          <w:vertAlign w:val="baseline"/>
        </w:rPr>
        <w:t>assessed</w:t>
      </w:r>
      <w:r>
        <w:rPr>
          <w:spacing w:val="-3"/>
          <w:vertAlign w:val="baseline"/>
        </w:rPr>
        <w:t> </w:t>
      </w:r>
      <w:r>
        <w:rPr>
          <w:vertAlign w:val="baseline"/>
        </w:rPr>
        <w:t>based</w:t>
      </w:r>
      <w:r>
        <w:rPr>
          <w:spacing w:val="-3"/>
          <w:vertAlign w:val="baseline"/>
        </w:rPr>
        <w:t> </w:t>
      </w:r>
      <w:r>
        <w:rPr>
          <w:vertAlign w:val="baseline"/>
        </w:rPr>
        <w:t>on</w:t>
      </w:r>
      <w:r>
        <w:rPr>
          <w:spacing w:val="-3"/>
          <w:vertAlign w:val="baseline"/>
        </w:rPr>
        <w:t> </w:t>
      </w:r>
      <w:r>
        <w:rPr>
          <w:vertAlign w:val="baseline"/>
        </w:rPr>
        <w:t>questionnaires</w:t>
      </w:r>
      <w:r>
        <w:rPr>
          <w:spacing w:val="-3"/>
          <w:vertAlign w:val="baseline"/>
        </w:rPr>
        <w:t> </w:t>
      </w:r>
      <w:r>
        <w:rPr>
          <w:vertAlign w:val="baseline"/>
        </w:rPr>
        <w:t>administered</w:t>
      </w:r>
      <w:r>
        <w:rPr>
          <w:spacing w:val="-3"/>
          <w:vertAlign w:val="baseline"/>
        </w:rPr>
        <w:t> </w:t>
      </w:r>
      <w:r>
        <w:rPr>
          <w:vertAlign w:val="baseline"/>
        </w:rPr>
        <w:t>every</w:t>
      </w:r>
      <w:r>
        <w:rPr>
          <w:spacing w:val="-3"/>
          <w:vertAlign w:val="baseline"/>
        </w:rPr>
        <w:t> </w:t>
      </w:r>
      <w:r>
        <w:rPr>
          <w:vertAlign w:val="baseline"/>
        </w:rPr>
        <w:t>2</w:t>
      </w:r>
      <w:r>
        <w:rPr>
          <w:spacing w:val="-3"/>
          <w:vertAlign w:val="baseline"/>
        </w:rPr>
        <w:t> </w:t>
      </w:r>
      <w:r>
        <w:rPr>
          <w:vertAlign w:val="baseline"/>
        </w:rPr>
        <w:t>years. The study included 872 </w:t>
      </w:r>
      <w:r>
        <w:rPr>
          <w:i/>
          <w:vertAlign w:val="baseline"/>
        </w:rPr>
        <w:t>BRCA1 </w:t>
      </w:r>
      <w:r>
        <w:rPr>
          <w:vertAlign w:val="baseline"/>
        </w:rPr>
        <w:t>mutation carriers (mean age 43 ± 8.5</w:t>
      </w:r>
      <w:r>
        <w:rPr>
          <w:spacing w:val="40"/>
          <w:vertAlign w:val="baseline"/>
        </w:rPr>
        <w:t> </w:t>
      </w:r>
      <w:r>
        <w:rPr>
          <w:vertAlign w:val="baseline"/>
        </w:rPr>
        <w:t>years). Over a mean postoophorectomy follow-up of 7.6 years (range, 0.4-22.1), the use of HT (ever use, any type vs never use) was not associated with</w:t>
      </w:r>
      <w:r>
        <w:rPr>
          <w:spacing w:val="15"/>
          <w:vertAlign w:val="baseline"/>
        </w:rPr>
        <w:t> </w:t>
      </w:r>
      <w:r>
        <w:rPr>
          <w:vertAlign w:val="baseline"/>
        </w:rPr>
        <w:t>an</w:t>
      </w:r>
      <w:r>
        <w:rPr>
          <w:spacing w:val="15"/>
          <w:vertAlign w:val="baseline"/>
        </w:rPr>
        <w:t> </w:t>
      </w:r>
      <w:r>
        <w:rPr>
          <w:vertAlign w:val="baseline"/>
        </w:rPr>
        <w:t>increased</w:t>
      </w:r>
      <w:r>
        <w:rPr>
          <w:spacing w:val="15"/>
          <w:vertAlign w:val="baseline"/>
        </w:rPr>
        <w:t> </w:t>
      </w:r>
      <w:r>
        <w:rPr>
          <w:vertAlign w:val="baseline"/>
        </w:rPr>
        <w:t>risk</w:t>
      </w:r>
      <w:r>
        <w:rPr>
          <w:spacing w:val="15"/>
          <w:vertAlign w:val="baseline"/>
        </w:rPr>
        <w:t> </w:t>
      </w:r>
      <w:r>
        <w:rPr>
          <w:vertAlign w:val="baseline"/>
        </w:rPr>
        <w:t>of</w:t>
      </w:r>
      <w:r>
        <w:rPr>
          <w:spacing w:val="15"/>
          <w:vertAlign w:val="baseline"/>
        </w:rPr>
        <w:t> </w:t>
      </w:r>
      <w:r>
        <w:rPr>
          <w:vertAlign w:val="baseline"/>
        </w:rPr>
        <w:t>breast</w:t>
      </w:r>
      <w:r>
        <w:rPr>
          <w:spacing w:val="15"/>
          <w:vertAlign w:val="baseline"/>
        </w:rPr>
        <w:t> </w:t>
      </w:r>
      <w:r>
        <w:rPr>
          <w:vertAlign w:val="baseline"/>
        </w:rPr>
        <w:t>cancer</w:t>
      </w:r>
      <w:r>
        <w:rPr>
          <w:spacing w:val="15"/>
          <w:vertAlign w:val="baseline"/>
        </w:rPr>
        <w:t> </w:t>
      </w:r>
      <w:r>
        <w:rPr>
          <w:vertAlign w:val="baseline"/>
        </w:rPr>
        <w:t>(HR</w:t>
      </w:r>
      <w:r>
        <w:rPr>
          <w:spacing w:val="15"/>
          <w:vertAlign w:val="baseline"/>
        </w:rPr>
        <w:t> </w:t>
      </w:r>
      <w:r>
        <w:rPr>
          <w:vertAlign w:val="baseline"/>
        </w:rPr>
        <w:t>=</w:t>
      </w:r>
      <w:r>
        <w:rPr>
          <w:spacing w:val="15"/>
          <w:vertAlign w:val="baseline"/>
        </w:rPr>
        <w:t> </w:t>
      </w:r>
      <w:r>
        <w:rPr>
          <w:vertAlign w:val="baseline"/>
        </w:rPr>
        <w:t>0.97,</w:t>
      </w:r>
      <w:r>
        <w:rPr>
          <w:spacing w:val="15"/>
          <w:vertAlign w:val="baseline"/>
        </w:rPr>
        <w:t> </w:t>
      </w:r>
      <w:r>
        <w:rPr>
          <w:vertAlign w:val="baseline"/>
        </w:rPr>
        <w:t>95%</w:t>
      </w:r>
      <w:r>
        <w:rPr>
          <w:spacing w:val="16"/>
          <w:vertAlign w:val="baseline"/>
        </w:rPr>
        <w:t> </w:t>
      </w:r>
      <w:r>
        <w:rPr>
          <w:vertAlign w:val="baseline"/>
        </w:rPr>
        <w:t>CI</w:t>
      </w:r>
      <w:r>
        <w:rPr>
          <w:spacing w:val="15"/>
          <w:vertAlign w:val="baseline"/>
        </w:rPr>
        <w:t> </w:t>
      </w:r>
      <w:r>
        <w:rPr>
          <w:vertAlign w:val="baseline"/>
        </w:rPr>
        <w:t>=</w:t>
      </w:r>
      <w:r>
        <w:rPr>
          <w:spacing w:val="15"/>
          <w:vertAlign w:val="baseline"/>
        </w:rPr>
        <w:t> </w:t>
      </w:r>
      <w:r>
        <w:rPr>
          <w:vertAlign w:val="baseline"/>
        </w:rPr>
        <w:t>0.62-1.52;</w:t>
      </w:r>
      <w:r>
        <w:rPr>
          <w:spacing w:val="15"/>
          <w:vertAlign w:val="baseline"/>
        </w:rPr>
        <w:t> </w:t>
      </w:r>
      <w:r>
        <w:rPr>
          <w:i/>
          <w:spacing w:val="-10"/>
          <w:vertAlign w:val="baseline"/>
        </w:rPr>
        <w:t>P</w:t>
      </w:r>
    </w:p>
    <w:p>
      <w:pPr>
        <w:pStyle w:val="BodyText"/>
        <w:spacing w:line="249" w:lineRule="auto" w:before="22"/>
        <w:ind w:right="100"/>
      </w:pPr>
      <w:r>
        <w:rPr/>
        <w:t>= 0.89). The results of this study offer reassurance for premenopausal </w:t>
      </w:r>
      <w:r>
        <w:rPr>
          <w:i/>
        </w:rPr>
        <w:t>BRCA1 </w:t>
      </w:r>
      <w:r>
        <w:rPr/>
        <w:t>mutation carriers, considering risk-reducing </w:t>
      </w:r>
      <w:r>
        <w:rPr/>
        <w:t>oophorectomy regarding the relative safety of HT.</w:t>
      </w:r>
    </w:p>
    <w:p>
      <w:pPr>
        <w:pStyle w:val="BodyText"/>
        <w:spacing w:line="249" w:lineRule="auto" w:before="4"/>
        <w:ind w:right="97" w:firstLine="450"/>
      </w:pPr>
      <w:r>
        <w:rPr/>
        <w:t>Women</w:t>
      </w:r>
      <w:r>
        <w:rPr>
          <w:spacing w:val="-2"/>
        </w:rPr>
        <w:t> </w:t>
      </w:r>
      <w:r>
        <w:rPr/>
        <w:t>who</w:t>
      </w:r>
      <w:r>
        <w:rPr>
          <w:spacing w:val="-2"/>
        </w:rPr>
        <w:t> </w:t>
      </w:r>
      <w:r>
        <w:rPr/>
        <w:t>are</w:t>
      </w:r>
      <w:r>
        <w:rPr>
          <w:spacing w:val="-3"/>
        </w:rPr>
        <w:t> </w:t>
      </w:r>
      <w:r>
        <w:rPr>
          <w:i/>
        </w:rPr>
        <w:t>BRCA</w:t>
      </w:r>
      <w:r>
        <w:rPr>
          <w:i/>
          <w:spacing w:val="-2"/>
        </w:rPr>
        <w:t> </w:t>
      </w:r>
      <w:r>
        <w:rPr/>
        <w:t>carriers</w:t>
      </w:r>
      <w:r>
        <w:rPr>
          <w:spacing w:val="-1"/>
        </w:rPr>
        <w:t> </w:t>
      </w:r>
      <w:r>
        <w:rPr/>
        <w:t>face</w:t>
      </w:r>
      <w:r>
        <w:rPr>
          <w:spacing w:val="-1"/>
        </w:rPr>
        <w:t> </w:t>
      </w:r>
      <w:r>
        <w:rPr/>
        <w:t>difficult</w:t>
      </w:r>
      <w:r>
        <w:rPr>
          <w:spacing w:val="-1"/>
        </w:rPr>
        <w:t> </w:t>
      </w:r>
      <w:r>
        <w:rPr/>
        <w:t>decisions.</w:t>
      </w:r>
      <w:r>
        <w:rPr>
          <w:spacing w:val="-2"/>
        </w:rPr>
        <w:t> </w:t>
      </w:r>
      <w:r>
        <w:rPr>
          <w:b/>
        </w:rPr>
        <w:t>The </w:t>
      </w:r>
      <w:r>
        <w:rPr>
          <w:b/>
        </w:rPr>
        <w:t>experience thus far indicates that HT can be used safely for several years. </w:t>
      </w:r>
      <w:r>
        <w:rPr/>
        <w:t>Continuing follow-up of these patients may extend this period of safety even</w:t>
      </w:r>
      <w:r>
        <w:rPr>
          <w:spacing w:val="-4"/>
        </w:rPr>
        <w:t> </w:t>
      </w:r>
      <w:r>
        <w:rPr/>
        <w:t>longer.</w:t>
      </w:r>
      <w:r>
        <w:rPr>
          <w:spacing w:val="-5"/>
        </w:rPr>
        <w:t> </w:t>
      </w:r>
      <w:r>
        <w:rPr/>
        <w:t>A</w:t>
      </w:r>
      <w:r>
        <w:rPr>
          <w:spacing w:val="-5"/>
        </w:rPr>
        <w:t> </w:t>
      </w:r>
      <w:r>
        <w:rPr>
          <w:i/>
        </w:rPr>
        <w:t>TSEC</w:t>
      </w:r>
      <w:r>
        <w:rPr>
          <w:i/>
          <w:spacing w:val="-3"/>
        </w:rPr>
        <w:t> </w:t>
      </w:r>
      <w:r>
        <w:rPr/>
        <w:t>(CEE</w:t>
      </w:r>
      <w:r>
        <w:rPr>
          <w:spacing w:val="-3"/>
        </w:rPr>
        <w:t> </w:t>
      </w:r>
      <w:r>
        <w:rPr/>
        <w:t>paired</w:t>
      </w:r>
      <w:r>
        <w:rPr>
          <w:spacing w:val="-3"/>
        </w:rPr>
        <w:t> </w:t>
      </w:r>
      <w:r>
        <w:rPr/>
        <w:t>with</w:t>
      </w:r>
      <w:r>
        <w:rPr>
          <w:spacing w:val="-3"/>
        </w:rPr>
        <w:t> </w:t>
      </w:r>
      <w:r>
        <w:rPr/>
        <w:t>an</w:t>
      </w:r>
      <w:r>
        <w:rPr>
          <w:spacing w:val="-3"/>
        </w:rPr>
        <w:t> </w:t>
      </w:r>
      <w:r>
        <w:rPr/>
        <w:t>SERM</w:t>
      </w:r>
      <w:r>
        <w:rPr>
          <w:spacing w:val="-3"/>
        </w:rPr>
        <w:t> </w:t>
      </w:r>
      <w:r>
        <w:rPr/>
        <w:t>BZA)</w:t>
      </w:r>
      <w:r>
        <w:rPr>
          <w:spacing w:val="-3"/>
        </w:rPr>
        <w:t> </w:t>
      </w:r>
      <w:r>
        <w:rPr/>
        <w:t>may</w:t>
      </w:r>
      <w:r>
        <w:rPr>
          <w:spacing w:val="-3"/>
        </w:rPr>
        <w:t> </w:t>
      </w:r>
      <w:r>
        <w:rPr/>
        <w:t>be</w:t>
      </w:r>
      <w:r>
        <w:rPr>
          <w:spacing w:val="-3"/>
        </w:rPr>
        <w:t> </w:t>
      </w:r>
      <w:r>
        <w:rPr/>
        <w:t>particularly suitable HT option in this population, given its efficacy for symptom</w:t>
      </w:r>
      <w:r>
        <w:rPr>
          <w:spacing w:val="40"/>
        </w:rPr>
        <w:t> </w:t>
      </w:r>
      <w:r>
        <w:rPr/>
        <w:t>control and skeletal benefit while having neutral effects on the breast and potential of BZA for blockade of breast cancer cell proliferation, as has been demonstrated in vitro.</w:t>
      </w:r>
      <w:r>
        <w:rPr>
          <w:vertAlign w:val="superscript"/>
        </w:rPr>
        <w:t>231,232,1033</w:t>
      </w:r>
      <w:r>
        <w:rPr>
          <w:vertAlign w:val="baseline"/>
        </w:rPr>
        <w:t> However, future studies are needed to establish both safety and efficacy of this newer class of menopausal hormonal</w:t>
      </w:r>
      <w:r>
        <w:rPr>
          <w:spacing w:val="-3"/>
          <w:vertAlign w:val="baseline"/>
        </w:rPr>
        <w:t> </w:t>
      </w:r>
      <w:r>
        <w:rPr>
          <w:vertAlign w:val="baseline"/>
        </w:rPr>
        <w:t>regimen</w:t>
      </w:r>
      <w:r>
        <w:rPr>
          <w:spacing w:val="-3"/>
          <w:vertAlign w:val="baseline"/>
        </w:rPr>
        <w:t> </w:t>
      </w:r>
      <w:r>
        <w:rPr>
          <w:vertAlign w:val="baseline"/>
        </w:rPr>
        <w:t>in</w:t>
      </w:r>
      <w:r>
        <w:rPr>
          <w:spacing w:val="-3"/>
          <w:vertAlign w:val="baseline"/>
        </w:rPr>
        <w:t> </w:t>
      </w:r>
      <w:r>
        <w:rPr>
          <w:vertAlign w:val="baseline"/>
        </w:rPr>
        <w:t>breast</w:t>
      </w:r>
      <w:r>
        <w:rPr>
          <w:spacing w:val="-3"/>
          <w:vertAlign w:val="baseline"/>
        </w:rPr>
        <w:t> </w:t>
      </w:r>
      <w:r>
        <w:rPr>
          <w:vertAlign w:val="baseline"/>
        </w:rPr>
        <w:t>cancer</w:t>
      </w:r>
      <w:r>
        <w:rPr>
          <w:spacing w:val="-3"/>
          <w:vertAlign w:val="baseline"/>
        </w:rPr>
        <w:t> </w:t>
      </w:r>
      <w:r>
        <w:rPr>
          <w:vertAlign w:val="baseline"/>
        </w:rPr>
        <w:t>survivors</w:t>
      </w:r>
      <w:r>
        <w:rPr>
          <w:spacing w:val="-3"/>
          <w:vertAlign w:val="baseline"/>
        </w:rPr>
        <w:t> </w:t>
      </w:r>
      <w:r>
        <w:rPr>
          <w:vertAlign w:val="baseline"/>
        </w:rPr>
        <w:t>as</w:t>
      </w:r>
      <w:r>
        <w:rPr>
          <w:spacing w:val="-3"/>
          <w:vertAlign w:val="baseline"/>
        </w:rPr>
        <w:t> </w:t>
      </w:r>
      <w:r>
        <w:rPr>
          <w:vertAlign w:val="baseline"/>
        </w:rPr>
        <w:t>well</w:t>
      </w:r>
      <w:r>
        <w:rPr>
          <w:spacing w:val="-3"/>
          <w:vertAlign w:val="baseline"/>
        </w:rPr>
        <w:t> </w:t>
      </w:r>
      <w:r>
        <w:rPr>
          <w:vertAlign w:val="baseline"/>
        </w:rPr>
        <w:t>as</w:t>
      </w:r>
      <w:r>
        <w:rPr>
          <w:spacing w:val="-3"/>
          <w:vertAlign w:val="baseline"/>
        </w:rPr>
        <w:t> </w:t>
      </w:r>
      <w:r>
        <w:rPr>
          <w:vertAlign w:val="baseline"/>
        </w:rPr>
        <w:t>those</w:t>
      </w:r>
      <w:r>
        <w:rPr>
          <w:spacing w:val="-3"/>
          <w:vertAlign w:val="baseline"/>
        </w:rPr>
        <w:t> </w:t>
      </w:r>
      <w:r>
        <w:rPr>
          <w:vertAlign w:val="baseline"/>
        </w:rPr>
        <w:t>who</w:t>
      </w:r>
      <w:r>
        <w:rPr>
          <w:spacing w:val="-3"/>
          <w:vertAlign w:val="baseline"/>
        </w:rPr>
        <w:t> </w:t>
      </w:r>
      <w:r>
        <w:rPr>
          <w:vertAlign w:val="baseline"/>
        </w:rPr>
        <w:t>are</w:t>
      </w:r>
      <w:r>
        <w:rPr>
          <w:spacing w:val="-3"/>
          <w:vertAlign w:val="baseline"/>
        </w:rPr>
        <w:t> </w:t>
      </w:r>
      <w:r>
        <w:rPr>
          <w:vertAlign w:val="baseline"/>
        </w:rPr>
        <w:t>at</w:t>
      </w:r>
      <w:r>
        <w:rPr>
          <w:spacing w:val="-3"/>
          <w:vertAlign w:val="baseline"/>
        </w:rPr>
        <w:t> </w:t>
      </w:r>
      <w:r>
        <w:rPr>
          <w:vertAlign w:val="baseline"/>
        </w:rPr>
        <w:t>risk for breast cancer, such as </w:t>
      </w:r>
      <w:r>
        <w:rPr>
          <w:i/>
          <w:vertAlign w:val="baseline"/>
        </w:rPr>
        <w:t>BRCA1/2 </w:t>
      </w:r>
      <w:r>
        <w:rPr>
          <w:vertAlign w:val="baseline"/>
        </w:rPr>
        <w:t>carriers.</w:t>
      </w:r>
    </w:p>
    <w:p>
      <w:pPr>
        <w:pStyle w:val="BodyText"/>
        <w:spacing w:after="0" w:line="249" w:lineRule="auto"/>
        <w:sectPr>
          <w:pgSz w:w="12240" w:h="15840"/>
          <w:pgMar w:top="1380" w:bottom="280" w:left="1440" w:right="1440"/>
        </w:sectPr>
      </w:pPr>
    </w:p>
    <w:p>
      <w:pPr>
        <w:pStyle w:val="BodyText"/>
        <w:spacing w:line="249" w:lineRule="auto"/>
        <w:ind w:right="100" w:firstLine="450"/>
      </w:pPr>
      <w:r>
        <w:rPr/>
        <w:t>Prophylactic oophorectomy in women with </w:t>
      </w:r>
      <w:r>
        <w:rPr>
          <w:i/>
        </w:rPr>
        <w:t>BRCA </w:t>
      </w:r>
      <w:r>
        <w:rPr/>
        <w:t>mutations </w:t>
      </w:r>
      <w:r>
        <w:rPr/>
        <w:t>reduces</w:t>
      </w:r>
      <w:r>
        <w:rPr>
          <w:spacing w:val="40"/>
        </w:rPr>
        <w:t> </w:t>
      </w:r>
      <w:r>
        <w:rPr/>
        <w:t>the risk of breast cancer by about 50%. Thus far, hormone use after prophylactic oophorectomy has not diminished the beneficial reduction in breast cancer risk.</w:t>
      </w:r>
    </w:p>
    <w:p>
      <w:pPr>
        <w:pStyle w:val="BodyText"/>
        <w:spacing w:line="249" w:lineRule="auto" w:before="5"/>
        <w:ind w:right="99" w:firstLine="450"/>
      </w:pPr>
      <w:r>
        <w:rPr/>
        <w:t>Hormone receptor status of breast cancer cells itself, regardless </w:t>
      </w:r>
      <w:r>
        <w:rPr/>
        <w:t>of hormone use, may be relevant to future prognosis in carriers of </w:t>
      </w:r>
      <w:r>
        <w:rPr>
          <w:i/>
        </w:rPr>
        <w:t>BRCA</w:t>
      </w:r>
      <w:r>
        <w:rPr>
          <w:i/>
        </w:rPr>
        <w:t> </w:t>
      </w:r>
      <w:r>
        <w:rPr/>
        <w:t>mutation.</w:t>
      </w:r>
      <w:r>
        <w:rPr>
          <w:spacing w:val="-5"/>
        </w:rPr>
        <w:t> </w:t>
      </w:r>
      <w:r>
        <w:rPr/>
        <w:t>A multicenter, retrospective cohort study examined the impact of hormone receptor status on clinical behavior and outcomes of breast cancer in a cohort of young </w:t>
      </w:r>
      <w:r>
        <w:rPr>
          <w:i/>
        </w:rPr>
        <w:t>BRCA </w:t>
      </w:r>
      <w:r>
        <w:rPr/>
        <w:t>mutation carriers (aged :&lt;40 years, </w:t>
      </w:r>
      <w:r>
        <w:rPr>
          <w:i/>
        </w:rPr>
        <w:t>n </w:t>
      </w:r>
      <w:r>
        <w:rPr/>
        <w:t>= 4,709) diagnosed with invasive breast cancer; 2,143 (45.5%) had hormone receptor-positive and 2,566 (54.5%) hormone receptor-negative breast cancers.</w:t>
      </w:r>
      <w:r>
        <w:rPr>
          <w:vertAlign w:val="superscript"/>
        </w:rPr>
        <w:t>1040</w:t>
      </w:r>
      <w:r>
        <w:rPr>
          <w:vertAlign w:val="baseline"/>
        </w:rPr>
        <w:t> At a median follow-up duration of 7.9 years, compared to patients with hormone receptor-negative disease, those with hormone receptor-positive cancers experienced a significantly higher rate of distant recurrences (13.1% vs 9.6%, </w:t>
      </w:r>
      <w:r>
        <w:rPr>
          <w:i/>
          <w:vertAlign w:val="baseline"/>
        </w:rPr>
        <w:t>P </w:t>
      </w:r>
      <w:r>
        <w:rPr>
          <w:vertAlign w:val="baseline"/>
        </w:rPr>
        <w:t>&lt; 0.001), but significantly lesser incidence of a second primary breast cancer (9.1% vs 14.7%, </w:t>
      </w:r>
      <w:r>
        <w:rPr>
          <w:i/>
          <w:vertAlign w:val="baseline"/>
        </w:rPr>
        <w:t>P </w:t>
      </w:r>
      <w:r>
        <w:rPr>
          <w:vertAlign w:val="baseline"/>
        </w:rPr>
        <w:t>&lt; 0.001). The 8-year disease-free survival, however, was comparable in patients with hormone receptor-positive and hormone receptor-negative disease.</w:t>
      </w:r>
    </w:p>
    <w:p>
      <w:pPr>
        <w:pStyle w:val="BodyText"/>
        <w:spacing w:before="60"/>
        <w:ind w:left="0"/>
        <w:jc w:val="left"/>
      </w:pPr>
    </w:p>
    <w:p>
      <w:pPr>
        <w:spacing w:line="249" w:lineRule="auto" w:before="1"/>
        <w:ind w:left="99" w:right="255" w:firstLine="0"/>
        <w:jc w:val="left"/>
        <w:rPr>
          <w:rFonts w:ascii="Arial"/>
          <w:b/>
          <w:sz w:val="30"/>
        </w:rPr>
      </w:pPr>
      <w:r>
        <w:rPr>
          <w:rFonts w:ascii="Arial"/>
          <w:b/>
          <w:color w:val="2674AE"/>
          <w:sz w:val="30"/>
        </w:rPr>
        <w:t>Summary:</w:t>
      </w:r>
      <w:r>
        <w:rPr>
          <w:rFonts w:ascii="Arial"/>
          <w:b/>
          <w:color w:val="2674AE"/>
          <w:spacing w:val="-8"/>
          <w:sz w:val="30"/>
        </w:rPr>
        <w:t> </w:t>
      </w:r>
      <w:r>
        <w:rPr>
          <w:rFonts w:ascii="Arial"/>
          <w:b/>
          <w:color w:val="2674AE"/>
          <w:sz w:val="30"/>
        </w:rPr>
        <w:t>Postmenopausal</w:t>
      </w:r>
      <w:r>
        <w:rPr>
          <w:rFonts w:ascii="Arial"/>
          <w:b/>
          <w:color w:val="2674AE"/>
          <w:spacing w:val="-8"/>
          <w:sz w:val="30"/>
        </w:rPr>
        <w:t> </w:t>
      </w:r>
      <w:r>
        <w:rPr>
          <w:rFonts w:ascii="Arial"/>
          <w:b/>
          <w:color w:val="2674AE"/>
          <w:sz w:val="30"/>
        </w:rPr>
        <w:t>Hormone</w:t>
      </w:r>
      <w:r>
        <w:rPr>
          <w:rFonts w:ascii="Arial"/>
          <w:b/>
          <w:color w:val="2674AE"/>
          <w:spacing w:val="-8"/>
          <w:sz w:val="30"/>
        </w:rPr>
        <w:t> </w:t>
      </w:r>
      <w:r>
        <w:rPr>
          <w:rFonts w:ascii="Arial"/>
          <w:b/>
          <w:color w:val="2674AE"/>
          <w:sz w:val="30"/>
        </w:rPr>
        <w:t>Therapy</w:t>
      </w:r>
      <w:r>
        <w:rPr>
          <w:rFonts w:ascii="Arial"/>
          <w:b/>
          <w:color w:val="2674AE"/>
          <w:spacing w:val="-8"/>
          <w:sz w:val="30"/>
        </w:rPr>
        <w:t> </w:t>
      </w:r>
      <w:r>
        <w:rPr>
          <w:rFonts w:ascii="Arial"/>
          <w:b/>
          <w:color w:val="2674AE"/>
          <w:sz w:val="30"/>
        </w:rPr>
        <w:t>and</w:t>
      </w:r>
      <w:r>
        <w:rPr>
          <w:rFonts w:ascii="Arial"/>
          <w:b/>
          <w:color w:val="2674AE"/>
          <w:spacing w:val="-8"/>
          <w:sz w:val="30"/>
        </w:rPr>
        <w:t> </w:t>
      </w:r>
      <w:r>
        <w:rPr>
          <w:rFonts w:ascii="Arial"/>
          <w:b/>
          <w:color w:val="2674AE"/>
          <w:sz w:val="30"/>
        </w:rPr>
        <w:t>Breast </w:t>
      </w:r>
      <w:r>
        <w:rPr>
          <w:rFonts w:ascii="Arial"/>
          <w:b/>
          <w:color w:val="2674AE"/>
          <w:spacing w:val="-2"/>
          <w:sz w:val="30"/>
        </w:rPr>
        <w:t>Cancer</w:t>
      </w:r>
    </w:p>
    <w:p>
      <w:pPr>
        <w:pStyle w:val="BodyText"/>
        <w:spacing w:before="0"/>
        <w:ind w:left="0"/>
        <w:jc w:val="left"/>
        <w:rPr>
          <w:rFonts w:ascii="Arial"/>
          <w:b/>
          <w:sz w:val="20"/>
        </w:rPr>
      </w:pPr>
    </w:p>
    <w:p>
      <w:pPr>
        <w:pStyle w:val="BodyText"/>
        <w:spacing w:before="114"/>
        <w:ind w:left="0"/>
        <w:jc w:val="left"/>
        <w:rPr>
          <w:rFonts w:ascii="Arial"/>
          <w:b/>
          <w:sz w:val="20"/>
        </w:rPr>
      </w:pPr>
      <w:r>
        <w:rPr>
          <w:rFonts w:ascii="Arial"/>
          <w:b/>
          <w:sz w:val="20"/>
        </w:rPr>
        <mc:AlternateContent>
          <mc:Choice Requires="wps">
            <w:drawing>
              <wp:anchor distT="0" distB="0" distL="0" distR="0" allowOverlap="1" layoutInCell="1" locked="0" behindDoc="1" simplePos="0" relativeHeight="487662080">
                <wp:simplePos x="0" y="0"/>
                <wp:positionH relativeFrom="page">
                  <wp:posOffset>981074</wp:posOffset>
                </wp:positionH>
                <wp:positionV relativeFrom="paragraph">
                  <wp:posOffset>233667</wp:posOffset>
                </wp:positionV>
                <wp:extent cx="5810250" cy="302895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5810250" cy="3028950"/>
                          <a:chExt cx="5810250" cy="3028950"/>
                        </a:xfrm>
                      </wpg:grpSpPr>
                      <wps:wsp>
                        <wps:cNvPr id="282" name="Graphic 28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D5E699"/>
                          </a:solidFill>
                        </wps:spPr>
                        <wps:bodyPr wrap="square" lIns="0" tIns="0" rIns="0" bIns="0" rtlCol="0">
                          <a:prstTxWarp prst="textNoShape">
                            <a:avLst/>
                          </a:prstTxWarp>
                          <a:noAutofit/>
                        </wps:bodyPr>
                      </wps:wsp>
                      <wps:wsp>
                        <wps:cNvPr id="283" name="Graphic 283"/>
                        <wps:cNvSpPr/>
                        <wps:spPr>
                          <a:xfrm>
                            <a:off x="0" y="742949"/>
                            <a:ext cx="5810250" cy="2286000"/>
                          </a:xfrm>
                          <a:custGeom>
                            <a:avLst/>
                            <a:gdLst/>
                            <a:ahLst/>
                            <a:cxnLst/>
                            <a:rect l="l" t="t" r="r" b="b"/>
                            <a:pathLst>
                              <a:path w="5810250" h="2286000">
                                <a:moveTo>
                                  <a:pt x="0" y="2285871"/>
                                </a:moveTo>
                                <a:lnTo>
                                  <a:pt x="5810249" y="2285871"/>
                                </a:lnTo>
                                <a:lnTo>
                                  <a:pt x="5810249" y="0"/>
                                </a:lnTo>
                                <a:lnTo>
                                  <a:pt x="0" y="0"/>
                                </a:lnTo>
                                <a:lnTo>
                                  <a:pt x="0" y="2285871"/>
                                </a:lnTo>
                                <a:close/>
                              </a:path>
                            </a:pathLst>
                          </a:custGeom>
                          <a:solidFill>
                            <a:srgbClr val="E9F1CD"/>
                          </a:solidFill>
                        </wps:spPr>
                        <wps:bodyPr wrap="square" lIns="0" tIns="0" rIns="0" bIns="0" rtlCol="0">
                          <a:prstTxWarp prst="textNoShape">
                            <a:avLst/>
                          </a:prstTxWarp>
                          <a:noAutofit/>
                        </wps:bodyPr>
                      </wps:wsp>
                      <wps:wsp>
                        <wps:cNvPr id="284" name="Graphic 284"/>
                        <wps:cNvSpPr/>
                        <wps:spPr>
                          <a:xfrm>
                            <a:off x="0" y="57149"/>
                            <a:ext cx="5810250" cy="685800"/>
                          </a:xfrm>
                          <a:custGeom>
                            <a:avLst/>
                            <a:gdLst/>
                            <a:ahLst/>
                            <a:cxnLst/>
                            <a:rect l="l" t="t" r="r" b="b"/>
                            <a:pathLst>
                              <a:path w="5810250" h="685800">
                                <a:moveTo>
                                  <a:pt x="5810249" y="685799"/>
                                </a:moveTo>
                                <a:lnTo>
                                  <a:pt x="0" y="685799"/>
                                </a:lnTo>
                                <a:lnTo>
                                  <a:pt x="0" y="0"/>
                                </a:lnTo>
                                <a:lnTo>
                                  <a:pt x="5810249" y="0"/>
                                </a:lnTo>
                                <a:lnTo>
                                  <a:pt x="5810249" y="685799"/>
                                </a:lnTo>
                                <a:close/>
                              </a:path>
                            </a:pathLst>
                          </a:custGeom>
                          <a:solidFill>
                            <a:srgbClr val="2B816F"/>
                          </a:solidFill>
                        </wps:spPr>
                        <wps:bodyPr wrap="square" lIns="0" tIns="0" rIns="0" bIns="0" rtlCol="0">
                          <a:prstTxWarp prst="textNoShape">
                            <a:avLst/>
                          </a:prstTxWarp>
                          <a:noAutofit/>
                        </wps:bodyPr>
                      </wps:wsp>
                      <wps:wsp>
                        <wps:cNvPr id="285" name="Graphic 285"/>
                        <wps:cNvSpPr/>
                        <wps:spPr>
                          <a:xfrm>
                            <a:off x="209550" y="228650"/>
                            <a:ext cx="371475" cy="57150"/>
                          </a:xfrm>
                          <a:custGeom>
                            <a:avLst/>
                            <a:gdLst/>
                            <a:ahLst/>
                            <a:cxnLst/>
                            <a:rect l="l" t="t" r="r" b="b"/>
                            <a:pathLst>
                              <a:path w="371475" h="57150">
                                <a:moveTo>
                                  <a:pt x="28575" y="57149"/>
                                </a:moveTo>
                                <a:lnTo>
                                  <a:pt x="2175" y="39290"/>
                                </a:lnTo>
                                <a:lnTo>
                                  <a:pt x="725" y="35871"/>
                                </a:lnTo>
                                <a:lnTo>
                                  <a:pt x="0" y="32299"/>
                                </a:lnTo>
                                <a:lnTo>
                                  <a:pt x="0" y="24707"/>
                                </a:lnTo>
                                <a:lnTo>
                                  <a:pt x="725" y="20983"/>
                                </a:lnTo>
                                <a:lnTo>
                                  <a:pt x="2175" y="17564"/>
                                </a:lnTo>
                                <a:lnTo>
                                  <a:pt x="3625" y="13992"/>
                                </a:lnTo>
                                <a:lnTo>
                                  <a:pt x="24785" y="0"/>
                                </a:lnTo>
                                <a:lnTo>
                                  <a:pt x="32364" y="0"/>
                                </a:lnTo>
                                <a:lnTo>
                                  <a:pt x="57149" y="24707"/>
                                </a:lnTo>
                                <a:lnTo>
                                  <a:pt x="57149" y="32299"/>
                                </a:lnTo>
                                <a:lnTo>
                                  <a:pt x="56424" y="35871"/>
                                </a:lnTo>
                                <a:lnTo>
                                  <a:pt x="54974" y="39290"/>
                                </a:lnTo>
                                <a:lnTo>
                                  <a:pt x="53524" y="42862"/>
                                </a:lnTo>
                                <a:lnTo>
                                  <a:pt x="32364" y="56997"/>
                                </a:lnTo>
                                <a:lnTo>
                                  <a:pt x="28575" y="57149"/>
                                </a:lnTo>
                                <a:close/>
                              </a:path>
                              <a:path w="371475" h="57150">
                                <a:moveTo>
                                  <a:pt x="133254" y="57149"/>
                                </a:moveTo>
                                <a:lnTo>
                                  <a:pt x="106854" y="39290"/>
                                </a:lnTo>
                                <a:lnTo>
                                  <a:pt x="105404" y="35871"/>
                                </a:lnTo>
                                <a:lnTo>
                                  <a:pt x="104679" y="32299"/>
                                </a:lnTo>
                                <a:lnTo>
                                  <a:pt x="104679" y="24707"/>
                                </a:lnTo>
                                <a:lnTo>
                                  <a:pt x="105404" y="20983"/>
                                </a:lnTo>
                                <a:lnTo>
                                  <a:pt x="106854" y="17564"/>
                                </a:lnTo>
                                <a:lnTo>
                                  <a:pt x="108304" y="13992"/>
                                </a:lnTo>
                                <a:lnTo>
                                  <a:pt x="129465" y="0"/>
                                </a:lnTo>
                                <a:lnTo>
                                  <a:pt x="137044" y="0"/>
                                </a:lnTo>
                                <a:lnTo>
                                  <a:pt x="161829" y="24707"/>
                                </a:lnTo>
                                <a:lnTo>
                                  <a:pt x="161829" y="32299"/>
                                </a:lnTo>
                                <a:lnTo>
                                  <a:pt x="161104" y="35871"/>
                                </a:lnTo>
                                <a:lnTo>
                                  <a:pt x="159654" y="39290"/>
                                </a:lnTo>
                                <a:lnTo>
                                  <a:pt x="158204" y="42862"/>
                                </a:lnTo>
                                <a:lnTo>
                                  <a:pt x="137044" y="56997"/>
                                </a:lnTo>
                                <a:lnTo>
                                  <a:pt x="133254" y="57149"/>
                                </a:lnTo>
                                <a:close/>
                              </a:path>
                              <a:path w="371475" h="57150">
                                <a:moveTo>
                                  <a:pt x="237934" y="57149"/>
                                </a:moveTo>
                                <a:lnTo>
                                  <a:pt x="211534" y="39290"/>
                                </a:lnTo>
                                <a:lnTo>
                                  <a:pt x="210084" y="35871"/>
                                </a:lnTo>
                                <a:lnTo>
                                  <a:pt x="209359" y="32299"/>
                                </a:lnTo>
                                <a:lnTo>
                                  <a:pt x="209359" y="24707"/>
                                </a:lnTo>
                                <a:lnTo>
                                  <a:pt x="210084" y="20983"/>
                                </a:lnTo>
                                <a:lnTo>
                                  <a:pt x="211534" y="17564"/>
                                </a:lnTo>
                                <a:lnTo>
                                  <a:pt x="212984" y="13992"/>
                                </a:lnTo>
                                <a:lnTo>
                                  <a:pt x="234145" y="0"/>
                                </a:lnTo>
                                <a:lnTo>
                                  <a:pt x="241723" y="0"/>
                                </a:lnTo>
                                <a:lnTo>
                                  <a:pt x="266509" y="24707"/>
                                </a:lnTo>
                                <a:lnTo>
                                  <a:pt x="266509" y="32299"/>
                                </a:lnTo>
                                <a:lnTo>
                                  <a:pt x="265784" y="35871"/>
                                </a:lnTo>
                                <a:lnTo>
                                  <a:pt x="264334" y="39290"/>
                                </a:lnTo>
                                <a:lnTo>
                                  <a:pt x="262884" y="42862"/>
                                </a:lnTo>
                                <a:lnTo>
                                  <a:pt x="241723" y="56997"/>
                                </a:lnTo>
                                <a:lnTo>
                                  <a:pt x="237934" y="57149"/>
                                </a:lnTo>
                                <a:close/>
                              </a:path>
                              <a:path w="371475" h="57150">
                                <a:moveTo>
                                  <a:pt x="342614" y="57149"/>
                                </a:moveTo>
                                <a:lnTo>
                                  <a:pt x="316214" y="39290"/>
                                </a:lnTo>
                                <a:lnTo>
                                  <a:pt x="314764" y="35871"/>
                                </a:lnTo>
                                <a:lnTo>
                                  <a:pt x="314039" y="32299"/>
                                </a:lnTo>
                                <a:lnTo>
                                  <a:pt x="314039" y="24707"/>
                                </a:lnTo>
                                <a:lnTo>
                                  <a:pt x="314764" y="20983"/>
                                </a:lnTo>
                                <a:lnTo>
                                  <a:pt x="316214" y="17564"/>
                                </a:lnTo>
                                <a:lnTo>
                                  <a:pt x="317664" y="13992"/>
                                </a:lnTo>
                                <a:lnTo>
                                  <a:pt x="338824" y="0"/>
                                </a:lnTo>
                                <a:lnTo>
                                  <a:pt x="346403" y="0"/>
                                </a:lnTo>
                                <a:lnTo>
                                  <a:pt x="371189" y="24707"/>
                                </a:lnTo>
                                <a:lnTo>
                                  <a:pt x="371189" y="32299"/>
                                </a:lnTo>
                                <a:lnTo>
                                  <a:pt x="370464" y="35871"/>
                                </a:lnTo>
                                <a:lnTo>
                                  <a:pt x="369014" y="39290"/>
                                </a:lnTo>
                                <a:lnTo>
                                  <a:pt x="367563" y="42862"/>
                                </a:lnTo>
                                <a:lnTo>
                                  <a:pt x="346403" y="56997"/>
                                </a:lnTo>
                                <a:lnTo>
                                  <a:pt x="342614" y="57149"/>
                                </a:lnTo>
                                <a:close/>
                              </a:path>
                            </a:pathLst>
                          </a:custGeom>
                          <a:solidFill>
                            <a:srgbClr val="D0E399"/>
                          </a:solidFill>
                        </wps:spPr>
                        <wps:bodyPr wrap="square" lIns="0" tIns="0" rIns="0" bIns="0" rtlCol="0">
                          <a:prstTxWarp prst="textNoShape">
                            <a:avLst/>
                          </a:prstTxWarp>
                          <a:noAutofit/>
                        </wps:bodyPr>
                      </wps:wsp>
                      <wps:wsp>
                        <wps:cNvPr id="286" name="Graphic 286"/>
                        <wps:cNvSpPr/>
                        <wps:spPr>
                          <a:xfrm>
                            <a:off x="133337" y="1000132"/>
                            <a:ext cx="47625" cy="1247775"/>
                          </a:xfrm>
                          <a:custGeom>
                            <a:avLst/>
                            <a:gdLst/>
                            <a:ahLst/>
                            <a:cxnLst/>
                            <a:rect l="l" t="t" r="r" b="b"/>
                            <a:pathLst>
                              <a:path w="47625" h="1247775">
                                <a:moveTo>
                                  <a:pt x="47625" y="1220685"/>
                                </a:moveTo>
                                <a:lnTo>
                                  <a:pt x="26974" y="1200150"/>
                                </a:lnTo>
                                <a:lnTo>
                                  <a:pt x="20662" y="1200150"/>
                                </a:lnTo>
                                <a:lnTo>
                                  <a:pt x="0" y="1220685"/>
                                </a:lnTo>
                                <a:lnTo>
                                  <a:pt x="0" y="1227086"/>
                                </a:lnTo>
                                <a:lnTo>
                                  <a:pt x="14706" y="1245679"/>
                                </a:lnTo>
                                <a:lnTo>
                                  <a:pt x="17627" y="1247025"/>
                                </a:lnTo>
                                <a:lnTo>
                                  <a:pt x="20662" y="1247622"/>
                                </a:lnTo>
                                <a:lnTo>
                                  <a:pt x="23812" y="1247775"/>
                                </a:lnTo>
                                <a:lnTo>
                                  <a:pt x="26974" y="1247622"/>
                                </a:lnTo>
                                <a:lnTo>
                                  <a:pt x="30010" y="1247025"/>
                                </a:lnTo>
                                <a:lnTo>
                                  <a:pt x="32931" y="1245679"/>
                                </a:lnTo>
                                <a:lnTo>
                                  <a:pt x="35852" y="1244498"/>
                                </a:lnTo>
                                <a:lnTo>
                                  <a:pt x="47625" y="1227086"/>
                                </a:lnTo>
                                <a:lnTo>
                                  <a:pt x="47625" y="1223962"/>
                                </a:lnTo>
                                <a:lnTo>
                                  <a:pt x="47625" y="1220685"/>
                                </a:lnTo>
                                <a:close/>
                              </a:path>
                              <a:path w="47625" h="1247775">
                                <a:moveTo>
                                  <a:pt x="47625" y="877785"/>
                                </a:moveTo>
                                <a:lnTo>
                                  <a:pt x="26974" y="857250"/>
                                </a:lnTo>
                                <a:lnTo>
                                  <a:pt x="20662" y="857250"/>
                                </a:lnTo>
                                <a:lnTo>
                                  <a:pt x="0" y="877785"/>
                                </a:lnTo>
                                <a:lnTo>
                                  <a:pt x="0" y="884186"/>
                                </a:lnTo>
                                <a:lnTo>
                                  <a:pt x="23812" y="904875"/>
                                </a:lnTo>
                                <a:lnTo>
                                  <a:pt x="26974" y="904722"/>
                                </a:lnTo>
                                <a:lnTo>
                                  <a:pt x="47625" y="884186"/>
                                </a:lnTo>
                                <a:lnTo>
                                  <a:pt x="47625" y="881062"/>
                                </a:lnTo>
                                <a:lnTo>
                                  <a:pt x="47625" y="877785"/>
                                </a:lnTo>
                                <a:close/>
                              </a:path>
                              <a:path w="47625" h="1247775">
                                <a:moveTo>
                                  <a:pt x="47625" y="706335"/>
                                </a:moveTo>
                                <a:lnTo>
                                  <a:pt x="26974" y="685800"/>
                                </a:lnTo>
                                <a:lnTo>
                                  <a:pt x="20662" y="685800"/>
                                </a:lnTo>
                                <a:lnTo>
                                  <a:pt x="17627" y="686396"/>
                                </a:lnTo>
                                <a:lnTo>
                                  <a:pt x="14706" y="687590"/>
                                </a:lnTo>
                                <a:lnTo>
                                  <a:pt x="11785" y="688619"/>
                                </a:lnTo>
                                <a:lnTo>
                                  <a:pt x="0" y="706335"/>
                                </a:lnTo>
                                <a:lnTo>
                                  <a:pt x="0" y="712736"/>
                                </a:lnTo>
                                <a:lnTo>
                                  <a:pt x="23812" y="733425"/>
                                </a:lnTo>
                                <a:lnTo>
                                  <a:pt x="26974" y="733272"/>
                                </a:lnTo>
                                <a:lnTo>
                                  <a:pt x="47625" y="712736"/>
                                </a:lnTo>
                                <a:lnTo>
                                  <a:pt x="47625" y="709612"/>
                                </a:lnTo>
                                <a:lnTo>
                                  <a:pt x="47625" y="706335"/>
                                </a:lnTo>
                                <a:close/>
                              </a:path>
                              <a:path w="47625" h="1247775">
                                <a:moveTo>
                                  <a:pt x="47625" y="363588"/>
                                </a:moveTo>
                                <a:lnTo>
                                  <a:pt x="26974" y="342900"/>
                                </a:lnTo>
                                <a:lnTo>
                                  <a:pt x="20662" y="342900"/>
                                </a:lnTo>
                                <a:lnTo>
                                  <a:pt x="0" y="363588"/>
                                </a:lnTo>
                                <a:lnTo>
                                  <a:pt x="0" y="369836"/>
                                </a:lnTo>
                                <a:lnTo>
                                  <a:pt x="14706" y="388581"/>
                                </a:lnTo>
                                <a:lnTo>
                                  <a:pt x="17627" y="389928"/>
                                </a:lnTo>
                                <a:lnTo>
                                  <a:pt x="20662" y="390525"/>
                                </a:lnTo>
                                <a:lnTo>
                                  <a:pt x="26974" y="390525"/>
                                </a:lnTo>
                                <a:lnTo>
                                  <a:pt x="30010" y="389928"/>
                                </a:lnTo>
                                <a:lnTo>
                                  <a:pt x="32931" y="388581"/>
                                </a:lnTo>
                                <a:lnTo>
                                  <a:pt x="35852" y="387400"/>
                                </a:lnTo>
                                <a:lnTo>
                                  <a:pt x="47625" y="369836"/>
                                </a:lnTo>
                                <a:lnTo>
                                  <a:pt x="47625" y="366712"/>
                                </a:lnTo>
                                <a:lnTo>
                                  <a:pt x="47625" y="363588"/>
                                </a:lnTo>
                                <a:close/>
                              </a:path>
                              <a:path w="47625" h="1247775">
                                <a:moveTo>
                                  <a:pt x="47625" y="20688"/>
                                </a:moveTo>
                                <a:lnTo>
                                  <a:pt x="26974" y="0"/>
                                </a:lnTo>
                                <a:lnTo>
                                  <a:pt x="20662" y="0"/>
                                </a:lnTo>
                                <a:lnTo>
                                  <a:pt x="0" y="20688"/>
                                </a:lnTo>
                                <a:lnTo>
                                  <a:pt x="0" y="26936"/>
                                </a:lnTo>
                                <a:lnTo>
                                  <a:pt x="14706" y="45529"/>
                                </a:lnTo>
                                <a:lnTo>
                                  <a:pt x="17627" y="46875"/>
                                </a:lnTo>
                                <a:lnTo>
                                  <a:pt x="20662" y="47472"/>
                                </a:lnTo>
                                <a:lnTo>
                                  <a:pt x="23812" y="47625"/>
                                </a:lnTo>
                                <a:lnTo>
                                  <a:pt x="26974" y="47472"/>
                                </a:lnTo>
                                <a:lnTo>
                                  <a:pt x="30010" y="46875"/>
                                </a:lnTo>
                                <a:lnTo>
                                  <a:pt x="32931" y="45529"/>
                                </a:lnTo>
                                <a:lnTo>
                                  <a:pt x="35852" y="44348"/>
                                </a:lnTo>
                                <a:lnTo>
                                  <a:pt x="47625" y="26936"/>
                                </a:lnTo>
                                <a:lnTo>
                                  <a:pt x="47625" y="23812"/>
                                </a:lnTo>
                                <a:lnTo>
                                  <a:pt x="47625" y="20688"/>
                                </a:lnTo>
                                <a:close/>
                              </a:path>
                            </a:pathLst>
                          </a:custGeom>
                          <a:solidFill>
                            <a:srgbClr val="2B816F"/>
                          </a:solidFill>
                        </wps:spPr>
                        <wps:bodyPr wrap="square" lIns="0" tIns="0" rIns="0" bIns="0" rtlCol="0">
                          <a:prstTxWarp prst="textNoShape">
                            <a:avLst/>
                          </a:prstTxWarp>
                          <a:noAutofit/>
                        </wps:bodyPr>
                      </wps:wsp>
                      <wps:wsp>
                        <wps:cNvPr id="287" name="Textbox 287"/>
                        <wps:cNvSpPr txBox="1"/>
                        <wps:spPr>
                          <a:xfrm>
                            <a:off x="0" y="742949"/>
                            <a:ext cx="5810250" cy="2286000"/>
                          </a:xfrm>
                          <a:prstGeom prst="rect">
                            <a:avLst/>
                          </a:prstGeom>
                        </wps:spPr>
                        <wps:txbx>
                          <w:txbxContent>
                            <w:p>
                              <w:pPr>
                                <w:spacing w:line="240" w:lineRule="auto" w:before="51"/>
                                <w:rPr>
                                  <w:rFonts w:ascii="Arial"/>
                                  <w:b/>
                                  <w:sz w:val="22"/>
                                </w:rPr>
                              </w:pPr>
                            </w:p>
                            <w:p>
                              <w:pPr>
                                <w:spacing w:line="256" w:lineRule="auto" w:before="0"/>
                                <w:ind w:left="444" w:right="610" w:firstLine="0"/>
                                <w:jc w:val="left"/>
                                <w:rPr>
                                  <w:sz w:val="22"/>
                                </w:rPr>
                              </w:pPr>
                              <w:r>
                                <w:rPr>
                                  <w:sz w:val="22"/>
                                </w:rPr>
                                <w:t>The</w:t>
                              </w:r>
                              <w:r>
                                <w:rPr>
                                  <w:spacing w:val="22"/>
                                  <w:sz w:val="22"/>
                                </w:rPr>
                                <w:t> </w:t>
                              </w:r>
                              <w:r>
                                <w:rPr>
                                  <w:sz w:val="22"/>
                                </w:rPr>
                                <w:t>WHI</w:t>
                              </w:r>
                              <w:r>
                                <w:rPr>
                                  <w:spacing w:val="22"/>
                                  <w:sz w:val="22"/>
                                </w:rPr>
                                <w:t> </w:t>
                              </w:r>
                              <w:r>
                                <w:rPr>
                                  <w:sz w:val="22"/>
                                </w:rPr>
                                <w:t>agrees</w:t>
                              </w:r>
                              <w:r>
                                <w:rPr>
                                  <w:spacing w:val="22"/>
                                  <w:sz w:val="22"/>
                                </w:rPr>
                                <w:t> </w:t>
                              </w:r>
                              <w:r>
                                <w:rPr>
                                  <w:sz w:val="22"/>
                                </w:rPr>
                                <w:t>with</w:t>
                              </w:r>
                              <w:r>
                                <w:rPr>
                                  <w:spacing w:val="22"/>
                                  <w:sz w:val="22"/>
                                </w:rPr>
                                <w:t> </w:t>
                              </w:r>
                              <w:r>
                                <w:rPr>
                                  <w:sz w:val="22"/>
                                </w:rPr>
                                <w:t>case-control</w:t>
                              </w:r>
                              <w:r>
                                <w:rPr>
                                  <w:spacing w:val="22"/>
                                  <w:sz w:val="22"/>
                                </w:rPr>
                                <w:t> </w:t>
                              </w:r>
                              <w:r>
                                <w:rPr>
                                  <w:sz w:val="22"/>
                                </w:rPr>
                                <w:t>and</w:t>
                              </w:r>
                              <w:r>
                                <w:rPr>
                                  <w:spacing w:val="22"/>
                                  <w:sz w:val="22"/>
                                </w:rPr>
                                <w:t> </w:t>
                              </w:r>
                              <w:r>
                                <w:rPr>
                                  <w:sz w:val="22"/>
                                </w:rPr>
                                <w:t>cohort</w:t>
                              </w:r>
                              <w:r>
                                <w:rPr>
                                  <w:spacing w:val="22"/>
                                  <w:sz w:val="22"/>
                                </w:rPr>
                                <w:t> </w:t>
                              </w:r>
                              <w:r>
                                <w:rPr>
                                  <w:sz w:val="22"/>
                                </w:rPr>
                                <w:t>studies</w:t>
                              </w:r>
                              <w:r>
                                <w:rPr>
                                  <w:spacing w:val="22"/>
                                  <w:sz w:val="22"/>
                                </w:rPr>
                                <w:t> </w:t>
                              </w:r>
                              <w:r>
                                <w:rPr>
                                  <w:sz w:val="22"/>
                                </w:rPr>
                                <w:t>indicating</w:t>
                              </w:r>
                              <w:r>
                                <w:rPr>
                                  <w:spacing w:val="22"/>
                                  <w:sz w:val="22"/>
                                </w:rPr>
                                <w:t> </w:t>
                              </w:r>
                              <w:r>
                                <w:rPr>
                                  <w:sz w:val="22"/>
                                </w:rPr>
                                <w:t>that</w:t>
                              </w:r>
                              <w:r>
                                <w:rPr>
                                  <w:spacing w:val="22"/>
                                  <w:sz w:val="22"/>
                                </w:rPr>
                                <w:t> </w:t>
                              </w:r>
                              <w:r>
                                <w:rPr>
                                  <w:sz w:val="22"/>
                                </w:rPr>
                                <w:t>current</w:t>
                              </w:r>
                              <w:r>
                                <w:rPr>
                                  <w:spacing w:val="22"/>
                                  <w:sz w:val="22"/>
                                </w:rPr>
                                <w:t> </w:t>
                              </w:r>
                              <w:r>
                                <w:rPr>
                                  <w:sz w:val="22"/>
                                </w:rPr>
                                <w:t>use</w:t>
                              </w:r>
                              <w:r>
                                <w:rPr>
                                  <w:spacing w:val="22"/>
                                  <w:sz w:val="22"/>
                                </w:rPr>
                                <w:t> </w:t>
                              </w:r>
                              <w:r>
                                <w:rPr>
                                  <w:sz w:val="22"/>
                                </w:rPr>
                                <w:t>of</w:t>
                              </w:r>
                              <w:r>
                                <w:rPr>
                                  <w:spacing w:val="22"/>
                                  <w:sz w:val="22"/>
                                </w:rPr>
                                <w:t> </w:t>
                              </w:r>
                              <w:r>
                                <w:rPr>
                                  <w:sz w:val="22"/>
                                </w:rPr>
                                <w:t>HT has a slightly increased risk of breast cancer.</w:t>
                              </w:r>
                            </w:p>
                            <w:p>
                              <w:pPr>
                                <w:spacing w:line="256" w:lineRule="auto" w:before="0"/>
                                <w:ind w:left="444" w:right="610" w:firstLine="0"/>
                                <w:jc w:val="left"/>
                                <w:rPr>
                                  <w:sz w:val="22"/>
                                </w:rPr>
                              </w:pPr>
                              <w:r>
                                <w:rPr>
                                  <w:sz w:val="22"/>
                                </w:rPr>
                                <w:t>The</w:t>
                              </w:r>
                              <w:r>
                                <w:rPr>
                                  <w:spacing w:val="40"/>
                                  <w:sz w:val="22"/>
                                </w:rPr>
                                <w:t> </w:t>
                              </w:r>
                              <w:r>
                                <w:rPr>
                                  <w:sz w:val="22"/>
                                </w:rPr>
                                <w:t>increased</w:t>
                              </w:r>
                              <w:r>
                                <w:rPr>
                                  <w:spacing w:val="40"/>
                                  <w:sz w:val="22"/>
                                </w:rPr>
                                <w:t> </w:t>
                              </w:r>
                              <w:r>
                                <w:rPr>
                                  <w:sz w:val="22"/>
                                </w:rPr>
                                <w:t>risk</w:t>
                              </w:r>
                              <w:r>
                                <w:rPr>
                                  <w:spacing w:val="40"/>
                                  <w:sz w:val="22"/>
                                </w:rPr>
                                <w:t> </w:t>
                              </w:r>
                              <w:r>
                                <w:rPr>
                                  <w:sz w:val="22"/>
                                </w:rPr>
                                <w:t>is</w:t>
                              </w:r>
                              <w:r>
                                <w:rPr>
                                  <w:spacing w:val="40"/>
                                  <w:sz w:val="22"/>
                                </w:rPr>
                                <w:t> </w:t>
                              </w:r>
                              <w:r>
                                <w:rPr>
                                  <w:sz w:val="22"/>
                                </w:rPr>
                                <w:t>observed</w:t>
                              </w:r>
                              <w:r>
                                <w:rPr>
                                  <w:spacing w:val="40"/>
                                  <w:sz w:val="22"/>
                                </w:rPr>
                                <w:t> </w:t>
                              </w:r>
                              <w:r>
                                <w:rPr>
                                  <w:sz w:val="22"/>
                                </w:rPr>
                                <w:t>sooner</w:t>
                              </w:r>
                              <w:r>
                                <w:rPr>
                                  <w:spacing w:val="40"/>
                                  <w:sz w:val="22"/>
                                </w:rPr>
                                <w:t> </w:t>
                              </w:r>
                              <w:r>
                                <w:rPr>
                                  <w:sz w:val="22"/>
                                </w:rPr>
                                <w:t>with</w:t>
                              </w:r>
                              <w:r>
                                <w:rPr>
                                  <w:spacing w:val="40"/>
                                  <w:sz w:val="22"/>
                                </w:rPr>
                                <w:t> </w:t>
                              </w:r>
                              <w:r>
                                <w:rPr>
                                  <w:sz w:val="22"/>
                                </w:rPr>
                                <w:t>the</w:t>
                              </w:r>
                              <w:r>
                                <w:rPr>
                                  <w:spacing w:val="40"/>
                                  <w:sz w:val="22"/>
                                </w:rPr>
                                <w:t> </w:t>
                              </w:r>
                              <w:r>
                                <w:rPr>
                                  <w:sz w:val="22"/>
                                </w:rPr>
                                <w:t>use</w:t>
                              </w:r>
                              <w:r>
                                <w:rPr>
                                  <w:spacing w:val="40"/>
                                  <w:sz w:val="22"/>
                                </w:rPr>
                                <w:t> </w:t>
                              </w:r>
                              <w:r>
                                <w:rPr>
                                  <w:sz w:val="22"/>
                                </w:rPr>
                                <w:t>of</w:t>
                              </w:r>
                              <w:r>
                                <w:rPr>
                                  <w:spacing w:val="40"/>
                                  <w:sz w:val="22"/>
                                </w:rPr>
                                <w:t> </w:t>
                              </w:r>
                              <w:r>
                                <w:rPr>
                                  <w:sz w:val="22"/>
                                </w:rPr>
                                <w:t>combined</w:t>
                              </w:r>
                              <w:r>
                                <w:rPr>
                                  <w:spacing w:val="40"/>
                                  <w:sz w:val="22"/>
                                </w:rPr>
                                <w:t> </w:t>
                              </w:r>
                              <w:r>
                                <w:rPr>
                                  <w:sz w:val="22"/>
                                </w:rPr>
                                <w:t>estrogen-progestin</w:t>
                              </w:r>
                              <w:r>
                                <w:rPr>
                                  <w:spacing w:val="40"/>
                                  <w:sz w:val="22"/>
                                </w:rPr>
                                <w:t> </w:t>
                              </w:r>
                              <w:r>
                                <w:rPr>
                                  <w:spacing w:val="-2"/>
                                  <w:sz w:val="22"/>
                                </w:rPr>
                                <w:t>regimens.</w:t>
                              </w:r>
                            </w:p>
                            <w:p>
                              <w:pPr>
                                <w:spacing w:line="256" w:lineRule="auto" w:before="0"/>
                                <w:ind w:left="444" w:right="610" w:firstLine="0"/>
                                <w:jc w:val="left"/>
                                <w:rPr>
                                  <w:sz w:val="22"/>
                                </w:rPr>
                              </w:pPr>
                              <w:r>
                                <w:rPr>
                                  <w:sz w:val="22"/>
                                </w:rPr>
                                <w:t>The increased risk with HT is confined to ER-positive tumors, mainly lobular cancers. Epidemiologic</w:t>
                              </w:r>
                              <w:r>
                                <w:rPr>
                                  <w:spacing w:val="22"/>
                                  <w:sz w:val="22"/>
                                </w:rPr>
                                <w:t> </w:t>
                              </w:r>
                              <w:r>
                                <w:rPr>
                                  <w:sz w:val="22"/>
                                </w:rPr>
                                <w:t>data</w:t>
                              </w:r>
                              <w:r>
                                <w:rPr>
                                  <w:spacing w:val="22"/>
                                  <w:sz w:val="22"/>
                                </w:rPr>
                                <w:t> </w:t>
                              </w:r>
                              <w:r>
                                <w:rPr>
                                  <w:sz w:val="22"/>
                                </w:rPr>
                                <w:t>indicate</w:t>
                              </w:r>
                              <w:r>
                                <w:rPr>
                                  <w:spacing w:val="22"/>
                                  <w:sz w:val="22"/>
                                </w:rPr>
                                <w:t> </w:t>
                              </w:r>
                              <w:r>
                                <w:rPr>
                                  <w:sz w:val="22"/>
                                </w:rPr>
                                <w:t>that</w:t>
                              </w:r>
                              <w:r>
                                <w:rPr>
                                  <w:spacing w:val="22"/>
                                  <w:sz w:val="22"/>
                                </w:rPr>
                                <w:t> </w:t>
                              </w:r>
                              <w:r>
                                <w:rPr>
                                  <w:sz w:val="22"/>
                                </w:rPr>
                                <w:t>a</w:t>
                              </w:r>
                              <w:r>
                                <w:rPr>
                                  <w:spacing w:val="22"/>
                                  <w:sz w:val="22"/>
                                </w:rPr>
                                <w:t> </w:t>
                              </w:r>
                              <w:r>
                                <w:rPr>
                                  <w:sz w:val="22"/>
                                </w:rPr>
                                <w:t>positive</w:t>
                              </w:r>
                              <w:r>
                                <w:rPr>
                                  <w:spacing w:val="22"/>
                                  <w:sz w:val="22"/>
                                </w:rPr>
                                <w:t> </w:t>
                              </w:r>
                              <w:r>
                                <w:rPr>
                                  <w:sz w:val="22"/>
                                </w:rPr>
                                <w:t>family</w:t>
                              </w:r>
                              <w:r>
                                <w:rPr>
                                  <w:spacing w:val="22"/>
                                  <w:sz w:val="22"/>
                                </w:rPr>
                                <w:t> </w:t>
                              </w:r>
                              <w:r>
                                <w:rPr>
                                  <w:sz w:val="22"/>
                                </w:rPr>
                                <w:t>history</w:t>
                              </w:r>
                              <w:r>
                                <w:rPr>
                                  <w:spacing w:val="22"/>
                                  <w:sz w:val="22"/>
                                </w:rPr>
                                <w:t> </w:t>
                              </w:r>
                              <w:r>
                                <w:rPr>
                                  <w:sz w:val="22"/>
                                </w:rPr>
                                <w:t>of</w:t>
                              </w:r>
                              <w:r>
                                <w:rPr>
                                  <w:spacing w:val="22"/>
                                  <w:sz w:val="22"/>
                                </w:rPr>
                                <w:t> </w:t>
                              </w:r>
                              <w:r>
                                <w:rPr>
                                  <w:sz w:val="22"/>
                                </w:rPr>
                                <w:t>breast</w:t>
                              </w:r>
                              <w:r>
                                <w:rPr>
                                  <w:spacing w:val="22"/>
                                  <w:sz w:val="22"/>
                                </w:rPr>
                                <w:t> </w:t>
                              </w:r>
                              <w:r>
                                <w:rPr>
                                  <w:sz w:val="22"/>
                                </w:rPr>
                                <w:t>cancer</w:t>
                              </w:r>
                              <w:r>
                                <w:rPr>
                                  <w:spacing w:val="22"/>
                                  <w:sz w:val="22"/>
                                </w:rPr>
                                <w:t> </w:t>
                              </w:r>
                              <w:r>
                                <w:rPr>
                                  <w:sz w:val="22"/>
                                </w:rPr>
                                <w:t>or</w:t>
                              </w:r>
                              <w:r>
                                <w:rPr>
                                  <w:spacing w:val="22"/>
                                  <w:sz w:val="22"/>
                                </w:rPr>
                                <w:t> </w:t>
                              </w:r>
                              <w:r>
                                <w:rPr>
                                  <w:sz w:val="22"/>
                                </w:rPr>
                                <w:t>other</w:t>
                              </w:r>
                              <w:r>
                                <w:rPr>
                                  <w:spacing w:val="22"/>
                                  <w:sz w:val="22"/>
                                </w:rPr>
                                <w:t> </w:t>
                              </w:r>
                              <w:r>
                                <w:rPr>
                                  <w:sz w:val="22"/>
                                </w:rPr>
                                <w:t>risk factors should not be contraindications to the use of postmenopausal HT.</w:t>
                              </w:r>
                            </w:p>
                            <w:p>
                              <w:pPr>
                                <w:spacing w:line="256" w:lineRule="auto" w:before="0"/>
                                <w:ind w:left="444" w:right="747" w:firstLine="0"/>
                                <w:jc w:val="both"/>
                                <w:rPr>
                                  <w:sz w:val="22"/>
                                </w:rPr>
                              </w:pPr>
                              <w:r>
                                <w:rPr>
                                  <w:sz w:val="22"/>
                                </w:rPr>
                                <w:t>Women who develop breast cancer while using postmenopausal HT have a reduced risk</w:t>
                              </w:r>
                              <w:r>
                                <w:rPr>
                                  <w:spacing w:val="40"/>
                                  <w:sz w:val="22"/>
                                </w:rPr>
                                <w:t> </w:t>
                              </w:r>
                              <w:r>
                                <w:rPr>
                                  <w:sz w:val="22"/>
                                </w:rPr>
                                <w:t>of dying from breast cancer compared with never-users. This is probably because of </w:t>
                              </w:r>
                              <w:r>
                                <w:rPr>
                                  <w:sz w:val="22"/>
                                </w:rPr>
                                <w:t>two factors: (1) increased surveillance and early detection and (2) an effect on preexisting tumors so that tumors appear at a less virulent and less aggressive stage.</w:t>
                              </w:r>
                            </w:p>
                          </w:txbxContent>
                        </wps:txbx>
                        <wps:bodyPr wrap="square" lIns="0" tIns="0" rIns="0" bIns="0" rtlCol="0">
                          <a:noAutofit/>
                        </wps:bodyPr>
                      </wps:wsp>
                      <wps:wsp>
                        <wps:cNvPr id="288" name="Textbox 288"/>
                        <wps:cNvSpPr txBox="1"/>
                        <wps:spPr>
                          <a:xfrm>
                            <a:off x="0" y="57149"/>
                            <a:ext cx="5810250" cy="685800"/>
                          </a:xfrm>
                          <a:prstGeom prst="rect">
                            <a:avLst/>
                          </a:prstGeom>
                        </wps:spPr>
                        <wps:txbx>
                          <w:txbxContent>
                            <w:p>
                              <w:pPr>
                                <w:spacing w:before="350"/>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wps:txbx>
                        <wps:bodyPr wrap="square" lIns="0" tIns="0" rIns="0" bIns="0" rtlCol="0">
                          <a:noAutofit/>
                        </wps:bodyPr>
                      </wps:wsp>
                    </wpg:wgp>
                  </a:graphicData>
                </a:graphic>
              </wp:anchor>
            </w:drawing>
          </mc:Choice>
          <mc:Fallback>
            <w:pict>
              <v:group style="position:absolute;margin-left:77.249992pt;margin-top:18.399023pt;width:457.5pt;height:238.5pt;mso-position-horizontal-relative:page;mso-position-vertical-relative:paragraph;z-index:-15654400;mso-wrap-distance-left:0;mso-wrap-distance-right:0" id="docshapegroup258" coordorigin="1545,368" coordsize="9150,4770">
                <v:rect style="position:absolute;left:1545;top:367;width:9150;height:30" id="docshape259" filled="true" fillcolor="#d5e699" stroked="false">
                  <v:fill type="solid"/>
                </v:rect>
                <v:rect style="position:absolute;left:1545;top:1537;width:9150;height:3600" id="docshape260" filled="true" fillcolor="#e9f1cd" stroked="false">
                  <v:fill type="solid"/>
                </v:rect>
                <v:rect style="position:absolute;left:1545;top:457;width:9150;height:1080" id="docshape261" filled="true" fillcolor="#2b816f" stroked="false">
                  <v:fill type="solid"/>
                </v:rect>
                <v:shape style="position:absolute;left:1875;top:728;width:585;height:90" id="docshape262" coordorigin="1875,728" coordsize="585,90" path="m1920,818l1914,818,1908,817,1897,812,1892,809,1888,805,1884,800,1881,796,1878,790,1876,785,1875,779,1875,767,1876,761,1878,756,1881,750,1884,745,1892,737,1897,733,1908,729,1914,728,1926,728,1932,729,1943,733,1948,737,1956,745,1959,750,1962,755,1964,761,1965,767,1965,779,1964,785,1962,790,1959,796,1956,800,1952,805,1948,809,1943,812,1932,817,1926,818,1920,818xm2085,818l2079,818,2073,817,2062,812,2057,809,2053,805,2049,800,2046,796,2043,790,2041,785,2040,779,2040,767,2041,761,2043,756,2046,750,2049,745,2057,737,2062,733,2073,729,2079,728,2091,728,2097,729,2108,733,2112,737,2121,745,2124,750,2126,755,2129,761,2130,767,2130,779,2129,785,2126,790,2124,796,2121,800,2117,805,2112,809,2108,812,2097,817,2091,818,2085,818xm2250,818l2244,818,2238,817,2227,812,2222,809,2218,805,2214,800,2210,796,2208,790,2206,785,2205,779,2205,767,2206,761,2208,756,2210,750,2214,745,2222,737,2227,733,2238,729,2244,728,2256,728,2261,729,2272,733,2277,737,2286,745,2289,750,2291,755,2294,761,2295,767,2295,779,2294,785,2291,790,2289,796,2286,800,2282,805,2277,809,2272,812,2261,817,2256,818,2250,818xm2415,818l2409,818,2403,817,2392,812,2387,809,2383,805,2379,800,2375,796,2373,790,2371,785,2370,779,2370,767,2371,761,2373,756,2375,750,2379,745,2387,737,2392,733,2403,729,2409,728,2421,728,2426,729,2437,733,2442,737,2451,745,2454,750,2456,755,2458,761,2460,767,2460,779,2458,785,2456,790,2454,796,2451,800,2446,805,2442,809,2437,812,2426,817,2421,818,2415,818xe" filled="true" fillcolor="#d0e399" stroked="false">
                  <v:path arrowok="t"/>
                  <v:fill type="solid"/>
                </v:shape>
                <v:shape style="position:absolute;left:1754;top:1943;width:75;height:1965" id="docshape263" coordorigin="1755,1943" coordsize="75,1965" path="m1830,3865l1829,3860,1825,3851,1823,3847,1816,3840,1811,3838,1802,3834,1797,3833,1788,3833,1783,3834,1778,3836,1774,3838,1769,3840,1762,3847,1760,3851,1756,3860,1755,3865,1755,3875,1756,3880,1760,3889,1762,3893,1769,3900,1774,3903,1778,3905,1783,3907,1788,3908,1792,3908,1797,3908,1802,3907,1807,3905,1811,3903,1816,3900,1823,3893,1825,3889,1829,3880,1830,3875,1830,3870,1830,3865xm1830,3325l1829,3320,1825,3311,1823,3307,1816,3300,1811,3297,1807,3296,1802,3294,1797,3293,1788,3293,1783,3294,1778,3296,1774,3297,1769,3300,1762,3307,1760,3311,1756,3320,1755,3325,1755,3335,1756,3340,1760,3349,1762,3353,1766,3357,1769,3360,1774,3363,1783,3367,1788,3368,1792,3368,1797,3368,1802,3367,1811,3363,1816,3360,1819,3357,1823,3353,1825,3349,1829,3340,1830,3335,1830,3330,1830,3325xm1830,3055l1829,3050,1825,3041,1823,3037,1816,3030,1811,3027,1807,3026,1802,3024,1797,3023,1788,3023,1783,3024,1778,3026,1774,3027,1769,3030,1762,3037,1760,3041,1756,3050,1755,3055,1755,3065,1756,3070,1760,3079,1762,3083,1769,3090,1774,3093,1783,3097,1788,3098,1792,3098,1797,3098,1802,3097,1811,3093,1816,3090,1823,3083,1825,3079,1829,3070,1830,3065,1830,3060,1830,3055xm1830,2516l1829,2511,1825,2501,1823,2498,1816,2490,1811,2488,1802,2484,1797,2483,1788,2483,1783,2484,1774,2488,1769,2490,1762,2498,1760,2501,1756,2511,1755,2516,1755,2525,1756,2530,1760,2539,1762,2543,1769,2550,1774,2553,1778,2555,1783,2557,1788,2558,1797,2558,1802,2557,1807,2555,1811,2553,1816,2550,1823,2543,1825,2539,1829,2530,1830,2525,1830,2520,1830,2516xm1830,1976l1829,1971,1827,1966,1825,1961,1823,1957,1816,1950,1811,1948,1802,1944,1797,1943,1788,1943,1783,1944,1778,1946,1774,1948,1769,1950,1762,1957,1760,1961,1756,1971,1755,1976,1755,1985,1756,1990,1760,1999,1762,2003,1769,2010,1774,2013,1778,2015,1783,2017,1788,2018,1792,2018,1797,2018,1802,2017,1807,2015,1811,2013,1816,2010,1823,2003,1825,1999,1829,1990,1830,1985,1830,1980,1830,1976xe" filled="true" fillcolor="#2b816f" stroked="false">
                  <v:path arrowok="t"/>
                  <v:fill type="solid"/>
                </v:shape>
                <v:shape style="position:absolute;left:1545;top:1537;width:9150;height:3600" type="#_x0000_t202" id="docshape264" filled="false" stroked="false">
                  <v:textbox inset="0,0,0,0">
                    <w:txbxContent>
                      <w:p>
                        <w:pPr>
                          <w:spacing w:line="240" w:lineRule="auto" w:before="51"/>
                          <w:rPr>
                            <w:rFonts w:ascii="Arial"/>
                            <w:b/>
                            <w:sz w:val="22"/>
                          </w:rPr>
                        </w:pPr>
                      </w:p>
                      <w:p>
                        <w:pPr>
                          <w:spacing w:line="256" w:lineRule="auto" w:before="0"/>
                          <w:ind w:left="444" w:right="610" w:firstLine="0"/>
                          <w:jc w:val="left"/>
                          <w:rPr>
                            <w:sz w:val="22"/>
                          </w:rPr>
                        </w:pPr>
                        <w:r>
                          <w:rPr>
                            <w:sz w:val="22"/>
                          </w:rPr>
                          <w:t>The</w:t>
                        </w:r>
                        <w:r>
                          <w:rPr>
                            <w:spacing w:val="22"/>
                            <w:sz w:val="22"/>
                          </w:rPr>
                          <w:t> </w:t>
                        </w:r>
                        <w:r>
                          <w:rPr>
                            <w:sz w:val="22"/>
                          </w:rPr>
                          <w:t>WHI</w:t>
                        </w:r>
                        <w:r>
                          <w:rPr>
                            <w:spacing w:val="22"/>
                            <w:sz w:val="22"/>
                          </w:rPr>
                          <w:t> </w:t>
                        </w:r>
                        <w:r>
                          <w:rPr>
                            <w:sz w:val="22"/>
                          </w:rPr>
                          <w:t>agrees</w:t>
                        </w:r>
                        <w:r>
                          <w:rPr>
                            <w:spacing w:val="22"/>
                            <w:sz w:val="22"/>
                          </w:rPr>
                          <w:t> </w:t>
                        </w:r>
                        <w:r>
                          <w:rPr>
                            <w:sz w:val="22"/>
                          </w:rPr>
                          <w:t>with</w:t>
                        </w:r>
                        <w:r>
                          <w:rPr>
                            <w:spacing w:val="22"/>
                            <w:sz w:val="22"/>
                          </w:rPr>
                          <w:t> </w:t>
                        </w:r>
                        <w:r>
                          <w:rPr>
                            <w:sz w:val="22"/>
                          </w:rPr>
                          <w:t>case-control</w:t>
                        </w:r>
                        <w:r>
                          <w:rPr>
                            <w:spacing w:val="22"/>
                            <w:sz w:val="22"/>
                          </w:rPr>
                          <w:t> </w:t>
                        </w:r>
                        <w:r>
                          <w:rPr>
                            <w:sz w:val="22"/>
                          </w:rPr>
                          <w:t>and</w:t>
                        </w:r>
                        <w:r>
                          <w:rPr>
                            <w:spacing w:val="22"/>
                            <w:sz w:val="22"/>
                          </w:rPr>
                          <w:t> </w:t>
                        </w:r>
                        <w:r>
                          <w:rPr>
                            <w:sz w:val="22"/>
                          </w:rPr>
                          <w:t>cohort</w:t>
                        </w:r>
                        <w:r>
                          <w:rPr>
                            <w:spacing w:val="22"/>
                            <w:sz w:val="22"/>
                          </w:rPr>
                          <w:t> </w:t>
                        </w:r>
                        <w:r>
                          <w:rPr>
                            <w:sz w:val="22"/>
                          </w:rPr>
                          <w:t>studies</w:t>
                        </w:r>
                        <w:r>
                          <w:rPr>
                            <w:spacing w:val="22"/>
                            <w:sz w:val="22"/>
                          </w:rPr>
                          <w:t> </w:t>
                        </w:r>
                        <w:r>
                          <w:rPr>
                            <w:sz w:val="22"/>
                          </w:rPr>
                          <w:t>indicating</w:t>
                        </w:r>
                        <w:r>
                          <w:rPr>
                            <w:spacing w:val="22"/>
                            <w:sz w:val="22"/>
                          </w:rPr>
                          <w:t> </w:t>
                        </w:r>
                        <w:r>
                          <w:rPr>
                            <w:sz w:val="22"/>
                          </w:rPr>
                          <w:t>that</w:t>
                        </w:r>
                        <w:r>
                          <w:rPr>
                            <w:spacing w:val="22"/>
                            <w:sz w:val="22"/>
                          </w:rPr>
                          <w:t> </w:t>
                        </w:r>
                        <w:r>
                          <w:rPr>
                            <w:sz w:val="22"/>
                          </w:rPr>
                          <w:t>current</w:t>
                        </w:r>
                        <w:r>
                          <w:rPr>
                            <w:spacing w:val="22"/>
                            <w:sz w:val="22"/>
                          </w:rPr>
                          <w:t> </w:t>
                        </w:r>
                        <w:r>
                          <w:rPr>
                            <w:sz w:val="22"/>
                          </w:rPr>
                          <w:t>use</w:t>
                        </w:r>
                        <w:r>
                          <w:rPr>
                            <w:spacing w:val="22"/>
                            <w:sz w:val="22"/>
                          </w:rPr>
                          <w:t> </w:t>
                        </w:r>
                        <w:r>
                          <w:rPr>
                            <w:sz w:val="22"/>
                          </w:rPr>
                          <w:t>of</w:t>
                        </w:r>
                        <w:r>
                          <w:rPr>
                            <w:spacing w:val="22"/>
                            <w:sz w:val="22"/>
                          </w:rPr>
                          <w:t> </w:t>
                        </w:r>
                        <w:r>
                          <w:rPr>
                            <w:sz w:val="22"/>
                          </w:rPr>
                          <w:t>HT has a slightly increased risk of breast cancer.</w:t>
                        </w:r>
                      </w:p>
                      <w:p>
                        <w:pPr>
                          <w:spacing w:line="256" w:lineRule="auto" w:before="0"/>
                          <w:ind w:left="444" w:right="610" w:firstLine="0"/>
                          <w:jc w:val="left"/>
                          <w:rPr>
                            <w:sz w:val="22"/>
                          </w:rPr>
                        </w:pPr>
                        <w:r>
                          <w:rPr>
                            <w:sz w:val="22"/>
                          </w:rPr>
                          <w:t>The</w:t>
                        </w:r>
                        <w:r>
                          <w:rPr>
                            <w:spacing w:val="40"/>
                            <w:sz w:val="22"/>
                          </w:rPr>
                          <w:t> </w:t>
                        </w:r>
                        <w:r>
                          <w:rPr>
                            <w:sz w:val="22"/>
                          </w:rPr>
                          <w:t>increased</w:t>
                        </w:r>
                        <w:r>
                          <w:rPr>
                            <w:spacing w:val="40"/>
                            <w:sz w:val="22"/>
                          </w:rPr>
                          <w:t> </w:t>
                        </w:r>
                        <w:r>
                          <w:rPr>
                            <w:sz w:val="22"/>
                          </w:rPr>
                          <w:t>risk</w:t>
                        </w:r>
                        <w:r>
                          <w:rPr>
                            <w:spacing w:val="40"/>
                            <w:sz w:val="22"/>
                          </w:rPr>
                          <w:t> </w:t>
                        </w:r>
                        <w:r>
                          <w:rPr>
                            <w:sz w:val="22"/>
                          </w:rPr>
                          <w:t>is</w:t>
                        </w:r>
                        <w:r>
                          <w:rPr>
                            <w:spacing w:val="40"/>
                            <w:sz w:val="22"/>
                          </w:rPr>
                          <w:t> </w:t>
                        </w:r>
                        <w:r>
                          <w:rPr>
                            <w:sz w:val="22"/>
                          </w:rPr>
                          <w:t>observed</w:t>
                        </w:r>
                        <w:r>
                          <w:rPr>
                            <w:spacing w:val="40"/>
                            <w:sz w:val="22"/>
                          </w:rPr>
                          <w:t> </w:t>
                        </w:r>
                        <w:r>
                          <w:rPr>
                            <w:sz w:val="22"/>
                          </w:rPr>
                          <w:t>sooner</w:t>
                        </w:r>
                        <w:r>
                          <w:rPr>
                            <w:spacing w:val="40"/>
                            <w:sz w:val="22"/>
                          </w:rPr>
                          <w:t> </w:t>
                        </w:r>
                        <w:r>
                          <w:rPr>
                            <w:sz w:val="22"/>
                          </w:rPr>
                          <w:t>with</w:t>
                        </w:r>
                        <w:r>
                          <w:rPr>
                            <w:spacing w:val="40"/>
                            <w:sz w:val="22"/>
                          </w:rPr>
                          <w:t> </w:t>
                        </w:r>
                        <w:r>
                          <w:rPr>
                            <w:sz w:val="22"/>
                          </w:rPr>
                          <w:t>the</w:t>
                        </w:r>
                        <w:r>
                          <w:rPr>
                            <w:spacing w:val="40"/>
                            <w:sz w:val="22"/>
                          </w:rPr>
                          <w:t> </w:t>
                        </w:r>
                        <w:r>
                          <w:rPr>
                            <w:sz w:val="22"/>
                          </w:rPr>
                          <w:t>use</w:t>
                        </w:r>
                        <w:r>
                          <w:rPr>
                            <w:spacing w:val="40"/>
                            <w:sz w:val="22"/>
                          </w:rPr>
                          <w:t> </w:t>
                        </w:r>
                        <w:r>
                          <w:rPr>
                            <w:sz w:val="22"/>
                          </w:rPr>
                          <w:t>of</w:t>
                        </w:r>
                        <w:r>
                          <w:rPr>
                            <w:spacing w:val="40"/>
                            <w:sz w:val="22"/>
                          </w:rPr>
                          <w:t> </w:t>
                        </w:r>
                        <w:r>
                          <w:rPr>
                            <w:sz w:val="22"/>
                          </w:rPr>
                          <w:t>combined</w:t>
                        </w:r>
                        <w:r>
                          <w:rPr>
                            <w:spacing w:val="40"/>
                            <w:sz w:val="22"/>
                          </w:rPr>
                          <w:t> </w:t>
                        </w:r>
                        <w:r>
                          <w:rPr>
                            <w:sz w:val="22"/>
                          </w:rPr>
                          <w:t>estrogen-progestin</w:t>
                        </w:r>
                        <w:r>
                          <w:rPr>
                            <w:spacing w:val="40"/>
                            <w:sz w:val="22"/>
                          </w:rPr>
                          <w:t> </w:t>
                        </w:r>
                        <w:r>
                          <w:rPr>
                            <w:spacing w:val="-2"/>
                            <w:sz w:val="22"/>
                          </w:rPr>
                          <w:t>regimens.</w:t>
                        </w:r>
                      </w:p>
                      <w:p>
                        <w:pPr>
                          <w:spacing w:line="256" w:lineRule="auto" w:before="0"/>
                          <w:ind w:left="444" w:right="610" w:firstLine="0"/>
                          <w:jc w:val="left"/>
                          <w:rPr>
                            <w:sz w:val="22"/>
                          </w:rPr>
                        </w:pPr>
                        <w:r>
                          <w:rPr>
                            <w:sz w:val="22"/>
                          </w:rPr>
                          <w:t>The increased risk with HT is confined to ER-positive tumors, mainly lobular cancers. Epidemiologic</w:t>
                        </w:r>
                        <w:r>
                          <w:rPr>
                            <w:spacing w:val="22"/>
                            <w:sz w:val="22"/>
                          </w:rPr>
                          <w:t> </w:t>
                        </w:r>
                        <w:r>
                          <w:rPr>
                            <w:sz w:val="22"/>
                          </w:rPr>
                          <w:t>data</w:t>
                        </w:r>
                        <w:r>
                          <w:rPr>
                            <w:spacing w:val="22"/>
                            <w:sz w:val="22"/>
                          </w:rPr>
                          <w:t> </w:t>
                        </w:r>
                        <w:r>
                          <w:rPr>
                            <w:sz w:val="22"/>
                          </w:rPr>
                          <w:t>indicate</w:t>
                        </w:r>
                        <w:r>
                          <w:rPr>
                            <w:spacing w:val="22"/>
                            <w:sz w:val="22"/>
                          </w:rPr>
                          <w:t> </w:t>
                        </w:r>
                        <w:r>
                          <w:rPr>
                            <w:sz w:val="22"/>
                          </w:rPr>
                          <w:t>that</w:t>
                        </w:r>
                        <w:r>
                          <w:rPr>
                            <w:spacing w:val="22"/>
                            <w:sz w:val="22"/>
                          </w:rPr>
                          <w:t> </w:t>
                        </w:r>
                        <w:r>
                          <w:rPr>
                            <w:sz w:val="22"/>
                          </w:rPr>
                          <w:t>a</w:t>
                        </w:r>
                        <w:r>
                          <w:rPr>
                            <w:spacing w:val="22"/>
                            <w:sz w:val="22"/>
                          </w:rPr>
                          <w:t> </w:t>
                        </w:r>
                        <w:r>
                          <w:rPr>
                            <w:sz w:val="22"/>
                          </w:rPr>
                          <w:t>positive</w:t>
                        </w:r>
                        <w:r>
                          <w:rPr>
                            <w:spacing w:val="22"/>
                            <w:sz w:val="22"/>
                          </w:rPr>
                          <w:t> </w:t>
                        </w:r>
                        <w:r>
                          <w:rPr>
                            <w:sz w:val="22"/>
                          </w:rPr>
                          <w:t>family</w:t>
                        </w:r>
                        <w:r>
                          <w:rPr>
                            <w:spacing w:val="22"/>
                            <w:sz w:val="22"/>
                          </w:rPr>
                          <w:t> </w:t>
                        </w:r>
                        <w:r>
                          <w:rPr>
                            <w:sz w:val="22"/>
                          </w:rPr>
                          <w:t>history</w:t>
                        </w:r>
                        <w:r>
                          <w:rPr>
                            <w:spacing w:val="22"/>
                            <w:sz w:val="22"/>
                          </w:rPr>
                          <w:t> </w:t>
                        </w:r>
                        <w:r>
                          <w:rPr>
                            <w:sz w:val="22"/>
                          </w:rPr>
                          <w:t>of</w:t>
                        </w:r>
                        <w:r>
                          <w:rPr>
                            <w:spacing w:val="22"/>
                            <w:sz w:val="22"/>
                          </w:rPr>
                          <w:t> </w:t>
                        </w:r>
                        <w:r>
                          <w:rPr>
                            <w:sz w:val="22"/>
                          </w:rPr>
                          <w:t>breast</w:t>
                        </w:r>
                        <w:r>
                          <w:rPr>
                            <w:spacing w:val="22"/>
                            <w:sz w:val="22"/>
                          </w:rPr>
                          <w:t> </w:t>
                        </w:r>
                        <w:r>
                          <w:rPr>
                            <w:sz w:val="22"/>
                          </w:rPr>
                          <w:t>cancer</w:t>
                        </w:r>
                        <w:r>
                          <w:rPr>
                            <w:spacing w:val="22"/>
                            <w:sz w:val="22"/>
                          </w:rPr>
                          <w:t> </w:t>
                        </w:r>
                        <w:r>
                          <w:rPr>
                            <w:sz w:val="22"/>
                          </w:rPr>
                          <w:t>or</w:t>
                        </w:r>
                        <w:r>
                          <w:rPr>
                            <w:spacing w:val="22"/>
                            <w:sz w:val="22"/>
                          </w:rPr>
                          <w:t> </w:t>
                        </w:r>
                        <w:r>
                          <w:rPr>
                            <w:sz w:val="22"/>
                          </w:rPr>
                          <w:t>other</w:t>
                        </w:r>
                        <w:r>
                          <w:rPr>
                            <w:spacing w:val="22"/>
                            <w:sz w:val="22"/>
                          </w:rPr>
                          <w:t> </w:t>
                        </w:r>
                        <w:r>
                          <w:rPr>
                            <w:sz w:val="22"/>
                          </w:rPr>
                          <w:t>risk factors should not be contraindications to the use of postmenopausal HT.</w:t>
                        </w:r>
                      </w:p>
                      <w:p>
                        <w:pPr>
                          <w:spacing w:line="256" w:lineRule="auto" w:before="0"/>
                          <w:ind w:left="444" w:right="747" w:firstLine="0"/>
                          <w:jc w:val="both"/>
                          <w:rPr>
                            <w:sz w:val="22"/>
                          </w:rPr>
                        </w:pPr>
                        <w:r>
                          <w:rPr>
                            <w:sz w:val="22"/>
                          </w:rPr>
                          <w:t>Women who develop breast cancer while using postmenopausal HT have a reduced risk</w:t>
                        </w:r>
                        <w:r>
                          <w:rPr>
                            <w:spacing w:val="40"/>
                            <w:sz w:val="22"/>
                          </w:rPr>
                          <w:t> </w:t>
                        </w:r>
                        <w:r>
                          <w:rPr>
                            <w:sz w:val="22"/>
                          </w:rPr>
                          <w:t>of dying from breast cancer compared with never-users. This is probably because of </w:t>
                        </w:r>
                        <w:r>
                          <w:rPr>
                            <w:sz w:val="22"/>
                          </w:rPr>
                          <w:t>two factors: (1) increased surveillance and early detection and (2) an effect on preexisting tumors so that tumors appear at a less virulent and less aggressive stage.</w:t>
                        </w:r>
                      </w:p>
                    </w:txbxContent>
                  </v:textbox>
                  <w10:wrap type="none"/>
                </v:shape>
                <v:shape style="position:absolute;left:1545;top:457;width:9150;height:1080" type="#_x0000_t202" id="docshape265" filled="false" stroked="false">
                  <v:textbox inset="0,0,0,0">
                    <w:txbxContent>
                      <w:p>
                        <w:pPr>
                          <w:spacing w:before="350"/>
                          <w:ind w:left="332" w:right="0" w:firstLine="0"/>
                          <w:jc w:val="left"/>
                          <w:rPr>
                            <w:rFonts w:ascii="Arial"/>
                            <w:sz w:val="33"/>
                          </w:rPr>
                        </w:pPr>
                        <w:r>
                          <w:rPr>
                            <w:rFonts w:ascii="Arial"/>
                            <w:color w:val="FFFFFF"/>
                            <w:sz w:val="33"/>
                          </w:rPr>
                          <w:t>Key</w:t>
                        </w:r>
                        <w:r>
                          <w:rPr>
                            <w:rFonts w:ascii="Arial"/>
                            <w:color w:val="FFFFFF"/>
                            <w:spacing w:val="13"/>
                            <w:sz w:val="33"/>
                          </w:rPr>
                          <w:t> </w:t>
                        </w:r>
                        <w:r>
                          <w:rPr>
                            <w:rFonts w:ascii="Arial"/>
                            <w:color w:val="FFFFFF"/>
                            <w:spacing w:val="-2"/>
                            <w:sz w:val="33"/>
                          </w:rPr>
                          <w:t>Points</w:t>
                        </w:r>
                      </w:p>
                    </w:txbxContent>
                  </v:textbox>
                  <w10:wrap type="none"/>
                </v:shape>
                <w10:wrap type="topAndBottom"/>
              </v:group>
            </w:pict>
          </mc:Fallback>
        </mc:AlternateContent>
      </w:r>
    </w:p>
    <w:p>
      <w:pPr>
        <w:pStyle w:val="BodyText"/>
        <w:spacing w:after="0"/>
        <w:jc w:val="left"/>
        <w:rPr>
          <w:rFonts w:ascii="Arial"/>
          <w:b/>
          <w:sz w:val="20"/>
        </w:rPr>
        <w:sectPr>
          <w:pgSz w:w="12240" w:h="15840"/>
          <w:pgMar w:top="1380" w:bottom="280" w:left="1440" w:right="1440"/>
        </w:sectPr>
      </w:pPr>
    </w:p>
    <w:p>
      <w:pPr>
        <w:spacing w:line="240" w:lineRule="auto"/>
        <w:ind w:left="105" w:right="0" w:firstLine="0"/>
        <w:rPr>
          <w:rFonts w:ascii="Arial"/>
          <w:sz w:val="20"/>
        </w:rPr>
      </w:pPr>
      <w:r>
        <w:rPr>
          <w:rFonts w:ascii="Arial"/>
          <w:sz w:val="20"/>
        </w:rPr>
        <mc:AlternateContent>
          <mc:Choice Requires="wps">
            <w:drawing>
              <wp:inline distT="0" distB="0" distL="0" distR="0">
                <wp:extent cx="5810250" cy="243840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5810250" cy="2438400"/>
                          <a:chExt cx="5810250" cy="2438400"/>
                        </a:xfrm>
                      </wpg:grpSpPr>
                      <wps:wsp>
                        <wps:cNvPr id="290" name="Graphic 290"/>
                        <wps:cNvSpPr/>
                        <wps:spPr>
                          <a:xfrm>
                            <a:off x="0" y="0"/>
                            <a:ext cx="5810250" cy="2438400"/>
                          </a:xfrm>
                          <a:custGeom>
                            <a:avLst/>
                            <a:gdLst/>
                            <a:ahLst/>
                            <a:cxnLst/>
                            <a:rect l="l" t="t" r="r" b="b"/>
                            <a:pathLst>
                              <a:path w="5810250" h="2438400">
                                <a:moveTo>
                                  <a:pt x="5810249" y="2438347"/>
                                </a:moveTo>
                                <a:lnTo>
                                  <a:pt x="0" y="2438347"/>
                                </a:lnTo>
                                <a:lnTo>
                                  <a:pt x="0" y="0"/>
                                </a:lnTo>
                                <a:lnTo>
                                  <a:pt x="5810249" y="0"/>
                                </a:lnTo>
                                <a:lnTo>
                                  <a:pt x="5810249" y="2438347"/>
                                </a:lnTo>
                                <a:close/>
                              </a:path>
                            </a:pathLst>
                          </a:custGeom>
                          <a:solidFill>
                            <a:srgbClr val="E9F1CD"/>
                          </a:solidFill>
                        </wps:spPr>
                        <wps:bodyPr wrap="square" lIns="0" tIns="0" rIns="0" bIns="0" rtlCol="0">
                          <a:prstTxWarp prst="textNoShape">
                            <a:avLst/>
                          </a:prstTxWarp>
                          <a:noAutofit/>
                        </wps:bodyPr>
                      </wps:wsp>
                      <wps:wsp>
                        <wps:cNvPr id="291" name="Graphic 291"/>
                        <wps:cNvSpPr/>
                        <wps:spPr>
                          <a:xfrm>
                            <a:off x="133337" y="66715"/>
                            <a:ext cx="47625" cy="1590675"/>
                          </a:xfrm>
                          <a:custGeom>
                            <a:avLst/>
                            <a:gdLst/>
                            <a:ahLst/>
                            <a:cxnLst/>
                            <a:rect l="l" t="t" r="r" b="b"/>
                            <a:pathLst>
                              <a:path w="47625" h="1590675">
                                <a:moveTo>
                                  <a:pt x="47625" y="1563585"/>
                                </a:moveTo>
                                <a:lnTo>
                                  <a:pt x="26974" y="1543050"/>
                                </a:lnTo>
                                <a:lnTo>
                                  <a:pt x="20662" y="1543050"/>
                                </a:lnTo>
                                <a:lnTo>
                                  <a:pt x="0" y="1563585"/>
                                </a:lnTo>
                                <a:lnTo>
                                  <a:pt x="0" y="1569986"/>
                                </a:lnTo>
                                <a:lnTo>
                                  <a:pt x="23812" y="1590675"/>
                                </a:lnTo>
                                <a:lnTo>
                                  <a:pt x="26974" y="1590522"/>
                                </a:lnTo>
                                <a:lnTo>
                                  <a:pt x="47625" y="1569986"/>
                                </a:lnTo>
                                <a:lnTo>
                                  <a:pt x="47625" y="1566862"/>
                                </a:lnTo>
                                <a:lnTo>
                                  <a:pt x="47625" y="1563585"/>
                                </a:lnTo>
                                <a:close/>
                              </a:path>
                              <a:path w="47625" h="1590675">
                                <a:moveTo>
                                  <a:pt x="47625" y="1220685"/>
                                </a:moveTo>
                                <a:lnTo>
                                  <a:pt x="26974" y="1200150"/>
                                </a:lnTo>
                                <a:lnTo>
                                  <a:pt x="20662" y="1200150"/>
                                </a:lnTo>
                                <a:lnTo>
                                  <a:pt x="0" y="1220685"/>
                                </a:lnTo>
                                <a:lnTo>
                                  <a:pt x="0" y="1227086"/>
                                </a:lnTo>
                                <a:lnTo>
                                  <a:pt x="14706" y="1245679"/>
                                </a:lnTo>
                                <a:lnTo>
                                  <a:pt x="17627" y="1247025"/>
                                </a:lnTo>
                                <a:lnTo>
                                  <a:pt x="20662" y="1247622"/>
                                </a:lnTo>
                                <a:lnTo>
                                  <a:pt x="23812" y="1247775"/>
                                </a:lnTo>
                                <a:lnTo>
                                  <a:pt x="26974" y="1247622"/>
                                </a:lnTo>
                                <a:lnTo>
                                  <a:pt x="30010" y="1247025"/>
                                </a:lnTo>
                                <a:lnTo>
                                  <a:pt x="32931" y="1245679"/>
                                </a:lnTo>
                                <a:lnTo>
                                  <a:pt x="35852" y="1244498"/>
                                </a:lnTo>
                                <a:lnTo>
                                  <a:pt x="47625" y="1227086"/>
                                </a:lnTo>
                                <a:lnTo>
                                  <a:pt x="47625" y="1223962"/>
                                </a:lnTo>
                                <a:lnTo>
                                  <a:pt x="47625" y="1220685"/>
                                </a:lnTo>
                                <a:close/>
                              </a:path>
                              <a:path w="47625" h="1590675">
                                <a:moveTo>
                                  <a:pt x="47625" y="877785"/>
                                </a:moveTo>
                                <a:lnTo>
                                  <a:pt x="26974" y="857250"/>
                                </a:lnTo>
                                <a:lnTo>
                                  <a:pt x="20662" y="857250"/>
                                </a:lnTo>
                                <a:lnTo>
                                  <a:pt x="0" y="877785"/>
                                </a:lnTo>
                                <a:lnTo>
                                  <a:pt x="0" y="884186"/>
                                </a:lnTo>
                                <a:lnTo>
                                  <a:pt x="23812" y="904875"/>
                                </a:lnTo>
                                <a:lnTo>
                                  <a:pt x="26974" y="904722"/>
                                </a:lnTo>
                                <a:lnTo>
                                  <a:pt x="47625" y="884186"/>
                                </a:lnTo>
                                <a:lnTo>
                                  <a:pt x="47625" y="881062"/>
                                </a:lnTo>
                                <a:lnTo>
                                  <a:pt x="47625" y="877785"/>
                                </a:lnTo>
                                <a:close/>
                              </a:path>
                              <a:path w="47625" h="1590675">
                                <a:moveTo>
                                  <a:pt x="47625" y="706335"/>
                                </a:moveTo>
                                <a:lnTo>
                                  <a:pt x="26974" y="685800"/>
                                </a:lnTo>
                                <a:lnTo>
                                  <a:pt x="20662" y="685800"/>
                                </a:lnTo>
                                <a:lnTo>
                                  <a:pt x="0" y="706335"/>
                                </a:lnTo>
                                <a:lnTo>
                                  <a:pt x="0" y="712736"/>
                                </a:lnTo>
                                <a:lnTo>
                                  <a:pt x="23812" y="733425"/>
                                </a:lnTo>
                                <a:lnTo>
                                  <a:pt x="26974" y="733272"/>
                                </a:lnTo>
                                <a:lnTo>
                                  <a:pt x="47625" y="712736"/>
                                </a:lnTo>
                                <a:lnTo>
                                  <a:pt x="47625" y="709612"/>
                                </a:lnTo>
                                <a:lnTo>
                                  <a:pt x="47625" y="706335"/>
                                </a:lnTo>
                                <a:close/>
                              </a:path>
                              <a:path w="47625" h="1590675">
                                <a:moveTo>
                                  <a:pt x="47625" y="20535"/>
                                </a:moveTo>
                                <a:lnTo>
                                  <a:pt x="26974" y="0"/>
                                </a:lnTo>
                                <a:lnTo>
                                  <a:pt x="20662" y="0"/>
                                </a:lnTo>
                                <a:lnTo>
                                  <a:pt x="0" y="20535"/>
                                </a:lnTo>
                                <a:lnTo>
                                  <a:pt x="0" y="26936"/>
                                </a:lnTo>
                                <a:lnTo>
                                  <a:pt x="14706" y="45529"/>
                                </a:lnTo>
                                <a:lnTo>
                                  <a:pt x="17627" y="46875"/>
                                </a:lnTo>
                                <a:lnTo>
                                  <a:pt x="20662" y="47472"/>
                                </a:lnTo>
                                <a:lnTo>
                                  <a:pt x="23812" y="47625"/>
                                </a:lnTo>
                                <a:lnTo>
                                  <a:pt x="26974" y="47472"/>
                                </a:lnTo>
                                <a:lnTo>
                                  <a:pt x="30010" y="46875"/>
                                </a:lnTo>
                                <a:lnTo>
                                  <a:pt x="32931" y="45529"/>
                                </a:lnTo>
                                <a:lnTo>
                                  <a:pt x="35852" y="44348"/>
                                </a:lnTo>
                                <a:lnTo>
                                  <a:pt x="47625" y="26936"/>
                                </a:lnTo>
                                <a:lnTo>
                                  <a:pt x="47625" y="23812"/>
                                </a:lnTo>
                                <a:lnTo>
                                  <a:pt x="47625" y="20535"/>
                                </a:lnTo>
                                <a:close/>
                              </a:path>
                            </a:pathLst>
                          </a:custGeom>
                          <a:solidFill>
                            <a:srgbClr val="2B816F"/>
                          </a:solidFill>
                        </wps:spPr>
                        <wps:bodyPr wrap="square" lIns="0" tIns="0" rIns="0" bIns="0" rtlCol="0">
                          <a:prstTxWarp prst="textNoShape">
                            <a:avLst/>
                          </a:prstTxWarp>
                          <a:noAutofit/>
                        </wps:bodyPr>
                      </wps:wsp>
                      <wps:wsp>
                        <wps:cNvPr id="292" name="Textbox 292"/>
                        <wps:cNvSpPr txBox="1"/>
                        <wps:spPr>
                          <a:xfrm>
                            <a:off x="0" y="0"/>
                            <a:ext cx="5810250" cy="2438400"/>
                          </a:xfrm>
                          <a:prstGeom prst="rect">
                            <a:avLst/>
                          </a:prstGeom>
                        </wps:spPr>
                        <wps:txbx>
                          <w:txbxContent>
                            <w:p>
                              <w:pPr>
                                <w:spacing w:line="256" w:lineRule="auto" w:before="4"/>
                                <w:ind w:left="444" w:right="744" w:firstLine="0"/>
                                <w:jc w:val="both"/>
                                <w:rPr>
                                  <w:sz w:val="22"/>
                                </w:rPr>
                              </w:pPr>
                              <w:r>
                                <w:rPr>
                                  <w:sz w:val="22"/>
                                </w:rPr>
                                <w:t>The most important unanswered question in regard to breast cancer is whether postmenopausal HT initiates the growth of new breast cancers or whether </w:t>
                              </w:r>
                              <w:r>
                                <w:rPr>
                                  <w:sz w:val="22"/>
                                </w:rPr>
                                <w:t>the epidemiologic findings reflect an impact on preexisting tumors. A summary of the wide range of evidence supports a favorable effect of HT on preexisting tumors.</w:t>
                              </w:r>
                            </w:p>
                            <w:p>
                              <w:pPr>
                                <w:spacing w:line="256" w:lineRule="auto" w:before="0"/>
                                <w:ind w:left="444" w:right="750" w:firstLine="0"/>
                                <w:jc w:val="left"/>
                                <w:rPr>
                                  <w:sz w:val="22"/>
                                </w:rPr>
                              </w:pPr>
                              <w:r>
                                <w:rPr>
                                  <w:sz w:val="22"/>
                                </w:rPr>
                                <w:t>Epidemiologic studies find an increased risk within a few years of hormonal exposure. Breast</w:t>
                              </w:r>
                              <w:r>
                                <w:rPr>
                                  <w:spacing w:val="40"/>
                                  <w:sz w:val="22"/>
                                </w:rPr>
                                <w:t> </w:t>
                              </w:r>
                              <w:r>
                                <w:rPr>
                                  <w:sz w:val="22"/>
                                </w:rPr>
                                <w:t>cancer</w:t>
                              </w:r>
                              <w:r>
                                <w:rPr>
                                  <w:spacing w:val="40"/>
                                  <w:sz w:val="22"/>
                                </w:rPr>
                                <w:t> </w:t>
                              </w:r>
                              <w:r>
                                <w:rPr>
                                  <w:sz w:val="22"/>
                                </w:rPr>
                                <w:t>associated</w:t>
                              </w:r>
                              <w:r>
                                <w:rPr>
                                  <w:spacing w:val="40"/>
                                  <w:sz w:val="22"/>
                                </w:rPr>
                                <w:t> </w:t>
                              </w:r>
                              <w:r>
                                <w:rPr>
                                  <w:sz w:val="22"/>
                                </w:rPr>
                                <w:t>with</w:t>
                              </w:r>
                              <w:r>
                                <w:rPr>
                                  <w:spacing w:val="40"/>
                                  <w:sz w:val="22"/>
                                </w:rPr>
                                <w:t> </w:t>
                              </w:r>
                              <w:r>
                                <w:rPr>
                                  <w:sz w:val="22"/>
                                </w:rPr>
                                <w:t>estrogen-progestin</w:t>
                              </w:r>
                              <w:r>
                                <w:rPr>
                                  <w:spacing w:val="40"/>
                                  <w:sz w:val="22"/>
                                </w:rPr>
                                <w:t> </w:t>
                              </w:r>
                              <w:r>
                                <w:rPr>
                                  <w:sz w:val="22"/>
                                </w:rPr>
                                <w:t>therapy</w:t>
                              </w:r>
                              <w:r>
                                <w:rPr>
                                  <w:spacing w:val="40"/>
                                  <w:sz w:val="22"/>
                                </w:rPr>
                                <w:t> </w:t>
                              </w:r>
                              <w:r>
                                <w:rPr>
                                  <w:sz w:val="22"/>
                                </w:rPr>
                                <w:t>is</w:t>
                              </w:r>
                              <w:r>
                                <w:rPr>
                                  <w:spacing w:val="40"/>
                                  <w:sz w:val="22"/>
                                </w:rPr>
                                <w:t> </w:t>
                              </w:r>
                              <w:r>
                                <w:rPr>
                                  <w:sz w:val="22"/>
                                </w:rPr>
                                <w:t>ER-positive,</w:t>
                              </w:r>
                              <w:r>
                                <w:rPr>
                                  <w:spacing w:val="40"/>
                                  <w:sz w:val="22"/>
                                </w:rPr>
                                <w:t> </w:t>
                              </w:r>
                              <w:r>
                                <w:rPr>
                                  <w:sz w:val="22"/>
                                </w:rPr>
                                <w:t>lower-</w:t>
                              </w:r>
                              <w:r>
                                <w:rPr>
                                  <w:sz w:val="22"/>
                                </w:rPr>
                                <w:t>grade, lower-stage disease with better survival rates.</w:t>
                              </w:r>
                            </w:p>
                            <w:p>
                              <w:pPr>
                                <w:spacing w:line="256" w:lineRule="auto" w:before="0"/>
                                <w:ind w:left="444" w:right="0" w:firstLine="0"/>
                                <w:jc w:val="left"/>
                                <w:rPr>
                                  <w:sz w:val="22"/>
                                </w:rPr>
                              </w:pPr>
                              <w:r>
                                <w:rPr>
                                  <w:sz w:val="22"/>
                                </w:rPr>
                                <w:t>Epidemiologic</w:t>
                              </w:r>
                              <w:r>
                                <w:rPr>
                                  <w:spacing w:val="78"/>
                                  <w:sz w:val="22"/>
                                </w:rPr>
                                <w:t> </w:t>
                              </w:r>
                              <w:r>
                                <w:rPr>
                                  <w:sz w:val="22"/>
                                </w:rPr>
                                <w:t>studies</w:t>
                              </w:r>
                              <w:r>
                                <w:rPr>
                                  <w:spacing w:val="78"/>
                                  <w:sz w:val="22"/>
                                </w:rPr>
                                <w:t> </w:t>
                              </w:r>
                              <w:r>
                                <w:rPr>
                                  <w:sz w:val="22"/>
                                </w:rPr>
                                <w:t>find</w:t>
                              </w:r>
                              <w:r>
                                <w:rPr>
                                  <w:spacing w:val="78"/>
                                  <w:sz w:val="22"/>
                                </w:rPr>
                                <w:t> </w:t>
                              </w:r>
                              <w:r>
                                <w:rPr>
                                  <w:sz w:val="22"/>
                                </w:rPr>
                                <w:t>an</w:t>
                              </w:r>
                              <w:r>
                                <w:rPr>
                                  <w:spacing w:val="78"/>
                                  <w:sz w:val="22"/>
                                </w:rPr>
                                <w:t> </w:t>
                              </w:r>
                              <w:r>
                                <w:rPr>
                                  <w:sz w:val="22"/>
                                </w:rPr>
                                <w:t>increased</w:t>
                              </w:r>
                              <w:r>
                                <w:rPr>
                                  <w:spacing w:val="78"/>
                                  <w:sz w:val="22"/>
                                </w:rPr>
                                <w:t> </w:t>
                              </w:r>
                              <w:r>
                                <w:rPr>
                                  <w:sz w:val="22"/>
                                </w:rPr>
                                <w:t>risk</w:t>
                              </w:r>
                              <w:r>
                                <w:rPr>
                                  <w:spacing w:val="78"/>
                                  <w:sz w:val="22"/>
                                </w:rPr>
                                <w:t> </w:t>
                              </w:r>
                              <w:r>
                                <w:rPr>
                                  <w:sz w:val="22"/>
                                </w:rPr>
                                <w:t>only</w:t>
                              </w:r>
                              <w:r>
                                <w:rPr>
                                  <w:spacing w:val="78"/>
                                  <w:sz w:val="22"/>
                                </w:rPr>
                                <w:t> </w:t>
                              </w:r>
                              <w:r>
                                <w:rPr>
                                  <w:sz w:val="22"/>
                                </w:rPr>
                                <w:t>in</w:t>
                              </w:r>
                              <w:r>
                                <w:rPr>
                                  <w:spacing w:val="78"/>
                                  <w:sz w:val="22"/>
                                </w:rPr>
                                <w:t> </w:t>
                              </w:r>
                              <w:r>
                                <w:rPr>
                                  <w:sz w:val="22"/>
                                </w:rPr>
                                <w:t>current</w:t>
                              </w:r>
                              <w:r>
                                <w:rPr>
                                  <w:spacing w:val="78"/>
                                  <w:sz w:val="22"/>
                                </w:rPr>
                                <w:t> </w:t>
                              </w:r>
                              <w:r>
                                <w:rPr>
                                  <w:sz w:val="22"/>
                                </w:rPr>
                                <w:t>users;</w:t>
                              </w:r>
                              <w:r>
                                <w:rPr>
                                  <w:spacing w:val="78"/>
                                  <w:sz w:val="22"/>
                                </w:rPr>
                                <w:t> </w:t>
                              </w:r>
                              <w:r>
                                <w:rPr>
                                  <w:sz w:val="22"/>
                                </w:rPr>
                                <w:t>5</w:t>
                              </w:r>
                              <w:r>
                                <w:rPr>
                                  <w:spacing w:val="78"/>
                                  <w:sz w:val="22"/>
                                </w:rPr>
                                <w:t> </w:t>
                              </w:r>
                              <w:r>
                                <w:rPr>
                                  <w:sz w:val="22"/>
                                </w:rPr>
                                <w:t>years</w:t>
                              </w:r>
                              <w:r>
                                <w:rPr>
                                  <w:spacing w:val="78"/>
                                  <w:sz w:val="22"/>
                                </w:rPr>
                                <w:t> </w:t>
                              </w:r>
                              <w:r>
                                <w:rPr>
                                  <w:sz w:val="22"/>
                                </w:rPr>
                                <w:t>after discontinuation, the risk returns to baseline.</w:t>
                              </w:r>
                            </w:p>
                            <w:p>
                              <w:pPr>
                                <w:spacing w:line="256" w:lineRule="auto" w:before="0"/>
                                <w:ind w:left="444" w:right="743" w:firstLine="0"/>
                                <w:jc w:val="both"/>
                                <w:rPr>
                                  <w:sz w:val="22"/>
                                </w:rPr>
                              </w:pPr>
                              <w:r>
                                <w:rPr>
                                  <w:sz w:val="22"/>
                                </w:rPr>
                                <w:t>The observed rapid decrease in breast cancer prevalence in mid-2000 to 2010s </w:t>
                              </w:r>
                              <w:r>
                                <w:rPr>
                                  <w:sz w:val="22"/>
                                </w:rPr>
                                <w:t>coincides with a decrease in the use of menopausal HT after the release of results of the WHI hormone trials.</w:t>
                              </w:r>
                            </w:p>
                          </w:txbxContent>
                        </wps:txbx>
                        <wps:bodyPr wrap="square" lIns="0" tIns="0" rIns="0" bIns="0" rtlCol="0">
                          <a:noAutofit/>
                        </wps:bodyPr>
                      </wps:wsp>
                    </wpg:wgp>
                  </a:graphicData>
                </a:graphic>
              </wp:inline>
            </w:drawing>
          </mc:Choice>
          <mc:Fallback>
            <w:pict>
              <v:group style="width:457.5pt;height:192pt;mso-position-horizontal-relative:char;mso-position-vertical-relative:line" id="docshapegroup266" coordorigin="0,0" coordsize="9150,3840">
                <v:rect style="position:absolute;left:0;top:0;width:9150;height:3840" id="docshape267" filled="true" fillcolor="#e9f1cd" stroked="false">
                  <v:fill type="solid"/>
                </v:rect>
                <v:shape style="position:absolute;left:209;top:105;width:75;height:2505" id="docshape268" coordorigin="210,105" coordsize="75,2505" path="m285,2567l284,2562,280,2554,278,2550,271,2543,266,2540,257,2536,252,2535,243,2535,238,2536,229,2540,224,2543,217,2550,215,2554,211,2562,210,2567,210,2577,211,2582,215,2591,217,2596,224,2603,229,2605,238,2609,243,2610,247,2610,252,2610,257,2609,266,2605,271,2603,278,2596,280,2591,284,2582,285,2577,285,2573,285,2567xm285,2027l284,2022,280,2013,278,2009,271,2002,266,2000,262,1998,257,1996,252,1995,243,1995,238,1996,233,1998,229,2000,224,2002,217,2009,215,2013,211,2022,210,2027,210,2037,211,2042,215,2051,217,2055,224,2062,229,2065,233,2067,238,2069,243,2070,247,2070,252,2070,257,2069,262,2067,266,2065,271,2062,278,2055,280,2051,284,2042,285,2037,285,2033,285,2027xm285,1487l284,1482,280,1473,278,1469,271,1462,266,1460,262,1458,257,1456,252,1455,243,1455,238,1456,233,1458,229,1460,224,1462,217,1469,215,1473,211,1482,210,1487,210,1497,211,1502,215,1511,217,1516,224,1523,229,1525,233,1527,238,1529,243,1530,247,1530,252,1530,257,1529,262,1527,266,1525,271,1523,278,1516,280,1511,284,1502,285,1497,285,1493,285,1487xm285,1217l284,1212,280,1203,278,1199,271,1192,266,1190,262,1188,257,1186,252,1185,243,1185,238,1186,233,1188,229,1190,224,1192,217,1199,215,1203,211,1212,210,1217,210,1227,211,1232,215,1241,217,1245,221,1249,224,1253,229,1255,238,1259,243,1260,247,1260,252,1260,257,1259,266,1255,271,1253,274,1249,278,1245,280,1241,284,1232,285,1227,285,1223,285,1217xm285,137l284,132,280,123,278,119,271,112,266,110,257,106,252,105,243,105,238,106,233,108,229,110,224,112,217,119,215,123,211,132,210,137,210,147,211,152,215,161,217,165,224,172,229,175,233,177,238,179,243,180,247,180,252,180,257,179,262,177,266,175,271,172,278,165,280,161,284,152,285,147,285,143,285,137xe" filled="true" fillcolor="#2b816f" stroked="false">
                  <v:path arrowok="t"/>
                  <v:fill type="solid"/>
                </v:shape>
                <v:shape style="position:absolute;left:0;top:0;width:9150;height:3840" type="#_x0000_t202" id="docshape269" filled="false" stroked="false">
                  <v:textbox inset="0,0,0,0">
                    <w:txbxContent>
                      <w:p>
                        <w:pPr>
                          <w:spacing w:line="256" w:lineRule="auto" w:before="4"/>
                          <w:ind w:left="444" w:right="744" w:firstLine="0"/>
                          <w:jc w:val="both"/>
                          <w:rPr>
                            <w:sz w:val="22"/>
                          </w:rPr>
                        </w:pPr>
                        <w:r>
                          <w:rPr>
                            <w:sz w:val="22"/>
                          </w:rPr>
                          <w:t>The most important unanswered question in regard to breast cancer is whether postmenopausal HT initiates the growth of new breast cancers or whether </w:t>
                        </w:r>
                        <w:r>
                          <w:rPr>
                            <w:sz w:val="22"/>
                          </w:rPr>
                          <w:t>the epidemiologic findings reflect an impact on preexisting tumors. A summary of the wide range of evidence supports a favorable effect of HT on preexisting tumors.</w:t>
                        </w:r>
                      </w:p>
                      <w:p>
                        <w:pPr>
                          <w:spacing w:line="256" w:lineRule="auto" w:before="0"/>
                          <w:ind w:left="444" w:right="750" w:firstLine="0"/>
                          <w:jc w:val="left"/>
                          <w:rPr>
                            <w:sz w:val="22"/>
                          </w:rPr>
                        </w:pPr>
                        <w:r>
                          <w:rPr>
                            <w:sz w:val="22"/>
                          </w:rPr>
                          <w:t>Epidemiologic studies find an increased risk within a few years of hormonal exposure. Breast</w:t>
                        </w:r>
                        <w:r>
                          <w:rPr>
                            <w:spacing w:val="40"/>
                            <w:sz w:val="22"/>
                          </w:rPr>
                          <w:t> </w:t>
                        </w:r>
                        <w:r>
                          <w:rPr>
                            <w:sz w:val="22"/>
                          </w:rPr>
                          <w:t>cancer</w:t>
                        </w:r>
                        <w:r>
                          <w:rPr>
                            <w:spacing w:val="40"/>
                            <w:sz w:val="22"/>
                          </w:rPr>
                          <w:t> </w:t>
                        </w:r>
                        <w:r>
                          <w:rPr>
                            <w:sz w:val="22"/>
                          </w:rPr>
                          <w:t>associated</w:t>
                        </w:r>
                        <w:r>
                          <w:rPr>
                            <w:spacing w:val="40"/>
                            <w:sz w:val="22"/>
                          </w:rPr>
                          <w:t> </w:t>
                        </w:r>
                        <w:r>
                          <w:rPr>
                            <w:sz w:val="22"/>
                          </w:rPr>
                          <w:t>with</w:t>
                        </w:r>
                        <w:r>
                          <w:rPr>
                            <w:spacing w:val="40"/>
                            <w:sz w:val="22"/>
                          </w:rPr>
                          <w:t> </w:t>
                        </w:r>
                        <w:r>
                          <w:rPr>
                            <w:sz w:val="22"/>
                          </w:rPr>
                          <w:t>estrogen-progestin</w:t>
                        </w:r>
                        <w:r>
                          <w:rPr>
                            <w:spacing w:val="40"/>
                            <w:sz w:val="22"/>
                          </w:rPr>
                          <w:t> </w:t>
                        </w:r>
                        <w:r>
                          <w:rPr>
                            <w:sz w:val="22"/>
                          </w:rPr>
                          <w:t>therapy</w:t>
                        </w:r>
                        <w:r>
                          <w:rPr>
                            <w:spacing w:val="40"/>
                            <w:sz w:val="22"/>
                          </w:rPr>
                          <w:t> </w:t>
                        </w:r>
                        <w:r>
                          <w:rPr>
                            <w:sz w:val="22"/>
                          </w:rPr>
                          <w:t>is</w:t>
                        </w:r>
                        <w:r>
                          <w:rPr>
                            <w:spacing w:val="40"/>
                            <w:sz w:val="22"/>
                          </w:rPr>
                          <w:t> </w:t>
                        </w:r>
                        <w:r>
                          <w:rPr>
                            <w:sz w:val="22"/>
                          </w:rPr>
                          <w:t>ER-positive,</w:t>
                        </w:r>
                        <w:r>
                          <w:rPr>
                            <w:spacing w:val="40"/>
                            <w:sz w:val="22"/>
                          </w:rPr>
                          <w:t> </w:t>
                        </w:r>
                        <w:r>
                          <w:rPr>
                            <w:sz w:val="22"/>
                          </w:rPr>
                          <w:t>lower-</w:t>
                        </w:r>
                        <w:r>
                          <w:rPr>
                            <w:sz w:val="22"/>
                          </w:rPr>
                          <w:t>grade, lower-stage disease with better survival rates.</w:t>
                        </w:r>
                      </w:p>
                      <w:p>
                        <w:pPr>
                          <w:spacing w:line="256" w:lineRule="auto" w:before="0"/>
                          <w:ind w:left="444" w:right="0" w:firstLine="0"/>
                          <w:jc w:val="left"/>
                          <w:rPr>
                            <w:sz w:val="22"/>
                          </w:rPr>
                        </w:pPr>
                        <w:r>
                          <w:rPr>
                            <w:sz w:val="22"/>
                          </w:rPr>
                          <w:t>Epidemiologic</w:t>
                        </w:r>
                        <w:r>
                          <w:rPr>
                            <w:spacing w:val="78"/>
                            <w:sz w:val="22"/>
                          </w:rPr>
                          <w:t> </w:t>
                        </w:r>
                        <w:r>
                          <w:rPr>
                            <w:sz w:val="22"/>
                          </w:rPr>
                          <w:t>studies</w:t>
                        </w:r>
                        <w:r>
                          <w:rPr>
                            <w:spacing w:val="78"/>
                            <w:sz w:val="22"/>
                          </w:rPr>
                          <w:t> </w:t>
                        </w:r>
                        <w:r>
                          <w:rPr>
                            <w:sz w:val="22"/>
                          </w:rPr>
                          <w:t>find</w:t>
                        </w:r>
                        <w:r>
                          <w:rPr>
                            <w:spacing w:val="78"/>
                            <w:sz w:val="22"/>
                          </w:rPr>
                          <w:t> </w:t>
                        </w:r>
                        <w:r>
                          <w:rPr>
                            <w:sz w:val="22"/>
                          </w:rPr>
                          <w:t>an</w:t>
                        </w:r>
                        <w:r>
                          <w:rPr>
                            <w:spacing w:val="78"/>
                            <w:sz w:val="22"/>
                          </w:rPr>
                          <w:t> </w:t>
                        </w:r>
                        <w:r>
                          <w:rPr>
                            <w:sz w:val="22"/>
                          </w:rPr>
                          <w:t>increased</w:t>
                        </w:r>
                        <w:r>
                          <w:rPr>
                            <w:spacing w:val="78"/>
                            <w:sz w:val="22"/>
                          </w:rPr>
                          <w:t> </w:t>
                        </w:r>
                        <w:r>
                          <w:rPr>
                            <w:sz w:val="22"/>
                          </w:rPr>
                          <w:t>risk</w:t>
                        </w:r>
                        <w:r>
                          <w:rPr>
                            <w:spacing w:val="78"/>
                            <w:sz w:val="22"/>
                          </w:rPr>
                          <w:t> </w:t>
                        </w:r>
                        <w:r>
                          <w:rPr>
                            <w:sz w:val="22"/>
                          </w:rPr>
                          <w:t>only</w:t>
                        </w:r>
                        <w:r>
                          <w:rPr>
                            <w:spacing w:val="78"/>
                            <w:sz w:val="22"/>
                          </w:rPr>
                          <w:t> </w:t>
                        </w:r>
                        <w:r>
                          <w:rPr>
                            <w:sz w:val="22"/>
                          </w:rPr>
                          <w:t>in</w:t>
                        </w:r>
                        <w:r>
                          <w:rPr>
                            <w:spacing w:val="78"/>
                            <w:sz w:val="22"/>
                          </w:rPr>
                          <w:t> </w:t>
                        </w:r>
                        <w:r>
                          <w:rPr>
                            <w:sz w:val="22"/>
                          </w:rPr>
                          <w:t>current</w:t>
                        </w:r>
                        <w:r>
                          <w:rPr>
                            <w:spacing w:val="78"/>
                            <w:sz w:val="22"/>
                          </w:rPr>
                          <w:t> </w:t>
                        </w:r>
                        <w:r>
                          <w:rPr>
                            <w:sz w:val="22"/>
                          </w:rPr>
                          <w:t>users;</w:t>
                        </w:r>
                        <w:r>
                          <w:rPr>
                            <w:spacing w:val="78"/>
                            <w:sz w:val="22"/>
                          </w:rPr>
                          <w:t> </w:t>
                        </w:r>
                        <w:r>
                          <w:rPr>
                            <w:sz w:val="22"/>
                          </w:rPr>
                          <w:t>5</w:t>
                        </w:r>
                        <w:r>
                          <w:rPr>
                            <w:spacing w:val="78"/>
                            <w:sz w:val="22"/>
                          </w:rPr>
                          <w:t> </w:t>
                        </w:r>
                        <w:r>
                          <w:rPr>
                            <w:sz w:val="22"/>
                          </w:rPr>
                          <w:t>years</w:t>
                        </w:r>
                        <w:r>
                          <w:rPr>
                            <w:spacing w:val="78"/>
                            <w:sz w:val="22"/>
                          </w:rPr>
                          <w:t> </w:t>
                        </w:r>
                        <w:r>
                          <w:rPr>
                            <w:sz w:val="22"/>
                          </w:rPr>
                          <w:t>after discontinuation, the risk returns to baseline.</w:t>
                        </w:r>
                      </w:p>
                      <w:p>
                        <w:pPr>
                          <w:spacing w:line="256" w:lineRule="auto" w:before="0"/>
                          <w:ind w:left="444" w:right="743" w:firstLine="0"/>
                          <w:jc w:val="both"/>
                          <w:rPr>
                            <w:sz w:val="22"/>
                          </w:rPr>
                        </w:pPr>
                        <w:r>
                          <w:rPr>
                            <w:sz w:val="22"/>
                          </w:rPr>
                          <w:t>The observed rapid decrease in breast cancer prevalence in mid-2000 to 2010s </w:t>
                        </w:r>
                        <w:r>
                          <w:rPr>
                            <w:sz w:val="22"/>
                          </w:rPr>
                          <w:t>coincides with a decrease in the use of menopausal HT after the release of results of the WHI hormone trials.</w:t>
                        </w:r>
                      </w:p>
                    </w:txbxContent>
                  </v:textbox>
                  <w10:wrap type="none"/>
                </v:shape>
              </v:group>
            </w:pict>
          </mc:Fallback>
        </mc:AlternateContent>
      </w:r>
      <w:r>
        <w:rPr>
          <w:rFonts w:ascii="Arial"/>
          <w:sz w:val="20"/>
        </w:rPr>
      </w:r>
    </w:p>
    <w:p>
      <w:pPr>
        <w:pStyle w:val="BodyText"/>
        <w:spacing w:before="0"/>
        <w:ind w:left="0"/>
        <w:jc w:val="left"/>
        <w:rPr>
          <w:rFonts w:ascii="Arial"/>
          <w:b/>
        </w:rPr>
      </w:pPr>
    </w:p>
    <w:p>
      <w:pPr>
        <w:pStyle w:val="BodyText"/>
        <w:spacing w:before="190"/>
        <w:ind w:left="0"/>
        <w:jc w:val="left"/>
        <w:rPr>
          <w:rFonts w:ascii="Arial"/>
          <w:b/>
        </w:rPr>
      </w:pPr>
    </w:p>
    <w:p>
      <w:pPr>
        <w:spacing w:line="249" w:lineRule="auto" w:before="0"/>
        <w:ind w:left="99" w:right="99" w:firstLine="450"/>
        <w:jc w:val="both"/>
        <w:rPr>
          <w:b/>
          <w:sz w:val="30"/>
        </w:rPr>
      </w:pPr>
      <w:r>
        <w:rPr>
          <w:b/>
          <w:sz w:val="30"/>
        </w:rPr>
        <w:t>Postmenopausal HT may be associated with a small increase in the risk of breast cancer. Of course, even a small increase in risk for breast cancer is frightening for patients to contemplate. It is helpful to remind patients of the risk of lung cancer associated with smoking </w:t>
      </w:r>
      <w:r>
        <w:rPr>
          <w:sz w:val="30"/>
        </w:rPr>
        <w:t>(</w:t>
      </w:r>
      <w:r>
        <w:rPr>
          <w:b/>
          <w:sz w:val="30"/>
        </w:rPr>
        <w:t>RR </w:t>
      </w:r>
      <w:r>
        <w:rPr>
          <w:sz w:val="30"/>
        </w:rPr>
        <w:t>= </w:t>
      </w:r>
      <w:r>
        <w:rPr>
          <w:b/>
          <w:sz w:val="30"/>
        </w:rPr>
        <w:t>10-20</w:t>
      </w:r>
      <w:r>
        <w:rPr>
          <w:sz w:val="30"/>
        </w:rPr>
        <w:t>)</w:t>
      </w:r>
      <w:r>
        <w:rPr>
          <w:b/>
          <w:sz w:val="30"/>
        </w:rPr>
        <w:t>, a risk magnitude that provides perspective on the possible risk associated with HT. It is also worth pointing out that the reported </w:t>
      </w:r>
      <w:r>
        <w:rPr>
          <w:b/>
          <w:sz w:val="30"/>
        </w:rPr>
        <w:t>risk with HT is even smaller than that associated with recognized risk factors, such as a positive family history, being overweight after menopause, and alcohol intake. In our view, because the literature is sufficiently strong, it is appropriate to share with patients an alternative explanation for the epidemiologic reports regarding breast cancer and postmenopausal HT. It is helpful to emphasize the possibility that the studies reflect an effect of HT on preexisting tumors and that hormone users who develop breast cancer have a reduced risk of</w:t>
      </w:r>
      <w:r>
        <w:rPr>
          <w:b/>
          <w:spacing w:val="-4"/>
          <w:sz w:val="30"/>
        </w:rPr>
        <w:t> </w:t>
      </w:r>
      <w:r>
        <w:rPr>
          <w:b/>
          <w:sz w:val="30"/>
        </w:rPr>
        <w:t>dying</w:t>
      </w:r>
      <w:r>
        <w:rPr>
          <w:b/>
          <w:spacing w:val="-4"/>
          <w:sz w:val="30"/>
        </w:rPr>
        <w:t> </w:t>
      </w:r>
      <w:r>
        <w:rPr>
          <w:b/>
          <w:sz w:val="30"/>
        </w:rPr>
        <w:t>of</w:t>
      </w:r>
      <w:r>
        <w:rPr>
          <w:b/>
          <w:spacing w:val="-4"/>
          <w:sz w:val="30"/>
        </w:rPr>
        <w:t> </w:t>
      </w:r>
      <w:r>
        <w:rPr>
          <w:b/>
          <w:sz w:val="30"/>
        </w:rPr>
        <w:t>breast</w:t>
      </w:r>
      <w:r>
        <w:rPr>
          <w:b/>
          <w:spacing w:val="-4"/>
          <w:sz w:val="30"/>
        </w:rPr>
        <w:t> </w:t>
      </w:r>
      <w:r>
        <w:rPr>
          <w:b/>
          <w:sz w:val="30"/>
        </w:rPr>
        <w:t>cancer</w:t>
      </w:r>
      <w:r>
        <w:rPr>
          <w:b/>
          <w:spacing w:val="-4"/>
          <w:sz w:val="30"/>
        </w:rPr>
        <w:t> </w:t>
      </w:r>
      <w:r>
        <w:rPr>
          <w:b/>
          <w:sz w:val="30"/>
        </w:rPr>
        <w:t>because</w:t>
      </w:r>
      <w:r>
        <w:rPr>
          <w:b/>
          <w:spacing w:val="-4"/>
          <w:sz w:val="30"/>
        </w:rPr>
        <w:t> </w:t>
      </w:r>
      <w:r>
        <w:rPr>
          <w:b/>
          <w:sz w:val="30"/>
        </w:rPr>
        <w:t>their</w:t>
      </w:r>
      <w:r>
        <w:rPr>
          <w:b/>
          <w:spacing w:val="-4"/>
          <w:sz w:val="30"/>
        </w:rPr>
        <w:t> </w:t>
      </w:r>
      <w:r>
        <w:rPr>
          <w:b/>
          <w:sz w:val="30"/>
        </w:rPr>
        <w:t>tumors</w:t>
      </w:r>
      <w:r>
        <w:rPr>
          <w:b/>
          <w:spacing w:val="-4"/>
          <w:sz w:val="30"/>
        </w:rPr>
        <w:t> </w:t>
      </w:r>
      <w:r>
        <w:rPr>
          <w:b/>
          <w:sz w:val="30"/>
        </w:rPr>
        <w:t>are</w:t>
      </w:r>
      <w:r>
        <w:rPr>
          <w:b/>
          <w:spacing w:val="-4"/>
          <w:sz w:val="30"/>
        </w:rPr>
        <w:t> </w:t>
      </w:r>
      <w:r>
        <w:rPr>
          <w:b/>
          <w:sz w:val="30"/>
        </w:rPr>
        <w:t>better</w:t>
      </w:r>
      <w:r>
        <w:rPr>
          <w:b/>
          <w:spacing w:val="-4"/>
          <w:sz w:val="30"/>
        </w:rPr>
        <w:t> </w:t>
      </w:r>
      <w:r>
        <w:rPr>
          <w:b/>
          <w:sz w:val="30"/>
        </w:rPr>
        <w:t>differentiated, more</w:t>
      </w:r>
      <w:r>
        <w:rPr>
          <w:b/>
          <w:spacing w:val="-3"/>
          <w:sz w:val="30"/>
        </w:rPr>
        <w:t> </w:t>
      </w:r>
      <w:r>
        <w:rPr>
          <w:b/>
          <w:sz w:val="30"/>
        </w:rPr>
        <w:t>localized,</w:t>
      </w:r>
      <w:r>
        <w:rPr>
          <w:b/>
          <w:spacing w:val="-3"/>
          <w:sz w:val="30"/>
        </w:rPr>
        <w:t> </w:t>
      </w:r>
      <w:r>
        <w:rPr>
          <w:b/>
          <w:sz w:val="30"/>
        </w:rPr>
        <w:t>and</w:t>
      </w:r>
      <w:r>
        <w:rPr>
          <w:b/>
          <w:spacing w:val="-3"/>
          <w:sz w:val="30"/>
        </w:rPr>
        <w:t> </w:t>
      </w:r>
      <w:r>
        <w:rPr>
          <w:b/>
          <w:sz w:val="30"/>
        </w:rPr>
        <w:t>smaller.</w:t>
      </w:r>
      <w:r>
        <w:rPr>
          <w:b/>
          <w:spacing w:val="-4"/>
          <w:sz w:val="30"/>
        </w:rPr>
        <w:t> </w:t>
      </w:r>
      <w:r>
        <w:rPr>
          <w:b/>
          <w:sz w:val="30"/>
        </w:rPr>
        <w:t>Contrary</w:t>
      </w:r>
      <w:r>
        <w:rPr>
          <w:b/>
          <w:spacing w:val="-3"/>
          <w:sz w:val="30"/>
        </w:rPr>
        <w:t> </w:t>
      </w:r>
      <w:r>
        <w:rPr>
          <w:b/>
          <w:sz w:val="30"/>
        </w:rPr>
        <w:t>to</w:t>
      </w:r>
      <w:r>
        <w:rPr>
          <w:b/>
          <w:spacing w:val="-3"/>
          <w:sz w:val="30"/>
        </w:rPr>
        <w:t> </w:t>
      </w:r>
      <w:r>
        <w:rPr>
          <w:b/>
          <w:sz w:val="30"/>
        </w:rPr>
        <w:t>the</w:t>
      </w:r>
      <w:r>
        <w:rPr>
          <w:b/>
          <w:spacing w:val="-3"/>
          <w:sz w:val="30"/>
        </w:rPr>
        <w:t> </w:t>
      </w:r>
      <w:r>
        <w:rPr>
          <w:b/>
          <w:sz w:val="30"/>
        </w:rPr>
        <w:t>prevailing</w:t>
      </w:r>
      <w:r>
        <w:rPr>
          <w:b/>
          <w:spacing w:val="-3"/>
          <w:sz w:val="30"/>
        </w:rPr>
        <w:t> </w:t>
      </w:r>
      <w:r>
        <w:rPr>
          <w:b/>
          <w:sz w:val="30"/>
        </w:rPr>
        <w:t>belief,</w:t>
      </w:r>
      <w:r>
        <w:rPr>
          <w:b/>
          <w:spacing w:val="-3"/>
          <w:sz w:val="30"/>
        </w:rPr>
        <w:t> </w:t>
      </w:r>
      <w:r>
        <w:rPr>
          <w:b/>
          <w:sz w:val="30"/>
        </w:rPr>
        <w:t>estrogen-progestin exposure may cause greater differentiation and earlier detection of preexisting tumors, resulting in better outcomes.</w:t>
      </w:r>
    </w:p>
    <w:p>
      <w:pPr>
        <w:pStyle w:val="BodyText"/>
        <w:spacing w:before="0"/>
        <w:ind w:left="0"/>
        <w:jc w:val="left"/>
        <w:rPr>
          <w:b/>
          <w:sz w:val="20"/>
        </w:rPr>
      </w:pPr>
    </w:p>
    <w:p>
      <w:pPr>
        <w:pStyle w:val="BodyText"/>
        <w:spacing w:before="133"/>
        <w:ind w:left="0"/>
        <w:jc w:val="left"/>
        <w:rPr>
          <w:b/>
          <w:sz w:val="20"/>
        </w:rPr>
      </w:pPr>
      <w:r>
        <w:rPr>
          <w:b/>
          <w:sz w:val="20"/>
        </w:rPr>
        <mc:AlternateContent>
          <mc:Choice Requires="wps">
            <w:drawing>
              <wp:anchor distT="0" distB="0" distL="0" distR="0" allowOverlap="1" layoutInCell="1" locked="0" behindDoc="1" simplePos="0" relativeHeight="487663104">
                <wp:simplePos x="0" y="0"/>
                <wp:positionH relativeFrom="page">
                  <wp:posOffset>981075</wp:posOffset>
                </wp:positionH>
                <wp:positionV relativeFrom="paragraph">
                  <wp:posOffset>245972</wp:posOffset>
                </wp:positionV>
                <wp:extent cx="285750" cy="5715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285750" cy="57150"/>
                        </a:xfrm>
                        <a:custGeom>
                          <a:avLst/>
                          <a:gdLst/>
                          <a:ahLst/>
                          <a:cxnLst/>
                          <a:rect l="l" t="t" r="r" b="b"/>
                          <a:pathLst>
                            <a:path w="285750" h="57150">
                              <a:moveTo>
                                <a:pt x="32364" y="57149"/>
                              </a:moveTo>
                              <a:lnTo>
                                <a:pt x="24785" y="57149"/>
                              </a:lnTo>
                              <a:lnTo>
                                <a:pt x="21140" y="56407"/>
                              </a:lnTo>
                              <a:lnTo>
                                <a:pt x="0" y="32299"/>
                              </a:lnTo>
                              <a:lnTo>
                                <a:pt x="0" y="24707"/>
                              </a:lnTo>
                              <a:lnTo>
                                <a:pt x="8369" y="8334"/>
                              </a:lnTo>
                              <a:lnTo>
                                <a:pt x="11048" y="5657"/>
                              </a:lnTo>
                              <a:lnTo>
                                <a:pt x="14138" y="3571"/>
                              </a:lnTo>
                              <a:lnTo>
                                <a:pt x="17639" y="2085"/>
                              </a:lnTo>
                              <a:lnTo>
                                <a:pt x="21140" y="742"/>
                              </a:lnTo>
                              <a:lnTo>
                                <a:pt x="24785" y="0"/>
                              </a:lnTo>
                              <a:lnTo>
                                <a:pt x="32364" y="0"/>
                              </a:lnTo>
                              <a:lnTo>
                                <a:pt x="48780" y="8334"/>
                              </a:lnTo>
                              <a:lnTo>
                                <a:pt x="51459" y="10868"/>
                              </a:lnTo>
                              <a:lnTo>
                                <a:pt x="53524" y="13992"/>
                              </a:lnTo>
                              <a:lnTo>
                                <a:pt x="54974" y="17411"/>
                              </a:lnTo>
                              <a:lnTo>
                                <a:pt x="56424" y="20983"/>
                              </a:lnTo>
                              <a:lnTo>
                                <a:pt x="57149" y="24707"/>
                              </a:lnTo>
                              <a:lnTo>
                                <a:pt x="57149" y="32299"/>
                              </a:lnTo>
                              <a:lnTo>
                                <a:pt x="36009" y="56407"/>
                              </a:lnTo>
                              <a:lnTo>
                                <a:pt x="32364" y="57149"/>
                              </a:lnTo>
                              <a:close/>
                            </a:path>
                            <a:path w="285750" h="57150">
                              <a:moveTo>
                                <a:pt x="146569" y="57149"/>
                              </a:moveTo>
                              <a:lnTo>
                                <a:pt x="138990" y="57149"/>
                              </a:lnTo>
                              <a:lnTo>
                                <a:pt x="135345" y="56407"/>
                              </a:lnTo>
                              <a:lnTo>
                                <a:pt x="114204" y="32299"/>
                              </a:lnTo>
                              <a:lnTo>
                                <a:pt x="114204" y="24707"/>
                              </a:lnTo>
                              <a:lnTo>
                                <a:pt x="122574" y="8334"/>
                              </a:lnTo>
                              <a:lnTo>
                                <a:pt x="125253" y="5657"/>
                              </a:lnTo>
                              <a:lnTo>
                                <a:pt x="128343" y="3571"/>
                              </a:lnTo>
                              <a:lnTo>
                                <a:pt x="131844" y="2085"/>
                              </a:lnTo>
                              <a:lnTo>
                                <a:pt x="135345" y="742"/>
                              </a:lnTo>
                              <a:lnTo>
                                <a:pt x="138990" y="0"/>
                              </a:lnTo>
                              <a:lnTo>
                                <a:pt x="146569" y="0"/>
                              </a:lnTo>
                              <a:lnTo>
                                <a:pt x="162985" y="8334"/>
                              </a:lnTo>
                              <a:lnTo>
                                <a:pt x="165664" y="10868"/>
                              </a:lnTo>
                              <a:lnTo>
                                <a:pt x="167729" y="13992"/>
                              </a:lnTo>
                              <a:lnTo>
                                <a:pt x="169179" y="17411"/>
                              </a:lnTo>
                              <a:lnTo>
                                <a:pt x="170629" y="20983"/>
                              </a:lnTo>
                              <a:lnTo>
                                <a:pt x="171354" y="24707"/>
                              </a:lnTo>
                              <a:lnTo>
                                <a:pt x="171354" y="32299"/>
                              </a:lnTo>
                              <a:lnTo>
                                <a:pt x="150214" y="56407"/>
                              </a:lnTo>
                              <a:lnTo>
                                <a:pt x="146569" y="57149"/>
                              </a:lnTo>
                              <a:close/>
                            </a:path>
                            <a:path w="285750" h="57150">
                              <a:moveTo>
                                <a:pt x="260773" y="57149"/>
                              </a:moveTo>
                              <a:lnTo>
                                <a:pt x="253195" y="57149"/>
                              </a:lnTo>
                              <a:lnTo>
                                <a:pt x="249550" y="56407"/>
                              </a:lnTo>
                              <a:lnTo>
                                <a:pt x="228409" y="32299"/>
                              </a:lnTo>
                              <a:lnTo>
                                <a:pt x="228409" y="24707"/>
                              </a:lnTo>
                              <a:lnTo>
                                <a:pt x="236778" y="8334"/>
                              </a:lnTo>
                              <a:lnTo>
                                <a:pt x="239458" y="5657"/>
                              </a:lnTo>
                              <a:lnTo>
                                <a:pt x="242548" y="3571"/>
                              </a:lnTo>
                              <a:lnTo>
                                <a:pt x="246049" y="2085"/>
                              </a:lnTo>
                              <a:lnTo>
                                <a:pt x="249550" y="742"/>
                              </a:lnTo>
                              <a:lnTo>
                                <a:pt x="253195" y="0"/>
                              </a:lnTo>
                              <a:lnTo>
                                <a:pt x="260773" y="0"/>
                              </a:lnTo>
                              <a:lnTo>
                                <a:pt x="277190" y="8334"/>
                              </a:lnTo>
                              <a:lnTo>
                                <a:pt x="279869" y="10868"/>
                              </a:lnTo>
                              <a:lnTo>
                                <a:pt x="281934" y="13992"/>
                              </a:lnTo>
                              <a:lnTo>
                                <a:pt x="283384" y="17411"/>
                              </a:lnTo>
                              <a:lnTo>
                                <a:pt x="284834" y="20983"/>
                              </a:lnTo>
                              <a:lnTo>
                                <a:pt x="285559" y="24707"/>
                              </a:lnTo>
                              <a:lnTo>
                                <a:pt x="285559" y="32299"/>
                              </a:lnTo>
                              <a:lnTo>
                                <a:pt x="264418" y="56407"/>
                              </a:lnTo>
                              <a:lnTo>
                                <a:pt x="260773"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367889pt;width:22.5pt;height:4.5pt;mso-position-horizontal-relative:page;mso-position-vertical-relative:paragraph;z-index:-15653376;mso-wrap-distance-left:0;mso-wrap-distance-right:0" id="docshape270" coordorigin="1545,387" coordsize="450,90" path="m1596,477l1584,477,1578,476,1573,474,1567,471,1562,468,1558,464,1554,460,1551,455,1546,444,1545,438,1545,426,1546,420,1548,415,1551,409,1554,404,1558,400,1562,396,1567,393,1573,391,1578,389,1584,387,1596,387,1602,389,1607,391,1613,393,1618,396,1622,400,1626,404,1629,409,1632,415,1634,420,1635,426,1635,438,1634,444,1629,455,1626,460,1622,464,1618,468,1613,471,1607,474,1602,476,1596,477xm1776,477l1764,477,1758,476,1753,474,1747,471,1742,468,1738,464,1734,460,1731,455,1726,444,1725,438,1725,426,1726,420,1728,415,1731,409,1734,404,1738,400,1742,396,1747,393,1753,391,1758,389,1764,387,1776,387,1782,389,1787,391,1793,393,1797,396,1802,400,1806,404,1809,409,1811,415,1814,420,1815,426,1815,438,1814,444,1809,455,1806,460,1802,464,1797,468,1793,471,1787,474,1782,476,1776,477xm1956,477l1944,477,1938,476,1932,474,1927,471,1922,468,1918,464,1914,460,1910,455,1906,444,1905,438,1905,426,1906,420,1908,415,1910,409,1914,404,1918,400,1922,396,1927,393,1932,391,1938,389,1944,387,1956,387,1961,389,1967,391,1972,393,1977,396,1982,400,1986,404,1989,409,1991,415,1994,420,1995,426,1995,438,1994,444,1989,455,1986,460,1982,464,1977,468,1972,471,1967,474,1961,476,1956,477xe" filled="true" fillcolor="#bdb4d4" stroked="false">
                <v:path arrowok="t"/>
                <v:fill type="solid"/>
                <w10:wrap type="topAndBottom"/>
              </v:shape>
            </w:pict>
          </mc:Fallback>
        </mc:AlternateContent>
      </w:r>
    </w:p>
    <w:p>
      <w:pPr>
        <w:pStyle w:val="Heading3"/>
      </w:pPr>
      <w:r>
        <w:rPr>
          <w:color w:val="534089"/>
        </w:rPr>
        <w:t>ENDOMETRIAL </w:t>
      </w:r>
      <w:r>
        <w:rPr>
          <w:color w:val="534089"/>
          <w:spacing w:val="-2"/>
        </w:rPr>
        <w:t>NEOPLASIA</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3616">
                <wp:simplePos x="0" y="0"/>
                <wp:positionH relativeFrom="page">
                  <wp:posOffset>981075</wp:posOffset>
                </wp:positionH>
                <wp:positionV relativeFrom="paragraph">
                  <wp:posOffset>45082</wp:posOffset>
                </wp:positionV>
                <wp:extent cx="5810250" cy="1905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49805pt;width:457.499964pt;height:1.5pt;mso-position-horizontal-relative:page;mso-position-vertical-relative:paragraph;z-index:-15652864;mso-wrap-distance-left:0;mso-wrap-distance-right:0" id="docshape271" filled="true" fillcolor="#534089" stroked="false">
                <v:fill type="solid"/>
                <w10:wrap type="topAndBottom"/>
              </v:rect>
            </w:pict>
          </mc:Fallback>
        </mc:AlternateContent>
      </w:r>
    </w:p>
    <w:p>
      <w:pPr>
        <w:pStyle w:val="BodyText"/>
        <w:spacing w:after="0"/>
        <w:jc w:val="left"/>
        <w:rPr>
          <w:rFonts w:ascii="Arial"/>
          <w:b/>
          <w:sz w:val="4"/>
        </w:rPr>
        <w:sectPr>
          <w:pgSz w:w="12240" w:h="15840"/>
          <w:pgMar w:top="1440" w:bottom="280" w:left="1440" w:right="1440"/>
        </w:sectPr>
      </w:pPr>
    </w:p>
    <w:p>
      <w:pPr>
        <w:pStyle w:val="BodyText"/>
        <w:spacing w:line="249" w:lineRule="auto"/>
        <w:ind w:right="105"/>
      </w:pPr>
      <w:r>
        <w:rPr/>
        <w:t>There are two different types of endometrial cancer. The more </w:t>
      </w:r>
      <w:r>
        <w:rPr/>
        <w:t>common form, </w:t>
      </w:r>
      <w:r>
        <w:rPr>
          <w:i/>
        </w:rPr>
        <w:t>endometrioid </w:t>
      </w:r>
      <w:r>
        <w:rPr/>
        <w:t>carcinoma, develops slowly from a precursor lesion in response to estrogen stimulation. This type is less aggressive, is better differentiated, and responds to progestational treatment. In contrast, the uncommon form (perhaps 10-20%) develops rapidly, usually in older women, with a histologic pattern that is more characteristic of serous or clear cell carcinomas, in a background of atrophic endometrium.</w:t>
      </w:r>
    </w:p>
    <w:p>
      <w:pPr>
        <w:spacing w:line="249" w:lineRule="auto" w:before="8"/>
        <w:ind w:left="99" w:right="99" w:firstLine="450"/>
        <w:jc w:val="both"/>
        <w:rPr>
          <w:sz w:val="30"/>
        </w:rPr>
      </w:pPr>
      <w:r>
        <w:rPr>
          <w:sz w:val="30"/>
        </w:rPr>
        <w:t>Estrogen normally promotes mitotic growth of the endometrium. Abnormal progression of growth through simple hyperplasia, complex hyperplasia, atypia, and early carcinoma has been associated </w:t>
      </w:r>
      <w:r>
        <w:rPr>
          <w:sz w:val="30"/>
        </w:rPr>
        <w:t>with unopposed estrogen activity, administered either continuously or in cyclic manner. </w:t>
      </w:r>
      <w:r>
        <w:rPr>
          <w:b/>
          <w:sz w:val="30"/>
        </w:rPr>
        <w:t>Only 1 year of treatment with unopposed estrogen </w:t>
      </w:r>
      <w:r>
        <w:rPr>
          <w:sz w:val="30"/>
        </w:rPr>
        <w:t>(</w:t>
      </w:r>
      <w:r>
        <w:rPr>
          <w:b/>
          <w:sz w:val="30"/>
        </w:rPr>
        <w:t>0.625-mg conjugated estrogens or the equivalent</w:t>
      </w:r>
      <w:r>
        <w:rPr>
          <w:sz w:val="30"/>
        </w:rPr>
        <w:t>) </w:t>
      </w:r>
      <w:r>
        <w:rPr>
          <w:b/>
          <w:sz w:val="30"/>
        </w:rPr>
        <w:t>will produce a 20% incidence</w:t>
      </w:r>
      <w:r>
        <w:rPr>
          <w:b/>
          <w:spacing w:val="40"/>
          <w:sz w:val="30"/>
        </w:rPr>
        <w:t> </w:t>
      </w:r>
      <w:r>
        <w:rPr>
          <w:b/>
          <w:sz w:val="30"/>
        </w:rPr>
        <w:t>of endometrial hyperplasia, largely simple hyperplasia. </w:t>
      </w:r>
      <w:r>
        <w:rPr>
          <w:sz w:val="30"/>
        </w:rPr>
        <w:t>In the 3-year PEPI trial, 30% of the women on unopposed estrogen developed adenomatous or atypical hyperplasia.</w:t>
      </w:r>
      <w:r>
        <w:rPr>
          <w:sz w:val="30"/>
          <w:vertAlign w:val="superscript"/>
        </w:rPr>
        <w:t>108,111,112</w:t>
      </w:r>
      <w:r>
        <w:rPr>
          <w:sz w:val="30"/>
          <w:vertAlign w:val="baseline"/>
        </w:rPr>
        <w:t> Some 10% of women with complex hyperplasia progress to frank cancer, and complex hyperplasia is observed to antedate adenocarcinoma in 25% to 30% of cases. </w:t>
      </w:r>
      <w:r>
        <w:rPr>
          <w:b/>
          <w:sz w:val="30"/>
          <w:vertAlign w:val="baseline"/>
        </w:rPr>
        <w:t>If histologic evidence</w:t>
      </w:r>
      <w:r>
        <w:rPr>
          <w:b/>
          <w:spacing w:val="-4"/>
          <w:sz w:val="30"/>
          <w:vertAlign w:val="baseline"/>
        </w:rPr>
        <w:t> </w:t>
      </w:r>
      <w:r>
        <w:rPr>
          <w:b/>
          <w:sz w:val="30"/>
          <w:vertAlign w:val="baseline"/>
        </w:rPr>
        <w:t>of</w:t>
      </w:r>
      <w:r>
        <w:rPr>
          <w:b/>
          <w:spacing w:val="-4"/>
          <w:sz w:val="30"/>
          <w:vertAlign w:val="baseline"/>
        </w:rPr>
        <w:t> </w:t>
      </w:r>
      <w:r>
        <w:rPr>
          <w:b/>
          <w:sz w:val="30"/>
          <w:vertAlign w:val="baseline"/>
        </w:rPr>
        <w:t>atypia</w:t>
      </w:r>
      <w:r>
        <w:rPr>
          <w:b/>
          <w:spacing w:val="-4"/>
          <w:sz w:val="30"/>
          <w:vertAlign w:val="baseline"/>
        </w:rPr>
        <w:t> </w:t>
      </w:r>
      <w:r>
        <w:rPr>
          <w:b/>
          <w:sz w:val="30"/>
          <w:vertAlign w:val="baseline"/>
        </w:rPr>
        <w:t>is</w:t>
      </w:r>
      <w:r>
        <w:rPr>
          <w:b/>
          <w:spacing w:val="-4"/>
          <w:sz w:val="30"/>
          <w:vertAlign w:val="baseline"/>
        </w:rPr>
        <w:t> </w:t>
      </w:r>
      <w:r>
        <w:rPr>
          <w:b/>
          <w:sz w:val="30"/>
          <w:vertAlign w:val="baseline"/>
        </w:rPr>
        <w:t>present,</w:t>
      </w:r>
      <w:r>
        <w:rPr>
          <w:b/>
          <w:spacing w:val="-4"/>
          <w:sz w:val="30"/>
          <w:vertAlign w:val="baseline"/>
        </w:rPr>
        <w:t> </w:t>
      </w:r>
      <w:r>
        <w:rPr>
          <w:b/>
          <w:sz w:val="30"/>
          <w:vertAlign w:val="baseline"/>
        </w:rPr>
        <w:t>20%</w:t>
      </w:r>
      <w:r>
        <w:rPr>
          <w:b/>
          <w:spacing w:val="-4"/>
          <w:sz w:val="30"/>
          <w:vertAlign w:val="baseline"/>
        </w:rPr>
        <w:t> </w:t>
      </w:r>
      <w:r>
        <w:rPr>
          <w:b/>
          <w:sz w:val="30"/>
          <w:vertAlign w:val="baseline"/>
        </w:rPr>
        <w:t>to</w:t>
      </w:r>
      <w:r>
        <w:rPr>
          <w:b/>
          <w:spacing w:val="-4"/>
          <w:sz w:val="30"/>
          <w:vertAlign w:val="baseline"/>
        </w:rPr>
        <w:t> </w:t>
      </w:r>
      <w:r>
        <w:rPr>
          <w:b/>
          <w:sz w:val="30"/>
          <w:vertAlign w:val="baseline"/>
        </w:rPr>
        <w:t>25%</w:t>
      </w:r>
      <w:r>
        <w:rPr>
          <w:b/>
          <w:spacing w:val="-4"/>
          <w:sz w:val="30"/>
          <w:vertAlign w:val="baseline"/>
        </w:rPr>
        <w:t> </w:t>
      </w:r>
      <w:r>
        <w:rPr>
          <w:b/>
          <w:sz w:val="30"/>
          <w:vertAlign w:val="baseline"/>
        </w:rPr>
        <w:t>of</w:t>
      </w:r>
      <w:r>
        <w:rPr>
          <w:b/>
          <w:spacing w:val="-4"/>
          <w:sz w:val="30"/>
          <w:vertAlign w:val="baseline"/>
        </w:rPr>
        <w:t> </w:t>
      </w:r>
      <w:r>
        <w:rPr>
          <w:b/>
          <w:sz w:val="30"/>
          <w:vertAlign w:val="baseline"/>
        </w:rPr>
        <w:t>these</w:t>
      </w:r>
      <w:r>
        <w:rPr>
          <w:b/>
          <w:spacing w:val="-4"/>
          <w:sz w:val="30"/>
          <w:vertAlign w:val="baseline"/>
        </w:rPr>
        <w:t> </w:t>
      </w:r>
      <w:r>
        <w:rPr>
          <w:b/>
          <w:sz w:val="30"/>
          <w:vertAlign w:val="baseline"/>
        </w:rPr>
        <w:t>cases</w:t>
      </w:r>
      <w:r>
        <w:rPr>
          <w:b/>
          <w:spacing w:val="-4"/>
          <w:sz w:val="30"/>
          <w:vertAlign w:val="baseline"/>
        </w:rPr>
        <w:t> </w:t>
      </w:r>
      <w:r>
        <w:rPr>
          <w:b/>
          <w:sz w:val="30"/>
          <w:vertAlign w:val="baseline"/>
        </w:rPr>
        <w:t>will</w:t>
      </w:r>
      <w:r>
        <w:rPr>
          <w:b/>
          <w:spacing w:val="-4"/>
          <w:sz w:val="30"/>
          <w:vertAlign w:val="baseline"/>
        </w:rPr>
        <w:t> </w:t>
      </w:r>
      <w:r>
        <w:rPr>
          <w:b/>
          <w:sz w:val="30"/>
          <w:vertAlign w:val="baseline"/>
        </w:rPr>
        <w:t>progress</w:t>
      </w:r>
      <w:r>
        <w:rPr>
          <w:b/>
          <w:spacing w:val="-4"/>
          <w:sz w:val="30"/>
          <w:vertAlign w:val="baseline"/>
        </w:rPr>
        <w:t> </w:t>
      </w:r>
      <w:r>
        <w:rPr>
          <w:b/>
          <w:sz w:val="30"/>
          <w:vertAlign w:val="baseline"/>
        </w:rPr>
        <w:t>to carcinoma within a year.</w:t>
      </w:r>
      <w:r>
        <w:rPr>
          <w:sz w:val="30"/>
          <w:vertAlign w:val="superscript"/>
        </w:rPr>
        <w:t>1041</w:t>
      </w:r>
    </w:p>
    <w:p>
      <w:pPr>
        <w:pStyle w:val="BodyText"/>
        <w:spacing w:line="249" w:lineRule="auto" w:before="16"/>
        <w:ind w:right="99" w:firstLine="450"/>
      </w:pPr>
      <w:r>
        <w:rPr/>
        <w:t>Multiple case-control and cohort studies have estimated that the risk of endometrial cancer in women on ET (unopposed by a progestational agent) is increased by a factor of somewhere from b.i.d. to 10 times the background incidence of 1 per 1,000 postmenopausal women per year.</w:t>
      </w:r>
      <w:r>
        <w:rPr>
          <w:vertAlign w:val="superscript"/>
        </w:rPr>
        <w:t>1042,1043</w:t>
      </w:r>
      <w:r>
        <w:rPr>
          <w:vertAlign w:val="baseline"/>
        </w:rPr>
        <w:t> </w:t>
      </w:r>
      <w:r>
        <w:rPr>
          <w:b/>
          <w:vertAlign w:val="baseline"/>
        </w:rPr>
        <w:t>The risk increases with the dose of estrogen and with </w:t>
      </w:r>
      <w:r>
        <w:rPr>
          <w:b/>
          <w:vertAlign w:val="baseline"/>
        </w:rPr>
        <w:t>the duration of exposure </w:t>
      </w:r>
      <w:r>
        <w:rPr>
          <w:vertAlign w:val="baseline"/>
        </w:rPr>
        <w:t>(reaching a 10-fold increase with 10-15 years of use, perhaps an incidence of 1 in 10 with very long-term use) </w:t>
      </w:r>
      <w:r>
        <w:rPr>
          <w:b/>
          <w:vertAlign w:val="baseline"/>
        </w:rPr>
        <w:t>and lingers for</w:t>
      </w:r>
      <w:r>
        <w:rPr>
          <w:b/>
          <w:spacing w:val="40"/>
          <w:vertAlign w:val="baseline"/>
        </w:rPr>
        <w:t> </w:t>
      </w:r>
      <w:r>
        <w:rPr>
          <w:b/>
          <w:vertAlign w:val="baseline"/>
        </w:rPr>
        <w:t>up to 10 years after estrogen is discontinued.</w:t>
      </w:r>
      <w:r>
        <w:rPr>
          <w:vertAlign w:val="superscript"/>
        </w:rPr>
        <w:t>1044-1046</w:t>
      </w:r>
      <w:r>
        <w:rPr>
          <w:vertAlign w:val="baseline"/>
        </w:rPr>
        <w:t> The risk of cancer that has already spread beyond the uterus is increased 3-fold in women who have used systemic estrogen for a year or longer.</w:t>
      </w:r>
      <w:r>
        <w:rPr>
          <w:vertAlign w:val="superscript"/>
        </w:rPr>
        <w:t>1044,1047</w:t>
      </w:r>
      <w:r>
        <w:rPr>
          <w:vertAlign w:val="baseline"/>
        </w:rPr>
        <w:t> Although most endometrial cancer associated with estrogen use is of low grade and stage, and associated with better survival (probably because of early detection), the overall risk of invasive cancer and death is increased. The risk of endometrial hyperplasia and cancer is not reduced by the administration of unopposed estrogen in a cyclic manner (a period of time each month without treatment).</w:t>
      </w:r>
      <w:r>
        <w:rPr>
          <w:vertAlign w:val="superscript"/>
        </w:rPr>
        <w:t>1042,1048</w:t>
      </w:r>
    </w:p>
    <w:p>
      <w:pPr>
        <w:pStyle w:val="BodyText"/>
        <w:spacing w:after="0" w:line="249" w:lineRule="auto"/>
        <w:sectPr>
          <w:pgSz w:w="12240" w:h="15840"/>
          <w:pgMar w:top="1380" w:bottom="280" w:left="1440" w:right="1440"/>
        </w:sectPr>
      </w:pPr>
    </w:p>
    <w:p>
      <w:pPr>
        <w:pStyle w:val="BodyText"/>
        <w:spacing w:line="249" w:lineRule="auto"/>
        <w:ind w:right="98" w:firstLine="450"/>
      </w:pPr>
      <w:r>
        <w:rPr/>
        <w:t>Dose as well as duration of estrogen exposure are both relevant to endometrial risk. A short-term study (2 years) indicated that estrogen-only treatment in one-half the usual standard dose of estrogen (in this case, 0.3 mg esterified estrogens) was not associated with an increased incidence </w:t>
      </w:r>
      <w:r>
        <w:rPr/>
        <w:t>of endometrial hyperplasia compared with a placebo group.</w:t>
      </w:r>
      <w:r>
        <w:rPr>
          <w:vertAlign w:val="superscript"/>
        </w:rPr>
        <w:t>1049</w:t>
      </w:r>
      <w:r>
        <w:rPr>
          <w:vertAlign w:val="baseline"/>
        </w:rPr>
        <w:t> In a similar 2-year study, endometrial stimulation with the transdermal delivery of a very low dose of estradiol, 14 μg/d, also did not differ compared with</w:t>
      </w:r>
      <w:r>
        <w:rPr>
          <w:spacing w:val="40"/>
          <w:vertAlign w:val="baseline"/>
        </w:rPr>
        <w:t> </w:t>
      </w:r>
      <w:r>
        <w:rPr>
          <w:vertAlign w:val="baseline"/>
        </w:rPr>
        <w:t>placebo.</w:t>
      </w:r>
      <w:r>
        <w:rPr>
          <w:vertAlign w:val="superscript"/>
        </w:rPr>
        <w:t>1050</w:t>
      </w:r>
      <w:r>
        <w:rPr>
          <w:vertAlign w:val="baseline"/>
        </w:rPr>
        <w:t> However, </w:t>
      </w:r>
      <w:r>
        <w:rPr>
          <w:b/>
          <w:vertAlign w:val="baseline"/>
        </w:rPr>
        <w:t>we have learned that long-term exposure to low levels of estrogen can also induce abnormal endometrial growth </w:t>
      </w:r>
      <w:r>
        <w:rPr>
          <w:vertAlign w:val="baseline"/>
        </w:rPr>
        <w:t>(</w:t>
      </w:r>
      <w:r>
        <w:rPr>
          <w:b/>
          <w:vertAlign w:val="baseline"/>
        </w:rPr>
        <w:t>it just takes longer</w:t>
      </w:r>
      <w:r>
        <w:rPr>
          <w:vertAlign w:val="baseline"/>
        </w:rPr>
        <w:t>)</w:t>
      </w:r>
      <w:r>
        <w:rPr>
          <w:b/>
          <w:vertAlign w:val="baseline"/>
        </w:rPr>
        <w:t>, and, in our view, lower dose ET requires either ongoing endometrial assessment, perhaps annually, or the addition of a progestin to the treatment regimen. </w:t>
      </w:r>
      <w:r>
        <w:rPr>
          <w:vertAlign w:val="baseline"/>
        </w:rPr>
        <w:t>This is supported by a case-control study from Washington that contained 18 cases and 9 controls who had exclusively used only 0.3 mg/d of unopposed conjugated estrogens.</w:t>
      </w:r>
      <w:r>
        <w:rPr>
          <w:vertAlign w:val="superscript"/>
        </w:rPr>
        <w:t>1051</w:t>
      </w:r>
      <w:r>
        <w:rPr>
          <w:vertAlign w:val="baseline"/>
        </w:rPr>
        <w:t> The use of this half-dose estrogen was associated with an overall 5-fold increased risk of endometrial cancer, reaching an RR of 9.2 in current users for more than 8 years’ duration. Although limited by small numbers, the conclusion is logical and consistent with our understanding of the importance of duration of exposure to any increased level of endometrial estrogen stimulation. In a randomized trial, endometrial hyperplasia was increased after 2 years of treatment with 0.3 mg conjugated estrogens without a progestin.</w:t>
      </w:r>
      <w:r>
        <w:rPr>
          <w:vertAlign w:val="superscript"/>
        </w:rPr>
        <w:t>114</w:t>
      </w:r>
    </w:p>
    <w:p>
      <w:pPr>
        <w:pStyle w:val="BodyText"/>
        <w:spacing w:line="249" w:lineRule="auto" w:before="27"/>
        <w:ind w:right="98" w:firstLine="450"/>
      </w:pPr>
      <w:r>
        <w:rPr>
          <w:b/>
        </w:rPr>
        <w:t>The risk of endometrial excessive proliferation is reduced by the addition of a progestational agent to the treatment </w:t>
      </w:r>
      <w:r>
        <w:rPr>
          <w:b/>
        </w:rPr>
        <w:t>regimen</w:t>
      </w:r>
      <w:r>
        <w:rPr/>
        <w:t>.</w:t>
      </w:r>
      <w:r>
        <w:rPr>
          <w:vertAlign w:val="superscript"/>
        </w:rPr>
        <w:t>108,112</w:t>
      </w:r>
      <w:r>
        <w:rPr>
          <w:vertAlign w:val="baseline"/>
        </w:rPr>
        <w:t> Although estrogen promotes the growth of endometrium, progestins inhibit that growth. This counter effect is accomplished by progestin-induced reduction in cellular receptors for estrogen and by induction of target cell enzymes</w:t>
      </w:r>
      <w:r>
        <w:rPr>
          <w:spacing w:val="-2"/>
          <w:vertAlign w:val="baseline"/>
        </w:rPr>
        <w:t> </w:t>
      </w:r>
      <w:r>
        <w:rPr>
          <w:vertAlign w:val="baseline"/>
        </w:rPr>
        <w:t>that</w:t>
      </w:r>
      <w:r>
        <w:rPr>
          <w:spacing w:val="-2"/>
          <w:vertAlign w:val="baseline"/>
        </w:rPr>
        <w:t> </w:t>
      </w:r>
      <w:r>
        <w:rPr>
          <w:vertAlign w:val="baseline"/>
        </w:rPr>
        <w:t>convert</w:t>
      </w:r>
      <w:r>
        <w:rPr>
          <w:spacing w:val="-2"/>
          <w:vertAlign w:val="baseline"/>
        </w:rPr>
        <w:t> </w:t>
      </w:r>
      <w:r>
        <w:rPr>
          <w:vertAlign w:val="baseline"/>
        </w:rPr>
        <w:t>estradiol</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excreted</w:t>
      </w:r>
      <w:r>
        <w:rPr>
          <w:spacing w:val="-2"/>
          <w:vertAlign w:val="baseline"/>
        </w:rPr>
        <w:t> </w:t>
      </w:r>
      <w:r>
        <w:rPr>
          <w:vertAlign w:val="baseline"/>
        </w:rPr>
        <w:t>metabolite</w:t>
      </w:r>
      <w:r>
        <w:rPr>
          <w:spacing w:val="-2"/>
          <w:vertAlign w:val="baseline"/>
        </w:rPr>
        <w:t> </w:t>
      </w:r>
      <w:r>
        <w:rPr>
          <w:vertAlign w:val="baseline"/>
        </w:rPr>
        <w:t>estrone</w:t>
      </w:r>
      <w:r>
        <w:rPr>
          <w:spacing w:val="-2"/>
          <w:vertAlign w:val="baseline"/>
        </w:rPr>
        <w:t> </w:t>
      </w:r>
      <w:r>
        <w:rPr>
          <w:vertAlign w:val="baseline"/>
        </w:rPr>
        <w:t>sulfate.</w:t>
      </w:r>
      <w:r>
        <w:rPr>
          <w:spacing w:val="-2"/>
          <w:vertAlign w:val="baseline"/>
        </w:rPr>
        <w:t> </w:t>
      </w:r>
      <w:r>
        <w:rPr>
          <w:vertAlign w:val="baseline"/>
        </w:rPr>
        <w:t>As a result, the number of ER complexes that are retained in the endometrial nuclei is decreased, as is the overall intracellular availability of the</w:t>
      </w:r>
      <w:r>
        <w:rPr>
          <w:spacing w:val="80"/>
          <w:vertAlign w:val="baseline"/>
        </w:rPr>
        <w:t> </w:t>
      </w:r>
      <w:r>
        <w:rPr>
          <w:vertAlign w:val="baseline"/>
        </w:rPr>
        <w:t>powerful estradiol. In addition, progestational agents suppress estrogen-mediated transcription of oncogenes.</w:t>
      </w:r>
    </w:p>
    <w:p>
      <w:pPr>
        <w:pStyle w:val="BodyText"/>
        <w:spacing w:line="249" w:lineRule="auto" w:before="12"/>
        <w:ind w:right="100" w:firstLine="450"/>
      </w:pPr>
      <w:r>
        <w:rPr/>
        <w:t>Reports of the clinical impact of adding progestin in sequence </w:t>
      </w:r>
      <w:r>
        <w:rPr/>
        <w:t>with estrogen include both the reversal of hyperplasia and a diminished</w:t>
      </w:r>
      <w:r>
        <w:rPr>
          <w:spacing w:val="40"/>
        </w:rPr>
        <w:t> </w:t>
      </w:r>
      <w:r>
        <w:rPr/>
        <w:t>incidence of endometrial cancer.</w:t>
      </w:r>
      <w:r>
        <w:rPr>
          <w:vertAlign w:val="superscript"/>
        </w:rPr>
        <w:t>1052-1057</w:t>
      </w:r>
      <w:r>
        <w:rPr>
          <w:vertAlign w:val="baseline"/>
        </w:rPr>
        <w:t> The protective action of progestational</w:t>
      </w:r>
      <w:r>
        <w:rPr>
          <w:spacing w:val="25"/>
          <w:vertAlign w:val="baseline"/>
        </w:rPr>
        <w:t> </w:t>
      </w:r>
      <w:r>
        <w:rPr>
          <w:vertAlign w:val="baseline"/>
        </w:rPr>
        <w:t>agents</w:t>
      </w:r>
      <w:r>
        <w:rPr>
          <w:spacing w:val="25"/>
          <w:vertAlign w:val="baseline"/>
        </w:rPr>
        <w:t> </w:t>
      </w:r>
      <w:r>
        <w:rPr>
          <w:vertAlign w:val="baseline"/>
        </w:rPr>
        <w:t>operates</w:t>
      </w:r>
      <w:r>
        <w:rPr>
          <w:spacing w:val="25"/>
          <w:vertAlign w:val="baseline"/>
        </w:rPr>
        <w:t> </w:t>
      </w:r>
      <w:r>
        <w:rPr>
          <w:vertAlign w:val="baseline"/>
        </w:rPr>
        <w:t>via</w:t>
      </w:r>
      <w:r>
        <w:rPr>
          <w:spacing w:val="25"/>
          <w:vertAlign w:val="baseline"/>
        </w:rPr>
        <w:t> </w:t>
      </w:r>
      <w:r>
        <w:rPr>
          <w:vertAlign w:val="baseline"/>
        </w:rPr>
        <w:t>a</w:t>
      </w:r>
      <w:r>
        <w:rPr>
          <w:spacing w:val="25"/>
          <w:vertAlign w:val="baseline"/>
        </w:rPr>
        <w:t> </w:t>
      </w:r>
      <w:r>
        <w:rPr>
          <w:vertAlign w:val="baseline"/>
        </w:rPr>
        <w:t>mechanism</w:t>
      </w:r>
      <w:r>
        <w:rPr>
          <w:spacing w:val="25"/>
          <w:vertAlign w:val="baseline"/>
        </w:rPr>
        <w:t> </w:t>
      </w:r>
      <w:r>
        <w:rPr>
          <w:vertAlign w:val="baseline"/>
        </w:rPr>
        <w:t>that</w:t>
      </w:r>
      <w:r>
        <w:rPr>
          <w:spacing w:val="25"/>
          <w:vertAlign w:val="baseline"/>
        </w:rPr>
        <w:t> </w:t>
      </w:r>
      <w:r>
        <w:rPr>
          <w:vertAlign w:val="baseline"/>
        </w:rPr>
        <w:t>requires</w:t>
      </w:r>
      <w:r>
        <w:rPr>
          <w:spacing w:val="25"/>
          <w:vertAlign w:val="baseline"/>
        </w:rPr>
        <w:t> </w:t>
      </w:r>
      <w:r>
        <w:rPr>
          <w:vertAlign w:val="baseline"/>
        </w:rPr>
        <w:t>time</w:t>
      </w:r>
      <w:r>
        <w:rPr>
          <w:spacing w:val="25"/>
          <w:vertAlign w:val="baseline"/>
        </w:rPr>
        <w:t> </w:t>
      </w:r>
      <w:r>
        <w:rPr>
          <w:vertAlign w:val="baseline"/>
        </w:rPr>
        <w:t>in</w:t>
      </w:r>
      <w:r>
        <w:rPr>
          <w:spacing w:val="25"/>
          <w:vertAlign w:val="baseline"/>
        </w:rPr>
        <w:t> </w:t>
      </w:r>
      <w:r>
        <w:rPr>
          <w:spacing w:val="-2"/>
          <w:vertAlign w:val="baseline"/>
        </w:rPr>
        <w:t>order</w:t>
      </w:r>
    </w:p>
    <w:p>
      <w:pPr>
        <w:pStyle w:val="BodyText"/>
        <w:spacing w:after="0" w:line="249" w:lineRule="auto"/>
        <w:sectPr>
          <w:pgSz w:w="12240" w:h="15840"/>
          <w:pgMar w:top="1380" w:bottom="280" w:left="1440" w:right="1440"/>
        </w:sectPr>
      </w:pPr>
    </w:p>
    <w:p>
      <w:pPr>
        <w:spacing w:line="249" w:lineRule="auto" w:before="65"/>
        <w:ind w:left="99" w:right="97" w:firstLine="0"/>
        <w:jc w:val="both"/>
        <w:rPr>
          <w:b/>
          <w:sz w:val="30"/>
        </w:rPr>
      </w:pPr>
      <w:r>
        <w:rPr>
          <w:sz w:val="30"/>
        </w:rPr>
        <w:t>to reach its maximal effect. For that reason, the duration of exposure to the progestin each month is critical. Studies indicate that in estrogen users, the </w:t>
      </w:r>
      <w:r>
        <w:rPr>
          <w:i/>
          <w:sz w:val="30"/>
        </w:rPr>
        <w:t>minimal </w:t>
      </w:r>
      <w:r>
        <w:rPr>
          <w:sz w:val="30"/>
        </w:rPr>
        <w:t>requirement for progestin exposure is for a period of 10 days </w:t>
      </w:r>
      <w:r>
        <w:rPr>
          <w:sz w:val="30"/>
        </w:rPr>
        <w:t>each month.</w:t>
      </w:r>
      <w:r>
        <w:rPr>
          <w:sz w:val="30"/>
          <w:vertAlign w:val="superscript"/>
        </w:rPr>
        <w:t>1058-1060</w:t>
      </w:r>
      <w:r>
        <w:rPr>
          <w:sz w:val="30"/>
          <w:vertAlign w:val="baseline"/>
        </w:rPr>
        <w:t> More recently, this recommendation has been extended to 12 to 14 days of progestin exposure each month. </w:t>
      </w:r>
      <w:r>
        <w:rPr>
          <w:b/>
          <w:sz w:val="30"/>
          <w:vertAlign w:val="baseline"/>
        </w:rPr>
        <w:t>About 2% to 3% of estrogen-using women per year develop endometrial hyperplasia when the progestin is administered for less than 10 days monthly.</w:t>
      </w:r>
    </w:p>
    <w:p>
      <w:pPr>
        <w:spacing w:line="249" w:lineRule="auto" w:before="8"/>
        <w:ind w:left="99" w:right="98" w:firstLine="450"/>
        <w:jc w:val="both"/>
        <w:rPr>
          <w:b/>
          <w:sz w:val="30"/>
        </w:rPr>
      </w:pPr>
      <w:r>
        <w:rPr>
          <w:sz w:val="30"/>
        </w:rPr>
        <w:t>Important unanswered questions are the following: What is the actual incidence of endometrial cancer in very long-term users of </w:t>
      </w:r>
      <w:r>
        <w:rPr>
          <w:sz w:val="30"/>
        </w:rPr>
        <w:t>postmenopausal HT, and are there differences among the various regimens and routes of administration? A case-control study from Seattle reported that the use of combined estrogen-progestin (essentially all sequential and oral) for 5 years or more was associated with an increased RR of endometrial cancer, even with</w:t>
      </w:r>
      <w:r>
        <w:rPr>
          <w:spacing w:val="-5"/>
          <w:sz w:val="30"/>
        </w:rPr>
        <w:t> </w:t>
      </w:r>
      <w:r>
        <w:rPr>
          <w:sz w:val="30"/>
        </w:rPr>
        <w:t>10</w:t>
      </w:r>
      <w:r>
        <w:rPr>
          <w:spacing w:val="-5"/>
          <w:sz w:val="30"/>
        </w:rPr>
        <w:t> </w:t>
      </w:r>
      <w:r>
        <w:rPr>
          <w:sz w:val="30"/>
        </w:rPr>
        <w:t>to</w:t>
      </w:r>
      <w:r>
        <w:rPr>
          <w:spacing w:val="-5"/>
          <w:sz w:val="30"/>
        </w:rPr>
        <w:t> </w:t>
      </w:r>
      <w:r>
        <w:rPr>
          <w:sz w:val="30"/>
        </w:rPr>
        <w:t>21</w:t>
      </w:r>
      <w:r>
        <w:rPr>
          <w:spacing w:val="-5"/>
          <w:sz w:val="30"/>
        </w:rPr>
        <w:t> </w:t>
      </w:r>
      <w:r>
        <w:rPr>
          <w:sz w:val="30"/>
        </w:rPr>
        <w:t>days</w:t>
      </w:r>
      <w:r>
        <w:rPr>
          <w:spacing w:val="-5"/>
          <w:sz w:val="30"/>
        </w:rPr>
        <w:t> </w:t>
      </w:r>
      <w:r>
        <w:rPr>
          <w:sz w:val="30"/>
        </w:rPr>
        <w:t>of</w:t>
      </w:r>
      <w:r>
        <w:rPr>
          <w:spacing w:val="-5"/>
          <w:sz w:val="30"/>
        </w:rPr>
        <w:t> </w:t>
      </w:r>
      <w:r>
        <w:rPr>
          <w:sz w:val="30"/>
        </w:rPr>
        <w:t>added</w:t>
      </w:r>
      <w:r>
        <w:rPr>
          <w:spacing w:val="-5"/>
          <w:sz w:val="30"/>
        </w:rPr>
        <w:t> </w:t>
      </w:r>
      <w:r>
        <w:rPr>
          <w:sz w:val="30"/>
        </w:rPr>
        <w:t>progestin</w:t>
      </w:r>
      <w:r>
        <w:rPr>
          <w:spacing w:val="-5"/>
          <w:sz w:val="30"/>
        </w:rPr>
        <w:t> </w:t>
      </w:r>
      <w:r>
        <w:rPr>
          <w:sz w:val="30"/>
        </w:rPr>
        <w:t>per</w:t>
      </w:r>
      <w:r>
        <w:rPr>
          <w:spacing w:val="-5"/>
          <w:sz w:val="30"/>
        </w:rPr>
        <w:t> </w:t>
      </w:r>
      <w:r>
        <w:rPr>
          <w:sz w:val="30"/>
        </w:rPr>
        <w:t>month.</w:t>
      </w:r>
      <w:r>
        <w:rPr>
          <w:sz w:val="30"/>
          <w:vertAlign w:val="superscript"/>
        </w:rPr>
        <w:t>1061</w:t>
      </w:r>
      <w:r>
        <w:rPr>
          <w:spacing w:val="-7"/>
          <w:sz w:val="30"/>
          <w:vertAlign w:val="baseline"/>
        </w:rPr>
        <w:t> </w:t>
      </w:r>
      <w:r>
        <w:rPr>
          <w:sz w:val="30"/>
          <w:vertAlign w:val="baseline"/>
        </w:rPr>
        <w:t>However,</w:t>
      </w:r>
      <w:r>
        <w:rPr>
          <w:spacing w:val="-6"/>
          <w:sz w:val="30"/>
          <w:vertAlign w:val="baseline"/>
        </w:rPr>
        <w:t> </w:t>
      </w:r>
      <w:r>
        <w:rPr>
          <w:sz w:val="30"/>
          <w:vertAlign w:val="baseline"/>
        </w:rPr>
        <w:t>the</w:t>
      </w:r>
      <w:r>
        <w:rPr>
          <w:spacing w:val="-6"/>
          <w:sz w:val="30"/>
          <w:vertAlign w:val="baseline"/>
        </w:rPr>
        <w:t> </w:t>
      </w:r>
      <w:r>
        <w:rPr>
          <w:sz w:val="30"/>
          <w:vertAlign w:val="baseline"/>
        </w:rPr>
        <w:t>increased risk was confined to those women who had been previously exposed to unopposed estrogen treatment; it is important to remember that </w:t>
      </w:r>
      <w:r>
        <w:rPr>
          <w:b/>
          <w:sz w:val="30"/>
          <w:vertAlign w:val="baseline"/>
        </w:rPr>
        <w:t>after discontinuing unopposed estrogen treatment, the risk of endometrial cancer lingers for up to 10 years, even if a subsequent regimen includes a progestin. </w:t>
      </w:r>
      <w:r>
        <w:rPr>
          <w:sz w:val="30"/>
          <w:vertAlign w:val="baseline"/>
        </w:rPr>
        <w:t>In the Swedish prospective cohort in Uppsala, a reduced risk</w:t>
      </w:r>
      <w:r>
        <w:rPr>
          <w:spacing w:val="40"/>
          <w:sz w:val="30"/>
          <w:vertAlign w:val="baseline"/>
        </w:rPr>
        <w:t> </w:t>
      </w:r>
      <w:r>
        <w:rPr>
          <w:sz w:val="30"/>
          <w:vertAlign w:val="baseline"/>
        </w:rPr>
        <w:t>of mortality due to endometrial cancer was observed in women receiving an estrogen-progestin combination; however, there were only two deaths, precluding statistical significance.</w:t>
      </w:r>
      <w:r>
        <w:rPr>
          <w:sz w:val="30"/>
          <w:vertAlign w:val="superscript"/>
        </w:rPr>
        <w:t>723</w:t>
      </w:r>
      <w:r>
        <w:rPr>
          <w:sz w:val="30"/>
          <w:vertAlign w:val="baseline"/>
        </w:rPr>
        <w:t> A case-control study from Los</w:t>
      </w:r>
      <w:r>
        <w:rPr>
          <w:spacing w:val="40"/>
          <w:sz w:val="30"/>
          <w:vertAlign w:val="baseline"/>
        </w:rPr>
        <w:t> </w:t>
      </w:r>
      <w:r>
        <w:rPr>
          <w:sz w:val="30"/>
          <w:vertAlign w:val="baseline"/>
        </w:rPr>
        <w:t>Angeles found no increased risk of endometrial cancer with the continuous, combined estrogen-progestin regimen or when at least 10 days of progestin were provided in a sequential regimen.</w:t>
      </w:r>
      <w:r>
        <w:rPr>
          <w:sz w:val="30"/>
          <w:vertAlign w:val="superscript"/>
        </w:rPr>
        <w:t>1060</w:t>
      </w:r>
      <w:r>
        <w:rPr>
          <w:sz w:val="30"/>
          <w:vertAlign w:val="baseline"/>
        </w:rPr>
        <w:t> </w:t>
      </w:r>
      <w:r>
        <w:rPr>
          <w:b/>
          <w:sz w:val="30"/>
          <w:vertAlign w:val="baseline"/>
        </w:rPr>
        <w:t>Epidemiologic studies have suggested that continuous, combined estrogen-progestin regimens provide superior protection against endometrial cancer. Long-term sequential regimens still carry a small increase in the risk of endometrial cancer.</w:t>
      </w:r>
      <w:r>
        <w:rPr>
          <w:sz w:val="30"/>
          <w:vertAlign w:val="superscript"/>
        </w:rPr>
        <w:t>145,1062,1063</w:t>
      </w:r>
      <w:r>
        <w:rPr>
          <w:sz w:val="30"/>
          <w:vertAlign w:val="baseline"/>
        </w:rPr>
        <w:t> </w:t>
      </w:r>
      <w:r>
        <w:rPr>
          <w:b/>
          <w:sz w:val="30"/>
          <w:vertAlign w:val="baseline"/>
        </w:rPr>
        <w:t>In our view, periodic endometrial surveillance </w:t>
      </w:r>
      <w:r>
        <w:rPr>
          <w:sz w:val="30"/>
          <w:vertAlign w:val="baseline"/>
        </w:rPr>
        <w:t>(</w:t>
      </w:r>
      <w:r>
        <w:rPr>
          <w:b/>
          <w:sz w:val="30"/>
          <w:vertAlign w:val="baseline"/>
        </w:rPr>
        <w:t>annual sonohysterogram and/or endometrial biopsy</w:t>
      </w:r>
      <w:r>
        <w:rPr>
          <w:sz w:val="30"/>
          <w:vertAlign w:val="baseline"/>
        </w:rPr>
        <w:t>) </w:t>
      </w:r>
      <w:r>
        <w:rPr>
          <w:b/>
          <w:sz w:val="30"/>
          <w:vertAlign w:val="baseline"/>
        </w:rPr>
        <w:t>is recommended in estrogen users exposed only intermittently to progestin treatment.</w:t>
      </w:r>
    </w:p>
    <w:p>
      <w:pPr>
        <w:pStyle w:val="BodyText"/>
        <w:spacing w:line="249" w:lineRule="auto" w:before="31"/>
        <w:ind w:right="98" w:firstLine="450"/>
      </w:pPr>
      <w:r>
        <w:rPr/>
        <w:t>It is not an uncommon perception that protection against </w:t>
      </w:r>
      <w:r>
        <w:rPr/>
        <w:t>endometrial cancer requires periodic “shedding” of the endometrium. However, we know that at least one-third and up to one-half of the functioning endometrium</w:t>
      </w:r>
      <w:r>
        <w:rPr>
          <w:spacing w:val="32"/>
        </w:rPr>
        <w:t> </w:t>
      </w:r>
      <w:r>
        <w:rPr/>
        <w:t>are</w:t>
      </w:r>
      <w:r>
        <w:rPr>
          <w:spacing w:val="32"/>
        </w:rPr>
        <w:t> </w:t>
      </w:r>
      <w:r>
        <w:rPr/>
        <w:t>not</w:t>
      </w:r>
      <w:r>
        <w:rPr>
          <w:spacing w:val="32"/>
        </w:rPr>
        <w:t> </w:t>
      </w:r>
      <w:r>
        <w:rPr/>
        <w:t>lost</w:t>
      </w:r>
      <w:r>
        <w:rPr>
          <w:spacing w:val="32"/>
        </w:rPr>
        <w:t> </w:t>
      </w:r>
      <w:r>
        <w:rPr/>
        <w:t>during</w:t>
      </w:r>
      <w:r>
        <w:rPr>
          <w:spacing w:val="32"/>
        </w:rPr>
        <w:t> </w:t>
      </w:r>
      <w:r>
        <w:rPr/>
        <w:t>withdrawal</w:t>
      </w:r>
      <w:r>
        <w:rPr>
          <w:spacing w:val="32"/>
        </w:rPr>
        <w:t> </w:t>
      </w:r>
      <w:r>
        <w:rPr/>
        <w:t>bleeding,</w:t>
      </w:r>
      <w:r>
        <w:rPr>
          <w:spacing w:val="32"/>
        </w:rPr>
        <w:t> </w:t>
      </w:r>
      <w:r>
        <w:rPr/>
        <w:t>and</w:t>
      </w:r>
      <w:r>
        <w:rPr>
          <w:spacing w:val="32"/>
        </w:rPr>
        <w:t> </w:t>
      </w:r>
      <w:r>
        <w:rPr/>
        <w:t>it</w:t>
      </w:r>
      <w:r>
        <w:rPr>
          <w:spacing w:val="32"/>
        </w:rPr>
        <w:t> </w:t>
      </w:r>
      <w:r>
        <w:rPr/>
        <w:t>has</w:t>
      </w:r>
      <w:r>
        <w:rPr>
          <w:spacing w:val="32"/>
        </w:rPr>
        <w:t> </w:t>
      </w:r>
      <w:r>
        <w:rPr/>
        <w:t>not</w:t>
      </w:r>
      <w:r>
        <w:rPr>
          <w:spacing w:val="32"/>
        </w:rPr>
        <w:t> </w:t>
      </w:r>
      <w:r>
        <w:rPr>
          <w:spacing w:val="-4"/>
        </w:rPr>
        <w:t>been</w:t>
      </w:r>
    </w:p>
    <w:p>
      <w:pPr>
        <w:pStyle w:val="BodyText"/>
        <w:spacing w:after="0" w:line="249" w:lineRule="auto"/>
        <w:sectPr>
          <w:pgSz w:w="12240" w:h="15840"/>
          <w:pgMar w:top="1380" w:bottom="280" w:left="1440" w:right="1440"/>
        </w:sectPr>
      </w:pPr>
    </w:p>
    <w:p>
      <w:pPr>
        <w:pStyle w:val="BodyText"/>
        <w:spacing w:line="249" w:lineRule="auto"/>
        <w:ind w:right="98"/>
      </w:pPr>
      <w:r>
        <w:rPr/>
        <w:t>established that endometrial shedding is essential to protect against cancer.</w:t>
      </w:r>
      <w:r>
        <w:rPr>
          <w:vertAlign w:val="superscript"/>
        </w:rPr>
        <w:t>1064</w:t>
      </w:r>
      <w:r>
        <w:rPr>
          <w:vertAlign w:val="baseline"/>
        </w:rPr>
        <w:t> It is just as logical to believe that prevention of growth with the development of atrophic endometrium is protective. Case-control </w:t>
      </w:r>
      <w:r>
        <w:rPr>
          <w:vertAlign w:val="baseline"/>
        </w:rPr>
        <w:t>studies have indicated that not only is the excess risk associated with unopposed estrogen prevented by continuous, combined estrogen-progestin regimens, but with increasing duration of use, the risk of endometrial cancer is lower than</w:t>
      </w:r>
      <w:r>
        <w:rPr>
          <w:spacing w:val="-1"/>
          <w:vertAlign w:val="baseline"/>
        </w:rPr>
        <w:t> </w:t>
      </w:r>
      <w:r>
        <w:rPr>
          <w:vertAlign w:val="baseline"/>
        </w:rPr>
        <w:t>that</w:t>
      </w:r>
      <w:r>
        <w:rPr>
          <w:spacing w:val="-1"/>
          <w:vertAlign w:val="baseline"/>
        </w:rPr>
        <w:t> </w:t>
      </w:r>
      <w:r>
        <w:rPr>
          <w:vertAlign w:val="baseline"/>
        </w:rPr>
        <w:t>in</w:t>
      </w:r>
      <w:r>
        <w:rPr>
          <w:spacing w:val="-1"/>
          <w:vertAlign w:val="baseline"/>
        </w:rPr>
        <w:t> </w:t>
      </w:r>
      <w:r>
        <w:rPr>
          <w:vertAlign w:val="baseline"/>
        </w:rPr>
        <w:t>never</w:t>
      </w:r>
      <w:r>
        <w:rPr>
          <w:spacing w:val="-1"/>
          <w:vertAlign w:val="baseline"/>
        </w:rPr>
        <w:t> </w:t>
      </w:r>
      <w:r>
        <w:rPr>
          <w:vertAlign w:val="baseline"/>
        </w:rPr>
        <w:t>users.</w:t>
      </w:r>
      <w:r>
        <w:rPr>
          <w:vertAlign w:val="superscript"/>
        </w:rPr>
        <w:t>1062,1065</w:t>
      </w:r>
      <w:r>
        <w:rPr>
          <w:vertAlign w:val="baseline"/>
        </w:rPr>
        <w:t> In a small number of women who developed hyperplasia on a sequential regimen, conversion to continuous, combined treatment produced a return to normal endometrium, and in 345 women</w:t>
      </w:r>
      <w:r>
        <w:rPr>
          <w:spacing w:val="40"/>
          <w:vertAlign w:val="baseline"/>
        </w:rPr>
        <w:t> </w:t>
      </w:r>
      <w:r>
        <w:rPr>
          <w:vertAlign w:val="baseline"/>
        </w:rPr>
        <w:t>who completed 5 years of treatment with a continuous, combined regimen, not a single case of hyperplasia was detected.</w:t>
      </w:r>
      <w:r>
        <w:rPr>
          <w:vertAlign w:val="superscript"/>
        </w:rPr>
        <w:t>129</w:t>
      </w:r>
    </w:p>
    <w:p>
      <w:pPr>
        <w:pStyle w:val="BodyText"/>
        <w:spacing w:line="249" w:lineRule="auto" w:before="13"/>
        <w:ind w:right="98" w:firstLine="450"/>
      </w:pPr>
      <w:r>
        <w:rPr/>
        <w:t>The WHI reported a 21% decrease in endometrial cancers in the canceled estrogen-progestin arm after 5 years of this clinical trial, </w:t>
      </w:r>
      <w:r>
        <w:rPr/>
        <w:t>although this difference was not statistically significant.</w:t>
      </w:r>
      <w:r>
        <w:rPr>
          <w:vertAlign w:val="superscript"/>
        </w:rPr>
        <w:t>1066</w:t>
      </w:r>
    </w:p>
    <w:p>
      <w:pPr>
        <w:pStyle w:val="BodyText"/>
        <w:spacing w:line="249" w:lineRule="auto" w:before="4"/>
        <w:ind w:right="106" w:firstLine="450"/>
      </w:pPr>
      <w:r>
        <w:rPr/>
        <w:t>The lowest daily dose of progestin that protects the endometrium </w:t>
      </w:r>
      <w:r>
        <w:rPr/>
        <w:t>has</w:t>
      </w:r>
      <w:r>
        <w:rPr>
          <w:spacing w:val="40"/>
        </w:rPr>
        <w:t> </w:t>
      </w:r>
      <w:r>
        <w:rPr/>
        <w:t>not been established. Currently, the sequential program with conjugated estrogens</w:t>
      </w:r>
      <w:r>
        <w:rPr>
          <w:spacing w:val="-1"/>
        </w:rPr>
        <w:t> </w:t>
      </w:r>
      <w:r>
        <w:rPr/>
        <w:t>uses</w:t>
      </w:r>
      <w:r>
        <w:rPr>
          <w:spacing w:val="1"/>
        </w:rPr>
        <w:t> </w:t>
      </w:r>
      <w:r>
        <w:rPr/>
        <w:t>5</w:t>
      </w:r>
      <w:r>
        <w:rPr>
          <w:spacing w:val="1"/>
        </w:rPr>
        <w:t> </w:t>
      </w:r>
      <w:r>
        <w:rPr/>
        <w:t>or</w:t>
      </w:r>
      <w:r>
        <w:rPr>
          <w:spacing w:val="1"/>
        </w:rPr>
        <w:t> </w:t>
      </w:r>
      <w:r>
        <w:rPr/>
        <w:t>10</w:t>
      </w:r>
      <w:r>
        <w:rPr>
          <w:spacing w:val="1"/>
        </w:rPr>
        <w:t> </w:t>
      </w:r>
      <w:r>
        <w:rPr/>
        <w:t>mg</w:t>
      </w:r>
      <w:r>
        <w:rPr>
          <w:spacing w:val="1"/>
        </w:rPr>
        <w:t> </w:t>
      </w:r>
      <w:r>
        <w:rPr/>
        <w:t>MPA,</w:t>
      </w:r>
      <w:r>
        <w:rPr>
          <w:spacing w:val="1"/>
        </w:rPr>
        <w:t> </w:t>
      </w:r>
      <w:r>
        <w:rPr/>
        <w:t>and</w:t>
      </w:r>
      <w:r>
        <w:rPr>
          <w:spacing w:val="1"/>
        </w:rPr>
        <w:t> </w:t>
      </w:r>
      <w:r>
        <w:rPr/>
        <w:t>the</w:t>
      </w:r>
      <w:r>
        <w:rPr>
          <w:spacing w:val="1"/>
        </w:rPr>
        <w:t> </w:t>
      </w:r>
      <w:r>
        <w:rPr/>
        <w:t>combined</w:t>
      </w:r>
      <w:r>
        <w:rPr>
          <w:spacing w:val="1"/>
        </w:rPr>
        <w:t> </w:t>
      </w:r>
      <w:r>
        <w:rPr/>
        <w:t>daily</w:t>
      </w:r>
      <w:r>
        <w:rPr>
          <w:spacing w:val="1"/>
        </w:rPr>
        <w:t> </w:t>
      </w:r>
      <w:r>
        <w:rPr/>
        <w:t>method</w:t>
      </w:r>
      <w:r>
        <w:rPr>
          <w:spacing w:val="1"/>
        </w:rPr>
        <w:t> </w:t>
      </w:r>
      <w:r>
        <w:rPr/>
        <w:t>uses</w:t>
      </w:r>
      <w:r>
        <w:rPr>
          <w:spacing w:val="1"/>
        </w:rPr>
        <w:t> </w:t>
      </w:r>
      <w:r>
        <w:rPr/>
        <w:t>1.5</w:t>
      </w:r>
      <w:r>
        <w:rPr>
          <w:spacing w:val="1"/>
        </w:rPr>
        <w:t> </w:t>
      </w:r>
      <w:r>
        <w:rPr>
          <w:spacing w:val="-7"/>
        </w:rPr>
        <w:t>or</w:t>
      </w:r>
    </w:p>
    <w:p>
      <w:pPr>
        <w:pStyle w:val="BodyText"/>
        <w:spacing w:line="249" w:lineRule="auto" w:before="4"/>
        <w:ind w:right="99"/>
      </w:pPr>
      <w:r>
        <w:rPr/>
        <w:t>2.5 mg. A 2-year study has indicated that 1.5 mg MPA combined with 0.3 or 0.45 mg conjugated estrogens effectively prevents endometrial hyperplasia.</w:t>
      </w:r>
      <w:r>
        <w:rPr>
          <w:vertAlign w:val="superscript"/>
        </w:rPr>
        <w:t>114</w:t>
      </w:r>
      <w:r>
        <w:rPr>
          <w:vertAlign w:val="baseline"/>
        </w:rPr>
        <w:t> The dose of norethindrone that is comparable with 2.5 </w:t>
      </w:r>
      <w:r>
        <w:rPr>
          <w:vertAlign w:val="baseline"/>
        </w:rPr>
        <w:t>mg MPA is 0.25 mg.</w:t>
      </w:r>
      <w:r>
        <w:rPr>
          <w:vertAlign w:val="superscript"/>
        </w:rPr>
        <w:t>115</w:t>
      </w:r>
      <w:r>
        <w:rPr>
          <w:vertAlign w:val="baseline"/>
        </w:rPr>
        <w:t> The French E3N cohort study has demonstrated that endometrial safety effects vary by the type of progestin; the risk of endometrial cancer in estrogen users was higher when micronized progesterone and dydrogesterone were used compared to other progestin </w:t>
      </w:r>
      <w:r>
        <w:rPr>
          <w:spacing w:val="-2"/>
          <w:vertAlign w:val="baseline"/>
        </w:rPr>
        <w:t>formulations.</w:t>
      </w:r>
      <w:r>
        <w:rPr>
          <w:spacing w:val="-2"/>
          <w:vertAlign w:val="superscript"/>
        </w:rPr>
        <w:t>1067</w:t>
      </w:r>
    </w:p>
    <w:p>
      <w:pPr>
        <w:spacing w:line="249" w:lineRule="auto" w:before="10"/>
        <w:ind w:left="99" w:right="99" w:firstLine="450"/>
        <w:jc w:val="both"/>
        <w:rPr>
          <w:b/>
          <w:sz w:val="30"/>
        </w:rPr>
      </w:pPr>
      <w:r>
        <w:rPr>
          <w:b/>
          <w:sz w:val="30"/>
        </w:rPr>
        <w:t>Although the protective effect of progestin is considerable and predictable, it is unwise to expect all patients on estrogen-progestin therapy to never develop endometrial cancer. Appropriate </w:t>
      </w:r>
      <w:r>
        <w:rPr>
          <w:b/>
          <w:sz w:val="30"/>
        </w:rPr>
        <w:t>monitoring of patients cannot be disregarded. Although routine assessments are</w:t>
      </w:r>
      <w:r>
        <w:rPr>
          <w:b/>
          <w:spacing w:val="40"/>
          <w:sz w:val="30"/>
        </w:rPr>
        <w:t> </w:t>
      </w:r>
      <w:r>
        <w:rPr>
          <w:b/>
          <w:sz w:val="30"/>
        </w:rPr>
        <w:t>not cost-effective, interventions directed by clinical responses are prudent and necessary. Greater surveillance is warranted in women on sequential estrogen-progestin regimens.</w:t>
      </w:r>
    </w:p>
    <w:p>
      <w:pPr>
        <w:pStyle w:val="BodyText"/>
        <w:spacing w:line="249" w:lineRule="auto" w:before="8"/>
        <w:ind w:right="99" w:firstLine="450"/>
      </w:pPr>
      <w:r>
        <w:rPr/>
        <w:t>A relevance of obesity and insulin resistance for </w:t>
      </w:r>
      <w:r>
        <w:rPr/>
        <w:t>endometrial hyperplasia</w:t>
      </w:r>
      <w:r>
        <w:rPr>
          <w:spacing w:val="-12"/>
        </w:rPr>
        <w:t> </w:t>
      </w:r>
      <w:r>
        <w:rPr/>
        <w:t>and</w:t>
      </w:r>
      <w:r>
        <w:rPr>
          <w:spacing w:val="-12"/>
        </w:rPr>
        <w:t> </w:t>
      </w:r>
      <w:r>
        <w:rPr/>
        <w:t>cancer</w:t>
      </w:r>
      <w:r>
        <w:rPr>
          <w:spacing w:val="-12"/>
        </w:rPr>
        <w:t> </w:t>
      </w:r>
      <w:r>
        <w:rPr/>
        <w:t>is</w:t>
      </w:r>
      <w:r>
        <w:rPr>
          <w:spacing w:val="-12"/>
        </w:rPr>
        <w:t> </w:t>
      </w:r>
      <w:r>
        <w:rPr/>
        <w:t>increasingly</w:t>
      </w:r>
      <w:r>
        <w:rPr>
          <w:spacing w:val="-12"/>
        </w:rPr>
        <w:t> </w:t>
      </w:r>
      <w:r>
        <w:rPr/>
        <w:t>recognized.</w:t>
      </w:r>
      <w:r>
        <w:rPr>
          <w:vertAlign w:val="superscript"/>
        </w:rPr>
        <w:t>1</w:t>
      </w:r>
      <w:r>
        <w:rPr>
          <w:vertAlign w:val="superscript"/>
        </w:rPr>
        <w:t>0</w:t>
      </w:r>
      <w:r>
        <w:rPr>
          <w:vertAlign w:val="superscript"/>
        </w:rPr>
        <w:t>3</w:t>
      </w:r>
      <w:r>
        <w:rPr>
          <w:vertAlign w:val="superscript"/>
        </w:rPr>
        <w:t>5</w:t>
      </w:r>
      <w:r>
        <w:rPr>
          <w:vertAlign w:val="superscript"/>
        </w:rPr>
        <w:t>,</w:t>
      </w:r>
      <w:r>
        <w:rPr>
          <w:vertAlign w:val="superscript"/>
        </w:rPr>
        <w:t>1</w:t>
      </w:r>
      <w:r>
        <w:rPr>
          <w:vertAlign w:val="superscript"/>
        </w:rPr>
        <w:t>0</w:t>
      </w:r>
      <w:r>
        <w:rPr>
          <w:vertAlign w:val="superscript"/>
        </w:rPr>
        <w:t>6</w:t>
      </w:r>
      <w:r>
        <w:rPr>
          <w:vertAlign w:val="superscript"/>
        </w:rPr>
        <w:t>8</w:t>
      </w:r>
      <w:r>
        <w:rPr>
          <w:spacing w:val="-13"/>
          <w:vertAlign w:val="baseline"/>
        </w:rPr>
        <w:t> </w:t>
      </w:r>
      <w:r>
        <w:rPr>
          <w:vertAlign w:val="baseline"/>
        </w:rPr>
        <w:t>This</w:t>
      </w:r>
      <w:r>
        <w:rPr>
          <w:spacing w:val="-12"/>
          <w:vertAlign w:val="baseline"/>
        </w:rPr>
        <w:t> </w:t>
      </w:r>
      <w:r>
        <w:rPr>
          <w:vertAlign w:val="baseline"/>
        </w:rPr>
        <w:t>relationship</w:t>
      </w:r>
      <w:r>
        <w:rPr>
          <w:spacing w:val="-12"/>
          <w:vertAlign w:val="baseline"/>
        </w:rPr>
        <w:t> </w:t>
      </w:r>
      <w:r>
        <w:rPr>
          <w:vertAlign w:val="baseline"/>
        </w:rPr>
        <w:t>is independent</w:t>
      </w:r>
      <w:r>
        <w:rPr>
          <w:spacing w:val="58"/>
          <w:w w:val="150"/>
          <w:vertAlign w:val="baseline"/>
        </w:rPr>
        <w:t> </w:t>
      </w:r>
      <w:r>
        <w:rPr>
          <w:vertAlign w:val="baseline"/>
        </w:rPr>
        <w:t>of</w:t>
      </w:r>
      <w:r>
        <w:rPr>
          <w:spacing w:val="59"/>
          <w:w w:val="150"/>
          <w:vertAlign w:val="baseline"/>
        </w:rPr>
        <w:t> </w:t>
      </w:r>
      <w:r>
        <w:rPr>
          <w:vertAlign w:val="baseline"/>
        </w:rPr>
        <w:t>exogenous</w:t>
      </w:r>
      <w:r>
        <w:rPr>
          <w:spacing w:val="58"/>
          <w:w w:val="150"/>
          <w:vertAlign w:val="baseline"/>
        </w:rPr>
        <w:t> </w:t>
      </w:r>
      <w:r>
        <w:rPr>
          <w:vertAlign w:val="baseline"/>
        </w:rPr>
        <w:t>hormone</w:t>
      </w:r>
      <w:r>
        <w:rPr>
          <w:spacing w:val="59"/>
          <w:w w:val="150"/>
          <w:vertAlign w:val="baseline"/>
        </w:rPr>
        <w:t> </w:t>
      </w:r>
      <w:r>
        <w:rPr>
          <w:vertAlign w:val="baseline"/>
        </w:rPr>
        <w:t>use</w:t>
      </w:r>
      <w:r>
        <w:rPr>
          <w:spacing w:val="58"/>
          <w:w w:val="150"/>
          <w:vertAlign w:val="baseline"/>
        </w:rPr>
        <w:t> </w:t>
      </w:r>
      <w:r>
        <w:rPr>
          <w:vertAlign w:val="baseline"/>
        </w:rPr>
        <w:t>and</w:t>
      </w:r>
      <w:r>
        <w:rPr>
          <w:spacing w:val="59"/>
          <w:w w:val="150"/>
          <w:vertAlign w:val="baseline"/>
        </w:rPr>
        <w:t> </w:t>
      </w:r>
      <w:r>
        <w:rPr>
          <w:vertAlign w:val="baseline"/>
        </w:rPr>
        <w:t>underscores</w:t>
      </w:r>
      <w:r>
        <w:rPr>
          <w:spacing w:val="58"/>
          <w:w w:val="150"/>
          <w:vertAlign w:val="baseline"/>
        </w:rPr>
        <w:t> </w:t>
      </w:r>
      <w:r>
        <w:rPr>
          <w:vertAlign w:val="baseline"/>
        </w:rPr>
        <w:t>the</w:t>
      </w:r>
      <w:r>
        <w:rPr>
          <w:spacing w:val="59"/>
          <w:w w:val="150"/>
          <w:vertAlign w:val="baseline"/>
        </w:rPr>
        <w:t> </w:t>
      </w:r>
      <w:r>
        <w:rPr>
          <w:vertAlign w:val="baseline"/>
        </w:rPr>
        <w:t>need</w:t>
      </w:r>
      <w:r>
        <w:rPr>
          <w:spacing w:val="58"/>
          <w:w w:val="150"/>
          <w:vertAlign w:val="baseline"/>
        </w:rPr>
        <w:t> </w:t>
      </w:r>
      <w:r>
        <w:rPr>
          <w:spacing w:val="-5"/>
          <w:vertAlign w:val="baseline"/>
        </w:rPr>
        <w:t>fo</w:t>
      </w:r>
      <w:r>
        <w:rPr>
          <w:spacing w:val="-5"/>
          <w:vertAlign w:val="baseline"/>
        </w:rPr>
        <w:t>r</w:t>
      </w:r>
    </w:p>
    <w:p>
      <w:pPr>
        <w:pStyle w:val="BodyText"/>
        <w:spacing w:after="0" w:line="249" w:lineRule="auto"/>
        <w:sectPr>
          <w:pgSz w:w="12240" w:h="15840"/>
          <w:pgMar w:top="1380" w:bottom="280" w:left="1440" w:right="1440"/>
        </w:sectPr>
      </w:pPr>
    </w:p>
    <w:p>
      <w:pPr>
        <w:pStyle w:val="BodyText"/>
        <w:spacing w:line="249" w:lineRule="auto"/>
        <w:ind w:right="100"/>
      </w:pPr>
      <w:r>
        <w:rPr/>
        <w:t>greater vigilance toward the risk for endometrial pathology in </w:t>
      </w:r>
      <w:r>
        <w:rPr/>
        <w:t>populations who are obese.</w:t>
      </w:r>
    </w:p>
    <w:p>
      <w:pPr>
        <w:pStyle w:val="BodyText"/>
        <w:spacing w:before="0"/>
        <w:ind w:left="0"/>
        <w:jc w:val="left"/>
        <w:rPr>
          <w:sz w:val="20"/>
        </w:rPr>
      </w:pPr>
    </w:p>
    <w:p>
      <w:pPr>
        <w:pStyle w:val="BodyText"/>
        <w:spacing w:before="113"/>
        <w:ind w:left="0"/>
        <w:jc w:val="left"/>
        <w:rPr>
          <w:sz w:val="20"/>
        </w:rPr>
      </w:pPr>
      <w:r>
        <w:rPr>
          <w:sz w:val="20"/>
        </w:rPr>
        <mc:AlternateContent>
          <mc:Choice Requires="wps">
            <w:drawing>
              <wp:anchor distT="0" distB="0" distL="0" distR="0" allowOverlap="1" layoutInCell="1" locked="0" behindDoc="1" simplePos="0" relativeHeight="487664128">
                <wp:simplePos x="0" y="0"/>
                <wp:positionH relativeFrom="page">
                  <wp:posOffset>981075</wp:posOffset>
                </wp:positionH>
                <wp:positionV relativeFrom="paragraph">
                  <wp:posOffset>233444</wp:posOffset>
                </wp:positionV>
                <wp:extent cx="285750" cy="5715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285750" cy="57150"/>
                        </a:xfrm>
                        <a:custGeom>
                          <a:avLst/>
                          <a:gdLst/>
                          <a:ahLst/>
                          <a:cxnLst/>
                          <a:rect l="l" t="t" r="r" b="b"/>
                          <a:pathLst>
                            <a:path w="285750" h="57150">
                              <a:moveTo>
                                <a:pt x="28575" y="57149"/>
                              </a:moveTo>
                              <a:lnTo>
                                <a:pt x="0" y="32299"/>
                              </a:lnTo>
                              <a:lnTo>
                                <a:pt x="0" y="24707"/>
                              </a:lnTo>
                              <a:lnTo>
                                <a:pt x="24785" y="0"/>
                              </a:lnTo>
                              <a:lnTo>
                                <a:pt x="32364" y="0"/>
                              </a:lnTo>
                              <a:lnTo>
                                <a:pt x="57149" y="24707"/>
                              </a:lnTo>
                              <a:lnTo>
                                <a:pt x="57149" y="32299"/>
                              </a:lnTo>
                              <a:lnTo>
                                <a:pt x="28575" y="57149"/>
                              </a:lnTo>
                              <a:close/>
                            </a:path>
                            <a:path w="285750" h="57150">
                              <a:moveTo>
                                <a:pt x="142779" y="57149"/>
                              </a:moveTo>
                              <a:lnTo>
                                <a:pt x="114204" y="32299"/>
                              </a:lnTo>
                              <a:lnTo>
                                <a:pt x="114204" y="24707"/>
                              </a:lnTo>
                              <a:lnTo>
                                <a:pt x="138990" y="0"/>
                              </a:lnTo>
                              <a:lnTo>
                                <a:pt x="146569" y="0"/>
                              </a:lnTo>
                              <a:lnTo>
                                <a:pt x="171354" y="24707"/>
                              </a:lnTo>
                              <a:lnTo>
                                <a:pt x="171354" y="32299"/>
                              </a:lnTo>
                              <a:lnTo>
                                <a:pt x="142779" y="57149"/>
                              </a:lnTo>
                              <a:close/>
                            </a:path>
                            <a:path w="285750" h="57150">
                              <a:moveTo>
                                <a:pt x="256984" y="57149"/>
                              </a:moveTo>
                              <a:lnTo>
                                <a:pt x="228409" y="32299"/>
                              </a:lnTo>
                              <a:lnTo>
                                <a:pt x="228409" y="24707"/>
                              </a:lnTo>
                              <a:lnTo>
                                <a:pt x="253195" y="0"/>
                              </a:lnTo>
                              <a:lnTo>
                                <a:pt x="260773" y="0"/>
                              </a:lnTo>
                              <a:lnTo>
                                <a:pt x="285559" y="24707"/>
                              </a:lnTo>
                              <a:lnTo>
                                <a:pt x="285559" y="32299"/>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381420pt;width:22.5pt;height:4.5pt;mso-position-horizontal-relative:page;mso-position-vertical-relative:paragraph;z-index:-15652352;mso-wrap-distance-left:0;mso-wrap-distance-right:0" id="docshape272" coordorigin="1545,368" coordsize="450,90" path="m1590,458l1584,457,1578,456,1567,452,1562,448,1558,444,1554,440,1551,435,1546,424,1545,418,1545,407,1546,401,1548,395,1551,390,1554,385,1562,376,1567,373,1573,371,1578,369,1584,368,1596,368,1602,369,1607,371,1613,373,1618,376,1626,385,1629,390,1632,395,1634,401,1635,407,1635,418,1634,424,1629,435,1626,440,1622,444,1618,448,1613,452,1602,456,1596,457,1590,458xm1770,458l1764,457,1758,456,1747,452,1742,448,1738,444,1734,440,1731,435,1726,424,1725,418,1725,407,1726,401,1728,395,1731,390,1734,385,1742,376,1747,373,1753,371,1758,369,1764,368,1776,368,1782,369,1787,371,1793,373,1797,376,1806,385,1809,390,1811,395,1814,401,1815,407,1815,418,1814,424,1809,435,1806,440,1802,444,1797,448,1793,452,1782,456,1776,457,1770,458xm1950,458l1944,457,1938,456,1927,452,1922,448,1918,444,1914,440,1910,435,1906,424,1905,418,1905,407,1906,401,1908,395,1910,390,1914,385,1922,376,1927,373,1932,371,1938,369,1944,368,1956,368,1961,369,1967,371,1972,373,1977,376,1986,385,1989,390,1991,395,1994,401,1995,407,1995,418,1994,424,1989,435,1986,440,1982,444,1977,448,1972,452,1961,456,1956,457,1950,458xe" filled="true" fillcolor="#bdb4d4" stroked="false">
                <v:path arrowok="t"/>
                <v:fill type="solid"/>
                <w10:wrap type="topAndBottom"/>
              </v:shape>
            </w:pict>
          </mc:Fallback>
        </mc:AlternateContent>
      </w:r>
    </w:p>
    <w:p>
      <w:pPr>
        <w:pStyle w:val="Heading3"/>
        <w:jc w:val="both"/>
      </w:pPr>
      <w:r>
        <w:rPr>
          <w:color w:val="534089"/>
          <w:spacing w:val="-2"/>
        </w:rPr>
        <w:t>OVARIAN</w:t>
      </w:r>
      <w:r>
        <w:rPr>
          <w:color w:val="534089"/>
          <w:spacing w:val="-9"/>
        </w:rPr>
        <w:t> </w:t>
      </w:r>
      <w:r>
        <w:rPr>
          <w:color w:val="534089"/>
          <w:spacing w:val="-2"/>
        </w:rPr>
        <w:t>CANCER</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4640">
                <wp:simplePos x="0" y="0"/>
                <wp:positionH relativeFrom="page">
                  <wp:posOffset>981075</wp:posOffset>
                </wp:positionH>
                <wp:positionV relativeFrom="paragraph">
                  <wp:posOffset>45685</wp:posOffset>
                </wp:positionV>
                <wp:extent cx="5810250" cy="1905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314pt;width:457.499964pt;height:1.5pt;mso-position-horizontal-relative:page;mso-position-vertical-relative:paragraph;z-index:-15651840;mso-wrap-distance-left:0;mso-wrap-distance-right:0" id="docshape273" filled="true" fillcolor="#534089" stroked="false">
                <v:fill type="solid"/>
                <w10:wrap type="topAndBottom"/>
              </v:rect>
            </w:pict>
          </mc:Fallback>
        </mc:AlternateContent>
      </w:r>
    </w:p>
    <w:p>
      <w:pPr>
        <w:pStyle w:val="BodyText"/>
        <w:spacing w:line="249" w:lineRule="auto" w:before="215"/>
        <w:ind w:right="98"/>
      </w:pPr>
      <w:r>
        <w:rPr/>
        <w:t>Prospective cohort studies concluded that the risk of fatal ovarian cancer </w:t>
      </w:r>
      <w:r>
        <w:rPr/>
        <w:t>is increased with long-term estrogen use.</w:t>
      </w:r>
      <w:r>
        <w:rPr>
          <w:vertAlign w:val="superscript"/>
        </w:rPr>
        <w:t>1069-1075</w:t>
      </w:r>
      <w:r>
        <w:rPr>
          <w:vertAlign w:val="baseline"/>
        </w:rPr>
        <w:t> In addition, some case-control studies reported a small increase in risk in </w:t>
      </w:r>
      <w:r>
        <w:rPr>
          <w:i/>
          <w:vertAlign w:val="baseline"/>
        </w:rPr>
        <w:t>ever users </w:t>
      </w:r>
      <w:r>
        <w:rPr>
          <w:vertAlign w:val="baseline"/>
        </w:rPr>
        <w:t>that was</w:t>
      </w:r>
      <w:r>
        <w:rPr>
          <w:spacing w:val="40"/>
          <w:vertAlign w:val="baseline"/>
        </w:rPr>
        <w:t> </w:t>
      </w:r>
      <w:r>
        <w:rPr>
          <w:vertAlign w:val="baseline"/>
        </w:rPr>
        <w:t>higher with long duration of use.</w:t>
      </w:r>
      <w:r>
        <w:rPr>
          <w:vertAlign w:val="superscript"/>
        </w:rPr>
        <w:t>1076</w:t>
      </w:r>
      <w:r>
        <w:rPr>
          <w:vertAlign w:val="baseline"/>
        </w:rPr>
        <w:t> However, by no means is it certain if this association between menopausal hormone use and ovarian cancer is real. A pooled analysis of 12 case-control studies could find no consistent evidence for an association between ovarian cancer and ET.</w:t>
      </w:r>
      <w:r>
        <w:rPr>
          <w:vertAlign w:val="superscript"/>
        </w:rPr>
        <w:t>1077</w:t>
      </w:r>
      <w:r>
        <w:rPr>
          <w:vertAlign w:val="baseline"/>
        </w:rPr>
        <w:t> A meta-analysis concluded that there is a 14% increased risk of ovarian carcinoma among ever users of HT and that this risk increased to 27% with more than 10 years of hormone use.</w:t>
      </w:r>
      <w:r>
        <w:rPr>
          <w:vertAlign w:val="superscript"/>
        </w:rPr>
        <w:t>1078</w:t>
      </w:r>
      <w:r>
        <w:rPr>
          <w:vertAlign w:val="baseline"/>
        </w:rPr>
        <w:t> However, existing data included in this meta-analysis are subject to multiple potential biases. Among the six studies included in the analysis of duration of use, only one reported a statistically significant increase in risk with 10 or more years of hormone use. Another meta-analysis concluded that there was no clear evidence of an increased risk of ovarian cancer with ET and no effect of increasing duration of hormone use.</w:t>
      </w:r>
      <w:r>
        <w:rPr>
          <w:vertAlign w:val="superscript"/>
        </w:rPr>
        <w:t>1079</w:t>
      </w:r>
    </w:p>
    <w:p>
      <w:pPr>
        <w:pStyle w:val="BodyText"/>
        <w:spacing w:line="249" w:lineRule="auto" w:before="19"/>
        <w:ind w:right="101" w:firstLine="450"/>
      </w:pPr>
      <w:r>
        <w:rPr/>
        <w:t>Individual studies have been hampered by relatively small numbers, </w:t>
      </w:r>
      <w:r>
        <w:rPr/>
        <w:t>but the lack of a uniform and consistent association argues against a major impact of postmenopausal estrogen treatment on the risk of ovarian cancer. In a relatively large case-control study, no indication could be found for an association between postmenopausal HT and the risk of epithelial ovarian cancer, even with long-term treatment.</w:t>
      </w:r>
      <w:r>
        <w:rPr>
          <w:vertAlign w:val="superscript"/>
        </w:rPr>
        <w:t>1080</w:t>
      </w:r>
      <w:r>
        <w:rPr>
          <w:vertAlign w:val="baseline"/>
        </w:rPr>
        <w:t> Another case-control study reported a slightly increased risk, but it was not statistically significant.</w:t>
      </w:r>
      <w:r>
        <w:rPr>
          <w:vertAlign w:val="superscript"/>
        </w:rPr>
        <w:t>1081</w:t>
      </w:r>
      <w:r>
        <w:rPr>
          <w:vertAlign w:val="baseline"/>
        </w:rPr>
        <w:t> And another case-control study could find no increase in risk with ever use, past use, or long duration of use (and no differences comparing various estrogens</w:t>
      </w:r>
      <w:r>
        <w:rPr>
          <w:spacing w:val="-5"/>
          <w:vertAlign w:val="baseline"/>
        </w:rPr>
        <w:t> </w:t>
      </w:r>
      <w:r>
        <w:rPr>
          <w:vertAlign w:val="baseline"/>
        </w:rPr>
        <w:t>and</w:t>
      </w:r>
      <w:r>
        <w:rPr>
          <w:spacing w:val="-6"/>
          <w:vertAlign w:val="baseline"/>
        </w:rPr>
        <w:t> </w:t>
      </w:r>
      <w:r>
        <w:rPr>
          <w:vertAlign w:val="baseline"/>
        </w:rPr>
        <w:t>regimens).</w:t>
      </w:r>
      <w:r>
        <w:rPr>
          <w:vertAlign w:val="superscript"/>
        </w:rPr>
        <w:t>1082</w:t>
      </w:r>
      <w:r>
        <w:rPr>
          <w:spacing w:val="-4"/>
          <w:vertAlign w:val="baseline"/>
        </w:rPr>
        <w:t> </w:t>
      </w:r>
      <w:r>
        <w:rPr>
          <w:vertAlign w:val="baseline"/>
        </w:rPr>
        <w:t>In</w:t>
      </w:r>
      <w:r>
        <w:rPr>
          <w:spacing w:val="-3"/>
          <w:vertAlign w:val="baseline"/>
        </w:rPr>
        <w:t> </w:t>
      </w:r>
      <w:r>
        <w:rPr>
          <w:vertAlign w:val="baseline"/>
        </w:rPr>
        <w:t>a</w:t>
      </w:r>
      <w:r>
        <w:rPr>
          <w:spacing w:val="-3"/>
          <w:vertAlign w:val="baseline"/>
        </w:rPr>
        <w:t> </w:t>
      </w:r>
      <w:r>
        <w:rPr>
          <w:vertAlign w:val="baseline"/>
        </w:rPr>
        <w:t>comparison</w:t>
      </w:r>
      <w:r>
        <w:rPr>
          <w:spacing w:val="-3"/>
          <w:vertAlign w:val="baseline"/>
        </w:rPr>
        <w:t> </w:t>
      </w:r>
      <w:r>
        <w:rPr>
          <w:vertAlign w:val="baseline"/>
        </w:rPr>
        <w:t>of</w:t>
      </w:r>
      <w:r>
        <w:rPr>
          <w:spacing w:val="-3"/>
          <w:vertAlign w:val="baseline"/>
        </w:rPr>
        <w:t> </w:t>
      </w:r>
      <w:r>
        <w:rPr>
          <w:vertAlign w:val="baseline"/>
        </w:rPr>
        <w:t>users</w:t>
      </w:r>
      <w:r>
        <w:rPr>
          <w:spacing w:val="-3"/>
          <w:vertAlign w:val="baseline"/>
        </w:rPr>
        <w:t> </w:t>
      </w:r>
      <w:r>
        <w:rPr>
          <w:vertAlign w:val="baseline"/>
        </w:rPr>
        <w:t>and</w:t>
      </w:r>
      <w:r>
        <w:rPr>
          <w:spacing w:val="-3"/>
          <w:vertAlign w:val="baseline"/>
        </w:rPr>
        <w:t> </w:t>
      </w:r>
      <w:r>
        <w:rPr>
          <w:vertAlign w:val="baseline"/>
        </w:rPr>
        <w:t>nonusers</w:t>
      </w:r>
      <w:r>
        <w:rPr>
          <w:spacing w:val="-3"/>
          <w:vertAlign w:val="baseline"/>
        </w:rPr>
        <w:t> </w:t>
      </w:r>
      <w:r>
        <w:rPr>
          <w:vertAlign w:val="baseline"/>
        </w:rPr>
        <w:t>of</w:t>
      </w:r>
      <w:r>
        <w:rPr>
          <w:spacing w:val="-3"/>
          <w:vertAlign w:val="baseline"/>
        </w:rPr>
        <w:t> </w:t>
      </w:r>
      <w:r>
        <w:rPr>
          <w:vertAlign w:val="baseline"/>
        </w:rPr>
        <w:t>HT</w:t>
      </w:r>
      <w:r>
        <w:rPr>
          <w:spacing w:val="-3"/>
          <w:vertAlign w:val="baseline"/>
        </w:rPr>
        <w:t> </w:t>
      </w:r>
      <w:r>
        <w:rPr>
          <w:vertAlign w:val="baseline"/>
        </w:rPr>
        <w:t>in the state of Washington, the risk of epithelial ovarian cancer was increased among current and recent users of estrogen only, but not in past users or in users of estrogen-progestin.</w:t>
      </w:r>
      <w:r>
        <w:rPr>
          <w:vertAlign w:val="superscript"/>
        </w:rPr>
        <w:t>1083</w:t>
      </w:r>
    </w:p>
    <w:p>
      <w:pPr>
        <w:pStyle w:val="BodyText"/>
        <w:spacing w:after="0" w:line="249" w:lineRule="auto"/>
        <w:sectPr>
          <w:pgSz w:w="12240" w:h="15840"/>
          <w:pgMar w:top="1380" w:bottom="280" w:left="1440" w:right="1440"/>
        </w:sectPr>
      </w:pPr>
    </w:p>
    <w:p>
      <w:pPr>
        <w:pStyle w:val="BodyText"/>
        <w:spacing w:line="249" w:lineRule="auto"/>
        <w:ind w:right="101" w:firstLine="450"/>
      </w:pPr>
      <w:r>
        <w:rPr/>
        <w:t>The canceled estrogen-progestin arm of the WHI reported an </w:t>
      </w:r>
      <w:r>
        <w:rPr/>
        <w:t>increase</w:t>
      </w:r>
      <w:r>
        <w:rPr>
          <w:spacing w:val="80"/>
        </w:rPr>
        <w:t> </w:t>
      </w:r>
      <w:r>
        <w:rPr/>
        <w:t>in ovarian cancer that was not statistically significant (HR = 1.58; CI = 0.77-3.24), prompting this statement: “The possibility of an increased risk of ovarian cancer incidence and mortality remains worrisome and needs confirmation.”</w:t>
      </w:r>
      <w:r>
        <w:rPr>
          <w:vertAlign w:val="superscript"/>
        </w:rPr>
        <w:t>1066</w:t>
      </w:r>
      <w:r>
        <w:rPr>
          <w:vertAlign w:val="baseline"/>
        </w:rPr>
        <w:t> The Kaplan-Meier curves suggested an increasing effect over time, but this, too, was not statistically significant. There were no differences reported in histologic type, stage, or grade (but the small numbers made it essentially impossible to assess subcategories).</w:t>
      </w:r>
    </w:p>
    <w:p>
      <w:pPr>
        <w:pStyle w:val="BodyText"/>
        <w:spacing w:line="249" w:lineRule="auto" w:before="10"/>
        <w:ind w:right="108" w:firstLine="450"/>
      </w:pPr>
      <w:r>
        <w:rPr/>
        <w:t>All of the studies found it difficult to control for most of the factors that influence the risk of ovarian cancer. This is because there are </w:t>
      </w:r>
      <w:r>
        <w:rPr/>
        <w:t>multiple factors, and information regarding each factor is not readily available.</w:t>
      </w:r>
    </w:p>
    <w:p>
      <w:pPr>
        <w:spacing w:before="213"/>
        <w:ind w:left="99" w:right="0" w:firstLine="0"/>
        <w:jc w:val="left"/>
        <w:rPr>
          <w:b/>
          <w:sz w:val="30"/>
        </w:rPr>
      </w:pPr>
      <w:r>
        <w:rPr>
          <w:b/>
          <w:sz w:val="30"/>
        </w:rPr>
        <w:t>Factors</w:t>
      </w:r>
      <w:r>
        <w:rPr>
          <w:b/>
          <w:spacing w:val="-1"/>
          <w:sz w:val="30"/>
        </w:rPr>
        <w:t> </w:t>
      </w:r>
      <w:r>
        <w:rPr>
          <w:b/>
          <w:sz w:val="30"/>
        </w:rPr>
        <w:t>that</w:t>
      </w:r>
      <w:r>
        <w:rPr>
          <w:b/>
          <w:spacing w:val="-1"/>
          <w:sz w:val="30"/>
        </w:rPr>
        <w:t> </w:t>
      </w:r>
      <w:r>
        <w:rPr>
          <w:b/>
          <w:sz w:val="30"/>
        </w:rPr>
        <w:t>decrease</w:t>
      </w:r>
      <w:r>
        <w:rPr>
          <w:b/>
          <w:spacing w:val="-1"/>
          <w:sz w:val="30"/>
        </w:rPr>
        <w:t> </w:t>
      </w:r>
      <w:r>
        <w:rPr>
          <w:b/>
          <w:sz w:val="30"/>
        </w:rPr>
        <w:t>the</w:t>
      </w:r>
      <w:r>
        <w:rPr>
          <w:b/>
          <w:spacing w:val="-1"/>
          <w:sz w:val="30"/>
        </w:rPr>
        <w:t> </w:t>
      </w:r>
      <w:r>
        <w:rPr>
          <w:b/>
          <w:sz w:val="30"/>
        </w:rPr>
        <w:t>risk</w:t>
      </w:r>
      <w:r>
        <w:rPr>
          <w:b/>
          <w:spacing w:val="-1"/>
          <w:sz w:val="30"/>
        </w:rPr>
        <w:t> </w:t>
      </w:r>
      <w:r>
        <w:rPr>
          <w:b/>
          <w:sz w:val="30"/>
        </w:rPr>
        <w:t>of</w:t>
      </w:r>
      <w:r>
        <w:rPr>
          <w:b/>
          <w:spacing w:val="-1"/>
          <w:sz w:val="30"/>
        </w:rPr>
        <w:t> </w:t>
      </w:r>
      <w:r>
        <w:rPr>
          <w:b/>
          <w:sz w:val="30"/>
        </w:rPr>
        <w:t>ovarian </w:t>
      </w:r>
      <w:r>
        <w:rPr>
          <w:b/>
          <w:spacing w:val="-2"/>
          <w:sz w:val="30"/>
        </w:rPr>
        <w:t>cancer</w:t>
      </w:r>
    </w:p>
    <w:p>
      <w:pPr>
        <w:pStyle w:val="ListParagraph"/>
        <w:numPr>
          <w:ilvl w:val="0"/>
          <w:numId w:val="16"/>
        </w:numPr>
        <w:tabs>
          <w:tab w:pos="398" w:val="left" w:leader="none"/>
        </w:tabs>
        <w:spacing w:line="240" w:lineRule="auto" w:before="210" w:after="0"/>
        <w:ind w:left="398" w:right="0" w:hanging="279"/>
        <w:jc w:val="left"/>
        <w:rPr>
          <w:sz w:val="30"/>
        </w:rPr>
      </w:pPr>
      <w:r>
        <w:rPr>
          <w:sz w:val="30"/>
        </w:rPr>
        <w:t>Use of steroid hormone </w:t>
      </w:r>
      <w:r>
        <w:rPr>
          <w:spacing w:val="-2"/>
          <w:sz w:val="30"/>
        </w:rPr>
        <w:t>contraceptives</w:t>
      </w:r>
    </w:p>
    <w:p>
      <w:pPr>
        <w:pStyle w:val="ListParagraph"/>
        <w:numPr>
          <w:ilvl w:val="0"/>
          <w:numId w:val="16"/>
        </w:numPr>
        <w:tabs>
          <w:tab w:pos="399" w:val="left" w:leader="none"/>
        </w:tabs>
        <w:spacing w:line="280" w:lineRule="auto" w:before="105" w:after="0"/>
        <w:ind w:left="399" w:right="100" w:hanging="280"/>
        <w:jc w:val="left"/>
        <w:rPr>
          <w:sz w:val="30"/>
        </w:rPr>
      </w:pPr>
      <w:r>
        <w:rPr>
          <w:sz w:val="30"/>
        </w:rPr>
        <w:t>Pregnancy</w:t>
      </w:r>
      <w:r>
        <w:rPr>
          <w:spacing w:val="80"/>
          <w:sz w:val="30"/>
        </w:rPr>
        <w:t> </w:t>
      </w:r>
      <w:r>
        <w:rPr>
          <w:sz w:val="30"/>
        </w:rPr>
        <w:t>and</w:t>
      </w:r>
      <w:r>
        <w:rPr>
          <w:spacing w:val="80"/>
          <w:sz w:val="30"/>
        </w:rPr>
        <w:t> </w:t>
      </w:r>
      <w:r>
        <w:rPr>
          <w:sz w:val="30"/>
        </w:rPr>
        <w:t>parity;</w:t>
      </w:r>
      <w:r>
        <w:rPr>
          <w:spacing w:val="80"/>
          <w:sz w:val="30"/>
        </w:rPr>
        <w:t> </w:t>
      </w:r>
      <w:r>
        <w:rPr>
          <w:sz w:val="30"/>
        </w:rPr>
        <w:t>a</w:t>
      </w:r>
      <w:r>
        <w:rPr>
          <w:spacing w:val="80"/>
          <w:sz w:val="30"/>
        </w:rPr>
        <w:t> </w:t>
      </w:r>
      <w:r>
        <w:rPr>
          <w:sz w:val="30"/>
        </w:rPr>
        <w:t>greater</w:t>
      </w:r>
      <w:r>
        <w:rPr>
          <w:spacing w:val="80"/>
          <w:sz w:val="30"/>
        </w:rPr>
        <w:t> </w:t>
      </w:r>
      <w:r>
        <w:rPr>
          <w:sz w:val="30"/>
        </w:rPr>
        <w:t>effect</w:t>
      </w:r>
      <w:r>
        <w:rPr>
          <w:spacing w:val="80"/>
          <w:sz w:val="30"/>
        </w:rPr>
        <w:t> </w:t>
      </w:r>
      <w:r>
        <w:rPr>
          <w:sz w:val="30"/>
        </w:rPr>
        <w:t>with</w:t>
      </w:r>
      <w:r>
        <w:rPr>
          <w:spacing w:val="80"/>
          <w:sz w:val="30"/>
        </w:rPr>
        <w:t> </w:t>
      </w:r>
      <w:r>
        <w:rPr>
          <w:sz w:val="30"/>
        </w:rPr>
        <w:t>a</w:t>
      </w:r>
      <w:r>
        <w:rPr>
          <w:spacing w:val="80"/>
          <w:sz w:val="30"/>
        </w:rPr>
        <w:t> </w:t>
      </w:r>
      <w:r>
        <w:rPr>
          <w:sz w:val="30"/>
        </w:rPr>
        <w:t>recent</w:t>
      </w:r>
      <w:r>
        <w:rPr>
          <w:spacing w:val="80"/>
          <w:sz w:val="30"/>
        </w:rPr>
        <w:t> </w:t>
      </w:r>
      <w:r>
        <w:rPr>
          <w:sz w:val="30"/>
        </w:rPr>
        <w:t>pregnancy</w:t>
      </w:r>
      <w:r>
        <w:rPr>
          <w:spacing w:val="80"/>
          <w:sz w:val="30"/>
        </w:rPr>
        <w:t> </w:t>
      </w:r>
      <w:r>
        <w:rPr>
          <w:sz w:val="30"/>
        </w:rPr>
        <w:t>and pregnancy at older age</w:t>
      </w:r>
      <w:r>
        <w:rPr>
          <w:sz w:val="30"/>
          <w:vertAlign w:val="superscript"/>
        </w:rPr>
        <w:t>1084,1085</w:t>
      </w:r>
    </w:p>
    <w:p>
      <w:pPr>
        <w:pStyle w:val="ListParagraph"/>
        <w:numPr>
          <w:ilvl w:val="0"/>
          <w:numId w:val="16"/>
        </w:numPr>
        <w:tabs>
          <w:tab w:pos="398" w:val="left" w:leader="none"/>
        </w:tabs>
        <w:spacing w:line="240" w:lineRule="auto" w:before="3" w:after="0"/>
        <w:ind w:left="398" w:right="0" w:hanging="279"/>
        <w:jc w:val="left"/>
        <w:rPr>
          <w:position w:val="10"/>
          <w:sz w:val="17"/>
        </w:rPr>
      </w:pPr>
      <w:r>
        <w:rPr>
          <w:spacing w:val="-2"/>
          <w:sz w:val="30"/>
        </w:rPr>
        <w:t>Breastfeeding</w:t>
      </w:r>
      <w:r>
        <w:rPr>
          <w:spacing w:val="-2"/>
          <w:position w:val="10"/>
          <w:sz w:val="17"/>
        </w:rPr>
        <w:t>1086</w:t>
      </w:r>
    </w:p>
    <w:p>
      <w:pPr>
        <w:pStyle w:val="ListParagraph"/>
        <w:numPr>
          <w:ilvl w:val="0"/>
          <w:numId w:val="16"/>
        </w:numPr>
        <w:tabs>
          <w:tab w:pos="398" w:val="left" w:leader="none"/>
        </w:tabs>
        <w:spacing w:line="240" w:lineRule="auto" w:before="105" w:after="0"/>
        <w:ind w:left="398" w:right="0" w:hanging="279"/>
        <w:jc w:val="left"/>
        <w:rPr>
          <w:position w:val="10"/>
          <w:sz w:val="17"/>
        </w:rPr>
      </w:pPr>
      <w:r>
        <w:rPr>
          <w:sz w:val="30"/>
        </w:rPr>
        <w:t>Hysterectomy and tubal </w:t>
      </w:r>
      <w:r>
        <w:rPr>
          <w:spacing w:val="-2"/>
          <w:sz w:val="30"/>
        </w:rPr>
        <w:t>ligation</w:t>
      </w:r>
      <w:r>
        <w:rPr>
          <w:spacing w:val="-2"/>
          <w:position w:val="10"/>
          <w:sz w:val="17"/>
        </w:rPr>
        <w:t>1087</w:t>
      </w:r>
    </w:p>
    <w:p>
      <w:pPr>
        <w:pStyle w:val="ListParagraph"/>
        <w:numPr>
          <w:ilvl w:val="0"/>
          <w:numId w:val="16"/>
        </w:numPr>
        <w:tabs>
          <w:tab w:pos="398" w:val="left" w:leader="none"/>
        </w:tabs>
        <w:spacing w:line="240" w:lineRule="auto" w:before="105" w:after="0"/>
        <w:ind w:left="398" w:right="0" w:hanging="279"/>
        <w:jc w:val="left"/>
        <w:rPr>
          <w:position w:val="10"/>
          <w:sz w:val="17"/>
        </w:rPr>
      </w:pPr>
      <w:r>
        <w:rPr>
          <w:sz w:val="30"/>
        </w:rPr>
        <w:t>Nonsteroidal</w:t>
      </w:r>
      <w:r>
        <w:rPr>
          <w:spacing w:val="-2"/>
          <w:sz w:val="30"/>
        </w:rPr>
        <w:t> </w:t>
      </w:r>
      <w:r>
        <w:rPr>
          <w:sz w:val="30"/>
        </w:rPr>
        <w:t>anti-inflammatory drugs </w:t>
      </w:r>
      <w:r>
        <w:rPr>
          <w:spacing w:val="-2"/>
          <w:sz w:val="30"/>
        </w:rPr>
        <w:t>(NSAIDs)</w:t>
      </w:r>
      <w:r>
        <w:rPr>
          <w:spacing w:val="-2"/>
          <w:position w:val="10"/>
          <w:sz w:val="17"/>
        </w:rPr>
        <w:t>1088</w:t>
      </w:r>
    </w:p>
    <w:p>
      <w:pPr>
        <w:spacing w:before="210"/>
        <w:ind w:left="99" w:right="0" w:firstLine="0"/>
        <w:jc w:val="left"/>
        <w:rPr>
          <w:b/>
          <w:sz w:val="30"/>
        </w:rPr>
      </w:pPr>
      <w:r>
        <w:rPr>
          <w:b/>
          <w:sz w:val="30"/>
        </w:rPr>
        <w:t>Factors</w:t>
      </w:r>
      <w:r>
        <w:rPr>
          <w:b/>
          <w:spacing w:val="-1"/>
          <w:sz w:val="30"/>
        </w:rPr>
        <w:t> </w:t>
      </w:r>
      <w:r>
        <w:rPr>
          <w:b/>
          <w:sz w:val="30"/>
        </w:rPr>
        <w:t>that</w:t>
      </w:r>
      <w:r>
        <w:rPr>
          <w:b/>
          <w:spacing w:val="-1"/>
          <w:sz w:val="30"/>
        </w:rPr>
        <w:t> </w:t>
      </w:r>
      <w:r>
        <w:rPr>
          <w:b/>
          <w:sz w:val="30"/>
        </w:rPr>
        <w:t>increase</w:t>
      </w:r>
      <w:r>
        <w:rPr>
          <w:b/>
          <w:spacing w:val="-1"/>
          <w:sz w:val="30"/>
        </w:rPr>
        <w:t> </w:t>
      </w:r>
      <w:r>
        <w:rPr>
          <w:b/>
          <w:sz w:val="30"/>
        </w:rPr>
        <w:t>the</w:t>
      </w:r>
      <w:r>
        <w:rPr>
          <w:b/>
          <w:spacing w:val="-1"/>
          <w:sz w:val="30"/>
        </w:rPr>
        <w:t> </w:t>
      </w:r>
      <w:r>
        <w:rPr>
          <w:b/>
          <w:sz w:val="30"/>
        </w:rPr>
        <w:t>risk</w:t>
      </w:r>
      <w:r>
        <w:rPr>
          <w:b/>
          <w:spacing w:val="-1"/>
          <w:sz w:val="30"/>
        </w:rPr>
        <w:t> </w:t>
      </w:r>
      <w:r>
        <w:rPr>
          <w:b/>
          <w:sz w:val="30"/>
        </w:rPr>
        <w:t>of</w:t>
      </w:r>
      <w:r>
        <w:rPr>
          <w:b/>
          <w:spacing w:val="-1"/>
          <w:sz w:val="30"/>
        </w:rPr>
        <w:t> </w:t>
      </w:r>
      <w:r>
        <w:rPr>
          <w:b/>
          <w:sz w:val="30"/>
        </w:rPr>
        <w:t>ovarian </w:t>
      </w:r>
      <w:r>
        <w:rPr>
          <w:b/>
          <w:spacing w:val="-2"/>
          <w:sz w:val="30"/>
        </w:rPr>
        <w:t>cancer</w:t>
      </w:r>
    </w:p>
    <w:p>
      <w:pPr>
        <w:pStyle w:val="ListParagraph"/>
        <w:numPr>
          <w:ilvl w:val="0"/>
          <w:numId w:val="16"/>
        </w:numPr>
        <w:tabs>
          <w:tab w:pos="398" w:val="left" w:leader="none"/>
        </w:tabs>
        <w:spacing w:line="240" w:lineRule="auto" w:before="210" w:after="0"/>
        <w:ind w:left="398" w:right="0" w:hanging="279"/>
        <w:jc w:val="left"/>
        <w:rPr>
          <w:position w:val="10"/>
          <w:sz w:val="17"/>
        </w:rPr>
      </w:pPr>
      <w:r>
        <w:rPr>
          <w:sz w:val="30"/>
        </w:rPr>
        <w:t>Increasing </w:t>
      </w:r>
      <w:r>
        <w:rPr>
          <w:spacing w:val="-2"/>
          <w:sz w:val="30"/>
        </w:rPr>
        <w:t>BMI</w:t>
      </w:r>
      <w:r>
        <w:rPr>
          <w:spacing w:val="-2"/>
          <w:position w:val="10"/>
          <w:sz w:val="17"/>
        </w:rPr>
        <w:t>1089,1090</w:t>
      </w:r>
    </w:p>
    <w:p>
      <w:pPr>
        <w:pStyle w:val="ListParagraph"/>
        <w:numPr>
          <w:ilvl w:val="0"/>
          <w:numId w:val="16"/>
        </w:numPr>
        <w:tabs>
          <w:tab w:pos="398" w:val="left" w:leader="none"/>
        </w:tabs>
        <w:spacing w:line="240" w:lineRule="auto" w:before="105" w:after="0"/>
        <w:ind w:left="398" w:right="0" w:hanging="279"/>
        <w:jc w:val="left"/>
        <w:rPr>
          <w:position w:val="10"/>
          <w:sz w:val="17"/>
        </w:rPr>
      </w:pPr>
      <w:r>
        <w:rPr>
          <w:spacing w:val="-2"/>
          <w:sz w:val="30"/>
        </w:rPr>
        <w:t>Infertility</w:t>
      </w:r>
      <w:r>
        <w:rPr>
          <w:spacing w:val="-2"/>
          <w:position w:val="10"/>
          <w:sz w:val="17"/>
        </w:rPr>
        <w:t>1091</w:t>
      </w:r>
    </w:p>
    <w:p>
      <w:pPr>
        <w:pStyle w:val="ListParagraph"/>
        <w:numPr>
          <w:ilvl w:val="0"/>
          <w:numId w:val="16"/>
        </w:numPr>
        <w:tabs>
          <w:tab w:pos="398" w:val="left" w:leader="none"/>
        </w:tabs>
        <w:spacing w:line="240" w:lineRule="auto" w:before="105" w:after="0"/>
        <w:ind w:left="398" w:right="0" w:hanging="279"/>
        <w:jc w:val="left"/>
        <w:rPr>
          <w:position w:val="10"/>
          <w:sz w:val="17"/>
        </w:rPr>
      </w:pPr>
      <w:r>
        <w:rPr>
          <w:sz w:val="30"/>
        </w:rPr>
        <w:t>Family history of ovarian and breast </w:t>
      </w:r>
      <w:r>
        <w:rPr>
          <w:spacing w:val="-2"/>
          <w:sz w:val="30"/>
        </w:rPr>
        <w:t>cancer</w:t>
      </w:r>
      <w:r>
        <w:rPr>
          <w:spacing w:val="-2"/>
          <w:position w:val="10"/>
          <w:sz w:val="17"/>
        </w:rPr>
        <w:t>1074</w:t>
      </w:r>
    </w:p>
    <w:p>
      <w:pPr>
        <w:spacing w:before="210"/>
        <w:ind w:left="99" w:right="0" w:firstLine="0"/>
        <w:jc w:val="left"/>
        <w:rPr>
          <w:b/>
          <w:sz w:val="30"/>
        </w:rPr>
      </w:pPr>
      <w:r>
        <w:rPr>
          <w:b/>
          <w:sz w:val="30"/>
        </w:rPr>
        <w:t>Mixed</w:t>
      </w:r>
      <w:r>
        <w:rPr>
          <w:b/>
          <w:spacing w:val="-4"/>
          <w:sz w:val="30"/>
        </w:rPr>
        <w:t> </w:t>
      </w:r>
      <w:r>
        <w:rPr>
          <w:b/>
          <w:sz w:val="30"/>
        </w:rPr>
        <w:t>reports</w:t>
      </w:r>
      <w:r>
        <w:rPr>
          <w:b/>
          <w:spacing w:val="-2"/>
          <w:sz w:val="30"/>
        </w:rPr>
        <w:t> </w:t>
      </w:r>
      <w:r>
        <w:rPr>
          <w:b/>
          <w:sz w:val="30"/>
        </w:rPr>
        <w:t>on</w:t>
      </w:r>
      <w:r>
        <w:rPr>
          <w:b/>
          <w:spacing w:val="-2"/>
          <w:sz w:val="30"/>
        </w:rPr>
        <w:t> </w:t>
      </w:r>
      <w:r>
        <w:rPr>
          <w:b/>
          <w:spacing w:val="-4"/>
          <w:sz w:val="30"/>
        </w:rPr>
        <w:t>risk</w:t>
      </w:r>
    </w:p>
    <w:p>
      <w:pPr>
        <w:pStyle w:val="ListParagraph"/>
        <w:numPr>
          <w:ilvl w:val="0"/>
          <w:numId w:val="16"/>
        </w:numPr>
        <w:tabs>
          <w:tab w:pos="398" w:val="left" w:leader="none"/>
        </w:tabs>
        <w:spacing w:line="240" w:lineRule="auto" w:before="210" w:after="0"/>
        <w:ind w:left="398" w:right="0" w:hanging="279"/>
        <w:jc w:val="left"/>
        <w:rPr>
          <w:position w:val="10"/>
          <w:sz w:val="17"/>
        </w:rPr>
      </w:pPr>
      <w:r>
        <w:rPr>
          <w:sz w:val="30"/>
        </w:rPr>
        <w:t>Alcohol </w:t>
      </w:r>
      <w:r>
        <w:rPr>
          <w:spacing w:val="-2"/>
          <w:sz w:val="30"/>
        </w:rPr>
        <w:t>intake</w:t>
      </w:r>
      <w:r>
        <w:rPr>
          <w:spacing w:val="-2"/>
          <w:position w:val="10"/>
          <w:sz w:val="17"/>
        </w:rPr>
        <w:t>1092,1093</w:t>
      </w:r>
    </w:p>
    <w:p>
      <w:pPr>
        <w:pStyle w:val="ListParagraph"/>
        <w:numPr>
          <w:ilvl w:val="0"/>
          <w:numId w:val="16"/>
        </w:numPr>
        <w:tabs>
          <w:tab w:pos="398" w:val="left" w:leader="none"/>
        </w:tabs>
        <w:spacing w:line="240" w:lineRule="auto" w:before="105" w:after="0"/>
        <w:ind w:left="398" w:right="0" w:hanging="279"/>
        <w:jc w:val="left"/>
        <w:rPr>
          <w:position w:val="10"/>
          <w:sz w:val="17"/>
        </w:rPr>
      </w:pPr>
      <w:r>
        <w:rPr>
          <w:sz w:val="30"/>
        </w:rPr>
        <w:t>Cigarette</w:t>
      </w:r>
      <w:r>
        <w:rPr>
          <w:spacing w:val="31"/>
          <w:sz w:val="30"/>
        </w:rPr>
        <w:t> </w:t>
      </w:r>
      <w:r>
        <w:rPr>
          <w:sz w:val="30"/>
        </w:rPr>
        <w:t>smoking</w:t>
      </w:r>
      <w:r>
        <w:rPr>
          <w:position w:val="10"/>
          <w:sz w:val="17"/>
        </w:rPr>
        <w:t>1094-</w:t>
      </w:r>
      <w:r>
        <w:rPr>
          <w:spacing w:val="-4"/>
          <w:position w:val="10"/>
          <w:sz w:val="17"/>
        </w:rPr>
        <w:t>1096</w:t>
      </w:r>
    </w:p>
    <w:p>
      <w:pPr>
        <w:pStyle w:val="BodyText"/>
        <w:spacing w:line="249" w:lineRule="auto" w:before="210"/>
        <w:ind w:right="97" w:firstLine="450"/>
      </w:pPr>
      <w:r>
        <w:rPr/>
        <w:t>Because of the many factors that influence the risk of ovarian cancer, case-control and cohort studies have found it difficult (in fact, </w:t>
      </w:r>
      <w:r>
        <w:rPr/>
        <w:t>impossible) to match cases and controls. Hormone users usually have used more oral contraceptives,</w:t>
      </w:r>
      <w:r>
        <w:rPr>
          <w:spacing w:val="-2"/>
        </w:rPr>
        <w:t> </w:t>
      </w:r>
      <w:r>
        <w:rPr/>
        <w:t>have</w:t>
      </w:r>
      <w:r>
        <w:rPr>
          <w:spacing w:val="-2"/>
        </w:rPr>
        <w:t> </w:t>
      </w:r>
      <w:r>
        <w:rPr/>
        <w:t>had</w:t>
      </w:r>
      <w:r>
        <w:rPr>
          <w:spacing w:val="-2"/>
        </w:rPr>
        <w:t> </w:t>
      </w:r>
      <w:r>
        <w:rPr/>
        <w:t>fewer</w:t>
      </w:r>
      <w:r>
        <w:rPr>
          <w:spacing w:val="-2"/>
        </w:rPr>
        <w:t> </w:t>
      </w:r>
      <w:r>
        <w:rPr/>
        <w:t>children,</w:t>
      </w:r>
      <w:r>
        <w:rPr>
          <w:spacing w:val="-2"/>
        </w:rPr>
        <w:t> </w:t>
      </w:r>
      <w:r>
        <w:rPr/>
        <w:t>and</w:t>
      </w:r>
      <w:r>
        <w:rPr>
          <w:spacing w:val="-2"/>
        </w:rPr>
        <w:t> </w:t>
      </w:r>
      <w:r>
        <w:rPr/>
        <w:t>are</w:t>
      </w:r>
      <w:r>
        <w:rPr>
          <w:spacing w:val="-2"/>
        </w:rPr>
        <w:t> </w:t>
      </w:r>
      <w:r>
        <w:rPr/>
        <w:t>more</w:t>
      </w:r>
      <w:r>
        <w:rPr>
          <w:spacing w:val="-2"/>
        </w:rPr>
        <w:t> </w:t>
      </w:r>
      <w:r>
        <w:rPr/>
        <w:t>educated</w:t>
      </w:r>
      <w:r>
        <w:rPr>
          <w:spacing w:val="-2"/>
        </w:rPr>
        <w:t> </w:t>
      </w:r>
      <w:r>
        <w:rPr/>
        <w:t>and</w:t>
      </w:r>
      <w:r>
        <w:rPr>
          <w:spacing w:val="-2"/>
        </w:rPr>
        <w:t> </w:t>
      </w:r>
      <w:r>
        <w:rPr/>
        <w:t>thinner. Adjustments</w:t>
      </w:r>
      <w:r>
        <w:rPr>
          <w:spacing w:val="30"/>
        </w:rPr>
        <w:t>  </w:t>
      </w:r>
      <w:r>
        <w:rPr/>
        <w:t>have</w:t>
      </w:r>
      <w:r>
        <w:rPr>
          <w:spacing w:val="31"/>
        </w:rPr>
        <w:t>  </w:t>
      </w:r>
      <w:r>
        <w:rPr/>
        <w:t>been</w:t>
      </w:r>
      <w:r>
        <w:rPr>
          <w:spacing w:val="30"/>
        </w:rPr>
        <w:t>  </w:t>
      </w:r>
      <w:r>
        <w:rPr/>
        <w:t>made</w:t>
      </w:r>
      <w:r>
        <w:rPr>
          <w:spacing w:val="31"/>
        </w:rPr>
        <w:t>  </w:t>
      </w:r>
      <w:r>
        <w:rPr/>
        <w:t>only</w:t>
      </w:r>
      <w:r>
        <w:rPr>
          <w:spacing w:val="30"/>
        </w:rPr>
        <w:t>  </w:t>
      </w:r>
      <w:r>
        <w:rPr/>
        <w:t>for</w:t>
      </w:r>
      <w:r>
        <w:rPr>
          <w:spacing w:val="31"/>
        </w:rPr>
        <w:t>  </w:t>
      </w:r>
      <w:r>
        <w:rPr/>
        <w:t>major</w:t>
      </w:r>
      <w:r>
        <w:rPr>
          <w:spacing w:val="30"/>
        </w:rPr>
        <w:t>  </w:t>
      </w:r>
      <w:r>
        <w:rPr/>
        <w:t>factors,</w:t>
      </w:r>
      <w:r>
        <w:rPr>
          <w:spacing w:val="31"/>
        </w:rPr>
        <w:t>  </w:t>
      </w:r>
      <w:r>
        <w:rPr/>
        <w:t>such</w:t>
      </w:r>
      <w:r>
        <w:rPr>
          <w:spacing w:val="30"/>
        </w:rPr>
        <w:t>  </w:t>
      </w:r>
      <w:r>
        <w:rPr/>
        <w:t>as</w:t>
      </w:r>
      <w:r>
        <w:rPr>
          <w:spacing w:val="31"/>
        </w:rPr>
        <w:t>  </w:t>
      </w:r>
      <w:r>
        <w:rPr>
          <w:spacing w:val="-4"/>
        </w:rPr>
        <w:t>oral</w:t>
      </w:r>
    </w:p>
    <w:p>
      <w:pPr>
        <w:pStyle w:val="BodyText"/>
        <w:spacing w:after="0" w:line="249" w:lineRule="auto"/>
        <w:sectPr>
          <w:pgSz w:w="12240" w:h="15840"/>
          <w:pgMar w:top="1380" w:bottom="280" w:left="1440" w:right="1440"/>
        </w:sectPr>
      </w:pPr>
    </w:p>
    <w:p>
      <w:pPr>
        <w:pStyle w:val="BodyText"/>
        <w:spacing w:line="249" w:lineRule="auto"/>
        <w:ind w:right="108"/>
      </w:pPr>
      <w:r>
        <w:rPr/>
        <w:t>contraceptive use. The technique of meta-analysis is especially </w:t>
      </w:r>
      <w:r>
        <w:rPr/>
        <w:t>hampered</w:t>
      </w:r>
      <w:r>
        <w:rPr>
          <w:spacing w:val="40"/>
        </w:rPr>
        <w:t> </w:t>
      </w:r>
      <w:r>
        <w:rPr/>
        <w:t>by these confounding issues.</w:t>
      </w:r>
    </w:p>
    <w:p>
      <w:pPr>
        <w:pStyle w:val="BodyText"/>
        <w:spacing w:line="249" w:lineRule="auto" w:before="2"/>
        <w:ind w:right="104" w:firstLine="450"/>
      </w:pPr>
      <w:r>
        <w:rPr/>
        <w:t>A major problem has been the impact of endometrioid cancers, </w:t>
      </w:r>
      <w:r>
        <w:rPr/>
        <w:t>an ovarian cancer that logically can be expected to be influenced by ET. In many of the studies, the overall results are swayed by the increase in endometrioid cancers, a cancer that could originate in hormonally stimulated endometriosis.</w:t>
      </w:r>
      <w:r>
        <w:rPr>
          <w:vertAlign w:val="superscript"/>
        </w:rPr>
        <w:t>1097</w:t>
      </w:r>
      <w:r>
        <w:rPr>
          <w:vertAlign w:val="baseline"/>
        </w:rPr>
        <w:t> An accurate analysis requires a separate consideration</w:t>
      </w:r>
      <w:r>
        <w:rPr>
          <w:spacing w:val="-3"/>
          <w:vertAlign w:val="baseline"/>
        </w:rPr>
        <w:t> </w:t>
      </w:r>
      <w:r>
        <w:rPr>
          <w:vertAlign w:val="baseline"/>
        </w:rPr>
        <w:t>of</w:t>
      </w:r>
      <w:r>
        <w:rPr>
          <w:spacing w:val="-3"/>
          <w:vertAlign w:val="baseline"/>
        </w:rPr>
        <w:t> </w:t>
      </w:r>
      <w:r>
        <w:rPr>
          <w:vertAlign w:val="baseline"/>
        </w:rPr>
        <w:t>endometrioid</w:t>
      </w:r>
      <w:r>
        <w:rPr>
          <w:spacing w:val="-3"/>
          <w:vertAlign w:val="baseline"/>
        </w:rPr>
        <w:t> </w:t>
      </w:r>
      <w:r>
        <w:rPr>
          <w:vertAlign w:val="baseline"/>
        </w:rPr>
        <w:t>cancers,</w:t>
      </w:r>
      <w:r>
        <w:rPr>
          <w:spacing w:val="-3"/>
          <w:vertAlign w:val="baseline"/>
        </w:rPr>
        <w:t> </w:t>
      </w:r>
      <w:r>
        <w:rPr>
          <w:vertAlign w:val="baseline"/>
        </w:rPr>
        <w:t>but</w:t>
      </w:r>
      <w:r>
        <w:rPr>
          <w:spacing w:val="-3"/>
          <w:vertAlign w:val="baseline"/>
        </w:rPr>
        <w:t> </w:t>
      </w:r>
      <w:r>
        <w:rPr>
          <w:vertAlign w:val="baseline"/>
        </w:rPr>
        <w:t>this</w:t>
      </w:r>
      <w:r>
        <w:rPr>
          <w:spacing w:val="-3"/>
          <w:vertAlign w:val="baseline"/>
        </w:rPr>
        <w:t> </w:t>
      </w:r>
      <w:r>
        <w:rPr>
          <w:vertAlign w:val="baseline"/>
        </w:rPr>
        <w:t>is</w:t>
      </w:r>
      <w:r>
        <w:rPr>
          <w:spacing w:val="-3"/>
          <w:vertAlign w:val="baseline"/>
        </w:rPr>
        <w:t> </w:t>
      </w:r>
      <w:r>
        <w:rPr>
          <w:vertAlign w:val="baseline"/>
        </w:rPr>
        <w:t>difficult</w:t>
      </w:r>
      <w:r>
        <w:rPr>
          <w:spacing w:val="-3"/>
          <w:vertAlign w:val="baseline"/>
        </w:rPr>
        <w:t> </w:t>
      </w:r>
      <w:r>
        <w:rPr>
          <w:vertAlign w:val="baseline"/>
        </w:rPr>
        <w:t>because</w:t>
      </w:r>
      <w:r>
        <w:rPr>
          <w:spacing w:val="-3"/>
          <w:vertAlign w:val="baseline"/>
        </w:rPr>
        <w:t> </w:t>
      </w:r>
      <w:r>
        <w:rPr>
          <w:vertAlign w:val="baseline"/>
        </w:rPr>
        <w:t>the</w:t>
      </w:r>
      <w:r>
        <w:rPr>
          <w:spacing w:val="-3"/>
          <w:vertAlign w:val="baseline"/>
        </w:rPr>
        <w:t> </w:t>
      </w:r>
      <w:r>
        <w:rPr>
          <w:vertAlign w:val="baseline"/>
        </w:rPr>
        <w:t>small numbers do not allow effective subcategorization.</w:t>
      </w:r>
    </w:p>
    <w:p>
      <w:pPr>
        <w:pStyle w:val="BodyText"/>
        <w:spacing w:line="249" w:lineRule="auto" w:before="9"/>
        <w:ind w:right="101" w:firstLine="450"/>
      </w:pPr>
      <w:r>
        <w:rPr/>
        <w:t>An Australian case-control study reported a statistically </w:t>
      </w:r>
      <w:r>
        <w:rPr/>
        <w:t>significant increase only in the 18 cases with endometrioid cancer.</w:t>
      </w:r>
      <w:r>
        <w:rPr>
          <w:vertAlign w:val="superscript"/>
        </w:rPr>
        <w:t>1098</w:t>
      </w:r>
      <w:r>
        <w:rPr>
          <w:vertAlign w:val="baseline"/>
        </w:rPr>
        <w:t> A Swedish case-control study reported a small but significant increase in risk with unopposed estrogen and with sequential estrogen-progestin, but 49% of the cases were endometrioid cancers.</w:t>
      </w:r>
      <w:r>
        <w:rPr>
          <w:vertAlign w:val="superscript"/>
        </w:rPr>
        <w:t>1076</w:t>
      </w:r>
      <w:r>
        <w:rPr>
          <w:vertAlign w:val="baseline"/>
        </w:rPr>
        <w:t> In a cohort report from the Breast Cancer Detection Demonstration Project, only endometrioid cancer was significantly</w:t>
      </w:r>
      <w:r>
        <w:rPr>
          <w:spacing w:val="-8"/>
          <w:vertAlign w:val="baseline"/>
        </w:rPr>
        <w:t> </w:t>
      </w:r>
      <w:r>
        <w:rPr>
          <w:vertAlign w:val="baseline"/>
        </w:rPr>
        <w:t>increased.</w:t>
      </w:r>
      <w:r>
        <w:rPr>
          <w:vertAlign w:val="superscript"/>
        </w:rPr>
        <w:t>1070</w:t>
      </w:r>
      <w:r>
        <w:rPr>
          <w:spacing w:val="-9"/>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WHI,</w:t>
      </w:r>
      <w:r>
        <w:rPr>
          <w:spacing w:val="-8"/>
          <w:vertAlign w:val="baseline"/>
        </w:rPr>
        <w:t> </w:t>
      </w:r>
      <w:r>
        <w:rPr>
          <w:vertAlign w:val="baseline"/>
        </w:rPr>
        <w:t>there</w:t>
      </w:r>
      <w:r>
        <w:rPr>
          <w:spacing w:val="-8"/>
          <w:vertAlign w:val="baseline"/>
        </w:rPr>
        <w:t> </w:t>
      </w:r>
      <w:r>
        <w:rPr>
          <w:vertAlign w:val="baseline"/>
        </w:rPr>
        <w:t>were</w:t>
      </w:r>
      <w:r>
        <w:rPr>
          <w:spacing w:val="-8"/>
          <w:vertAlign w:val="baseline"/>
        </w:rPr>
        <w:t> </w:t>
      </w:r>
      <w:r>
        <w:rPr>
          <w:vertAlign w:val="baseline"/>
        </w:rPr>
        <w:t>two</w:t>
      </w:r>
      <w:r>
        <w:rPr>
          <w:spacing w:val="-8"/>
          <w:vertAlign w:val="baseline"/>
        </w:rPr>
        <w:t> </w:t>
      </w:r>
      <w:r>
        <w:rPr>
          <w:vertAlign w:val="baseline"/>
        </w:rPr>
        <w:t>endometrioid</w:t>
      </w:r>
      <w:r>
        <w:rPr>
          <w:spacing w:val="-8"/>
          <w:vertAlign w:val="baseline"/>
        </w:rPr>
        <w:t> </w:t>
      </w:r>
      <w:r>
        <w:rPr>
          <w:vertAlign w:val="baseline"/>
        </w:rPr>
        <w:t>cancers in the treated group and none in the placebo group.</w:t>
      </w:r>
    </w:p>
    <w:p>
      <w:pPr>
        <w:pStyle w:val="BodyText"/>
        <w:spacing w:line="249" w:lineRule="auto" w:before="10"/>
        <w:ind w:right="97" w:firstLine="450"/>
      </w:pPr>
      <w:r>
        <w:rPr/>
        <w:t>It should also be noted that in one randomized trial, a case-control</w:t>
      </w:r>
      <w:r>
        <w:rPr>
          <w:spacing w:val="40"/>
        </w:rPr>
        <w:t> </w:t>
      </w:r>
      <w:r>
        <w:rPr/>
        <w:t>study, and two retrospective cohort analyses, no detrimental effect on prognosis after surgery for ovarian cancer could be detected in patients subsequently treated with hormones.</w:t>
      </w:r>
      <w:r>
        <w:rPr>
          <w:vertAlign w:val="superscript"/>
        </w:rPr>
        <w:t>1099-1102</w:t>
      </w:r>
      <w:r>
        <w:rPr>
          <w:vertAlign w:val="baseline"/>
        </w:rPr>
        <w:t> A nested case-control study </w:t>
      </w:r>
      <w:r>
        <w:rPr>
          <w:vertAlign w:val="baseline"/>
        </w:rPr>
        <w:t>of postmenopausal hormone-using women in the WHI-OS had examined for a relationship</w:t>
      </w:r>
      <w:r>
        <w:rPr>
          <w:spacing w:val="-1"/>
          <w:vertAlign w:val="baseline"/>
        </w:rPr>
        <w:t> </w:t>
      </w:r>
      <w:r>
        <w:rPr>
          <w:vertAlign w:val="baseline"/>
        </w:rPr>
        <w:t>between</w:t>
      </w:r>
      <w:r>
        <w:rPr>
          <w:spacing w:val="-1"/>
          <w:vertAlign w:val="baseline"/>
        </w:rPr>
        <w:t> </w:t>
      </w:r>
      <w:r>
        <w:rPr>
          <w:vertAlign w:val="baseline"/>
        </w:rPr>
        <w:t>circulating</w:t>
      </w:r>
      <w:r>
        <w:rPr>
          <w:spacing w:val="-1"/>
          <w:vertAlign w:val="baseline"/>
        </w:rPr>
        <w:t> </w:t>
      </w:r>
      <w:r>
        <w:rPr>
          <w:vertAlign w:val="baseline"/>
        </w:rPr>
        <w:t>estrogens</w:t>
      </w:r>
      <w:r>
        <w:rPr>
          <w:spacing w:val="-1"/>
          <w:vertAlign w:val="baseline"/>
        </w:rPr>
        <w:t> </w:t>
      </w:r>
      <w:r>
        <w:rPr>
          <w:vertAlign w:val="baseline"/>
        </w:rPr>
        <w:t>and</w:t>
      </w:r>
      <w:r>
        <w:rPr>
          <w:spacing w:val="-1"/>
          <w:vertAlign w:val="baseline"/>
        </w:rPr>
        <w:t> </w:t>
      </w:r>
      <w:r>
        <w:rPr>
          <w:vertAlign w:val="baseline"/>
        </w:rPr>
        <w:t>estrogen</w:t>
      </w:r>
      <w:r>
        <w:rPr>
          <w:spacing w:val="-1"/>
          <w:vertAlign w:val="baseline"/>
        </w:rPr>
        <w:t> </w:t>
      </w:r>
      <w:r>
        <w:rPr>
          <w:vertAlign w:val="baseline"/>
        </w:rPr>
        <w:t>metabolites</w:t>
      </w:r>
      <w:r>
        <w:rPr>
          <w:spacing w:val="-1"/>
          <w:vertAlign w:val="baseline"/>
        </w:rPr>
        <w:t> </w:t>
      </w:r>
      <w:r>
        <w:rPr>
          <w:vertAlign w:val="baseline"/>
        </w:rPr>
        <w:t>at</w:t>
      </w:r>
      <w:r>
        <w:rPr>
          <w:spacing w:val="-1"/>
          <w:vertAlign w:val="baseline"/>
        </w:rPr>
        <w:t> </w:t>
      </w:r>
      <w:r>
        <w:rPr>
          <w:vertAlign w:val="baseline"/>
        </w:rPr>
        <w:t>study baseline in relation to incident ovarian and endometrial cancers (serous and nonserous types).</w:t>
      </w:r>
      <w:r>
        <w:rPr>
          <w:vertAlign w:val="superscript"/>
        </w:rPr>
        <w:t>1103</w:t>
      </w:r>
      <w:r>
        <w:rPr>
          <w:vertAlign w:val="baseline"/>
        </w:rPr>
        <w:t> Fifteen estrogens and estrogen metabolites were quantified in baseline blood samples utilizing stable isotope dilution liquid chromatography with tandem mass spectrometry (LC-MS/MS). There was no evidence of a relationship between circulating estrogens nor estrogen metabolites with overall risk for ovarian cancer nor with serous ovarian or endometrial cancers. Interestingly, however, unconjugated estradiol levels were positively associated with nonserous ovarian cancer risk; the likelihood for nonserous ovarian cancer was 3-fold higher in women with unconjugated estradiol levels in the fifth quintile versus those with levels in the first quintile (OR 3.01, 95% CI = 1.17-7.73). This work offers insights into</w:t>
      </w:r>
      <w:r>
        <w:rPr>
          <w:spacing w:val="30"/>
          <w:vertAlign w:val="baseline"/>
        </w:rPr>
        <w:t> </w:t>
      </w:r>
      <w:r>
        <w:rPr>
          <w:vertAlign w:val="baseline"/>
        </w:rPr>
        <w:t>a</w:t>
      </w:r>
      <w:r>
        <w:rPr>
          <w:spacing w:val="30"/>
          <w:vertAlign w:val="baseline"/>
        </w:rPr>
        <w:t> </w:t>
      </w:r>
      <w:r>
        <w:rPr>
          <w:vertAlign w:val="baseline"/>
        </w:rPr>
        <w:t>heterogeneous</w:t>
      </w:r>
      <w:r>
        <w:rPr>
          <w:spacing w:val="30"/>
          <w:vertAlign w:val="baseline"/>
        </w:rPr>
        <w:t> </w:t>
      </w:r>
      <w:r>
        <w:rPr>
          <w:vertAlign w:val="baseline"/>
        </w:rPr>
        <w:t>endocrine</w:t>
      </w:r>
      <w:r>
        <w:rPr>
          <w:spacing w:val="30"/>
          <w:vertAlign w:val="baseline"/>
        </w:rPr>
        <w:t> </w:t>
      </w:r>
      <w:r>
        <w:rPr>
          <w:vertAlign w:val="baseline"/>
        </w:rPr>
        <w:t>milieu</w:t>
      </w:r>
      <w:r>
        <w:rPr>
          <w:spacing w:val="30"/>
          <w:vertAlign w:val="baseline"/>
        </w:rPr>
        <w:t> </w:t>
      </w:r>
      <w:r>
        <w:rPr>
          <w:vertAlign w:val="baseline"/>
        </w:rPr>
        <w:t>of</w:t>
      </w:r>
      <w:r>
        <w:rPr>
          <w:spacing w:val="30"/>
          <w:vertAlign w:val="baseline"/>
        </w:rPr>
        <w:t> </w:t>
      </w:r>
      <w:r>
        <w:rPr>
          <w:vertAlign w:val="baseline"/>
        </w:rPr>
        <w:t>hormone</w:t>
      </w:r>
      <w:r>
        <w:rPr>
          <w:spacing w:val="30"/>
          <w:vertAlign w:val="baseline"/>
        </w:rPr>
        <w:t> </w:t>
      </w:r>
      <w:r>
        <w:rPr>
          <w:vertAlign w:val="baseline"/>
        </w:rPr>
        <w:t>users</w:t>
      </w:r>
      <w:r>
        <w:rPr>
          <w:spacing w:val="30"/>
          <w:vertAlign w:val="baseline"/>
        </w:rPr>
        <w:t> </w:t>
      </w:r>
      <w:r>
        <w:rPr>
          <w:vertAlign w:val="baseline"/>
        </w:rPr>
        <w:t>and</w:t>
      </w:r>
      <w:r>
        <w:rPr>
          <w:spacing w:val="30"/>
          <w:vertAlign w:val="baseline"/>
        </w:rPr>
        <w:t> </w:t>
      </w:r>
      <w:r>
        <w:rPr>
          <w:vertAlign w:val="baseline"/>
        </w:rPr>
        <w:t>allows</w:t>
      </w:r>
      <w:r>
        <w:rPr>
          <w:spacing w:val="30"/>
          <w:vertAlign w:val="baseline"/>
        </w:rPr>
        <w:t> </w:t>
      </w:r>
      <w:r>
        <w:rPr>
          <w:spacing w:val="-2"/>
          <w:vertAlign w:val="baseline"/>
        </w:rPr>
        <w:t>novel</w:t>
      </w:r>
    </w:p>
    <w:p>
      <w:pPr>
        <w:pStyle w:val="BodyText"/>
        <w:spacing w:after="0" w:line="249" w:lineRule="auto"/>
        <w:sectPr>
          <w:pgSz w:w="12240" w:h="15840"/>
          <w:pgMar w:top="1380" w:bottom="280" w:left="1440" w:right="1440"/>
        </w:sectPr>
      </w:pPr>
    </w:p>
    <w:p>
      <w:pPr>
        <w:pStyle w:val="BodyText"/>
        <w:spacing w:line="249" w:lineRule="auto"/>
        <w:ind w:right="98"/>
      </w:pPr>
      <w:r>
        <w:rPr/>
        <w:t>insights into etiologic heterogeneity across histologic subtypes of </w:t>
      </w:r>
      <w:r>
        <w:rPr/>
        <w:t>ovarian </w:t>
      </w:r>
      <w:r>
        <w:rPr>
          <w:spacing w:val="-2"/>
        </w:rPr>
        <w:t>cancer.</w:t>
      </w:r>
    </w:p>
    <w:p>
      <w:pPr>
        <w:spacing w:line="249" w:lineRule="auto" w:before="2"/>
        <w:ind w:left="99" w:right="98" w:firstLine="450"/>
        <w:jc w:val="both"/>
        <w:rPr>
          <w:b/>
          <w:sz w:val="30"/>
        </w:rPr>
      </w:pPr>
      <w:r>
        <w:rPr>
          <w:b/>
          <w:sz w:val="30"/>
        </w:rPr>
        <w:t>Overall,</w:t>
      </w:r>
      <w:r>
        <w:rPr>
          <w:b/>
          <w:spacing w:val="-4"/>
          <w:sz w:val="30"/>
        </w:rPr>
        <w:t> </w:t>
      </w:r>
      <w:r>
        <w:rPr>
          <w:b/>
          <w:sz w:val="30"/>
        </w:rPr>
        <w:t>there</w:t>
      </w:r>
      <w:r>
        <w:rPr>
          <w:b/>
          <w:spacing w:val="-4"/>
          <w:sz w:val="30"/>
        </w:rPr>
        <w:t> </w:t>
      </w:r>
      <w:r>
        <w:rPr>
          <w:b/>
          <w:sz w:val="30"/>
        </w:rPr>
        <w:t>is</w:t>
      </w:r>
      <w:r>
        <w:rPr>
          <w:b/>
          <w:spacing w:val="-4"/>
          <w:sz w:val="30"/>
        </w:rPr>
        <w:t> </w:t>
      </w:r>
      <w:r>
        <w:rPr>
          <w:b/>
          <w:sz w:val="30"/>
        </w:rPr>
        <w:t>an</w:t>
      </w:r>
      <w:r>
        <w:rPr>
          <w:b/>
          <w:spacing w:val="-4"/>
          <w:sz w:val="30"/>
        </w:rPr>
        <w:t> </w:t>
      </w:r>
      <w:r>
        <w:rPr>
          <w:b/>
          <w:sz w:val="30"/>
        </w:rPr>
        <w:t>indication</w:t>
      </w:r>
      <w:r>
        <w:rPr>
          <w:b/>
          <w:spacing w:val="-4"/>
          <w:sz w:val="30"/>
        </w:rPr>
        <w:t> </w:t>
      </w:r>
      <w:r>
        <w:rPr>
          <w:b/>
          <w:sz w:val="30"/>
        </w:rPr>
        <w:t>that</w:t>
      </w:r>
      <w:r>
        <w:rPr>
          <w:b/>
          <w:spacing w:val="-4"/>
          <w:sz w:val="30"/>
        </w:rPr>
        <w:t> </w:t>
      </w:r>
      <w:r>
        <w:rPr>
          <w:b/>
          <w:sz w:val="30"/>
        </w:rPr>
        <w:t>ever</w:t>
      </w:r>
      <w:r>
        <w:rPr>
          <w:b/>
          <w:spacing w:val="-4"/>
          <w:sz w:val="30"/>
        </w:rPr>
        <w:t> </w:t>
      </w:r>
      <w:r>
        <w:rPr>
          <w:b/>
          <w:sz w:val="30"/>
        </w:rPr>
        <w:t>users</w:t>
      </w:r>
      <w:r>
        <w:rPr>
          <w:b/>
          <w:spacing w:val="-4"/>
          <w:sz w:val="30"/>
        </w:rPr>
        <w:t> </w:t>
      </w:r>
      <w:r>
        <w:rPr>
          <w:b/>
          <w:sz w:val="30"/>
        </w:rPr>
        <w:t>of</w:t>
      </w:r>
      <w:r>
        <w:rPr>
          <w:b/>
          <w:spacing w:val="-4"/>
          <w:sz w:val="30"/>
        </w:rPr>
        <w:t> </w:t>
      </w:r>
      <w:r>
        <w:rPr>
          <w:b/>
          <w:sz w:val="30"/>
        </w:rPr>
        <w:t>HT,</w:t>
      </w:r>
      <w:r>
        <w:rPr>
          <w:b/>
          <w:spacing w:val="-4"/>
          <w:sz w:val="30"/>
        </w:rPr>
        <w:t> </w:t>
      </w:r>
      <w:r>
        <w:rPr>
          <w:b/>
          <w:sz w:val="30"/>
        </w:rPr>
        <w:t>no</w:t>
      </w:r>
      <w:r>
        <w:rPr>
          <w:b/>
          <w:spacing w:val="-4"/>
          <w:sz w:val="30"/>
        </w:rPr>
        <w:t> </w:t>
      </w:r>
      <w:r>
        <w:rPr>
          <w:b/>
          <w:sz w:val="30"/>
        </w:rPr>
        <w:t>matter</w:t>
      </w:r>
      <w:r>
        <w:rPr>
          <w:b/>
          <w:spacing w:val="-4"/>
          <w:sz w:val="30"/>
        </w:rPr>
        <w:t> </w:t>
      </w:r>
      <w:r>
        <w:rPr>
          <w:b/>
          <w:sz w:val="30"/>
        </w:rPr>
        <w:t>what formulation, progestin, or treatment regimen, have a small increase in the risk of epithelial ovarian cancers. The data are consistent with a promotional effect on existing malignancies because the risk diminishes after discontinuation of treatment. It is not difficult to review the epidemiologic data and conclude that there is no uniform story, that there are studies with both positive and negative results, and that most of the studies struggled with limited power because of small numbers and all of the studies are affected with confounding because of the difficulties in assessing and controlling for risk factors. The case-control and cohort studies inconsistently controlled for level </w:t>
      </w:r>
      <w:r>
        <w:rPr>
          <w:b/>
          <w:sz w:val="30"/>
        </w:rPr>
        <w:t>of education, parity, oral contraceptive use, BMI, tubal ligation, and family history of ovarian and breast cancer </w:t>
      </w:r>
      <w:r>
        <w:rPr>
          <w:sz w:val="30"/>
        </w:rPr>
        <w:t>(</w:t>
      </w:r>
      <w:r>
        <w:rPr>
          <w:b/>
          <w:sz w:val="30"/>
        </w:rPr>
        <w:t>not a single study controlled for all the known risk factors!</w:t>
      </w:r>
      <w:r>
        <w:rPr>
          <w:sz w:val="30"/>
        </w:rPr>
        <w:t>)</w:t>
      </w:r>
      <w:r>
        <w:rPr>
          <w:b/>
          <w:sz w:val="30"/>
        </w:rPr>
        <w:t>. It is a real possibility that there exists an increased risk for the hormonally sensitive ovarian cancer of the endometrioid type, and studies should carefully segregate this cancer for separate analysis. It is appropriate to emphasize the weak associations and the mixed story, but at the same time, the seriousness of the specific relationship dictates that the association between postmenopausal HT and the risk of ovarian cancer remains an unresolved issue.</w:t>
      </w:r>
    </w:p>
    <w:p>
      <w:pPr>
        <w:pStyle w:val="BodyText"/>
        <w:spacing w:before="0"/>
        <w:ind w:left="0"/>
        <w:jc w:val="left"/>
        <w:rPr>
          <w:b/>
          <w:sz w:val="20"/>
        </w:rPr>
      </w:pPr>
    </w:p>
    <w:p>
      <w:pPr>
        <w:pStyle w:val="BodyText"/>
        <w:spacing w:before="137"/>
        <w:ind w:left="0"/>
        <w:jc w:val="left"/>
        <w:rPr>
          <w:b/>
          <w:sz w:val="20"/>
        </w:rPr>
      </w:pPr>
      <w:r>
        <w:rPr>
          <w:b/>
          <w:sz w:val="20"/>
        </w:rPr>
        <mc:AlternateContent>
          <mc:Choice Requires="wps">
            <w:drawing>
              <wp:anchor distT="0" distB="0" distL="0" distR="0" allowOverlap="1" layoutInCell="1" locked="0" behindDoc="1" simplePos="0" relativeHeight="487665152">
                <wp:simplePos x="0" y="0"/>
                <wp:positionH relativeFrom="page">
                  <wp:posOffset>981075</wp:posOffset>
                </wp:positionH>
                <wp:positionV relativeFrom="paragraph">
                  <wp:posOffset>248582</wp:posOffset>
                </wp:positionV>
                <wp:extent cx="285750" cy="5715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285750" cy="57150"/>
                        </a:xfrm>
                        <a:custGeom>
                          <a:avLst/>
                          <a:gdLst/>
                          <a:ahLst/>
                          <a:cxnLst/>
                          <a:rect l="l" t="t" r="r" b="b"/>
                          <a:pathLst>
                            <a:path w="285750" h="57150">
                              <a:moveTo>
                                <a:pt x="28575" y="57149"/>
                              </a:moveTo>
                              <a:lnTo>
                                <a:pt x="24785" y="56997"/>
                              </a:lnTo>
                              <a:lnTo>
                                <a:pt x="21140" y="56254"/>
                              </a:lnTo>
                              <a:lnTo>
                                <a:pt x="17639" y="54768"/>
                              </a:lnTo>
                              <a:lnTo>
                                <a:pt x="14138" y="53425"/>
                              </a:lnTo>
                              <a:lnTo>
                                <a:pt x="11048" y="51349"/>
                              </a:lnTo>
                              <a:lnTo>
                                <a:pt x="5689" y="45986"/>
                              </a:lnTo>
                              <a:lnTo>
                                <a:pt x="3625" y="42862"/>
                              </a:lnTo>
                              <a:lnTo>
                                <a:pt x="2175" y="39290"/>
                              </a:lnTo>
                              <a:lnTo>
                                <a:pt x="725" y="35871"/>
                              </a:lnTo>
                              <a:lnTo>
                                <a:pt x="0" y="32299"/>
                              </a:lnTo>
                              <a:lnTo>
                                <a:pt x="0" y="24707"/>
                              </a:lnTo>
                              <a:lnTo>
                                <a:pt x="725" y="20983"/>
                              </a:lnTo>
                              <a:lnTo>
                                <a:pt x="2175" y="17564"/>
                              </a:lnTo>
                              <a:lnTo>
                                <a:pt x="3625" y="13992"/>
                              </a:lnTo>
                              <a:lnTo>
                                <a:pt x="5689" y="10868"/>
                              </a:lnTo>
                              <a:lnTo>
                                <a:pt x="8369" y="8334"/>
                              </a:lnTo>
                              <a:lnTo>
                                <a:pt x="11048" y="5505"/>
                              </a:lnTo>
                              <a:lnTo>
                                <a:pt x="14138" y="3419"/>
                              </a:lnTo>
                              <a:lnTo>
                                <a:pt x="21140" y="742"/>
                              </a:lnTo>
                              <a:lnTo>
                                <a:pt x="24785" y="0"/>
                              </a:lnTo>
                              <a:lnTo>
                                <a:pt x="32364" y="0"/>
                              </a:lnTo>
                              <a:lnTo>
                                <a:pt x="36009" y="742"/>
                              </a:lnTo>
                              <a:lnTo>
                                <a:pt x="43010" y="3419"/>
                              </a:lnTo>
                              <a:lnTo>
                                <a:pt x="46101" y="5505"/>
                              </a:lnTo>
                              <a:lnTo>
                                <a:pt x="48780" y="8334"/>
                              </a:lnTo>
                              <a:lnTo>
                                <a:pt x="51459" y="10868"/>
                              </a:lnTo>
                              <a:lnTo>
                                <a:pt x="53524" y="13992"/>
                              </a:lnTo>
                              <a:lnTo>
                                <a:pt x="54974" y="17564"/>
                              </a:lnTo>
                              <a:lnTo>
                                <a:pt x="56424" y="20983"/>
                              </a:lnTo>
                              <a:lnTo>
                                <a:pt x="57149" y="24707"/>
                              </a:lnTo>
                              <a:lnTo>
                                <a:pt x="57149" y="32299"/>
                              </a:lnTo>
                              <a:lnTo>
                                <a:pt x="56424" y="35871"/>
                              </a:lnTo>
                              <a:lnTo>
                                <a:pt x="54974" y="39290"/>
                              </a:lnTo>
                              <a:lnTo>
                                <a:pt x="53524" y="42862"/>
                              </a:lnTo>
                              <a:lnTo>
                                <a:pt x="51459" y="45986"/>
                              </a:lnTo>
                              <a:lnTo>
                                <a:pt x="46101" y="51349"/>
                              </a:lnTo>
                              <a:lnTo>
                                <a:pt x="43010" y="53425"/>
                              </a:lnTo>
                              <a:lnTo>
                                <a:pt x="39510" y="54768"/>
                              </a:lnTo>
                              <a:lnTo>
                                <a:pt x="36009" y="56254"/>
                              </a:lnTo>
                              <a:lnTo>
                                <a:pt x="32364" y="56997"/>
                              </a:lnTo>
                              <a:lnTo>
                                <a:pt x="28575" y="57149"/>
                              </a:lnTo>
                              <a:close/>
                            </a:path>
                            <a:path w="285750" h="57150">
                              <a:moveTo>
                                <a:pt x="142779" y="57149"/>
                              </a:moveTo>
                              <a:lnTo>
                                <a:pt x="138990" y="56997"/>
                              </a:lnTo>
                              <a:lnTo>
                                <a:pt x="135345" y="56254"/>
                              </a:lnTo>
                              <a:lnTo>
                                <a:pt x="131844" y="54768"/>
                              </a:lnTo>
                              <a:lnTo>
                                <a:pt x="128343" y="53425"/>
                              </a:lnTo>
                              <a:lnTo>
                                <a:pt x="125253" y="51349"/>
                              </a:lnTo>
                              <a:lnTo>
                                <a:pt x="119894" y="45986"/>
                              </a:lnTo>
                              <a:lnTo>
                                <a:pt x="117829" y="42862"/>
                              </a:lnTo>
                              <a:lnTo>
                                <a:pt x="116379" y="39290"/>
                              </a:lnTo>
                              <a:lnTo>
                                <a:pt x="114929" y="35871"/>
                              </a:lnTo>
                              <a:lnTo>
                                <a:pt x="114204" y="32299"/>
                              </a:lnTo>
                              <a:lnTo>
                                <a:pt x="114204" y="24707"/>
                              </a:lnTo>
                              <a:lnTo>
                                <a:pt x="114929" y="20983"/>
                              </a:lnTo>
                              <a:lnTo>
                                <a:pt x="116379" y="17564"/>
                              </a:lnTo>
                              <a:lnTo>
                                <a:pt x="117829" y="13992"/>
                              </a:lnTo>
                              <a:lnTo>
                                <a:pt x="119894" y="10868"/>
                              </a:lnTo>
                              <a:lnTo>
                                <a:pt x="122574" y="8334"/>
                              </a:lnTo>
                              <a:lnTo>
                                <a:pt x="125253" y="5505"/>
                              </a:lnTo>
                              <a:lnTo>
                                <a:pt x="128343" y="3419"/>
                              </a:lnTo>
                              <a:lnTo>
                                <a:pt x="135345" y="742"/>
                              </a:lnTo>
                              <a:lnTo>
                                <a:pt x="138990" y="0"/>
                              </a:lnTo>
                              <a:lnTo>
                                <a:pt x="146569" y="0"/>
                              </a:lnTo>
                              <a:lnTo>
                                <a:pt x="150214" y="742"/>
                              </a:lnTo>
                              <a:lnTo>
                                <a:pt x="157215" y="3419"/>
                              </a:lnTo>
                              <a:lnTo>
                                <a:pt x="160305" y="5505"/>
                              </a:lnTo>
                              <a:lnTo>
                                <a:pt x="162985" y="8334"/>
                              </a:lnTo>
                              <a:lnTo>
                                <a:pt x="165664" y="10868"/>
                              </a:lnTo>
                              <a:lnTo>
                                <a:pt x="167729" y="13992"/>
                              </a:lnTo>
                              <a:lnTo>
                                <a:pt x="169179" y="17564"/>
                              </a:lnTo>
                              <a:lnTo>
                                <a:pt x="170629" y="20983"/>
                              </a:lnTo>
                              <a:lnTo>
                                <a:pt x="171354" y="24707"/>
                              </a:lnTo>
                              <a:lnTo>
                                <a:pt x="171354" y="32299"/>
                              </a:lnTo>
                              <a:lnTo>
                                <a:pt x="170629" y="35871"/>
                              </a:lnTo>
                              <a:lnTo>
                                <a:pt x="169179" y="39290"/>
                              </a:lnTo>
                              <a:lnTo>
                                <a:pt x="167729" y="42862"/>
                              </a:lnTo>
                              <a:lnTo>
                                <a:pt x="165664" y="45986"/>
                              </a:lnTo>
                              <a:lnTo>
                                <a:pt x="160305" y="51349"/>
                              </a:lnTo>
                              <a:lnTo>
                                <a:pt x="157215" y="53425"/>
                              </a:lnTo>
                              <a:lnTo>
                                <a:pt x="153714" y="54768"/>
                              </a:lnTo>
                              <a:lnTo>
                                <a:pt x="150214" y="56254"/>
                              </a:lnTo>
                              <a:lnTo>
                                <a:pt x="146569" y="56997"/>
                              </a:lnTo>
                              <a:lnTo>
                                <a:pt x="142779" y="57149"/>
                              </a:lnTo>
                              <a:close/>
                            </a:path>
                            <a:path w="285750" h="57150">
                              <a:moveTo>
                                <a:pt x="256984" y="57149"/>
                              </a:moveTo>
                              <a:lnTo>
                                <a:pt x="253195" y="56997"/>
                              </a:lnTo>
                              <a:lnTo>
                                <a:pt x="249550" y="56254"/>
                              </a:lnTo>
                              <a:lnTo>
                                <a:pt x="246049" y="54768"/>
                              </a:lnTo>
                              <a:lnTo>
                                <a:pt x="242548" y="53425"/>
                              </a:lnTo>
                              <a:lnTo>
                                <a:pt x="239458" y="51349"/>
                              </a:lnTo>
                              <a:lnTo>
                                <a:pt x="234099" y="45986"/>
                              </a:lnTo>
                              <a:lnTo>
                                <a:pt x="232034" y="42862"/>
                              </a:lnTo>
                              <a:lnTo>
                                <a:pt x="230584" y="39290"/>
                              </a:lnTo>
                              <a:lnTo>
                                <a:pt x="229134" y="35871"/>
                              </a:lnTo>
                              <a:lnTo>
                                <a:pt x="228409" y="32299"/>
                              </a:lnTo>
                              <a:lnTo>
                                <a:pt x="228409" y="24707"/>
                              </a:lnTo>
                              <a:lnTo>
                                <a:pt x="229134" y="20983"/>
                              </a:lnTo>
                              <a:lnTo>
                                <a:pt x="230584" y="17564"/>
                              </a:lnTo>
                              <a:lnTo>
                                <a:pt x="232034" y="13992"/>
                              </a:lnTo>
                              <a:lnTo>
                                <a:pt x="234099" y="10868"/>
                              </a:lnTo>
                              <a:lnTo>
                                <a:pt x="236778" y="8334"/>
                              </a:lnTo>
                              <a:lnTo>
                                <a:pt x="239458" y="5505"/>
                              </a:lnTo>
                              <a:lnTo>
                                <a:pt x="242548" y="3419"/>
                              </a:lnTo>
                              <a:lnTo>
                                <a:pt x="249550" y="742"/>
                              </a:lnTo>
                              <a:lnTo>
                                <a:pt x="253195" y="0"/>
                              </a:lnTo>
                              <a:lnTo>
                                <a:pt x="260773" y="0"/>
                              </a:lnTo>
                              <a:lnTo>
                                <a:pt x="264418" y="742"/>
                              </a:lnTo>
                              <a:lnTo>
                                <a:pt x="271420" y="3419"/>
                              </a:lnTo>
                              <a:lnTo>
                                <a:pt x="274510" y="5505"/>
                              </a:lnTo>
                              <a:lnTo>
                                <a:pt x="277190" y="8334"/>
                              </a:lnTo>
                              <a:lnTo>
                                <a:pt x="279869" y="10868"/>
                              </a:lnTo>
                              <a:lnTo>
                                <a:pt x="281934" y="13992"/>
                              </a:lnTo>
                              <a:lnTo>
                                <a:pt x="283384" y="17564"/>
                              </a:lnTo>
                              <a:lnTo>
                                <a:pt x="284834" y="20983"/>
                              </a:lnTo>
                              <a:lnTo>
                                <a:pt x="285559" y="24707"/>
                              </a:lnTo>
                              <a:lnTo>
                                <a:pt x="285559" y="32299"/>
                              </a:lnTo>
                              <a:lnTo>
                                <a:pt x="284834" y="35871"/>
                              </a:lnTo>
                              <a:lnTo>
                                <a:pt x="283384" y="39290"/>
                              </a:lnTo>
                              <a:lnTo>
                                <a:pt x="281934" y="42862"/>
                              </a:lnTo>
                              <a:lnTo>
                                <a:pt x="279869" y="45986"/>
                              </a:lnTo>
                              <a:lnTo>
                                <a:pt x="274510" y="51349"/>
                              </a:lnTo>
                              <a:lnTo>
                                <a:pt x="271420" y="53425"/>
                              </a:lnTo>
                              <a:lnTo>
                                <a:pt x="267919" y="54768"/>
                              </a:lnTo>
                              <a:lnTo>
                                <a:pt x="264418" y="56254"/>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5734pt;width:22.5pt;height:4.5pt;mso-position-horizontal-relative:page;mso-position-vertical-relative:paragraph;z-index:-15651328;mso-wrap-distance-left:0;mso-wrap-distance-right:0" id="docshape274" coordorigin="1545,391" coordsize="450,90" path="m1590,481l1584,481,1578,480,1573,478,1567,476,1562,472,1554,464,1551,459,1548,453,1546,448,1545,442,1545,430,1546,425,1548,419,1551,414,1554,409,1558,405,1562,400,1567,397,1578,393,1584,391,1596,391,1602,393,1613,397,1618,400,1622,405,1626,409,1629,414,1632,419,1634,425,1635,430,1635,442,1634,448,1632,453,1629,459,1626,464,1618,472,1613,476,1607,478,1602,480,1596,481,1590,481xm1770,481l1764,481,1758,480,1753,478,1747,476,1742,472,1734,464,1731,459,1728,453,1726,448,1725,442,1725,430,1726,425,1728,419,1731,414,1734,409,1738,405,1742,400,1747,397,1758,393,1764,391,1776,391,1782,393,1793,397,1797,400,1802,405,1806,409,1809,414,1811,419,1814,425,1815,430,1815,442,1814,448,1811,453,1809,459,1806,464,1797,472,1793,476,1787,478,1782,480,1776,481,1770,481xm1950,481l1944,481,1938,480,1932,478,1927,476,1922,472,1914,464,1910,459,1908,453,1906,448,1905,442,1905,430,1906,425,1908,419,1910,414,1914,409,1918,405,1922,400,1927,397,1938,393,1944,391,1956,391,1961,393,1972,397,1977,400,1982,405,1986,409,1989,414,1991,419,1994,425,1995,430,1995,442,1994,448,1991,453,1989,459,1986,464,1977,472,1972,476,1967,478,1961,480,1956,481,1950,481xe" filled="true" fillcolor="#bdb4d4" stroked="false">
                <v:path arrowok="t"/>
                <v:fill type="solid"/>
                <w10:wrap type="topAndBottom"/>
              </v:shape>
            </w:pict>
          </mc:Fallback>
        </mc:AlternateContent>
      </w:r>
    </w:p>
    <w:p>
      <w:pPr>
        <w:pStyle w:val="Heading3"/>
        <w:jc w:val="both"/>
      </w:pPr>
      <w:r>
        <w:rPr>
          <w:color w:val="534089"/>
          <w:spacing w:val="-2"/>
        </w:rPr>
        <w:t>COLORECTAL</w:t>
      </w:r>
      <w:r>
        <w:rPr>
          <w:color w:val="534089"/>
          <w:spacing w:val="-3"/>
        </w:rPr>
        <w:t> </w:t>
      </w:r>
      <w:r>
        <w:rPr>
          <w:color w:val="534089"/>
          <w:spacing w:val="-2"/>
        </w:rPr>
        <w:t>CANCER</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5664">
                <wp:simplePos x="0" y="0"/>
                <wp:positionH relativeFrom="page">
                  <wp:posOffset>981075</wp:posOffset>
                </wp:positionH>
                <wp:positionV relativeFrom="paragraph">
                  <wp:posOffset>45684</wp:posOffset>
                </wp:positionV>
                <wp:extent cx="5810250" cy="1905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222pt;width:457.499964pt;height:1.5pt;mso-position-horizontal-relative:page;mso-position-vertical-relative:paragraph;z-index:-15650816;mso-wrap-distance-left:0;mso-wrap-distance-right:0" id="docshape275" filled="true" fillcolor="#534089" stroked="false">
                <v:fill type="solid"/>
                <w10:wrap type="topAndBottom"/>
              </v:rect>
            </w:pict>
          </mc:Fallback>
        </mc:AlternateContent>
      </w:r>
    </w:p>
    <w:p>
      <w:pPr>
        <w:pStyle w:val="BodyText"/>
        <w:spacing w:line="249" w:lineRule="auto" w:before="215"/>
        <w:ind w:right="100"/>
      </w:pPr>
      <w:r>
        <w:rPr/>
        <w:t>Several observational studies show a reduced risk of colorectal cancer in those taking HT.</w:t>
      </w:r>
      <w:r>
        <w:rPr>
          <w:vertAlign w:val="superscript"/>
        </w:rPr>
        <w:t>1104-1113</w:t>
      </w:r>
      <w:r>
        <w:rPr>
          <w:vertAlign w:val="baseline"/>
        </w:rPr>
        <w:t> The effect is greatest in current users, and </w:t>
      </w:r>
      <w:r>
        <w:rPr>
          <w:vertAlign w:val="baseline"/>
        </w:rPr>
        <w:t>most studies have not indicated an increased effect with increasing duration of use; for example, the Nurses’ Health Study (which found a 34% reduced risk in current users) could not demonstrate an added benefit with longer duration</w:t>
      </w:r>
      <w:r>
        <w:rPr>
          <w:spacing w:val="-1"/>
          <w:vertAlign w:val="baseline"/>
        </w:rPr>
        <w:t> </w:t>
      </w:r>
      <w:r>
        <w:rPr>
          <w:vertAlign w:val="baseline"/>
        </w:rPr>
        <w:t>of</w:t>
      </w:r>
      <w:r>
        <w:rPr>
          <w:spacing w:val="-1"/>
          <w:vertAlign w:val="baseline"/>
        </w:rPr>
        <w:t> </w:t>
      </w:r>
      <w:r>
        <w:rPr>
          <w:vertAlign w:val="baseline"/>
        </w:rPr>
        <w:t>hormone</w:t>
      </w:r>
      <w:r>
        <w:rPr>
          <w:spacing w:val="-1"/>
          <w:vertAlign w:val="baseline"/>
        </w:rPr>
        <w:t> </w:t>
      </w:r>
      <w:r>
        <w:rPr>
          <w:vertAlign w:val="baseline"/>
        </w:rPr>
        <w:t>use.</w:t>
      </w:r>
      <w:r>
        <w:rPr>
          <w:vertAlign w:val="superscript"/>
        </w:rPr>
        <w:t>1114</w:t>
      </w:r>
      <w:r>
        <w:rPr>
          <w:vertAlign w:val="baseline"/>
        </w:rPr>
        <w:t> A reduction in fatal colon cancer has also been documented in current users.</w:t>
      </w:r>
      <w:r>
        <w:rPr>
          <w:vertAlign w:val="superscript"/>
        </w:rPr>
        <w:t>1107,1115</w:t>
      </w:r>
      <w:r>
        <w:rPr>
          <w:vertAlign w:val="baseline"/>
        </w:rPr>
        <w:t> In addition, there appears to be a reduced</w:t>
      </w:r>
      <w:r>
        <w:rPr>
          <w:spacing w:val="36"/>
          <w:vertAlign w:val="baseline"/>
        </w:rPr>
        <w:t> </w:t>
      </w:r>
      <w:r>
        <w:rPr>
          <w:vertAlign w:val="baseline"/>
        </w:rPr>
        <w:t>risk</w:t>
      </w:r>
      <w:r>
        <w:rPr>
          <w:spacing w:val="36"/>
          <w:vertAlign w:val="baseline"/>
        </w:rPr>
        <w:t> </w:t>
      </w:r>
      <w:r>
        <w:rPr>
          <w:vertAlign w:val="baseline"/>
        </w:rPr>
        <w:t>of</w:t>
      </w:r>
      <w:r>
        <w:rPr>
          <w:spacing w:val="37"/>
          <w:vertAlign w:val="baseline"/>
        </w:rPr>
        <w:t> </w:t>
      </w:r>
      <w:r>
        <w:rPr>
          <w:vertAlign w:val="baseline"/>
        </w:rPr>
        <w:t>polyps,</w:t>
      </w:r>
      <w:r>
        <w:rPr>
          <w:spacing w:val="36"/>
          <w:vertAlign w:val="baseline"/>
        </w:rPr>
        <w:t> </w:t>
      </w:r>
      <w:r>
        <w:rPr>
          <w:vertAlign w:val="baseline"/>
        </w:rPr>
        <w:t>especially</w:t>
      </w:r>
      <w:r>
        <w:rPr>
          <w:spacing w:val="37"/>
          <w:vertAlign w:val="baseline"/>
        </w:rPr>
        <w:t> </w:t>
      </w:r>
      <w:r>
        <w:rPr>
          <w:vertAlign w:val="baseline"/>
        </w:rPr>
        <w:t>large</w:t>
      </w:r>
      <w:r>
        <w:rPr>
          <w:spacing w:val="36"/>
          <w:vertAlign w:val="baseline"/>
        </w:rPr>
        <w:t> </w:t>
      </w:r>
      <w:r>
        <w:rPr>
          <w:vertAlign w:val="baseline"/>
        </w:rPr>
        <w:t>polyps,</w:t>
      </w:r>
      <w:r>
        <w:rPr>
          <w:spacing w:val="36"/>
          <w:vertAlign w:val="baseline"/>
        </w:rPr>
        <w:t> </w:t>
      </w:r>
      <w:r>
        <w:rPr>
          <w:vertAlign w:val="baseline"/>
        </w:rPr>
        <w:t>among</w:t>
      </w:r>
      <w:r>
        <w:rPr>
          <w:spacing w:val="37"/>
          <w:vertAlign w:val="baseline"/>
        </w:rPr>
        <w:t> </w:t>
      </w:r>
      <w:r>
        <w:rPr>
          <w:vertAlign w:val="baseline"/>
        </w:rPr>
        <w:t>current</w:t>
      </w:r>
      <w:r>
        <w:rPr>
          <w:spacing w:val="36"/>
          <w:vertAlign w:val="baseline"/>
        </w:rPr>
        <w:t> </w:t>
      </w:r>
      <w:r>
        <w:rPr>
          <w:vertAlign w:val="baseline"/>
        </w:rPr>
        <w:t>and</w:t>
      </w:r>
      <w:r>
        <w:rPr>
          <w:spacing w:val="37"/>
          <w:vertAlign w:val="baseline"/>
        </w:rPr>
        <w:t> </w:t>
      </w:r>
      <w:r>
        <w:rPr>
          <w:spacing w:val="-2"/>
          <w:vertAlign w:val="baseline"/>
        </w:rPr>
        <w:t>recent</w:t>
      </w:r>
    </w:p>
    <w:p>
      <w:pPr>
        <w:pStyle w:val="BodyText"/>
        <w:spacing w:after="0" w:line="249" w:lineRule="auto"/>
        <w:sectPr>
          <w:pgSz w:w="12240" w:h="15840"/>
          <w:pgMar w:top="1380" w:bottom="280" w:left="1440" w:right="1440"/>
        </w:sectPr>
      </w:pPr>
    </w:p>
    <w:p>
      <w:pPr>
        <w:pStyle w:val="BodyText"/>
        <w:spacing w:line="249" w:lineRule="auto"/>
        <w:ind w:right="110"/>
      </w:pPr>
      <w:r>
        <w:rPr/>
        <w:t>hormone users. A reduced risk of colorectal cancer has also been reported with a high intake of phytoestrogens.</w:t>
      </w:r>
      <w:r>
        <w:rPr>
          <w:vertAlign w:val="superscript"/>
        </w:rPr>
        <w:t>488,1116</w:t>
      </w:r>
    </w:p>
    <w:p>
      <w:pPr>
        <w:pStyle w:val="BodyText"/>
        <w:spacing w:line="249" w:lineRule="auto" w:before="2"/>
        <w:ind w:right="98" w:firstLine="450"/>
      </w:pPr>
      <w:r>
        <w:rPr/>
        <w:t>The canceled estrogen-progestin arm of the WHI reported a statistically significant 44% reduction in incidence of colorectal cancer, and this was achieved within only a few years of estrogen-progestin therapy.</w:t>
      </w:r>
      <w:r>
        <w:rPr>
          <w:vertAlign w:val="superscript"/>
        </w:rPr>
        <w:t>622</w:t>
      </w:r>
      <w:r>
        <w:rPr>
          <w:vertAlign w:val="baseline"/>
        </w:rPr>
        <w:t> </w:t>
      </w:r>
      <w:r>
        <w:rPr>
          <w:vertAlign w:val="baseline"/>
        </w:rPr>
        <w:t>This result in the estrogen-progestin arm was not without concern, however, in that the hormone-treated group had more advanced disease. Indeed, the conclusion</w:t>
      </w:r>
      <w:r>
        <w:rPr>
          <w:spacing w:val="-4"/>
          <w:vertAlign w:val="baseline"/>
        </w:rPr>
        <w:t> </w:t>
      </w:r>
      <w:r>
        <w:rPr>
          <w:vertAlign w:val="baseline"/>
        </w:rPr>
        <w:t>was</w:t>
      </w:r>
      <w:r>
        <w:rPr>
          <w:spacing w:val="-4"/>
          <w:vertAlign w:val="baseline"/>
        </w:rPr>
        <w:t> </w:t>
      </w:r>
      <w:r>
        <w:rPr>
          <w:vertAlign w:val="baseline"/>
        </w:rPr>
        <w:t>largely</w:t>
      </w:r>
      <w:r>
        <w:rPr>
          <w:spacing w:val="-4"/>
          <w:vertAlign w:val="baseline"/>
        </w:rPr>
        <w:t> </w:t>
      </w:r>
      <w:r>
        <w:rPr>
          <w:vertAlign w:val="baseline"/>
        </w:rPr>
        <w:t>because</w:t>
      </w:r>
      <w:r>
        <w:rPr>
          <w:spacing w:val="-4"/>
          <w:vertAlign w:val="baseline"/>
        </w:rPr>
        <w:t> </w:t>
      </w:r>
      <w:r>
        <w:rPr>
          <w:vertAlign w:val="baseline"/>
        </w:rPr>
        <w:t>of</w:t>
      </w:r>
      <w:r>
        <w:rPr>
          <w:spacing w:val="-4"/>
          <w:vertAlign w:val="baseline"/>
        </w:rPr>
        <w:t> </w:t>
      </w:r>
      <w:r>
        <w:rPr>
          <w:vertAlign w:val="baseline"/>
        </w:rPr>
        <w:t>a</w:t>
      </w:r>
      <w:r>
        <w:rPr>
          <w:spacing w:val="-4"/>
          <w:vertAlign w:val="baseline"/>
        </w:rPr>
        <w:t> </w:t>
      </w:r>
      <w:r>
        <w:rPr>
          <w:vertAlign w:val="baseline"/>
        </w:rPr>
        <w:t>difference</w:t>
      </w:r>
      <w:r>
        <w:rPr>
          <w:spacing w:val="-4"/>
          <w:vertAlign w:val="baseline"/>
        </w:rPr>
        <w:t> </w:t>
      </w:r>
      <w:r>
        <w:rPr>
          <w:vertAlign w:val="baseline"/>
        </w:rPr>
        <w:t>in</w:t>
      </w:r>
      <w:r>
        <w:rPr>
          <w:spacing w:val="-4"/>
          <w:vertAlign w:val="baseline"/>
        </w:rPr>
        <w:t> </w:t>
      </w:r>
      <w:r>
        <w:rPr>
          <w:vertAlign w:val="baseline"/>
        </w:rPr>
        <w:t>localized</w:t>
      </w:r>
      <w:r>
        <w:rPr>
          <w:spacing w:val="-4"/>
          <w:vertAlign w:val="baseline"/>
        </w:rPr>
        <w:t> </w:t>
      </w:r>
      <w:r>
        <w:rPr>
          <w:vertAlign w:val="baseline"/>
        </w:rPr>
        <w:t>disease,</w:t>
      </w:r>
      <w:r>
        <w:rPr>
          <w:spacing w:val="-4"/>
          <w:vertAlign w:val="baseline"/>
        </w:rPr>
        <w:t> </w:t>
      </w:r>
      <w:r>
        <w:rPr>
          <w:vertAlign w:val="baseline"/>
        </w:rPr>
        <w:t>10</w:t>
      </w:r>
      <w:r>
        <w:rPr>
          <w:spacing w:val="-4"/>
          <w:vertAlign w:val="baseline"/>
        </w:rPr>
        <w:t> </w:t>
      </w:r>
      <w:r>
        <w:rPr>
          <w:vertAlign w:val="baseline"/>
        </w:rPr>
        <w:t>cases in the treated group and 36 in the placebo group. The results suggest that already-present cancers were influenced by HT to reach a more advanced stage, but that estrogen-progestin treatment reduced the risk of new colonic cancers. Unlike the combination regimen arm of WHI, there was no significant difference in the occurrence of colorectal cancer among</w:t>
      </w:r>
      <w:r>
        <w:rPr>
          <w:spacing w:val="40"/>
          <w:vertAlign w:val="baseline"/>
        </w:rPr>
        <w:t> </w:t>
      </w:r>
      <w:r>
        <w:rPr>
          <w:vertAlign w:val="baseline"/>
        </w:rPr>
        <w:t>hormone users or placebo group in the estrogen-alone WHI trial.</w:t>
      </w:r>
      <w:r>
        <w:rPr>
          <w:vertAlign w:val="superscript"/>
        </w:rPr>
        <w:t>1117</w:t>
      </w:r>
      <w:r>
        <w:rPr>
          <w:vertAlign w:val="baseline"/>
        </w:rPr>
        <w:t> However, it must be appreciated that the E-alone WHI trial had two important problems when contrasted with the E+P trial: a very high drop-out rate and about 6,000 fewer participants. Furthermore, interpretability of WHI results must be confined to older postmenopausal women, an age group where carcinogenetic events are likely already underway. Analysis of the California Teacher study for risk of invasive colon cancer also revealed a decreased risk in postmenopausal women taking HT.</w:t>
      </w:r>
      <w:r>
        <w:rPr>
          <w:vertAlign w:val="superscript"/>
        </w:rPr>
        <w:t>1118</w:t>
      </w:r>
      <w:r>
        <w:rPr>
          <w:vertAlign w:val="baseline"/>
        </w:rPr>
        <w:t> In another case-control study, both oral and transdermal HTs reduced the risk for developing colorectal cancer.</w:t>
      </w:r>
      <w:r>
        <w:rPr>
          <w:vertAlign w:val="superscript"/>
        </w:rPr>
        <w:t>1119</w:t>
      </w:r>
    </w:p>
    <w:p>
      <w:pPr>
        <w:pStyle w:val="BodyText"/>
        <w:spacing w:line="249" w:lineRule="auto" w:before="26"/>
        <w:ind w:right="101" w:firstLine="450"/>
        <w:rPr>
          <w:b/>
        </w:rPr>
      </w:pPr>
      <w:r>
        <w:rPr/>
        <w:t>While the mechanisms underlying decreased colorectal cancer risk in HT users remain unclear, a few hypotheses have been put forth. The estrogen-induced change in the bile (a decrease in bile acids with an increase in cholesterol saturation) favors gallstone formation but </w:t>
      </w:r>
      <w:r>
        <w:rPr/>
        <w:t>may reduce the promotion (by bile acids) of colonic cancer. Other possible mechanisms include a direct suppressive effect of hormones on mucosal</w:t>
      </w:r>
      <w:r>
        <w:rPr>
          <w:spacing w:val="40"/>
        </w:rPr>
        <w:t> </w:t>
      </w:r>
      <w:r>
        <w:rPr/>
        <w:t>cell growth and an effect on beneficial mucosal secretions. The colon contains only ER-β, and the reduction in the risk of colonic cancer associated with postmenopausal ET may reflect an antiproliferative activity of the ER-β. Obesity is a recognized risk for colorectal cancer, and body mass has also been suggested as an effect modifier in the relationship between HT and colon cancer.</w:t>
      </w:r>
      <w:r>
        <w:rPr>
          <w:vertAlign w:val="superscript"/>
        </w:rPr>
        <w:t>1120</w:t>
      </w:r>
      <w:r>
        <w:rPr>
          <w:vertAlign w:val="baseline"/>
        </w:rPr>
        <w:t> </w:t>
      </w:r>
      <w:r>
        <w:rPr>
          <w:b/>
          <w:vertAlign w:val="baseline"/>
        </w:rPr>
        <w:t>Despite a lack of clarity on the exact mechanisms</w:t>
      </w:r>
      <w:r>
        <w:rPr>
          <w:b/>
          <w:spacing w:val="43"/>
          <w:w w:val="150"/>
          <w:vertAlign w:val="baseline"/>
        </w:rPr>
        <w:t> </w:t>
      </w:r>
      <w:r>
        <w:rPr>
          <w:b/>
          <w:vertAlign w:val="baseline"/>
        </w:rPr>
        <w:t>whereby</w:t>
      </w:r>
      <w:r>
        <w:rPr>
          <w:b/>
          <w:spacing w:val="46"/>
          <w:w w:val="150"/>
          <w:vertAlign w:val="baseline"/>
        </w:rPr>
        <w:t> </w:t>
      </w:r>
      <w:r>
        <w:rPr>
          <w:b/>
          <w:vertAlign w:val="baseline"/>
        </w:rPr>
        <w:t>HT</w:t>
      </w:r>
      <w:r>
        <w:rPr>
          <w:b/>
          <w:spacing w:val="46"/>
          <w:w w:val="150"/>
          <w:vertAlign w:val="baseline"/>
        </w:rPr>
        <w:t> </w:t>
      </w:r>
      <w:r>
        <w:rPr>
          <w:b/>
          <w:vertAlign w:val="baseline"/>
        </w:rPr>
        <w:t>may</w:t>
      </w:r>
      <w:r>
        <w:rPr>
          <w:b/>
          <w:spacing w:val="46"/>
          <w:w w:val="150"/>
          <w:vertAlign w:val="baseline"/>
        </w:rPr>
        <w:t> </w:t>
      </w:r>
      <w:r>
        <w:rPr>
          <w:b/>
          <w:vertAlign w:val="baseline"/>
        </w:rPr>
        <w:t>confer</w:t>
      </w:r>
      <w:r>
        <w:rPr>
          <w:b/>
          <w:spacing w:val="45"/>
          <w:w w:val="150"/>
          <w:vertAlign w:val="baseline"/>
        </w:rPr>
        <w:t> </w:t>
      </w:r>
      <w:r>
        <w:rPr>
          <w:b/>
          <w:vertAlign w:val="baseline"/>
        </w:rPr>
        <w:t>risk</w:t>
      </w:r>
      <w:r>
        <w:rPr>
          <w:b/>
          <w:spacing w:val="46"/>
          <w:w w:val="150"/>
          <w:vertAlign w:val="baseline"/>
        </w:rPr>
        <w:t> </w:t>
      </w:r>
      <w:r>
        <w:rPr>
          <w:b/>
          <w:vertAlign w:val="baseline"/>
        </w:rPr>
        <w:t>mitigation</w:t>
      </w:r>
      <w:r>
        <w:rPr>
          <w:b/>
          <w:spacing w:val="46"/>
          <w:w w:val="150"/>
          <w:vertAlign w:val="baseline"/>
        </w:rPr>
        <w:t> </w:t>
      </w:r>
      <w:r>
        <w:rPr>
          <w:b/>
          <w:vertAlign w:val="baseline"/>
        </w:rPr>
        <w:t>against</w:t>
      </w:r>
      <w:r>
        <w:rPr>
          <w:b/>
          <w:spacing w:val="46"/>
          <w:w w:val="150"/>
          <w:vertAlign w:val="baseline"/>
        </w:rPr>
        <w:t> </w:t>
      </w:r>
      <w:r>
        <w:rPr>
          <w:b/>
          <w:spacing w:val="-2"/>
          <w:vertAlign w:val="baseline"/>
        </w:rPr>
        <w:t>colon</w:t>
      </w:r>
    </w:p>
    <w:p>
      <w:pPr>
        <w:pStyle w:val="BodyText"/>
        <w:spacing w:after="0" w:line="249" w:lineRule="auto"/>
        <w:rPr>
          <w:b/>
        </w:rPr>
        <w:sectPr>
          <w:pgSz w:w="12240" w:h="15840"/>
          <w:pgMar w:top="1380" w:bottom="280" w:left="1440" w:right="1440"/>
        </w:sectPr>
      </w:pPr>
    </w:p>
    <w:p>
      <w:pPr>
        <w:spacing w:line="249" w:lineRule="auto" w:before="65"/>
        <w:ind w:left="99" w:right="106" w:firstLine="0"/>
        <w:jc w:val="both"/>
        <w:rPr>
          <w:b/>
          <w:sz w:val="30"/>
        </w:rPr>
      </w:pPr>
      <w:r>
        <w:rPr>
          <w:b/>
          <w:sz w:val="30"/>
        </w:rPr>
        <w:t>cancer, this potential for benefit deserves greater attention; </w:t>
      </w:r>
      <w:r>
        <w:rPr>
          <w:b/>
          <w:sz w:val="30"/>
        </w:rPr>
        <w:t>colorectal cancer ranks third in women, both in incidence and mortality, and is more prevalent than cancers of the uterus or ovary.</w:t>
      </w:r>
      <w:r>
        <w:rPr>
          <w:sz w:val="30"/>
          <w:vertAlign w:val="superscript"/>
        </w:rPr>
        <w:t>824</w:t>
      </w:r>
      <w:r>
        <w:rPr>
          <w:sz w:val="30"/>
          <w:vertAlign w:val="baseline"/>
        </w:rPr>
        <w:t> </w:t>
      </w:r>
      <w:r>
        <w:rPr>
          <w:b/>
          <w:sz w:val="30"/>
          <w:vertAlign w:val="baseline"/>
        </w:rPr>
        <w:t>However, it should be noted that data supporting benefits of HT against colon cancer are not uniform, and until clarity is attained, there is no place for use of HT for the prevention of colon cancer.</w:t>
      </w:r>
    </w:p>
    <w:p>
      <w:pPr>
        <w:pStyle w:val="BodyText"/>
        <w:spacing w:before="0"/>
        <w:ind w:left="0"/>
        <w:jc w:val="left"/>
        <w:rPr>
          <w:b/>
          <w:sz w:val="20"/>
        </w:rPr>
      </w:pPr>
    </w:p>
    <w:p>
      <w:pPr>
        <w:pStyle w:val="BodyText"/>
        <w:spacing w:before="118"/>
        <w:ind w:left="0"/>
        <w:jc w:val="left"/>
        <w:rPr>
          <w:b/>
          <w:sz w:val="20"/>
        </w:rPr>
      </w:pPr>
      <w:r>
        <w:rPr>
          <w:b/>
          <w:sz w:val="20"/>
        </w:rPr>
        <mc:AlternateContent>
          <mc:Choice Requires="wps">
            <w:drawing>
              <wp:anchor distT="0" distB="0" distL="0" distR="0" allowOverlap="1" layoutInCell="1" locked="0" behindDoc="1" simplePos="0" relativeHeight="487666176">
                <wp:simplePos x="0" y="0"/>
                <wp:positionH relativeFrom="page">
                  <wp:posOffset>981075</wp:posOffset>
                </wp:positionH>
                <wp:positionV relativeFrom="paragraph">
                  <wp:posOffset>236569</wp:posOffset>
                </wp:positionV>
                <wp:extent cx="285750" cy="5715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285750" cy="57150"/>
                        </a:xfrm>
                        <a:custGeom>
                          <a:avLst/>
                          <a:gdLst/>
                          <a:ahLst/>
                          <a:cxnLst/>
                          <a:rect l="l" t="t" r="r" b="b"/>
                          <a:pathLst>
                            <a:path w="285750" h="57150">
                              <a:moveTo>
                                <a:pt x="32364" y="57149"/>
                              </a:moveTo>
                              <a:lnTo>
                                <a:pt x="24785" y="57149"/>
                              </a:lnTo>
                              <a:lnTo>
                                <a:pt x="21140" y="56407"/>
                              </a:lnTo>
                              <a:lnTo>
                                <a:pt x="0" y="32299"/>
                              </a:lnTo>
                              <a:lnTo>
                                <a:pt x="0" y="24707"/>
                              </a:lnTo>
                              <a:lnTo>
                                <a:pt x="24785" y="0"/>
                              </a:lnTo>
                              <a:lnTo>
                                <a:pt x="32364" y="0"/>
                              </a:lnTo>
                              <a:lnTo>
                                <a:pt x="57149" y="24707"/>
                              </a:lnTo>
                              <a:lnTo>
                                <a:pt x="57149" y="32299"/>
                              </a:lnTo>
                              <a:lnTo>
                                <a:pt x="32364" y="57149"/>
                              </a:lnTo>
                              <a:close/>
                            </a:path>
                            <a:path w="285750" h="57150">
                              <a:moveTo>
                                <a:pt x="146569" y="57149"/>
                              </a:moveTo>
                              <a:lnTo>
                                <a:pt x="138990" y="57149"/>
                              </a:lnTo>
                              <a:lnTo>
                                <a:pt x="135345" y="56407"/>
                              </a:lnTo>
                              <a:lnTo>
                                <a:pt x="114204" y="32299"/>
                              </a:lnTo>
                              <a:lnTo>
                                <a:pt x="114204" y="24707"/>
                              </a:lnTo>
                              <a:lnTo>
                                <a:pt x="138990" y="0"/>
                              </a:lnTo>
                              <a:lnTo>
                                <a:pt x="146569" y="0"/>
                              </a:lnTo>
                              <a:lnTo>
                                <a:pt x="171354" y="24707"/>
                              </a:lnTo>
                              <a:lnTo>
                                <a:pt x="171354" y="32299"/>
                              </a:lnTo>
                              <a:lnTo>
                                <a:pt x="146569" y="57149"/>
                              </a:lnTo>
                              <a:close/>
                            </a:path>
                            <a:path w="285750" h="57150">
                              <a:moveTo>
                                <a:pt x="260773" y="57149"/>
                              </a:moveTo>
                              <a:lnTo>
                                <a:pt x="253195" y="57149"/>
                              </a:lnTo>
                              <a:lnTo>
                                <a:pt x="249550" y="56407"/>
                              </a:lnTo>
                              <a:lnTo>
                                <a:pt x="228409" y="32299"/>
                              </a:lnTo>
                              <a:lnTo>
                                <a:pt x="228409" y="24707"/>
                              </a:lnTo>
                              <a:lnTo>
                                <a:pt x="253195" y="0"/>
                              </a:lnTo>
                              <a:lnTo>
                                <a:pt x="260773" y="0"/>
                              </a:lnTo>
                              <a:lnTo>
                                <a:pt x="285559" y="24707"/>
                              </a:lnTo>
                              <a:lnTo>
                                <a:pt x="285559" y="32299"/>
                              </a:lnTo>
                              <a:lnTo>
                                <a:pt x="260773"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627516pt;width:22.5pt;height:4.5pt;mso-position-horizontal-relative:page;mso-position-vertical-relative:paragraph;z-index:-15650304;mso-wrap-distance-left:0;mso-wrap-distance-right:0" id="docshape276" coordorigin="1545,373" coordsize="450,90" path="m1596,463l1584,463,1578,461,1567,457,1562,453,1558,449,1554,445,1551,440,1548,435,1546,429,1545,423,1545,411,1546,406,1551,395,1554,390,1562,381,1567,378,1573,376,1578,374,1584,373,1596,373,1602,374,1607,376,1613,378,1618,381,1626,390,1629,395,1634,406,1635,411,1635,423,1634,429,1632,435,1629,440,1626,445,1622,449,1618,453,1613,457,1602,461,1596,463xm1776,463l1764,463,1758,461,1747,457,1742,453,1738,449,1734,445,1731,440,1728,435,1726,429,1725,423,1725,411,1726,406,1731,395,1734,390,1742,381,1747,378,1753,376,1758,374,1764,373,1776,373,1782,374,1787,376,1793,378,1797,381,1806,390,1809,395,1814,406,1815,411,1815,423,1814,429,1811,435,1809,440,1806,445,1802,449,1797,453,1793,457,1782,461,1776,463xm1956,463l1944,463,1938,461,1927,457,1922,453,1918,449,1914,445,1910,440,1908,435,1906,429,1905,423,1905,411,1906,406,1910,395,1914,390,1922,381,1927,378,1932,376,1938,374,1944,373,1956,373,1961,374,1967,376,1972,378,1977,381,1986,390,1989,395,1994,406,1995,411,1995,423,1994,429,1991,435,1989,440,1986,445,1982,449,1977,453,1972,457,1961,461,1956,463xe" filled="true" fillcolor="#bdb4d4" stroked="false">
                <v:path arrowok="t"/>
                <v:fill type="solid"/>
                <w10:wrap type="topAndBottom"/>
              </v:shape>
            </w:pict>
          </mc:Fallback>
        </mc:AlternateContent>
      </w:r>
    </w:p>
    <w:p>
      <w:pPr>
        <w:pStyle w:val="Heading3"/>
        <w:jc w:val="both"/>
      </w:pPr>
      <w:r>
        <w:rPr>
          <w:color w:val="534089"/>
        </w:rPr>
        <w:t>LUNG </w:t>
      </w:r>
      <w:r>
        <w:rPr>
          <w:color w:val="534089"/>
          <w:spacing w:val="-2"/>
        </w:rPr>
        <w:t>CANCER</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6688">
                <wp:simplePos x="0" y="0"/>
                <wp:positionH relativeFrom="page">
                  <wp:posOffset>981075</wp:posOffset>
                </wp:positionH>
                <wp:positionV relativeFrom="paragraph">
                  <wp:posOffset>45684</wp:posOffset>
                </wp:positionV>
                <wp:extent cx="5810250" cy="1905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183pt;width:457.499964pt;height:1.5pt;mso-position-horizontal-relative:page;mso-position-vertical-relative:paragraph;z-index:-15649792;mso-wrap-distance-left:0;mso-wrap-distance-right:0" id="docshape277" filled="true" fillcolor="#534089" stroked="false">
                <v:fill type="solid"/>
                <w10:wrap type="topAndBottom"/>
              </v:rect>
            </w:pict>
          </mc:Fallback>
        </mc:AlternateContent>
      </w:r>
    </w:p>
    <w:p>
      <w:pPr>
        <w:pStyle w:val="BodyText"/>
        <w:spacing w:line="249" w:lineRule="auto" w:before="215"/>
        <w:ind w:right="97"/>
      </w:pPr>
      <w:r>
        <w:rPr/>
        <w:t>The leading cause of cancer mortality in American men and women is lung cancer; 87% of the deaths occur in smokers, and there are twice as many deaths from lung cancer in women as with breast cancer, annually.</w:t>
      </w:r>
      <w:r>
        <w:rPr>
          <w:vertAlign w:val="superscript"/>
        </w:rPr>
        <w:t>824</w:t>
      </w:r>
      <w:r>
        <w:rPr>
          <w:vertAlign w:val="baseline"/>
        </w:rPr>
        <w:t> In a post hoc analysis that combined data from 0 to 4 years of follow-up with</w:t>
      </w:r>
      <w:r>
        <w:rPr>
          <w:spacing w:val="40"/>
          <w:vertAlign w:val="baseline"/>
        </w:rPr>
        <w:t> </w:t>
      </w:r>
      <w:r>
        <w:rPr>
          <w:vertAlign w:val="baseline"/>
        </w:rPr>
        <w:t>the treatment period in the canceled estrogen-progestin arm of the WHI, the incidence of non-small cell lung cancer, the type that accounts for about 80% of cases of lung cancer, was nonsignificantly increased, but </w:t>
      </w:r>
      <w:r>
        <w:rPr>
          <w:vertAlign w:val="baseline"/>
        </w:rPr>
        <w:t>the</w:t>
      </w:r>
      <w:r>
        <w:rPr>
          <w:spacing w:val="40"/>
          <w:vertAlign w:val="baseline"/>
        </w:rPr>
        <w:t> </w:t>
      </w:r>
      <w:r>
        <w:rPr>
          <w:vertAlign w:val="baseline"/>
        </w:rPr>
        <w:t>number of deaths and the number of poorly differentiated and metastatic tumors</w:t>
      </w:r>
      <w:r>
        <w:rPr>
          <w:spacing w:val="-2"/>
          <w:vertAlign w:val="baseline"/>
        </w:rPr>
        <w:t> </w:t>
      </w:r>
      <w:r>
        <w:rPr>
          <w:vertAlign w:val="baseline"/>
        </w:rPr>
        <w:t>were</w:t>
      </w:r>
      <w:r>
        <w:rPr>
          <w:spacing w:val="-2"/>
          <w:vertAlign w:val="baseline"/>
        </w:rPr>
        <w:t> </w:t>
      </w:r>
      <w:r>
        <w:rPr>
          <w:vertAlign w:val="baseline"/>
        </w:rPr>
        <w:t>increased</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treatment</w:t>
      </w:r>
      <w:r>
        <w:rPr>
          <w:spacing w:val="-2"/>
          <w:vertAlign w:val="baseline"/>
        </w:rPr>
        <w:t> </w:t>
      </w:r>
      <w:r>
        <w:rPr>
          <w:vertAlign w:val="baseline"/>
        </w:rPr>
        <w:t>group.</w:t>
      </w:r>
      <w:r>
        <w:rPr>
          <w:vertAlign w:val="superscript"/>
        </w:rPr>
        <w:t>1121</w:t>
      </w:r>
      <w:r>
        <w:rPr>
          <w:spacing w:val="-1"/>
          <w:vertAlign w:val="baseline"/>
        </w:rPr>
        <w:t> </w:t>
      </w:r>
      <w:r>
        <w:rPr>
          <w:vertAlign w:val="baseline"/>
        </w:rPr>
        <w:t>The</w:t>
      </w:r>
      <w:r>
        <w:rPr>
          <w:spacing w:val="-1"/>
          <w:vertAlign w:val="baseline"/>
        </w:rPr>
        <w:t> </w:t>
      </w:r>
      <w:r>
        <w:rPr>
          <w:vertAlign w:val="baseline"/>
        </w:rPr>
        <w:t>cases</w:t>
      </w:r>
      <w:r>
        <w:rPr>
          <w:spacing w:val="-1"/>
          <w:vertAlign w:val="baseline"/>
        </w:rPr>
        <w:t> </w:t>
      </w:r>
      <w:r>
        <w:rPr>
          <w:vertAlign w:val="baseline"/>
        </w:rPr>
        <w:t>were</w:t>
      </w:r>
      <w:r>
        <w:rPr>
          <w:spacing w:val="-1"/>
          <w:vertAlign w:val="baseline"/>
        </w:rPr>
        <w:t> </w:t>
      </w:r>
      <w:r>
        <w:rPr>
          <w:vertAlign w:val="baseline"/>
        </w:rPr>
        <w:t>essentially limited to past and current smokers and to women over age 60. Although</w:t>
      </w:r>
      <w:r>
        <w:rPr>
          <w:spacing w:val="40"/>
          <w:vertAlign w:val="baseline"/>
        </w:rPr>
        <w:t> </w:t>
      </w:r>
      <w:r>
        <w:rPr>
          <w:vertAlign w:val="baseline"/>
        </w:rPr>
        <w:t>the WHI was not designed to assess lung cancer, and chest imaging was not part of the study protocol, the results are provocative and concerning.</w:t>
      </w:r>
    </w:p>
    <w:p>
      <w:pPr>
        <w:pStyle w:val="BodyText"/>
        <w:spacing w:line="249" w:lineRule="auto" w:before="14"/>
        <w:ind w:right="98" w:firstLine="450"/>
      </w:pPr>
      <w:r>
        <w:rPr/>
        <w:t>There is reason to believe lung cancer might be a target tissue for estrogen; at the same time, there is evidence to indicate that the impact </w:t>
      </w:r>
      <w:r>
        <w:rPr/>
        <w:t>is not uniformly detrimental and may even be protective. ERs are present in normal and non-small cell lung cells.</w:t>
      </w:r>
      <w:r>
        <w:rPr>
          <w:vertAlign w:val="superscript"/>
        </w:rPr>
        <w:t>1122</w:t>
      </w:r>
      <w:r>
        <w:rPr>
          <w:vertAlign w:val="baseline"/>
        </w:rPr>
        <w:t> Case-control studies have</w:t>
      </w:r>
      <w:r>
        <w:rPr>
          <w:spacing w:val="80"/>
          <w:vertAlign w:val="baseline"/>
        </w:rPr>
        <w:t> </w:t>
      </w:r>
      <w:r>
        <w:rPr>
          <w:vertAlign w:val="baseline"/>
        </w:rPr>
        <w:t>indicated a decrease in risk for lung cancer and specifically for non-small cell</w:t>
      </w:r>
      <w:r>
        <w:rPr>
          <w:spacing w:val="-10"/>
          <w:vertAlign w:val="baseline"/>
        </w:rPr>
        <w:t> </w:t>
      </w:r>
      <w:r>
        <w:rPr>
          <w:vertAlign w:val="baseline"/>
        </w:rPr>
        <w:t>tumors.</w:t>
      </w:r>
      <w:r>
        <w:rPr>
          <w:vertAlign w:val="superscript"/>
        </w:rPr>
        <w:t>1123-1127</w:t>
      </w:r>
      <w:r>
        <w:rPr>
          <w:spacing w:val="-6"/>
          <w:vertAlign w:val="baseline"/>
        </w:rPr>
        <w:t> </w:t>
      </w:r>
      <w:r>
        <w:rPr>
          <w:vertAlign w:val="baseline"/>
        </w:rPr>
        <w:t>Two</w:t>
      </w:r>
      <w:r>
        <w:rPr>
          <w:spacing w:val="-6"/>
          <w:vertAlign w:val="baseline"/>
        </w:rPr>
        <w:t> </w:t>
      </w:r>
      <w:r>
        <w:rPr>
          <w:vertAlign w:val="baseline"/>
        </w:rPr>
        <w:t>studies</w:t>
      </w:r>
      <w:r>
        <w:rPr>
          <w:spacing w:val="-6"/>
          <w:vertAlign w:val="baseline"/>
        </w:rPr>
        <w:t> </w:t>
      </w:r>
      <w:r>
        <w:rPr>
          <w:vertAlign w:val="baseline"/>
        </w:rPr>
        <w:t>even</w:t>
      </w:r>
      <w:r>
        <w:rPr>
          <w:spacing w:val="-6"/>
          <w:vertAlign w:val="baseline"/>
        </w:rPr>
        <w:t> </w:t>
      </w:r>
      <w:r>
        <w:rPr>
          <w:vertAlign w:val="baseline"/>
        </w:rPr>
        <w:t>reported</w:t>
      </w:r>
      <w:r>
        <w:rPr>
          <w:spacing w:val="-6"/>
          <w:vertAlign w:val="baseline"/>
        </w:rPr>
        <w:t> </w:t>
      </w:r>
      <w:r>
        <w:rPr>
          <w:vertAlign w:val="baseline"/>
        </w:rPr>
        <w:t>a</w:t>
      </w:r>
      <w:r>
        <w:rPr>
          <w:spacing w:val="-6"/>
          <w:vertAlign w:val="baseline"/>
        </w:rPr>
        <w:t> </w:t>
      </w:r>
      <w:r>
        <w:rPr>
          <w:vertAlign w:val="baseline"/>
        </w:rPr>
        <w:t>protective</w:t>
      </w:r>
      <w:r>
        <w:rPr>
          <w:spacing w:val="-6"/>
          <w:vertAlign w:val="baseline"/>
        </w:rPr>
        <w:t> </w:t>
      </w:r>
      <w:r>
        <w:rPr>
          <w:vertAlign w:val="baseline"/>
        </w:rPr>
        <w:t>effect</w:t>
      </w:r>
      <w:r>
        <w:rPr>
          <w:spacing w:val="-6"/>
          <w:vertAlign w:val="baseline"/>
        </w:rPr>
        <w:t> </w:t>
      </w:r>
      <w:r>
        <w:rPr>
          <w:vertAlign w:val="baseline"/>
        </w:rPr>
        <w:t>in</w:t>
      </w:r>
      <w:r>
        <w:rPr>
          <w:spacing w:val="-6"/>
          <w:vertAlign w:val="baseline"/>
        </w:rPr>
        <w:t> </w:t>
      </w:r>
      <w:r>
        <w:rPr>
          <w:vertAlign w:val="baseline"/>
        </w:rPr>
        <w:t>hormone users against lung cancer, especially in smokers.</w:t>
      </w:r>
      <w:r>
        <w:rPr>
          <w:vertAlign w:val="superscript"/>
        </w:rPr>
        <w:t>1128,1129</w:t>
      </w:r>
      <w:r>
        <w:rPr>
          <w:vertAlign w:val="baseline"/>
        </w:rPr>
        <w:t> One study reported decreased survival in women with lung cancer who used HT,</w:t>
      </w:r>
      <w:r>
        <w:rPr>
          <w:vertAlign w:val="superscript"/>
        </w:rPr>
        <w:t>1130</w:t>
      </w:r>
      <w:r>
        <w:rPr>
          <w:vertAlign w:val="baseline"/>
        </w:rPr>
        <w:t> but others did not detect a decreased survival in patients with lung cancer with a history of HT.</w:t>
      </w:r>
      <w:r>
        <w:rPr>
          <w:vertAlign w:val="superscript"/>
        </w:rPr>
        <w:t>1131,1132</w:t>
      </w:r>
      <w:r>
        <w:rPr>
          <w:vertAlign w:val="baseline"/>
        </w:rPr>
        <w:t> The Nurses’ Health Study found an increase in lung cancer mortality in women who underwent early bilateral oophorectomy and did </w:t>
      </w:r>
      <w:r>
        <w:rPr>
          <w:i/>
          <w:vertAlign w:val="baseline"/>
        </w:rPr>
        <w:t>not </w:t>
      </w:r>
      <w:r>
        <w:rPr>
          <w:vertAlign w:val="baseline"/>
        </w:rPr>
        <w:t>use estrogen.</w:t>
      </w:r>
      <w:r>
        <w:rPr>
          <w:vertAlign w:val="superscript"/>
        </w:rPr>
        <w:t>803</w:t>
      </w:r>
      <w:r>
        <w:rPr>
          <w:vertAlign w:val="baseline"/>
        </w:rPr>
        <w:t> Gene expression is stimulated in non-small cell lung cancer cells by estrogen, and proliferation of these cells is reduced by an</w:t>
      </w:r>
      <w:r>
        <w:rPr>
          <w:spacing w:val="35"/>
          <w:vertAlign w:val="baseline"/>
        </w:rPr>
        <w:t> </w:t>
      </w:r>
      <w:r>
        <w:rPr>
          <w:vertAlign w:val="baseline"/>
        </w:rPr>
        <w:t>estrogen</w:t>
      </w:r>
      <w:r>
        <w:rPr>
          <w:spacing w:val="35"/>
          <w:vertAlign w:val="baseline"/>
        </w:rPr>
        <w:t> </w:t>
      </w:r>
      <w:r>
        <w:rPr>
          <w:vertAlign w:val="baseline"/>
        </w:rPr>
        <w:t>antagonist.</w:t>
      </w:r>
      <w:r>
        <w:rPr>
          <w:vertAlign w:val="superscript"/>
        </w:rPr>
        <w:t>1133,1134</w:t>
      </w:r>
      <w:r>
        <w:rPr>
          <w:spacing w:val="37"/>
          <w:vertAlign w:val="baseline"/>
        </w:rPr>
        <w:t> </w:t>
      </w:r>
      <w:r>
        <w:rPr>
          <w:vertAlign w:val="baseline"/>
        </w:rPr>
        <w:t>In</w:t>
      </w:r>
      <w:r>
        <w:rPr>
          <w:spacing w:val="37"/>
          <w:vertAlign w:val="baseline"/>
        </w:rPr>
        <w:t> </w:t>
      </w:r>
      <w:r>
        <w:rPr>
          <w:vertAlign w:val="baseline"/>
        </w:rPr>
        <w:t>the</w:t>
      </w:r>
      <w:r>
        <w:rPr>
          <w:spacing w:val="37"/>
          <w:vertAlign w:val="baseline"/>
        </w:rPr>
        <w:t> </w:t>
      </w:r>
      <w:r>
        <w:rPr>
          <w:vertAlign w:val="baseline"/>
        </w:rPr>
        <w:t>Rancho</w:t>
      </w:r>
      <w:r>
        <w:rPr>
          <w:spacing w:val="37"/>
          <w:vertAlign w:val="baseline"/>
        </w:rPr>
        <w:t> </w:t>
      </w:r>
      <w:r>
        <w:rPr>
          <w:vertAlign w:val="baseline"/>
        </w:rPr>
        <w:t>Bernardo</w:t>
      </w:r>
      <w:r>
        <w:rPr>
          <w:spacing w:val="37"/>
          <w:vertAlign w:val="baseline"/>
        </w:rPr>
        <w:t> </w:t>
      </w:r>
      <w:r>
        <w:rPr>
          <w:vertAlign w:val="baseline"/>
        </w:rPr>
        <w:t>cohort</w:t>
      </w:r>
      <w:r>
        <w:rPr>
          <w:spacing w:val="37"/>
          <w:vertAlign w:val="baseline"/>
        </w:rPr>
        <w:t> </w:t>
      </w:r>
      <w:r>
        <w:rPr>
          <w:vertAlign w:val="baseline"/>
        </w:rPr>
        <w:t>study,</w:t>
      </w:r>
      <w:r>
        <w:rPr>
          <w:spacing w:val="37"/>
          <w:vertAlign w:val="baseline"/>
        </w:rPr>
        <w:t> </w:t>
      </w:r>
      <w:r>
        <w:rPr>
          <w:spacing w:val="-4"/>
          <w:vertAlign w:val="baseline"/>
        </w:rPr>
        <w:t>there</w:t>
      </w:r>
    </w:p>
    <w:p>
      <w:pPr>
        <w:pStyle w:val="BodyText"/>
        <w:spacing w:after="0" w:line="249" w:lineRule="auto"/>
        <w:sectPr>
          <w:pgSz w:w="12240" w:h="15840"/>
          <w:pgMar w:top="1380" w:bottom="280" w:left="1440" w:right="1440"/>
        </w:sectPr>
      </w:pPr>
    </w:p>
    <w:p>
      <w:pPr>
        <w:spacing w:line="249" w:lineRule="auto" w:before="65"/>
        <w:ind w:left="99" w:right="105" w:firstLine="0"/>
        <w:jc w:val="both"/>
        <w:rPr>
          <w:b/>
          <w:sz w:val="30"/>
        </w:rPr>
      </w:pPr>
      <w:r>
        <w:rPr>
          <w:sz w:val="30"/>
        </w:rPr>
        <w:t>was no significant association between hormone use and lung </w:t>
      </w:r>
      <w:r>
        <w:rPr>
          <w:sz w:val="30"/>
        </w:rPr>
        <w:t>cancer; however, there was a suggestion that women over age 55 had a small nonsignificant increase in lung cancer; no such increase was noted in younger women using hormones (although not statistically significant, the results with stratification by age are similar to the WHI findings).</w:t>
      </w:r>
      <w:r>
        <w:rPr>
          <w:sz w:val="30"/>
          <w:vertAlign w:val="superscript"/>
        </w:rPr>
        <w:t>1135</w:t>
      </w:r>
      <w:r>
        <w:rPr>
          <w:sz w:val="30"/>
          <w:vertAlign w:val="baseline"/>
        </w:rPr>
        <w:t> </w:t>
      </w:r>
      <w:r>
        <w:rPr>
          <w:b/>
          <w:sz w:val="30"/>
          <w:vertAlign w:val="baseline"/>
        </w:rPr>
        <w:t>The overall data, including the WHI analysis, suggest that HT initiated in older women with a history of smoking may promote the growth of existing lung cancers. The WHI evidence in women under the age of 60 is reassuring, and case-control and cohort data that reflect hormone</w:t>
      </w:r>
      <w:r>
        <w:rPr>
          <w:b/>
          <w:spacing w:val="40"/>
          <w:sz w:val="30"/>
          <w:vertAlign w:val="baseline"/>
        </w:rPr>
        <w:t> </w:t>
      </w:r>
      <w:r>
        <w:rPr>
          <w:b/>
          <w:sz w:val="30"/>
          <w:vertAlign w:val="baseline"/>
        </w:rPr>
        <w:t>use in a younger population than in the WHI indicate that estrogen is associated with some protection against lung cancer.</w:t>
      </w:r>
    </w:p>
    <w:p>
      <w:pPr>
        <w:pStyle w:val="BodyText"/>
        <w:spacing w:before="0"/>
        <w:ind w:left="0"/>
        <w:jc w:val="left"/>
        <w:rPr>
          <w:b/>
          <w:sz w:val="20"/>
        </w:rPr>
      </w:pPr>
    </w:p>
    <w:p>
      <w:pPr>
        <w:pStyle w:val="BodyText"/>
        <w:spacing w:before="124"/>
        <w:ind w:left="0"/>
        <w:jc w:val="left"/>
        <w:rPr>
          <w:b/>
          <w:sz w:val="20"/>
        </w:rPr>
      </w:pPr>
      <w:r>
        <w:rPr>
          <w:b/>
          <w:sz w:val="20"/>
        </w:rPr>
        <mc:AlternateContent>
          <mc:Choice Requires="wps">
            <w:drawing>
              <wp:anchor distT="0" distB="0" distL="0" distR="0" allowOverlap="1" layoutInCell="1" locked="0" behindDoc="1" simplePos="0" relativeHeight="487667200">
                <wp:simplePos x="0" y="0"/>
                <wp:positionH relativeFrom="page">
                  <wp:posOffset>981075</wp:posOffset>
                </wp:positionH>
                <wp:positionV relativeFrom="paragraph">
                  <wp:posOffset>240476</wp:posOffset>
                </wp:positionV>
                <wp:extent cx="285750" cy="5715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285750" cy="57150"/>
                        </a:xfrm>
                        <a:custGeom>
                          <a:avLst/>
                          <a:gdLst/>
                          <a:ahLst/>
                          <a:cxnLst/>
                          <a:rect l="l" t="t" r="r" b="b"/>
                          <a:pathLst>
                            <a:path w="285750" h="57150">
                              <a:moveTo>
                                <a:pt x="28575" y="57149"/>
                              </a:moveTo>
                              <a:lnTo>
                                <a:pt x="24785" y="56997"/>
                              </a:lnTo>
                              <a:lnTo>
                                <a:pt x="21140" y="56254"/>
                              </a:lnTo>
                              <a:lnTo>
                                <a:pt x="17639" y="54768"/>
                              </a:lnTo>
                              <a:lnTo>
                                <a:pt x="14138" y="53425"/>
                              </a:lnTo>
                              <a:lnTo>
                                <a:pt x="11048" y="51349"/>
                              </a:lnTo>
                              <a:lnTo>
                                <a:pt x="5689" y="45986"/>
                              </a:lnTo>
                              <a:lnTo>
                                <a:pt x="3625" y="42862"/>
                              </a:lnTo>
                              <a:lnTo>
                                <a:pt x="2175" y="39290"/>
                              </a:lnTo>
                              <a:lnTo>
                                <a:pt x="725" y="35871"/>
                              </a:lnTo>
                              <a:lnTo>
                                <a:pt x="0" y="32299"/>
                              </a:lnTo>
                              <a:lnTo>
                                <a:pt x="0" y="24555"/>
                              </a:lnTo>
                              <a:lnTo>
                                <a:pt x="725" y="20840"/>
                              </a:lnTo>
                              <a:lnTo>
                                <a:pt x="2175" y="17411"/>
                              </a:lnTo>
                              <a:lnTo>
                                <a:pt x="3625" y="13839"/>
                              </a:lnTo>
                              <a:lnTo>
                                <a:pt x="5689" y="10868"/>
                              </a:lnTo>
                              <a:lnTo>
                                <a:pt x="8369" y="8334"/>
                              </a:lnTo>
                              <a:lnTo>
                                <a:pt x="11048" y="5505"/>
                              </a:lnTo>
                              <a:lnTo>
                                <a:pt x="14138" y="3419"/>
                              </a:lnTo>
                              <a:lnTo>
                                <a:pt x="21140" y="742"/>
                              </a:lnTo>
                              <a:lnTo>
                                <a:pt x="24785" y="0"/>
                              </a:lnTo>
                              <a:lnTo>
                                <a:pt x="32364" y="0"/>
                              </a:lnTo>
                              <a:lnTo>
                                <a:pt x="36009" y="742"/>
                              </a:lnTo>
                              <a:lnTo>
                                <a:pt x="43010" y="3419"/>
                              </a:lnTo>
                              <a:lnTo>
                                <a:pt x="46101" y="5505"/>
                              </a:lnTo>
                              <a:lnTo>
                                <a:pt x="48780" y="8334"/>
                              </a:lnTo>
                              <a:lnTo>
                                <a:pt x="51459" y="10868"/>
                              </a:lnTo>
                              <a:lnTo>
                                <a:pt x="53524" y="13839"/>
                              </a:lnTo>
                              <a:lnTo>
                                <a:pt x="54974" y="17411"/>
                              </a:lnTo>
                              <a:lnTo>
                                <a:pt x="56424" y="20840"/>
                              </a:lnTo>
                              <a:lnTo>
                                <a:pt x="57149" y="24555"/>
                              </a:lnTo>
                              <a:lnTo>
                                <a:pt x="57149" y="32299"/>
                              </a:lnTo>
                              <a:lnTo>
                                <a:pt x="56424" y="35871"/>
                              </a:lnTo>
                              <a:lnTo>
                                <a:pt x="54974" y="39290"/>
                              </a:lnTo>
                              <a:lnTo>
                                <a:pt x="53524" y="42862"/>
                              </a:lnTo>
                              <a:lnTo>
                                <a:pt x="51459" y="45986"/>
                              </a:lnTo>
                              <a:lnTo>
                                <a:pt x="46101" y="51349"/>
                              </a:lnTo>
                              <a:lnTo>
                                <a:pt x="43010" y="53425"/>
                              </a:lnTo>
                              <a:lnTo>
                                <a:pt x="39510" y="54768"/>
                              </a:lnTo>
                              <a:lnTo>
                                <a:pt x="36009" y="56254"/>
                              </a:lnTo>
                              <a:lnTo>
                                <a:pt x="32364" y="56997"/>
                              </a:lnTo>
                              <a:lnTo>
                                <a:pt x="28575" y="57149"/>
                              </a:lnTo>
                              <a:close/>
                            </a:path>
                            <a:path w="285750" h="57150">
                              <a:moveTo>
                                <a:pt x="142779" y="57149"/>
                              </a:moveTo>
                              <a:lnTo>
                                <a:pt x="138990" y="56997"/>
                              </a:lnTo>
                              <a:lnTo>
                                <a:pt x="135345" y="56254"/>
                              </a:lnTo>
                              <a:lnTo>
                                <a:pt x="131844" y="54768"/>
                              </a:lnTo>
                              <a:lnTo>
                                <a:pt x="128343" y="53425"/>
                              </a:lnTo>
                              <a:lnTo>
                                <a:pt x="125253" y="51349"/>
                              </a:lnTo>
                              <a:lnTo>
                                <a:pt x="119894" y="45986"/>
                              </a:lnTo>
                              <a:lnTo>
                                <a:pt x="117829" y="42862"/>
                              </a:lnTo>
                              <a:lnTo>
                                <a:pt x="116379" y="39290"/>
                              </a:lnTo>
                              <a:lnTo>
                                <a:pt x="114929" y="35871"/>
                              </a:lnTo>
                              <a:lnTo>
                                <a:pt x="114204" y="32299"/>
                              </a:lnTo>
                              <a:lnTo>
                                <a:pt x="114204" y="24555"/>
                              </a:lnTo>
                              <a:lnTo>
                                <a:pt x="114929" y="20840"/>
                              </a:lnTo>
                              <a:lnTo>
                                <a:pt x="116379" y="17411"/>
                              </a:lnTo>
                              <a:lnTo>
                                <a:pt x="117829" y="13839"/>
                              </a:lnTo>
                              <a:lnTo>
                                <a:pt x="119894" y="10868"/>
                              </a:lnTo>
                              <a:lnTo>
                                <a:pt x="122574" y="8334"/>
                              </a:lnTo>
                              <a:lnTo>
                                <a:pt x="125253" y="5505"/>
                              </a:lnTo>
                              <a:lnTo>
                                <a:pt x="128343" y="3419"/>
                              </a:lnTo>
                              <a:lnTo>
                                <a:pt x="135345" y="742"/>
                              </a:lnTo>
                              <a:lnTo>
                                <a:pt x="138990" y="0"/>
                              </a:lnTo>
                              <a:lnTo>
                                <a:pt x="146569" y="0"/>
                              </a:lnTo>
                              <a:lnTo>
                                <a:pt x="150214" y="742"/>
                              </a:lnTo>
                              <a:lnTo>
                                <a:pt x="157215" y="3419"/>
                              </a:lnTo>
                              <a:lnTo>
                                <a:pt x="160305" y="5505"/>
                              </a:lnTo>
                              <a:lnTo>
                                <a:pt x="162985" y="8334"/>
                              </a:lnTo>
                              <a:lnTo>
                                <a:pt x="165664" y="10868"/>
                              </a:lnTo>
                              <a:lnTo>
                                <a:pt x="167729" y="13839"/>
                              </a:lnTo>
                              <a:lnTo>
                                <a:pt x="169179" y="17411"/>
                              </a:lnTo>
                              <a:lnTo>
                                <a:pt x="170629" y="20840"/>
                              </a:lnTo>
                              <a:lnTo>
                                <a:pt x="171354" y="24555"/>
                              </a:lnTo>
                              <a:lnTo>
                                <a:pt x="171354" y="32299"/>
                              </a:lnTo>
                              <a:lnTo>
                                <a:pt x="170629" y="35871"/>
                              </a:lnTo>
                              <a:lnTo>
                                <a:pt x="169179" y="39290"/>
                              </a:lnTo>
                              <a:lnTo>
                                <a:pt x="167729" y="42862"/>
                              </a:lnTo>
                              <a:lnTo>
                                <a:pt x="165664" y="45986"/>
                              </a:lnTo>
                              <a:lnTo>
                                <a:pt x="160305" y="51349"/>
                              </a:lnTo>
                              <a:lnTo>
                                <a:pt x="157215" y="53425"/>
                              </a:lnTo>
                              <a:lnTo>
                                <a:pt x="153714" y="54768"/>
                              </a:lnTo>
                              <a:lnTo>
                                <a:pt x="150214" y="56254"/>
                              </a:lnTo>
                              <a:lnTo>
                                <a:pt x="146569" y="56997"/>
                              </a:lnTo>
                              <a:lnTo>
                                <a:pt x="142779" y="57149"/>
                              </a:lnTo>
                              <a:close/>
                            </a:path>
                            <a:path w="285750" h="57150">
                              <a:moveTo>
                                <a:pt x="256984" y="57149"/>
                              </a:moveTo>
                              <a:lnTo>
                                <a:pt x="253195" y="56997"/>
                              </a:lnTo>
                              <a:lnTo>
                                <a:pt x="249550" y="56254"/>
                              </a:lnTo>
                              <a:lnTo>
                                <a:pt x="246049" y="54768"/>
                              </a:lnTo>
                              <a:lnTo>
                                <a:pt x="242548" y="53425"/>
                              </a:lnTo>
                              <a:lnTo>
                                <a:pt x="239458" y="51349"/>
                              </a:lnTo>
                              <a:lnTo>
                                <a:pt x="234099" y="45986"/>
                              </a:lnTo>
                              <a:lnTo>
                                <a:pt x="232034" y="42862"/>
                              </a:lnTo>
                              <a:lnTo>
                                <a:pt x="230584" y="39290"/>
                              </a:lnTo>
                              <a:lnTo>
                                <a:pt x="229134" y="35871"/>
                              </a:lnTo>
                              <a:lnTo>
                                <a:pt x="228409" y="32299"/>
                              </a:lnTo>
                              <a:lnTo>
                                <a:pt x="228409" y="24555"/>
                              </a:lnTo>
                              <a:lnTo>
                                <a:pt x="229134" y="20840"/>
                              </a:lnTo>
                              <a:lnTo>
                                <a:pt x="230584" y="17411"/>
                              </a:lnTo>
                              <a:lnTo>
                                <a:pt x="232034" y="13839"/>
                              </a:lnTo>
                              <a:lnTo>
                                <a:pt x="234099" y="10868"/>
                              </a:lnTo>
                              <a:lnTo>
                                <a:pt x="236778" y="8334"/>
                              </a:lnTo>
                              <a:lnTo>
                                <a:pt x="239458" y="5505"/>
                              </a:lnTo>
                              <a:lnTo>
                                <a:pt x="242548" y="3419"/>
                              </a:lnTo>
                              <a:lnTo>
                                <a:pt x="249550" y="742"/>
                              </a:lnTo>
                              <a:lnTo>
                                <a:pt x="253195" y="0"/>
                              </a:lnTo>
                              <a:lnTo>
                                <a:pt x="260773" y="0"/>
                              </a:lnTo>
                              <a:lnTo>
                                <a:pt x="264418" y="742"/>
                              </a:lnTo>
                              <a:lnTo>
                                <a:pt x="271420" y="3419"/>
                              </a:lnTo>
                              <a:lnTo>
                                <a:pt x="274510" y="5505"/>
                              </a:lnTo>
                              <a:lnTo>
                                <a:pt x="277190" y="8334"/>
                              </a:lnTo>
                              <a:lnTo>
                                <a:pt x="279869" y="10868"/>
                              </a:lnTo>
                              <a:lnTo>
                                <a:pt x="281934" y="13839"/>
                              </a:lnTo>
                              <a:lnTo>
                                <a:pt x="283384" y="17411"/>
                              </a:lnTo>
                              <a:lnTo>
                                <a:pt x="284834" y="20840"/>
                              </a:lnTo>
                              <a:lnTo>
                                <a:pt x="285559" y="24555"/>
                              </a:lnTo>
                              <a:lnTo>
                                <a:pt x="285559" y="32299"/>
                              </a:lnTo>
                              <a:lnTo>
                                <a:pt x="284834" y="35871"/>
                              </a:lnTo>
                              <a:lnTo>
                                <a:pt x="283384" y="39290"/>
                              </a:lnTo>
                              <a:lnTo>
                                <a:pt x="281934" y="42862"/>
                              </a:lnTo>
                              <a:lnTo>
                                <a:pt x="279869" y="45986"/>
                              </a:lnTo>
                              <a:lnTo>
                                <a:pt x="274510" y="51349"/>
                              </a:lnTo>
                              <a:lnTo>
                                <a:pt x="271420" y="53425"/>
                              </a:lnTo>
                              <a:lnTo>
                                <a:pt x="267919" y="54768"/>
                              </a:lnTo>
                              <a:lnTo>
                                <a:pt x="264418" y="56254"/>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35131pt;width:22.5pt;height:4.5pt;mso-position-horizontal-relative:page;mso-position-vertical-relative:paragraph;z-index:-15649280;mso-wrap-distance-left:0;mso-wrap-distance-right:0" id="docshape278" coordorigin="1545,379" coordsize="450,90" path="m1590,469l1584,468,1578,467,1573,465,1567,463,1562,460,1554,451,1551,446,1548,441,1546,435,1545,430,1545,417,1546,412,1548,406,1551,400,1554,396,1558,392,1562,387,1567,384,1578,380,1584,379,1596,379,1602,380,1613,384,1618,387,1622,392,1626,396,1629,400,1632,406,1634,412,1635,417,1635,430,1634,435,1632,441,1629,446,1626,451,1618,460,1613,463,1607,465,1602,467,1596,468,1590,469xm1770,469l1764,468,1758,467,1753,465,1747,463,1742,460,1734,451,1731,446,1728,441,1726,435,1725,430,1725,417,1726,412,1728,406,1731,400,1734,396,1738,392,1742,387,1747,384,1758,380,1764,379,1776,379,1782,380,1793,384,1797,387,1802,392,1806,396,1809,400,1811,406,1814,412,1815,417,1815,430,1814,435,1811,441,1809,446,1806,451,1797,460,1793,463,1787,465,1782,467,1776,468,1770,469xm1950,469l1944,468,1938,467,1932,465,1927,463,1922,460,1914,451,1910,446,1908,441,1906,435,1905,430,1905,417,1906,412,1908,406,1910,400,1914,396,1918,392,1922,387,1927,384,1938,380,1944,379,1956,379,1961,380,1972,384,1977,387,1982,392,1986,396,1989,400,1991,406,1994,412,1995,417,1995,430,1994,435,1991,441,1989,446,1986,451,1977,460,1972,463,1967,465,1961,467,1956,468,1950,469xe" filled="true" fillcolor="#bdb4d4" stroked="false">
                <v:path arrowok="t"/>
                <v:fill type="solid"/>
                <w10:wrap type="topAndBottom"/>
              </v:shape>
            </w:pict>
          </mc:Fallback>
        </mc:AlternateContent>
      </w:r>
    </w:p>
    <w:p>
      <w:pPr>
        <w:pStyle w:val="Heading3"/>
        <w:jc w:val="both"/>
      </w:pPr>
      <w:r>
        <w:rPr>
          <w:color w:val="534089"/>
        </w:rPr>
        <w:t>CERVICAL</w:t>
      </w:r>
      <w:r>
        <w:rPr>
          <w:color w:val="534089"/>
          <w:spacing w:val="-6"/>
        </w:rPr>
        <w:t> </w:t>
      </w:r>
      <w:r>
        <w:rPr>
          <w:color w:val="534089"/>
          <w:spacing w:val="-2"/>
        </w:rPr>
        <w:t>CANCER</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7712">
                <wp:simplePos x="0" y="0"/>
                <wp:positionH relativeFrom="page">
                  <wp:posOffset>981075</wp:posOffset>
                </wp:positionH>
                <wp:positionV relativeFrom="paragraph">
                  <wp:posOffset>45683</wp:posOffset>
                </wp:positionV>
                <wp:extent cx="5810250" cy="1905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153pt;width:457.499964pt;height:1.5pt;mso-position-horizontal-relative:page;mso-position-vertical-relative:paragraph;z-index:-15648768;mso-wrap-distance-left:0;mso-wrap-distance-right:0" id="docshape279" filled="true" fillcolor="#534089" stroked="false">
                <v:fill type="solid"/>
                <w10:wrap type="topAndBottom"/>
              </v:rect>
            </w:pict>
          </mc:Fallback>
        </mc:AlternateContent>
      </w:r>
    </w:p>
    <w:p>
      <w:pPr>
        <w:pStyle w:val="BodyText"/>
        <w:spacing w:line="249" w:lineRule="auto" w:before="215"/>
        <w:ind w:right="102"/>
      </w:pPr>
      <w:r>
        <w:rPr/>
        <w:t>Any association between postmenopausal HT and cancer of the </w:t>
      </w:r>
      <w:r>
        <w:rPr/>
        <w:t>uterine cervix has not been extensively studied. Evidence from one cohort study and one case-control study is reassuring and indicates that the postmenopausal use of estrogen does not increase the risk of cervical cancer.</w:t>
      </w:r>
      <w:r>
        <w:rPr>
          <w:vertAlign w:val="superscript"/>
        </w:rPr>
        <w:t>1136,1137</w:t>
      </w:r>
      <w:r>
        <w:rPr>
          <w:vertAlign w:val="baseline"/>
        </w:rPr>
        <w:t> Indeed, these studies observed protection against cervical cancer in the estrogen users, but this may reflect detection bias (more examinations and Pap smears in estrogen users). Another case-control</w:t>
      </w:r>
      <w:r>
        <w:rPr>
          <w:spacing w:val="80"/>
          <w:vertAlign w:val="baseline"/>
        </w:rPr>
        <w:t> </w:t>
      </w:r>
      <w:r>
        <w:rPr>
          <w:vertAlign w:val="baseline"/>
        </w:rPr>
        <w:t>study suggested an increased risk in cervical adenocarcinomas, but there were only 13 cases.</w:t>
      </w:r>
      <w:r>
        <w:rPr>
          <w:vertAlign w:val="superscript"/>
        </w:rPr>
        <w:t>1138</w:t>
      </w:r>
      <w:r>
        <w:rPr>
          <w:spacing w:val="-1"/>
          <w:vertAlign w:val="baseline"/>
        </w:rPr>
        <w:t> </w:t>
      </w:r>
      <w:r>
        <w:rPr>
          <w:vertAlign w:val="baseline"/>
        </w:rPr>
        <w:t>In</w:t>
      </w:r>
      <w:r>
        <w:rPr>
          <w:spacing w:val="-1"/>
          <w:vertAlign w:val="baseline"/>
        </w:rPr>
        <w:t> </w:t>
      </w:r>
      <w:r>
        <w:rPr>
          <w:vertAlign w:val="baseline"/>
        </w:rPr>
        <w:t>a</w:t>
      </w:r>
      <w:r>
        <w:rPr>
          <w:spacing w:val="-1"/>
          <w:vertAlign w:val="baseline"/>
        </w:rPr>
        <w:t> </w:t>
      </w:r>
      <w:r>
        <w:rPr>
          <w:vertAlign w:val="baseline"/>
        </w:rPr>
        <w:t>follow-up</w:t>
      </w:r>
      <w:r>
        <w:rPr>
          <w:spacing w:val="-1"/>
          <w:vertAlign w:val="baseline"/>
        </w:rPr>
        <w:t> </w:t>
      </w:r>
      <w:r>
        <w:rPr>
          <w:vertAlign w:val="baseline"/>
        </w:rPr>
        <w:t>report</w:t>
      </w:r>
      <w:r>
        <w:rPr>
          <w:spacing w:val="-1"/>
          <w:vertAlign w:val="baseline"/>
        </w:rPr>
        <w:t> </w:t>
      </w:r>
      <w:r>
        <w:rPr>
          <w:vertAlign w:val="baseline"/>
        </w:rPr>
        <w:t>of</w:t>
      </w:r>
      <w:r>
        <w:rPr>
          <w:spacing w:val="-1"/>
          <w:vertAlign w:val="baseline"/>
        </w:rPr>
        <w:t> </w:t>
      </w:r>
      <w:r>
        <w:rPr>
          <w:vertAlign w:val="baseline"/>
        </w:rPr>
        <w:t>120</w:t>
      </w:r>
      <w:r>
        <w:rPr>
          <w:spacing w:val="-1"/>
          <w:vertAlign w:val="baseline"/>
        </w:rPr>
        <w:t> </w:t>
      </w:r>
      <w:r>
        <w:rPr>
          <w:vertAlign w:val="baseline"/>
        </w:rPr>
        <w:t>women</w:t>
      </w:r>
      <w:r>
        <w:rPr>
          <w:spacing w:val="-1"/>
          <w:vertAlign w:val="baseline"/>
        </w:rPr>
        <w:t> </w:t>
      </w:r>
      <w:r>
        <w:rPr>
          <w:vertAlign w:val="baseline"/>
        </w:rPr>
        <w:t>treated</w:t>
      </w:r>
      <w:r>
        <w:rPr>
          <w:spacing w:val="-1"/>
          <w:vertAlign w:val="baseline"/>
        </w:rPr>
        <w:t> </w:t>
      </w:r>
      <w:r>
        <w:rPr>
          <w:vertAlign w:val="baseline"/>
        </w:rPr>
        <w:t>for</w:t>
      </w:r>
      <w:r>
        <w:rPr>
          <w:spacing w:val="-1"/>
          <w:vertAlign w:val="baseline"/>
        </w:rPr>
        <w:t> </w:t>
      </w:r>
      <w:r>
        <w:rPr>
          <w:vertAlign w:val="baseline"/>
        </w:rPr>
        <w:t>stage I and II cervical cancers, no associations with HT as regard to survival or recurrence were observed.</w:t>
      </w:r>
      <w:r>
        <w:rPr>
          <w:vertAlign w:val="superscript"/>
        </w:rPr>
        <w:t>1139</w:t>
      </w:r>
    </w:p>
    <w:p>
      <w:pPr>
        <w:pStyle w:val="BodyText"/>
        <w:spacing w:before="0"/>
        <w:ind w:left="0"/>
        <w:jc w:val="left"/>
        <w:rPr>
          <w:sz w:val="20"/>
        </w:rPr>
      </w:pPr>
    </w:p>
    <w:p>
      <w:pPr>
        <w:pStyle w:val="BodyText"/>
        <w:spacing w:before="124"/>
        <w:ind w:left="0"/>
        <w:jc w:val="left"/>
        <w:rPr>
          <w:sz w:val="20"/>
        </w:rPr>
      </w:pPr>
      <w:r>
        <w:rPr>
          <w:sz w:val="20"/>
        </w:rPr>
        <mc:AlternateContent>
          <mc:Choice Requires="wps">
            <w:drawing>
              <wp:anchor distT="0" distB="0" distL="0" distR="0" allowOverlap="1" layoutInCell="1" locked="0" behindDoc="1" simplePos="0" relativeHeight="487668224">
                <wp:simplePos x="0" y="0"/>
                <wp:positionH relativeFrom="page">
                  <wp:posOffset>981075</wp:posOffset>
                </wp:positionH>
                <wp:positionV relativeFrom="paragraph">
                  <wp:posOffset>240436</wp:posOffset>
                </wp:positionV>
                <wp:extent cx="285750" cy="5715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285750" cy="57150"/>
                        </a:xfrm>
                        <a:custGeom>
                          <a:avLst/>
                          <a:gdLst/>
                          <a:ahLst/>
                          <a:cxnLst/>
                          <a:rect l="l" t="t" r="r" b="b"/>
                          <a:pathLst>
                            <a:path w="285750" h="57150">
                              <a:moveTo>
                                <a:pt x="28575" y="57149"/>
                              </a:moveTo>
                              <a:lnTo>
                                <a:pt x="2175" y="39290"/>
                              </a:lnTo>
                              <a:lnTo>
                                <a:pt x="725" y="35871"/>
                              </a:lnTo>
                              <a:lnTo>
                                <a:pt x="0" y="32299"/>
                              </a:lnTo>
                              <a:lnTo>
                                <a:pt x="0" y="24707"/>
                              </a:lnTo>
                              <a:lnTo>
                                <a:pt x="725" y="20983"/>
                              </a:lnTo>
                              <a:lnTo>
                                <a:pt x="2175" y="17564"/>
                              </a:lnTo>
                              <a:lnTo>
                                <a:pt x="3625" y="13992"/>
                              </a:lnTo>
                              <a:lnTo>
                                <a:pt x="24785" y="0"/>
                              </a:lnTo>
                              <a:lnTo>
                                <a:pt x="32364" y="0"/>
                              </a:lnTo>
                              <a:lnTo>
                                <a:pt x="54974" y="17564"/>
                              </a:lnTo>
                              <a:lnTo>
                                <a:pt x="56424" y="20983"/>
                              </a:lnTo>
                              <a:lnTo>
                                <a:pt x="57149" y="24707"/>
                              </a:lnTo>
                              <a:lnTo>
                                <a:pt x="57149" y="32299"/>
                              </a:lnTo>
                              <a:lnTo>
                                <a:pt x="56424" y="35871"/>
                              </a:lnTo>
                              <a:lnTo>
                                <a:pt x="54974" y="39290"/>
                              </a:lnTo>
                              <a:lnTo>
                                <a:pt x="53524" y="42862"/>
                              </a:lnTo>
                              <a:lnTo>
                                <a:pt x="32364" y="56997"/>
                              </a:lnTo>
                              <a:lnTo>
                                <a:pt x="28575" y="57149"/>
                              </a:lnTo>
                              <a:close/>
                            </a:path>
                            <a:path w="285750" h="57150">
                              <a:moveTo>
                                <a:pt x="142779" y="57149"/>
                              </a:moveTo>
                              <a:lnTo>
                                <a:pt x="116379" y="39290"/>
                              </a:lnTo>
                              <a:lnTo>
                                <a:pt x="114929" y="35871"/>
                              </a:lnTo>
                              <a:lnTo>
                                <a:pt x="114204" y="32299"/>
                              </a:lnTo>
                              <a:lnTo>
                                <a:pt x="114204" y="24707"/>
                              </a:lnTo>
                              <a:lnTo>
                                <a:pt x="114929" y="20983"/>
                              </a:lnTo>
                              <a:lnTo>
                                <a:pt x="116379" y="17564"/>
                              </a:lnTo>
                              <a:lnTo>
                                <a:pt x="117829" y="13992"/>
                              </a:lnTo>
                              <a:lnTo>
                                <a:pt x="138990" y="0"/>
                              </a:lnTo>
                              <a:lnTo>
                                <a:pt x="146569" y="0"/>
                              </a:lnTo>
                              <a:lnTo>
                                <a:pt x="169179" y="17564"/>
                              </a:lnTo>
                              <a:lnTo>
                                <a:pt x="170629" y="20983"/>
                              </a:lnTo>
                              <a:lnTo>
                                <a:pt x="171354" y="24707"/>
                              </a:lnTo>
                              <a:lnTo>
                                <a:pt x="171354" y="32299"/>
                              </a:lnTo>
                              <a:lnTo>
                                <a:pt x="170629" y="35871"/>
                              </a:lnTo>
                              <a:lnTo>
                                <a:pt x="169179" y="39290"/>
                              </a:lnTo>
                              <a:lnTo>
                                <a:pt x="167729" y="42862"/>
                              </a:lnTo>
                              <a:lnTo>
                                <a:pt x="146569" y="56997"/>
                              </a:lnTo>
                              <a:lnTo>
                                <a:pt x="142779" y="57149"/>
                              </a:lnTo>
                              <a:close/>
                            </a:path>
                            <a:path w="285750" h="57150">
                              <a:moveTo>
                                <a:pt x="256984" y="57149"/>
                              </a:moveTo>
                              <a:lnTo>
                                <a:pt x="230584" y="39290"/>
                              </a:lnTo>
                              <a:lnTo>
                                <a:pt x="229134" y="35871"/>
                              </a:lnTo>
                              <a:lnTo>
                                <a:pt x="228409" y="32299"/>
                              </a:lnTo>
                              <a:lnTo>
                                <a:pt x="228409" y="24707"/>
                              </a:lnTo>
                              <a:lnTo>
                                <a:pt x="229134" y="20983"/>
                              </a:lnTo>
                              <a:lnTo>
                                <a:pt x="230584" y="17564"/>
                              </a:lnTo>
                              <a:lnTo>
                                <a:pt x="232034" y="13992"/>
                              </a:lnTo>
                              <a:lnTo>
                                <a:pt x="253195" y="0"/>
                              </a:lnTo>
                              <a:lnTo>
                                <a:pt x="260773" y="0"/>
                              </a:lnTo>
                              <a:lnTo>
                                <a:pt x="283384" y="17564"/>
                              </a:lnTo>
                              <a:lnTo>
                                <a:pt x="284834" y="20983"/>
                              </a:lnTo>
                              <a:lnTo>
                                <a:pt x="285559" y="24707"/>
                              </a:lnTo>
                              <a:lnTo>
                                <a:pt x="285559" y="32299"/>
                              </a:lnTo>
                              <a:lnTo>
                                <a:pt x="284834" y="35871"/>
                              </a:lnTo>
                              <a:lnTo>
                                <a:pt x="283384" y="39290"/>
                              </a:lnTo>
                              <a:lnTo>
                                <a:pt x="281934" y="42862"/>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32035pt;width:22.5pt;height:4.5pt;mso-position-horizontal-relative:page;mso-position-vertical-relative:paragraph;z-index:-15648256;mso-wrap-distance-left:0;mso-wrap-distance-right:0" id="docshape280" coordorigin="1545,379" coordsize="450,90" path="m1590,469l1584,468,1578,467,1567,463,1562,459,1558,455,1554,451,1551,446,1548,441,1546,435,1545,430,1545,418,1546,412,1548,406,1551,401,1554,396,1562,387,1567,384,1578,380,1584,379,1596,379,1602,380,1613,384,1618,387,1626,396,1629,401,1632,406,1634,412,1635,418,1635,430,1634,435,1632,441,1629,446,1626,451,1622,455,1618,459,1613,463,1602,467,1596,468,1590,469xm1770,469l1764,468,1758,467,1747,463,1742,459,1738,455,1734,451,1731,446,1728,441,1726,435,1725,430,1725,418,1726,412,1728,406,1731,401,1734,396,1742,387,1747,384,1758,380,1764,379,1776,379,1782,380,1793,384,1797,387,1806,396,1809,401,1811,406,1814,412,1815,418,1815,430,1814,435,1811,441,1809,446,1806,451,1802,455,1797,459,1793,463,1782,467,1776,468,1770,469xm1950,469l1944,468,1938,467,1927,463,1922,459,1918,455,1914,451,1910,446,1908,441,1906,435,1905,430,1905,418,1906,412,1908,406,1910,401,1914,396,1922,387,1927,384,1938,380,1944,379,1956,379,1961,380,1972,384,1977,387,1986,396,1989,401,1991,406,1994,412,1995,418,1995,430,1994,435,1991,441,1989,446,1986,451,1982,455,1977,459,1972,463,1961,467,1956,468,1950,469xe" filled="true" fillcolor="#bdb4d4" stroked="false">
                <v:path arrowok="t"/>
                <v:fill type="solid"/>
                <w10:wrap type="topAndBottom"/>
              </v:shape>
            </w:pict>
          </mc:Fallback>
        </mc:AlternateContent>
      </w:r>
    </w:p>
    <w:p>
      <w:pPr>
        <w:pStyle w:val="Heading3"/>
        <w:jc w:val="both"/>
      </w:pPr>
      <w:r>
        <w:rPr>
          <w:color w:val="534089"/>
        </w:rPr>
        <w:t>MALIGNANT </w:t>
      </w:r>
      <w:r>
        <w:rPr>
          <w:color w:val="534089"/>
          <w:spacing w:val="-2"/>
        </w:rPr>
        <w:t>MELANOMA</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8736">
                <wp:simplePos x="0" y="0"/>
                <wp:positionH relativeFrom="page">
                  <wp:posOffset>981075</wp:posOffset>
                </wp:positionH>
                <wp:positionV relativeFrom="paragraph">
                  <wp:posOffset>45683</wp:posOffset>
                </wp:positionV>
                <wp:extent cx="5810250" cy="1905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143pt;width:457.499964pt;height:1.5pt;mso-position-horizontal-relative:page;mso-position-vertical-relative:paragraph;z-index:-15647744;mso-wrap-distance-left:0;mso-wrap-distance-right:0" id="docshape281" filled="true" fillcolor="#534089" stroked="false">
                <v:fill type="solid"/>
                <w10:wrap type="topAndBottom"/>
              </v:rect>
            </w:pict>
          </mc:Fallback>
        </mc:AlternateContent>
      </w:r>
    </w:p>
    <w:p>
      <w:pPr>
        <w:pStyle w:val="BodyText"/>
        <w:spacing w:line="249" w:lineRule="auto" w:before="215"/>
        <w:ind w:right="99"/>
      </w:pPr>
      <w:r>
        <w:rPr/>
        <w:t>The possibility of a relationship between exogenous hormones and cutaneous malignant melanoma has been the subject of many </w:t>
      </w:r>
      <w:r>
        <w:rPr/>
        <w:t>observational studies. Accurate evaluation utilizing the Royal College of General Practitioners and Oxford Family Planning Association prospective cohorts and accounting for exposure to sunlight did not indicate a significant difference</w:t>
      </w:r>
      <w:r>
        <w:rPr>
          <w:spacing w:val="29"/>
        </w:rPr>
        <w:t> </w:t>
      </w:r>
      <w:r>
        <w:rPr/>
        <w:t>in</w:t>
      </w:r>
      <w:r>
        <w:rPr>
          <w:spacing w:val="29"/>
        </w:rPr>
        <w:t> </w:t>
      </w:r>
      <w:r>
        <w:rPr/>
        <w:t>the</w:t>
      </w:r>
      <w:r>
        <w:rPr>
          <w:spacing w:val="30"/>
        </w:rPr>
        <w:t> </w:t>
      </w:r>
      <w:r>
        <w:rPr/>
        <w:t>risk</w:t>
      </w:r>
      <w:r>
        <w:rPr>
          <w:spacing w:val="29"/>
        </w:rPr>
        <w:t> </w:t>
      </w:r>
      <w:r>
        <w:rPr/>
        <w:t>of</w:t>
      </w:r>
      <w:r>
        <w:rPr>
          <w:spacing w:val="30"/>
        </w:rPr>
        <w:t> </w:t>
      </w:r>
      <w:r>
        <w:rPr/>
        <w:t>melanoma</w:t>
      </w:r>
      <w:r>
        <w:rPr>
          <w:spacing w:val="29"/>
        </w:rPr>
        <w:t> </w:t>
      </w:r>
      <w:r>
        <w:rPr/>
        <w:t>comparing</w:t>
      </w:r>
      <w:r>
        <w:rPr>
          <w:spacing w:val="29"/>
        </w:rPr>
        <w:t> </w:t>
      </w:r>
      <w:r>
        <w:rPr/>
        <w:t>users</w:t>
      </w:r>
      <w:r>
        <w:rPr>
          <w:spacing w:val="30"/>
        </w:rPr>
        <w:t> </w:t>
      </w:r>
      <w:r>
        <w:rPr/>
        <w:t>of</w:t>
      </w:r>
      <w:r>
        <w:rPr>
          <w:spacing w:val="29"/>
        </w:rPr>
        <w:t> </w:t>
      </w:r>
      <w:r>
        <w:rPr/>
        <w:t>oral</w:t>
      </w:r>
      <w:r>
        <w:rPr>
          <w:spacing w:val="30"/>
        </w:rPr>
        <w:t> </w:t>
      </w:r>
      <w:r>
        <w:rPr>
          <w:spacing w:val="-2"/>
        </w:rPr>
        <w:t>contraceptives</w:t>
      </w:r>
    </w:p>
    <w:p>
      <w:pPr>
        <w:pStyle w:val="BodyText"/>
        <w:spacing w:after="0" w:line="249" w:lineRule="auto"/>
        <w:sectPr>
          <w:pgSz w:w="12240" w:h="15840"/>
          <w:pgMar w:top="1380" w:bottom="280" w:left="1440" w:right="1440"/>
        </w:sectPr>
      </w:pPr>
    </w:p>
    <w:p>
      <w:pPr>
        <w:pStyle w:val="BodyText"/>
        <w:spacing w:line="249" w:lineRule="auto"/>
        <w:ind w:right="97"/>
        <w:rPr>
          <w:b/>
        </w:rPr>
      </w:pPr>
      <w:r>
        <w:rPr/>
        <w:t>to nonusers.</w:t>
      </w:r>
      <w:r>
        <w:rPr>
          <w:vertAlign w:val="superscript"/>
        </w:rPr>
        <w:t>1140,1141</w:t>
      </w:r>
      <w:r>
        <w:rPr>
          <w:vertAlign w:val="baseline"/>
        </w:rPr>
        <w:t> Results with the use of postmenopausal ET have </w:t>
      </w:r>
      <w:r>
        <w:rPr>
          <w:vertAlign w:val="baseline"/>
        </w:rPr>
        <w:t>not indicated a major impact. A slightly increased risk with long-term use of estrogen was noted in one case-control study (a conclusion based on 10-20 cases and not achieving statistical significance), whereas other case-control studies could find no association with postmenopausal estrogen treatment.</w:t>
      </w:r>
      <w:r>
        <w:rPr>
          <w:vertAlign w:val="superscript"/>
        </w:rPr>
        <w:t>1142-1146</w:t>
      </w:r>
      <w:r>
        <w:rPr>
          <w:vertAlign w:val="baseline"/>
        </w:rPr>
        <w:t> Others have reported slight increases in the risk of malignant melanoma associated with the use of exogenous estrogen, but all failed to reach statistical significance.</w:t>
      </w:r>
      <w:r>
        <w:rPr>
          <w:vertAlign w:val="superscript"/>
        </w:rPr>
        <w:t>1136,1142,1147</w:t>
      </w:r>
      <w:r>
        <w:rPr>
          <w:vertAlign w:val="baseline"/>
        </w:rPr>
        <w:t> In an analysis of cancer incidence in a Swedish cohort of women prescribed menopausal HT, no increase in malignant melanoma was observed.</w:t>
      </w:r>
      <w:r>
        <w:rPr>
          <w:vertAlign w:val="superscript"/>
        </w:rPr>
        <w:t>874</w:t>
      </w:r>
      <w:r>
        <w:rPr>
          <w:vertAlign w:val="baseline"/>
        </w:rPr>
        <w:t> On the adverse side, a Dutch case-control study reported a significant 42% increase in melanoma risk in postmenopausal hormone users, but it was based on only 33 cases and there was no consideration of sun exposure.</w:t>
      </w:r>
      <w:r>
        <w:rPr>
          <w:vertAlign w:val="superscript"/>
        </w:rPr>
        <w:t>1148</w:t>
      </w:r>
      <w:r>
        <w:rPr>
          <w:vertAlign w:val="baseline"/>
        </w:rPr>
        <w:t> In post hoc analyses of the two WHI trials, HT did not affect the incidence of melanoma.</w:t>
      </w:r>
      <w:r>
        <w:rPr>
          <w:vertAlign w:val="superscript"/>
        </w:rPr>
        <w:t>540</w:t>
      </w:r>
      <w:r>
        <w:rPr>
          <w:vertAlign w:val="baseline"/>
        </w:rPr>
        <w:t> More recently, associations between the use of oral contraceptives and menopausal HT and melanoma risk were examined in women participating in the European Prospective Investigation into Cancer and Nutrition</w:t>
      </w:r>
      <w:r>
        <w:rPr>
          <w:spacing w:val="40"/>
          <w:vertAlign w:val="baseline"/>
        </w:rPr>
        <w:t> </w:t>
      </w:r>
      <w:r>
        <w:rPr>
          <w:vertAlign w:val="baseline"/>
        </w:rPr>
        <w:t>(EPIC), a prospective cohort study in 10 participating European countries initiated in 1992. Among postmenopausal women, ever use of HT was not associated with melanoma risk (HR = 1.14, 95% CI = 0.97-1.43).</w:t>
      </w:r>
      <w:r>
        <w:rPr>
          <w:vertAlign w:val="superscript"/>
        </w:rPr>
        <w:t>1147</w:t>
      </w:r>
      <w:r>
        <w:rPr>
          <w:vertAlign w:val="baseline"/>
        </w:rPr>
        <w:t> </w:t>
      </w:r>
      <w:r>
        <w:rPr>
          <w:b/>
          <w:vertAlign w:val="baseline"/>
        </w:rPr>
        <w:t>At</w:t>
      </w:r>
      <w:r>
        <w:rPr>
          <w:b/>
          <w:spacing w:val="80"/>
          <w:vertAlign w:val="baseline"/>
        </w:rPr>
        <w:t> </w:t>
      </w:r>
      <w:r>
        <w:rPr>
          <w:b/>
          <w:vertAlign w:val="baseline"/>
        </w:rPr>
        <w:t>this time, no solid evidence exists to suggest an increase in risk for cutaneous malignant melanoma with the use of HT.</w:t>
      </w:r>
    </w:p>
    <w:p>
      <w:pPr>
        <w:pStyle w:val="BodyText"/>
        <w:spacing w:before="0"/>
        <w:ind w:left="0"/>
        <w:jc w:val="left"/>
        <w:rPr>
          <w:b/>
          <w:sz w:val="20"/>
        </w:rPr>
      </w:pPr>
    </w:p>
    <w:p>
      <w:pPr>
        <w:pStyle w:val="BodyText"/>
        <w:spacing w:before="138"/>
        <w:ind w:left="0"/>
        <w:jc w:val="left"/>
        <w:rPr>
          <w:b/>
          <w:sz w:val="20"/>
        </w:rPr>
      </w:pPr>
      <w:r>
        <w:rPr>
          <w:b/>
          <w:sz w:val="20"/>
        </w:rPr>
        <mc:AlternateContent>
          <mc:Choice Requires="wps">
            <w:drawing>
              <wp:anchor distT="0" distB="0" distL="0" distR="0" allowOverlap="1" layoutInCell="1" locked="0" behindDoc="1" simplePos="0" relativeHeight="487669248">
                <wp:simplePos x="0" y="0"/>
                <wp:positionH relativeFrom="page">
                  <wp:posOffset>981075</wp:posOffset>
                </wp:positionH>
                <wp:positionV relativeFrom="paragraph">
                  <wp:posOffset>249070</wp:posOffset>
                </wp:positionV>
                <wp:extent cx="285750" cy="5715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285750" cy="57150"/>
                        </a:xfrm>
                        <a:custGeom>
                          <a:avLst/>
                          <a:gdLst/>
                          <a:ahLst/>
                          <a:cxnLst/>
                          <a:rect l="l" t="t" r="r" b="b"/>
                          <a:pathLst>
                            <a:path w="285750" h="57150">
                              <a:moveTo>
                                <a:pt x="28575" y="57149"/>
                              </a:moveTo>
                              <a:lnTo>
                                <a:pt x="0" y="32299"/>
                              </a:lnTo>
                              <a:lnTo>
                                <a:pt x="0" y="24707"/>
                              </a:lnTo>
                              <a:lnTo>
                                <a:pt x="725" y="20983"/>
                              </a:lnTo>
                              <a:lnTo>
                                <a:pt x="3625" y="13839"/>
                              </a:lnTo>
                              <a:lnTo>
                                <a:pt x="5689" y="10715"/>
                              </a:lnTo>
                              <a:lnTo>
                                <a:pt x="8369" y="8181"/>
                              </a:lnTo>
                              <a:lnTo>
                                <a:pt x="11048" y="5505"/>
                              </a:lnTo>
                              <a:lnTo>
                                <a:pt x="14138" y="3419"/>
                              </a:lnTo>
                              <a:lnTo>
                                <a:pt x="21140" y="742"/>
                              </a:lnTo>
                              <a:lnTo>
                                <a:pt x="24785" y="0"/>
                              </a:lnTo>
                              <a:lnTo>
                                <a:pt x="32364" y="0"/>
                              </a:lnTo>
                              <a:lnTo>
                                <a:pt x="36009" y="742"/>
                              </a:lnTo>
                              <a:lnTo>
                                <a:pt x="43010" y="3419"/>
                              </a:lnTo>
                              <a:lnTo>
                                <a:pt x="46101" y="5505"/>
                              </a:lnTo>
                              <a:lnTo>
                                <a:pt x="48780" y="8181"/>
                              </a:lnTo>
                              <a:lnTo>
                                <a:pt x="51459" y="10715"/>
                              </a:lnTo>
                              <a:lnTo>
                                <a:pt x="53524" y="13839"/>
                              </a:lnTo>
                              <a:lnTo>
                                <a:pt x="56424" y="20983"/>
                              </a:lnTo>
                              <a:lnTo>
                                <a:pt x="57149" y="24707"/>
                              </a:lnTo>
                              <a:lnTo>
                                <a:pt x="57149" y="32299"/>
                              </a:lnTo>
                              <a:lnTo>
                                <a:pt x="32364" y="56997"/>
                              </a:lnTo>
                              <a:lnTo>
                                <a:pt x="28575" y="57149"/>
                              </a:lnTo>
                              <a:close/>
                            </a:path>
                            <a:path w="285750" h="57150">
                              <a:moveTo>
                                <a:pt x="142779" y="57149"/>
                              </a:moveTo>
                              <a:lnTo>
                                <a:pt x="114204" y="32299"/>
                              </a:lnTo>
                              <a:lnTo>
                                <a:pt x="114204" y="24707"/>
                              </a:lnTo>
                              <a:lnTo>
                                <a:pt x="114929" y="20983"/>
                              </a:lnTo>
                              <a:lnTo>
                                <a:pt x="117829" y="13839"/>
                              </a:lnTo>
                              <a:lnTo>
                                <a:pt x="119894" y="10715"/>
                              </a:lnTo>
                              <a:lnTo>
                                <a:pt x="122574" y="8181"/>
                              </a:lnTo>
                              <a:lnTo>
                                <a:pt x="125253" y="5505"/>
                              </a:lnTo>
                              <a:lnTo>
                                <a:pt x="128343" y="3419"/>
                              </a:lnTo>
                              <a:lnTo>
                                <a:pt x="135345" y="742"/>
                              </a:lnTo>
                              <a:lnTo>
                                <a:pt x="138990" y="0"/>
                              </a:lnTo>
                              <a:lnTo>
                                <a:pt x="146569" y="0"/>
                              </a:lnTo>
                              <a:lnTo>
                                <a:pt x="150214" y="742"/>
                              </a:lnTo>
                              <a:lnTo>
                                <a:pt x="157215" y="3419"/>
                              </a:lnTo>
                              <a:lnTo>
                                <a:pt x="160305" y="5505"/>
                              </a:lnTo>
                              <a:lnTo>
                                <a:pt x="162985" y="8181"/>
                              </a:lnTo>
                              <a:lnTo>
                                <a:pt x="165664" y="10715"/>
                              </a:lnTo>
                              <a:lnTo>
                                <a:pt x="167729" y="13839"/>
                              </a:lnTo>
                              <a:lnTo>
                                <a:pt x="170629" y="20983"/>
                              </a:lnTo>
                              <a:lnTo>
                                <a:pt x="171354" y="24707"/>
                              </a:lnTo>
                              <a:lnTo>
                                <a:pt x="171354" y="32299"/>
                              </a:lnTo>
                              <a:lnTo>
                                <a:pt x="146569" y="56997"/>
                              </a:lnTo>
                              <a:lnTo>
                                <a:pt x="142779" y="57149"/>
                              </a:lnTo>
                              <a:close/>
                            </a:path>
                            <a:path w="285750" h="57150">
                              <a:moveTo>
                                <a:pt x="256984" y="57149"/>
                              </a:moveTo>
                              <a:lnTo>
                                <a:pt x="228409" y="32299"/>
                              </a:lnTo>
                              <a:lnTo>
                                <a:pt x="228409" y="24707"/>
                              </a:lnTo>
                              <a:lnTo>
                                <a:pt x="229134" y="20983"/>
                              </a:lnTo>
                              <a:lnTo>
                                <a:pt x="232034" y="13839"/>
                              </a:lnTo>
                              <a:lnTo>
                                <a:pt x="234099" y="10715"/>
                              </a:lnTo>
                              <a:lnTo>
                                <a:pt x="236778" y="8181"/>
                              </a:lnTo>
                              <a:lnTo>
                                <a:pt x="239458" y="5505"/>
                              </a:lnTo>
                              <a:lnTo>
                                <a:pt x="242548" y="3419"/>
                              </a:lnTo>
                              <a:lnTo>
                                <a:pt x="249550" y="742"/>
                              </a:lnTo>
                              <a:lnTo>
                                <a:pt x="253195" y="0"/>
                              </a:lnTo>
                              <a:lnTo>
                                <a:pt x="260773" y="0"/>
                              </a:lnTo>
                              <a:lnTo>
                                <a:pt x="264418" y="742"/>
                              </a:lnTo>
                              <a:lnTo>
                                <a:pt x="271420" y="3419"/>
                              </a:lnTo>
                              <a:lnTo>
                                <a:pt x="274510" y="5505"/>
                              </a:lnTo>
                              <a:lnTo>
                                <a:pt x="277190" y="8181"/>
                              </a:lnTo>
                              <a:lnTo>
                                <a:pt x="279869" y="10715"/>
                              </a:lnTo>
                              <a:lnTo>
                                <a:pt x="281934" y="13839"/>
                              </a:lnTo>
                              <a:lnTo>
                                <a:pt x="284834" y="20983"/>
                              </a:lnTo>
                              <a:lnTo>
                                <a:pt x="285559" y="24707"/>
                              </a:lnTo>
                              <a:lnTo>
                                <a:pt x="285559" y="32299"/>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611883pt;width:22.5pt;height:4.5pt;mso-position-horizontal-relative:page;mso-position-vertical-relative:paragraph;z-index:-15647232;mso-wrap-distance-left:0;mso-wrap-distance-right:0" id="docshape282" coordorigin="1545,392" coordsize="450,90" path="m1590,482l1584,482,1578,481,1567,476,1562,473,1558,469,1554,464,1551,459,1546,449,1545,443,1545,431,1546,425,1551,414,1554,409,1558,405,1562,401,1567,398,1578,393,1584,392,1596,392,1602,393,1613,398,1618,401,1622,405,1626,409,1629,414,1634,425,1635,431,1635,443,1634,449,1629,459,1626,464,1622,469,1618,473,1613,476,1602,481,1596,482,1590,482xm1770,482l1764,482,1758,481,1747,476,1742,473,1738,469,1734,464,1731,459,1726,449,1725,443,1725,431,1726,425,1731,414,1734,409,1738,405,1742,401,1747,398,1758,393,1764,392,1776,392,1782,393,1793,398,1797,401,1802,405,1806,409,1809,414,1814,425,1815,431,1815,443,1814,449,1809,459,1806,464,1802,469,1797,473,1793,476,1782,481,1776,482,1770,482xm1950,482l1944,482,1938,481,1927,476,1922,473,1918,469,1914,464,1910,459,1906,449,1905,443,1905,431,1906,425,1910,414,1914,409,1918,405,1922,401,1927,398,1938,393,1944,392,1956,392,1961,393,1972,398,1977,401,1982,405,1986,409,1989,414,1994,425,1995,431,1995,443,1994,449,1989,459,1986,464,1982,469,1977,473,1972,476,1961,481,1956,482,1950,482xe" filled="true" fillcolor="#bdb4d4" stroked="false">
                <v:path arrowok="t"/>
                <v:fill type="solid"/>
                <w10:wrap type="topAndBottom"/>
              </v:shape>
            </w:pict>
          </mc:Fallback>
        </mc:AlternateContent>
      </w:r>
    </w:p>
    <w:p>
      <w:pPr>
        <w:pStyle w:val="Heading3"/>
        <w:jc w:val="both"/>
      </w:pPr>
      <w:r>
        <w:rPr>
          <w:color w:val="534089"/>
          <w:spacing w:val="-2"/>
        </w:rPr>
        <w:t>METABOLIC</w:t>
      </w:r>
      <w:r>
        <w:rPr>
          <w:color w:val="534089"/>
          <w:spacing w:val="-5"/>
        </w:rPr>
        <w:t> </w:t>
      </w:r>
      <w:r>
        <w:rPr>
          <w:color w:val="534089"/>
          <w:spacing w:val="-2"/>
        </w:rPr>
        <w:t>EFFECTS</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69760">
                <wp:simplePos x="0" y="0"/>
                <wp:positionH relativeFrom="page">
                  <wp:posOffset>981075</wp:posOffset>
                </wp:positionH>
                <wp:positionV relativeFrom="paragraph">
                  <wp:posOffset>45683</wp:posOffset>
                </wp:positionV>
                <wp:extent cx="5810250" cy="1905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12pt;width:457.499964pt;height:1.5pt;mso-position-horizontal-relative:page;mso-position-vertical-relative:paragraph;z-index:-15646720;mso-wrap-distance-left:0;mso-wrap-distance-right:0" id="docshape283" filled="true" fillcolor="#534089" stroked="false">
                <v:fill type="solid"/>
                <w10:wrap type="topAndBottom"/>
              </v:rect>
            </w:pict>
          </mc:Fallback>
        </mc:AlternateContent>
      </w:r>
    </w:p>
    <w:p>
      <w:pPr>
        <w:spacing w:line="249" w:lineRule="auto" w:before="215"/>
        <w:ind w:left="99" w:right="98" w:firstLine="0"/>
        <w:jc w:val="both"/>
        <w:rPr>
          <w:sz w:val="30"/>
        </w:rPr>
      </w:pPr>
      <w:r>
        <w:rPr>
          <w:sz w:val="30"/>
        </w:rPr>
        <w:t>Severe hypertriglyceridemia and pancreatitis can be precipitated by </w:t>
      </w:r>
      <w:r>
        <w:rPr>
          <w:sz w:val="30"/>
        </w:rPr>
        <w:t>the administration of oral estrogen to women with elevated triglyceride levels.</w:t>
      </w:r>
      <w:r>
        <w:rPr>
          <w:sz w:val="30"/>
          <w:vertAlign w:val="superscript"/>
        </w:rPr>
        <w:t>1149,1150</w:t>
      </w:r>
      <w:r>
        <w:rPr>
          <w:sz w:val="30"/>
          <w:vertAlign w:val="baseline"/>
        </w:rPr>
        <w:t> In women with triglyceride levels between 250 and 500 mg/dL, estrogen should be provided with great caution, and a nonoral route of administration is strongly advised in those being considered for HT. </w:t>
      </w:r>
      <w:r>
        <w:rPr>
          <w:b/>
          <w:sz w:val="30"/>
          <w:vertAlign w:val="baseline"/>
        </w:rPr>
        <w:t>The triglyceride response to estrogen is rapid, and a repeat level should be obtained in 2 to 4 weeks. If levels are substantially increased, HT must be discontinued. A level greater than 500 mg/dL represents an absolute contraindication to estrogen treatment. </w:t>
      </w:r>
      <w:r>
        <w:rPr>
          <w:sz w:val="30"/>
          <w:vertAlign w:val="baseline"/>
        </w:rPr>
        <w:t>Triglyceride levels in the normal range</w:t>
      </w:r>
      <w:r>
        <w:rPr>
          <w:spacing w:val="29"/>
          <w:sz w:val="30"/>
          <w:vertAlign w:val="baseline"/>
        </w:rPr>
        <w:t> </w:t>
      </w:r>
      <w:r>
        <w:rPr>
          <w:sz w:val="30"/>
          <w:vertAlign w:val="baseline"/>
        </w:rPr>
        <w:t>were</w:t>
      </w:r>
      <w:r>
        <w:rPr>
          <w:spacing w:val="30"/>
          <w:sz w:val="30"/>
          <w:vertAlign w:val="baseline"/>
        </w:rPr>
        <w:t> </w:t>
      </w:r>
      <w:r>
        <w:rPr>
          <w:sz w:val="30"/>
          <w:vertAlign w:val="baseline"/>
        </w:rPr>
        <w:t>not</w:t>
      </w:r>
      <w:r>
        <w:rPr>
          <w:spacing w:val="29"/>
          <w:sz w:val="30"/>
          <w:vertAlign w:val="baseline"/>
        </w:rPr>
        <w:t> </w:t>
      </w:r>
      <w:r>
        <w:rPr>
          <w:sz w:val="30"/>
          <w:vertAlign w:val="baseline"/>
        </w:rPr>
        <w:t>affected</w:t>
      </w:r>
      <w:r>
        <w:rPr>
          <w:spacing w:val="30"/>
          <w:sz w:val="30"/>
          <w:vertAlign w:val="baseline"/>
        </w:rPr>
        <w:t> </w:t>
      </w:r>
      <w:r>
        <w:rPr>
          <w:sz w:val="30"/>
          <w:vertAlign w:val="baseline"/>
        </w:rPr>
        <w:t>by</w:t>
      </w:r>
      <w:r>
        <w:rPr>
          <w:spacing w:val="29"/>
          <w:sz w:val="30"/>
          <w:vertAlign w:val="baseline"/>
        </w:rPr>
        <w:t> </w:t>
      </w:r>
      <w:r>
        <w:rPr>
          <w:sz w:val="30"/>
          <w:vertAlign w:val="baseline"/>
        </w:rPr>
        <w:t>progestins</w:t>
      </w:r>
      <w:r>
        <w:rPr>
          <w:spacing w:val="30"/>
          <w:sz w:val="30"/>
          <w:vertAlign w:val="baseline"/>
        </w:rPr>
        <w:t> </w:t>
      </w:r>
      <w:r>
        <w:rPr>
          <w:sz w:val="30"/>
          <w:vertAlign w:val="baseline"/>
        </w:rPr>
        <w:t>in</w:t>
      </w:r>
      <w:r>
        <w:rPr>
          <w:spacing w:val="29"/>
          <w:sz w:val="30"/>
          <w:vertAlign w:val="baseline"/>
        </w:rPr>
        <w:t> </w:t>
      </w:r>
      <w:r>
        <w:rPr>
          <w:sz w:val="30"/>
          <w:vertAlign w:val="baseline"/>
        </w:rPr>
        <w:t>the</w:t>
      </w:r>
      <w:r>
        <w:rPr>
          <w:spacing w:val="30"/>
          <w:sz w:val="30"/>
          <w:vertAlign w:val="baseline"/>
        </w:rPr>
        <w:t> </w:t>
      </w:r>
      <w:r>
        <w:rPr>
          <w:sz w:val="30"/>
          <w:vertAlign w:val="baseline"/>
        </w:rPr>
        <w:t>PEPI</w:t>
      </w:r>
      <w:r>
        <w:rPr>
          <w:spacing w:val="29"/>
          <w:sz w:val="30"/>
          <w:vertAlign w:val="baseline"/>
        </w:rPr>
        <w:t> </w:t>
      </w:r>
      <w:r>
        <w:rPr>
          <w:sz w:val="30"/>
          <w:vertAlign w:val="baseline"/>
        </w:rPr>
        <w:t>trial.</w:t>
      </w:r>
      <w:r>
        <w:rPr>
          <w:sz w:val="30"/>
          <w:vertAlign w:val="superscript"/>
        </w:rPr>
        <w:t>111</w:t>
      </w:r>
      <w:r>
        <w:rPr>
          <w:spacing w:val="26"/>
          <w:sz w:val="30"/>
          <w:vertAlign w:val="baseline"/>
        </w:rPr>
        <w:t> </w:t>
      </w:r>
      <w:r>
        <w:rPr>
          <w:sz w:val="30"/>
          <w:vertAlign w:val="baseline"/>
        </w:rPr>
        <w:t>An</w:t>
      </w:r>
      <w:r>
        <w:rPr>
          <w:spacing w:val="26"/>
          <w:sz w:val="30"/>
          <w:vertAlign w:val="baseline"/>
        </w:rPr>
        <w:t> </w:t>
      </w:r>
      <w:r>
        <w:rPr>
          <w:spacing w:val="-2"/>
          <w:sz w:val="30"/>
          <w:vertAlign w:val="baseline"/>
        </w:rPr>
        <w:t>exaggerated</w:t>
      </w:r>
    </w:p>
    <w:p>
      <w:pPr>
        <w:spacing w:after="0" w:line="249" w:lineRule="auto"/>
        <w:jc w:val="both"/>
        <w:rPr>
          <w:sz w:val="30"/>
        </w:rPr>
        <w:sectPr>
          <w:pgSz w:w="12240" w:h="15840"/>
          <w:pgMar w:top="1380" w:bottom="280" w:left="1440" w:right="1440"/>
        </w:sectPr>
      </w:pPr>
    </w:p>
    <w:p>
      <w:pPr>
        <w:spacing w:line="249" w:lineRule="auto" w:before="65"/>
        <w:ind w:left="99" w:right="98" w:firstLine="0"/>
        <w:jc w:val="both"/>
        <w:rPr>
          <w:sz w:val="30"/>
        </w:rPr>
      </w:pPr>
      <w:r>
        <w:rPr>
          <w:sz w:val="30"/>
        </w:rPr>
        <w:t>triglyceride response to estrogen might be attenuated by a progestin, especially a progestin of the 19-nortestosterone family, and, therefore, </w:t>
      </w:r>
      <w:r>
        <w:rPr>
          <w:sz w:val="30"/>
        </w:rPr>
        <w:t>the daily, combination method of treatment could be considered for women with slightly elevated triglycerides. </w:t>
      </w:r>
      <w:r>
        <w:rPr>
          <w:b/>
          <w:sz w:val="30"/>
        </w:rPr>
        <w:t>However, the treatment of choice is transdermal estrogen, a route of administration that does not affect triglyceride levels; indeed, triglyceride levels markedly elevated in response to oral therapy return to normal when the route of administration is changed to transdermal administration.</w:t>
      </w:r>
      <w:r>
        <w:rPr>
          <w:sz w:val="30"/>
          <w:vertAlign w:val="superscript"/>
        </w:rPr>
        <w:t>48,51</w:t>
      </w:r>
    </w:p>
    <w:p>
      <w:pPr>
        <w:pStyle w:val="BodyText"/>
        <w:spacing w:line="249" w:lineRule="auto" w:before="10"/>
        <w:ind w:right="98" w:firstLine="450"/>
      </w:pPr>
      <w:r>
        <w:rPr/>
        <w:t>Although physiologic and epidemiologic evidence indicates </w:t>
      </w:r>
      <w:r>
        <w:rPr/>
        <w:t>that estrogen use increases the risk of gallbladder disease, the overall impact is not great. The Nurses’ Health Study indicated that oral ET may carry a 1.5-to 2.0-fold increased risk of gallbladder disease.</w:t>
      </w:r>
      <w:r>
        <w:rPr>
          <w:vertAlign w:val="superscript"/>
        </w:rPr>
        <w:t>1151</w:t>
      </w:r>
      <w:r>
        <w:rPr>
          <w:vertAlign w:val="baseline"/>
        </w:rPr>
        <w:t> The risk of cholecystectomy appeared to increase with dose and duration of use and to persist for 5 years or more after stopping treatment. Other observational studies also reported increased risks of cholecystectomy in past and current users of estrogen.</w:t>
      </w:r>
      <w:r>
        <w:rPr>
          <w:vertAlign w:val="superscript"/>
        </w:rPr>
        <w:t>782,1152,1153</w:t>
      </w:r>
      <w:r>
        <w:rPr>
          <w:vertAlign w:val="baseline"/>
        </w:rPr>
        <w:t> At least two case-control studies concluded that estrogen use is not a risk factor for gallstone disease in postmenopausal women, although the statistical power was limited by small numbers.</w:t>
      </w:r>
      <w:r>
        <w:rPr>
          <w:vertAlign w:val="superscript"/>
        </w:rPr>
        <w:t>1154,1155</w:t>
      </w:r>
      <w:r>
        <w:rPr>
          <w:vertAlign w:val="baseline"/>
        </w:rPr>
        <w:t> A</w:t>
      </w:r>
      <w:r>
        <w:rPr>
          <w:spacing w:val="-3"/>
          <w:vertAlign w:val="baseline"/>
        </w:rPr>
        <w:t> </w:t>
      </w:r>
      <w:r>
        <w:rPr>
          <w:vertAlign w:val="baseline"/>
        </w:rPr>
        <w:t>cross-sectional</w:t>
      </w:r>
      <w:r>
        <w:rPr>
          <w:spacing w:val="-3"/>
          <w:vertAlign w:val="baseline"/>
        </w:rPr>
        <w:t> </w:t>
      </w:r>
      <w:r>
        <w:rPr>
          <w:vertAlign w:val="baseline"/>
        </w:rPr>
        <w:t>study</w:t>
      </w:r>
      <w:r>
        <w:rPr>
          <w:spacing w:val="-3"/>
          <w:vertAlign w:val="baseline"/>
        </w:rPr>
        <w:t> </w:t>
      </w:r>
      <w:r>
        <w:rPr>
          <w:vertAlign w:val="baseline"/>
        </w:rPr>
        <w:t>of</w:t>
      </w:r>
      <w:r>
        <w:rPr>
          <w:spacing w:val="-3"/>
          <w:vertAlign w:val="baseline"/>
        </w:rPr>
        <w:t> </w:t>
      </w:r>
      <w:r>
        <w:rPr>
          <w:vertAlign w:val="baseline"/>
        </w:rPr>
        <w:t>gallstone</w:t>
      </w:r>
      <w:r>
        <w:rPr>
          <w:spacing w:val="-3"/>
          <w:vertAlign w:val="baseline"/>
        </w:rPr>
        <w:t> </w:t>
      </w:r>
      <w:r>
        <w:rPr>
          <w:vertAlign w:val="baseline"/>
        </w:rPr>
        <w:t>disease</w:t>
      </w:r>
      <w:r>
        <w:rPr>
          <w:spacing w:val="-3"/>
          <w:vertAlign w:val="baseline"/>
        </w:rPr>
        <w:t> </w:t>
      </w:r>
      <w:r>
        <w:rPr>
          <w:vertAlign w:val="baseline"/>
        </w:rPr>
        <w:t>could</w:t>
      </w:r>
      <w:r>
        <w:rPr>
          <w:spacing w:val="-3"/>
          <w:vertAlign w:val="baseline"/>
        </w:rPr>
        <w:t> </w:t>
      </w:r>
      <w:r>
        <w:rPr>
          <w:vertAlign w:val="baseline"/>
        </w:rPr>
        <w:t>detect</w:t>
      </w:r>
      <w:r>
        <w:rPr>
          <w:spacing w:val="-3"/>
          <w:vertAlign w:val="baseline"/>
        </w:rPr>
        <w:t> </w:t>
      </w:r>
      <w:r>
        <w:rPr>
          <w:vertAlign w:val="baseline"/>
        </w:rPr>
        <w:t>no</w:t>
      </w:r>
      <w:r>
        <w:rPr>
          <w:spacing w:val="-3"/>
          <w:vertAlign w:val="baseline"/>
        </w:rPr>
        <w:t> </w:t>
      </w:r>
      <w:r>
        <w:rPr>
          <w:vertAlign w:val="baseline"/>
        </w:rPr>
        <w:t>association</w:t>
      </w:r>
      <w:r>
        <w:rPr>
          <w:spacing w:val="-3"/>
          <w:vertAlign w:val="baseline"/>
        </w:rPr>
        <w:t> </w:t>
      </w:r>
      <w:r>
        <w:rPr>
          <w:vertAlign w:val="baseline"/>
        </w:rPr>
        <w:t>with postmenopausal</w:t>
      </w:r>
      <w:r>
        <w:rPr>
          <w:spacing w:val="-7"/>
          <w:vertAlign w:val="baseline"/>
        </w:rPr>
        <w:t> </w:t>
      </w:r>
      <w:r>
        <w:rPr>
          <w:vertAlign w:val="baseline"/>
        </w:rPr>
        <w:t>hormone</w:t>
      </w:r>
      <w:r>
        <w:rPr>
          <w:spacing w:val="-7"/>
          <w:vertAlign w:val="baseline"/>
        </w:rPr>
        <w:t> </w:t>
      </w:r>
      <w:r>
        <w:rPr>
          <w:vertAlign w:val="baseline"/>
        </w:rPr>
        <w:t>treatment.</w:t>
      </w:r>
      <w:r>
        <w:rPr>
          <w:vertAlign w:val="superscript"/>
        </w:rPr>
        <w:t>1156</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HERS</w:t>
      </w:r>
      <w:r>
        <w:rPr>
          <w:spacing w:val="-6"/>
          <w:vertAlign w:val="baseline"/>
        </w:rPr>
        <w:t> </w:t>
      </w:r>
      <w:r>
        <w:rPr>
          <w:vertAlign w:val="baseline"/>
        </w:rPr>
        <w:t>clinical</w:t>
      </w:r>
      <w:r>
        <w:rPr>
          <w:spacing w:val="-6"/>
          <w:vertAlign w:val="baseline"/>
        </w:rPr>
        <w:t> </w:t>
      </w:r>
      <w:r>
        <w:rPr>
          <w:vertAlign w:val="baseline"/>
        </w:rPr>
        <w:t>trial,</w:t>
      </w:r>
      <w:r>
        <w:rPr>
          <w:spacing w:val="-6"/>
          <w:vertAlign w:val="baseline"/>
        </w:rPr>
        <w:t> </w:t>
      </w:r>
      <w:r>
        <w:rPr>
          <w:vertAlign w:val="baseline"/>
        </w:rPr>
        <w:t>the</w:t>
      </w:r>
      <w:r>
        <w:rPr>
          <w:spacing w:val="-6"/>
          <w:vertAlign w:val="baseline"/>
        </w:rPr>
        <w:t> </w:t>
      </w:r>
      <w:r>
        <w:rPr>
          <w:vertAlign w:val="baseline"/>
        </w:rPr>
        <w:t>RR</w:t>
      </w:r>
      <w:r>
        <w:rPr>
          <w:spacing w:val="-6"/>
          <w:vertAlign w:val="baseline"/>
        </w:rPr>
        <w:t> </w:t>
      </w:r>
      <w:r>
        <w:rPr>
          <w:vertAlign w:val="baseline"/>
        </w:rPr>
        <w:t>of gallbladder disease was 1.38; however, this did not achieve statistical significance.</w:t>
      </w:r>
      <w:r>
        <w:rPr>
          <w:vertAlign w:val="superscript"/>
        </w:rPr>
        <w:t>780,1157</w:t>
      </w:r>
      <w:r>
        <w:rPr>
          <w:vertAlign w:val="baseline"/>
        </w:rPr>
        <w:t> The risk of gallbladder disease and gallbladder surgery was</w:t>
      </w:r>
      <w:r>
        <w:rPr>
          <w:spacing w:val="40"/>
          <w:vertAlign w:val="baseline"/>
        </w:rPr>
        <w:t> </w:t>
      </w:r>
      <w:r>
        <w:rPr>
          <w:vertAlign w:val="baseline"/>
        </w:rPr>
        <w:t>significantly</w:t>
      </w:r>
      <w:r>
        <w:rPr>
          <w:spacing w:val="40"/>
          <w:vertAlign w:val="baseline"/>
        </w:rPr>
        <w:t> </w:t>
      </w:r>
      <w:r>
        <w:rPr>
          <w:vertAlign w:val="baseline"/>
        </w:rPr>
        <w:t>increased</w:t>
      </w:r>
      <w:r>
        <w:rPr>
          <w:spacing w:val="40"/>
          <w:vertAlign w:val="baseline"/>
        </w:rPr>
        <w:t> </w:t>
      </w:r>
      <w:r>
        <w:rPr>
          <w:vertAlign w:val="baseline"/>
        </w:rPr>
        <w:t>in</w:t>
      </w:r>
      <w:r>
        <w:rPr>
          <w:spacing w:val="40"/>
          <w:vertAlign w:val="baseline"/>
        </w:rPr>
        <w:t> </w:t>
      </w:r>
      <w:r>
        <w:rPr>
          <w:vertAlign w:val="baseline"/>
        </w:rPr>
        <w:t>both</w:t>
      </w:r>
      <w:r>
        <w:rPr>
          <w:spacing w:val="40"/>
          <w:vertAlign w:val="baseline"/>
        </w:rPr>
        <w:t> </w:t>
      </w:r>
      <w:r>
        <w:rPr>
          <w:vertAlign w:val="baseline"/>
        </w:rPr>
        <w:t>the</w:t>
      </w:r>
      <w:r>
        <w:rPr>
          <w:spacing w:val="40"/>
          <w:vertAlign w:val="baseline"/>
        </w:rPr>
        <w:t> </w:t>
      </w:r>
      <w:r>
        <w:rPr>
          <w:vertAlign w:val="baseline"/>
        </w:rPr>
        <w:t>estrogen-progestin</w:t>
      </w:r>
      <w:r>
        <w:rPr>
          <w:spacing w:val="40"/>
          <w:vertAlign w:val="baseline"/>
        </w:rPr>
        <w:t> </w:t>
      </w:r>
      <w:r>
        <w:rPr>
          <w:vertAlign w:val="baseline"/>
        </w:rPr>
        <w:t>and</w:t>
      </w:r>
      <w:r>
        <w:rPr>
          <w:spacing w:val="40"/>
          <w:vertAlign w:val="baseline"/>
        </w:rPr>
        <w:t> </w:t>
      </w:r>
      <w:r>
        <w:rPr>
          <w:vertAlign w:val="baseline"/>
        </w:rPr>
        <w:t>estrogen-only</w:t>
      </w:r>
      <w:r>
        <w:rPr>
          <w:spacing w:val="-6"/>
          <w:vertAlign w:val="baseline"/>
        </w:rPr>
        <w:t> </w:t>
      </w:r>
      <w:r>
        <w:rPr>
          <w:vertAlign w:val="baseline"/>
        </w:rPr>
        <w:t>WHI</w:t>
      </w:r>
      <w:r>
        <w:rPr>
          <w:spacing w:val="-6"/>
          <w:vertAlign w:val="baseline"/>
        </w:rPr>
        <w:t> </w:t>
      </w:r>
      <w:r>
        <w:rPr>
          <w:vertAlign w:val="baseline"/>
        </w:rPr>
        <w:t>hormone</w:t>
      </w:r>
      <w:r>
        <w:rPr>
          <w:spacing w:val="-6"/>
          <w:vertAlign w:val="baseline"/>
        </w:rPr>
        <w:t> </w:t>
      </w:r>
      <w:r>
        <w:rPr>
          <w:vertAlign w:val="baseline"/>
        </w:rPr>
        <w:t>trials.</w:t>
      </w:r>
      <w:r>
        <w:rPr>
          <w:vertAlign w:val="superscript"/>
        </w:rPr>
        <w:t>1158</w:t>
      </w:r>
      <w:r>
        <w:rPr>
          <w:spacing w:val="-4"/>
          <w:vertAlign w:val="baseline"/>
        </w:rPr>
        <w:t> </w:t>
      </w:r>
      <w:r>
        <w:rPr>
          <w:vertAlign w:val="baseline"/>
        </w:rPr>
        <w:t>This</w:t>
      </w:r>
      <w:r>
        <w:rPr>
          <w:spacing w:val="-3"/>
          <w:vertAlign w:val="baseline"/>
        </w:rPr>
        <w:t> </w:t>
      </w:r>
      <w:r>
        <w:rPr>
          <w:vertAlign w:val="baseline"/>
        </w:rPr>
        <w:t>amounted</w:t>
      </w:r>
      <w:r>
        <w:rPr>
          <w:spacing w:val="-3"/>
          <w:vertAlign w:val="baseline"/>
        </w:rPr>
        <w:t> </w:t>
      </w:r>
      <w:r>
        <w:rPr>
          <w:vertAlign w:val="baseline"/>
        </w:rPr>
        <w:t>to</w:t>
      </w:r>
      <w:r>
        <w:rPr>
          <w:spacing w:val="-3"/>
          <w:vertAlign w:val="baseline"/>
        </w:rPr>
        <w:t> </w:t>
      </w:r>
      <w:r>
        <w:rPr>
          <w:vertAlign w:val="baseline"/>
        </w:rPr>
        <w:t>an</w:t>
      </w:r>
      <w:r>
        <w:rPr>
          <w:spacing w:val="-3"/>
          <w:vertAlign w:val="baseline"/>
        </w:rPr>
        <w:t> </w:t>
      </w:r>
      <w:r>
        <w:rPr>
          <w:vertAlign w:val="baseline"/>
        </w:rPr>
        <w:t>increase</w:t>
      </w:r>
      <w:r>
        <w:rPr>
          <w:spacing w:val="-3"/>
          <w:vertAlign w:val="baseline"/>
        </w:rPr>
        <w:t> </w:t>
      </w:r>
      <w:r>
        <w:rPr>
          <w:vertAlign w:val="baseline"/>
        </w:rPr>
        <w:t>of</w:t>
      </w:r>
      <w:r>
        <w:rPr>
          <w:spacing w:val="-3"/>
          <w:vertAlign w:val="baseline"/>
        </w:rPr>
        <w:t> </w:t>
      </w:r>
      <w:r>
        <w:rPr>
          <w:vertAlign w:val="baseline"/>
        </w:rPr>
        <w:t>20</w:t>
      </w:r>
      <w:r>
        <w:rPr>
          <w:spacing w:val="-3"/>
          <w:vertAlign w:val="baseline"/>
        </w:rPr>
        <w:t> </w:t>
      </w:r>
      <w:r>
        <w:rPr>
          <w:vertAlign w:val="baseline"/>
        </w:rPr>
        <w:t>to</w:t>
      </w:r>
      <w:r>
        <w:rPr>
          <w:spacing w:val="-3"/>
          <w:vertAlign w:val="baseline"/>
        </w:rPr>
        <w:t> </w:t>
      </w:r>
      <w:r>
        <w:rPr>
          <w:vertAlign w:val="baseline"/>
        </w:rPr>
        <w:t>30</w:t>
      </w:r>
      <w:r>
        <w:rPr>
          <w:spacing w:val="-3"/>
          <w:vertAlign w:val="baseline"/>
        </w:rPr>
        <w:t> </w:t>
      </w:r>
      <w:r>
        <w:rPr>
          <w:vertAlign w:val="baseline"/>
        </w:rPr>
        <w:t>cases per 10,000 per year in this older population of postmenopausal women. The routine, periodic use of blood chemistries is not cost-effective, and careful monitoring for the appearance of the symptoms and signs of biliary tract disease</w:t>
      </w:r>
      <w:r>
        <w:rPr>
          <w:spacing w:val="-3"/>
          <w:vertAlign w:val="baseline"/>
        </w:rPr>
        <w:t> </w:t>
      </w:r>
      <w:r>
        <w:rPr>
          <w:vertAlign w:val="baseline"/>
        </w:rPr>
        <w:t>suffices.</w:t>
      </w:r>
      <w:r>
        <w:rPr>
          <w:spacing w:val="-4"/>
          <w:vertAlign w:val="baseline"/>
        </w:rPr>
        <w:t> </w:t>
      </w:r>
      <w:r>
        <w:rPr>
          <w:vertAlign w:val="baseline"/>
        </w:rPr>
        <w:t>It is not certain that this potential problem is limited to oral therapy. Nonoral routes of estrogen administration have been reported to inconsistently increase biliary cholesterol saturation (a lithogenic response).</w:t>
      </w:r>
      <w:r>
        <w:rPr>
          <w:vertAlign w:val="superscript"/>
        </w:rPr>
        <w:t>1159,1160</w:t>
      </w:r>
      <w:r>
        <w:rPr>
          <w:vertAlign w:val="baseline"/>
        </w:rPr>
        <w:t> In the Million Women Study in the United Kingdom, the risk of gallbladder disease was actually lower with transdermal estrogen compared</w:t>
      </w:r>
      <w:r>
        <w:rPr>
          <w:spacing w:val="-2"/>
          <w:vertAlign w:val="baseline"/>
        </w:rPr>
        <w:t> </w:t>
      </w:r>
      <w:r>
        <w:rPr>
          <w:vertAlign w:val="baseline"/>
        </w:rPr>
        <w:t>with</w:t>
      </w:r>
      <w:r>
        <w:rPr>
          <w:spacing w:val="-2"/>
          <w:vertAlign w:val="baseline"/>
        </w:rPr>
        <w:t> </w:t>
      </w:r>
      <w:r>
        <w:rPr>
          <w:vertAlign w:val="baseline"/>
        </w:rPr>
        <w:t>oral</w:t>
      </w:r>
      <w:r>
        <w:rPr>
          <w:spacing w:val="-2"/>
          <w:vertAlign w:val="baseline"/>
        </w:rPr>
        <w:t> </w:t>
      </w:r>
      <w:r>
        <w:rPr>
          <w:vertAlign w:val="baseline"/>
        </w:rPr>
        <w:t>estrogen,</w:t>
      </w:r>
      <w:r>
        <w:rPr>
          <w:spacing w:val="-2"/>
          <w:vertAlign w:val="baseline"/>
        </w:rPr>
        <w:t> </w:t>
      </w:r>
      <w:r>
        <w:rPr>
          <w:vertAlign w:val="baseline"/>
        </w:rPr>
        <w:t>but</w:t>
      </w:r>
      <w:r>
        <w:rPr>
          <w:spacing w:val="-2"/>
          <w:vertAlign w:val="baseline"/>
        </w:rPr>
        <w:t> </w:t>
      </w:r>
      <w:r>
        <w:rPr>
          <w:vertAlign w:val="baseline"/>
        </w:rPr>
        <w:t>the</w:t>
      </w:r>
      <w:r>
        <w:rPr>
          <w:spacing w:val="-2"/>
          <w:vertAlign w:val="baseline"/>
        </w:rPr>
        <w:t> </w:t>
      </w:r>
      <w:r>
        <w:rPr>
          <w:vertAlign w:val="baseline"/>
        </w:rPr>
        <w:t>many</w:t>
      </w:r>
      <w:r>
        <w:rPr>
          <w:spacing w:val="-2"/>
          <w:vertAlign w:val="baseline"/>
        </w:rPr>
        <w:t> </w:t>
      </w:r>
      <w:r>
        <w:rPr>
          <w:vertAlign w:val="baseline"/>
        </w:rPr>
        <w:t>problems</w:t>
      </w:r>
      <w:r>
        <w:rPr>
          <w:spacing w:val="-2"/>
          <w:vertAlign w:val="baseline"/>
        </w:rPr>
        <w:t> </w:t>
      </w:r>
      <w:r>
        <w:rPr>
          <w:vertAlign w:val="baseline"/>
        </w:rPr>
        <w:t>with</w:t>
      </w:r>
      <w:r>
        <w:rPr>
          <w:spacing w:val="-2"/>
          <w:vertAlign w:val="baseline"/>
        </w:rPr>
        <w:t> </w:t>
      </w:r>
      <w:r>
        <w:rPr>
          <w:vertAlign w:val="baseline"/>
        </w:rPr>
        <w:t>this</w:t>
      </w:r>
      <w:r>
        <w:rPr>
          <w:spacing w:val="-2"/>
          <w:vertAlign w:val="baseline"/>
        </w:rPr>
        <w:t> </w:t>
      </w:r>
      <w:r>
        <w:rPr>
          <w:vertAlign w:val="baseline"/>
        </w:rPr>
        <w:t>observational cohort make it difficult to allow a confident statement.</w:t>
      </w:r>
      <w:r>
        <w:rPr>
          <w:vertAlign w:val="superscript"/>
        </w:rPr>
        <w:t>1161</w:t>
      </w:r>
    </w:p>
    <w:p>
      <w:pPr>
        <w:pStyle w:val="BodyText"/>
        <w:spacing w:after="0" w:line="249" w:lineRule="auto"/>
        <w:sectPr>
          <w:pgSz w:w="12240" w:h="15840"/>
          <w:pgMar w:top="1380" w:bottom="280" w:left="1440" w:right="1440"/>
        </w:sectPr>
      </w:pPr>
    </w:p>
    <w:p>
      <w:pPr>
        <w:spacing w:before="63"/>
        <w:ind w:left="99" w:right="0" w:firstLine="0"/>
        <w:jc w:val="both"/>
        <w:rPr>
          <w:rFonts w:ascii="Arial"/>
          <w:b/>
          <w:sz w:val="30"/>
        </w:rPr>
      </w:pPr>
      <w:r>
        <w:rPr>
          <w:rFonts w:ascii="Arial"/>
          <w:b/>
          <w:color w:val="2674AE"/>
          <w:sz w:val="30"/>
        </w:rPr>
        <w:t>Weight</w:t>
      </w:r>
      <w:r>
        <w:rPr>
          <w:rFonts w:ascii="Arial"/>
          <w:b/>
          <w:color w:val="2674AE"/>
          <w:spacing w:val="-6"/>
          <w:sz w:val="30"/>
        </w:rPr>
        <w:t> </w:t>
      </w:r>
      <w:r>
        <w:rPr>
          <w:rFonts w:ascii="Arial"/>
          <w:b/>
          <w:color w:val="2674AE"/>
          <w:spacing w:val="-4"/>
          <w:sz w:val="30"/>
        </w:rPr>
        <w:t>Gain</w:t>
      </w:r>
    </w:p>
    <w:p>
      <w:pPr>
        <w:pStyle w:val="BodyText"/>
        <w:spacing w:line="249" w:lineRule="auto" w:before="167"/>
        <w:ind w:right="100"/>
      </w:pPr>
      <w:r>
        <w:rPr/>
        <w:t>Weight gain in midlife is common, and lifestyle remains the dominant contributor</w:t>
      </w:r>
      <w:r>
        <w:rPr>
          <w:spacing w:val="-2"/>
        </w:rPr>
        <w:t> </w:t>
      </w:r>
      <w:r>
        <w:rPr/>
        <w:t>to</w:t>
      </w:r>
      <w:r>
        <w:rPr>
          <w:spacing w:val="-2"/>
        </w:rPr>
        <w:t> </w:t>
      </w:r>
      <w:r>
        <w:rPr/>
        <w:t>this</w:t>
      </w:r>
      <w:r>
        <w:rPr>
          <w:spacing w:val="-2"/>
        </w:rPr>
        <w:t> </w:t>
      </w:r>
      <w:r>
        <w:rPr/>
        <w:t>occurrence;</w:t>
      </w:r>
      <w:r>
        <w:rPr>
          <w:spacing w:val="-2"/>
        </w:rPr>
        <w:t> </w:t>
      </w:r>
      <w:r>
        <w:rPr/>
        <w:t>specifically,</w:t>
      </w:r>
      <w:r>
        <w:rPr>
          <w:spacing w:val="-2"/>
        </w:rPr>
        <w:t> </w:t>
      </w:r>
      <w:r>
        <w:rPr/>
        <w:t>the</w:t>
      </w:r>
      <w:r>
        <w:rPr>
          <w:spacing w:val="-2"/>
        </w:rPr>
        <w:t> </w:t>
      </w:r>
      <w:r>
        <w:rPr/>
        <w:t>balance</w:t>
      </w:r>
      <w:r>
        <w:rPr>
          <w:spacing w:val="-2"/>
        </w:rPr>
        <w:t> </w:t>
      </w:r>
      <w:r>
        <w:rPr/>
        <w:t>of</w:t>
      </w:r>
      <w:r>
        <w:rPr>
          <w:spacing w:val="-2"/>
        </w:rPr>
        <w:t> </w:t>
      </w:r>
      <w:r>
        <w:rPr/>
        <w:t>dietary</w:t>
      </w:r>
      <w:r>
        <w:rPr>
          <w:spacing w:val="-2"/>
        </w:rPr>
        <w:t> </w:t>
      </w:r>
      <w:r>
        <w:rPr/>
        <w:t>intake</w:t>
      </w:r>
      <w:r>
        <w:rPr>
          <w:spacing w:val="-2"/>
        </w:rPr>
        <w:t> </w:t>
      </w:r>
      <w:r>
        <w:rPr/>
        <w:t>and exercise is tilted toward excessive caloric intake because of a decline in physical fitness and the age-related decrease in basal metabolic </w:t>
      </w:r>
      <w:r>
        <w:rPr/>
        <w:t>rate.</w:t>
      </w:r>
      <w:r>
        <w:rPr>
          <w:spacing w:val="40"/>
        </w:rPr>
        <w:t> </w:t>
      </w:r>
      <w:r>
        <w:rPr/>
        <w:t>Despite common perception, the weight gain in women around menopause is not due to the hormonal changes associated with menopause.</w:t>
      </w:r>
      <w:r>
        <w:rPr>
          <w:vertAlign w:val="superscript"/>
        </w:rPr>
        <w:t>1160-1164</w:t>
      </w:r>
      <w:r>
        <w:rPr>
          <w:vertAlign w:val="baseline"/>
        </w:rPr>
        <w:t> Likewise, postmenopausal HT cannot be blamed for weight gain. The</w:t>
      </w:r>
      <w:r>
        <w:rPr>
          <w:spacing w:val="-3"/>
          <w:vertAlign w:val="baseline"/>
        </w:rPr>
        <w:t> </w:t>
      </w:r>
      <w:r>
        <w:rPr>
          <w:vertAlign w:val="baseline"/>
        </w:rPr>
        <w:t>large Rancho Bernardo prospective cohort study and the randomized PEPI clinical trial documented that HT with or without progestin does not cause an increase in body weight.</w:t>
      </w:r>
      <w:r>
        <w:rPr>
          <w:vertAlign w:val="superscript"/>
        </w:rPr>
        <w:t>1165,1166</w:t>
      </w:r>
      <w:r>
        <w:rPr>
          <w:vertAlign w:val="baseline"/>
        </w:rPr>
        <w:t> In fact, in the PEPI trial, the hormone-treated groups actually gained less weight than the placebo group. In the 2-year clinical HOPE trial assessing the efficacy of lower estrogen-progestin doses, hormonal treatment was associated with lesser increases in body weight and body fat compared with placebo.</w:t>
      </w:r>
      <w:r>
        <w:rPr>
          <w:vertAlign w:val="superscript"/>
        </w:rPr>
        <w:t>1167</w:t>
      </w:r>
    </w:p>
    <w:p>
      <w:pPr>
        <w:pStyle w:val="BodyText"/>
        <w:spacing w:line="249" w:lineRule="auto" w:before="17"/>
        <w:ind w:right="100" w:firstLine="450"/>
        <w:rPr>
          <w:b/>
        </w:rPr>
      </w:pPr>
      <w:r>
        <w:rPr/>
        <w:t>After menopause, there is an increase in abdominal fat and total </w:t>
      </w:r>
      <w:r>
        <w:rPr/>
        <w:t>body</w:t>
      </w:r>
      <w:r>
        <w:rPr>
          <w:spacing w:val="40"/>
        </w:rPr>
        <w:t> </w:t>
      </w:r>
      <w:r>
        <w:rPr/>
        <w:t>fat</w:t>
      </w:r>
      <w:r>
        <w:rPr>
          <w:spacing w:val="-1"/>
        </w:rPr>
        <w:t> </w:t>
      </w:r>
      <w:r>
        <w:rPr/>
        <w:t>that</w:t>
      </w:r>
      <w:r>
        <w:rPr>
          <w:spacing w:val="-1"/>
        </w:rPr>
        <w:t> </w:t>
      </w:r>
      <w:r>
        <w:rPr/>
        <w:t>is</w:t>
      </w:r>
      <w:r>
        <w:rPr>
          <w:spacing w:val="-1"/>
        </w:rPr>
        <w:t> </w:t>
      </w:r>
      <w:r>
        <w:rPr/>
        <w:t>associated</w:t>
      </w:r>
      <w:r>
        <w:rPr>
          <w:spacing w:val="-1"/>
        </w:rPr>
        <w:t> </w:t>
      </w:r>
      <w:r>
        <w:rPr/>
        <w:t>with</w:t>
      </w:r>
      <w:r>
        <w:rPr>
          <w:spacing w:val="-1"/>
        </w:rPr>
        <w:t> </w:t>
      </w:r>
      <w:r>
        <w:rPr/>
        <w:t>an</w:t>
      </w:r>
      <w:r>
        <w:rPr>
          <w:spacing w:val="-1"/>
        </w:rPr>
        <w:t> </w:t>
      </w:r>
      <w:r>
        <w:rPr/>
        <w:t>increase</w:t>
      </w:r>
      <w:r>
        <w:rPr>
          <w:spacing w:val="-1"/>
        </w:rPr>
        <w:t> </w:t>
      </w:r>
      <w:r>
        <w:rPr/>
        <w:t>in</w:t>
      </w:r>
      <w:r>
        <w:rPr>
          <w:spacing w:val="-1"/>
        </w:rPr>
        <w:t> </w:t>
      </w:r>
      <w:r>
        <w:rPr/>
        <w:t>insulin</w:t>
      </w:r>
      <w:r>
        <w:rPr>
          <w:spacing w:val="-1"/>
        </w:rPr>
        <w:t> </w:t>
      </w:r>
      <w:r>
        <w:rPr/>
        <w:t>resistance,</w:t>
      </w:r>
      <w:r>
        <w:rPr>
          <w:spacing w:val="-1"/>
        </w:rPr>
        <w:t> </w:t>
      </w:r>
      <w:r>
        <w:rPr/>
        <w:t>a</w:t>
      </w:r>
      <w:r>
        <w:rPr>
          <w:spacing w:val="-1"/>
        </w:rPr>
        <w:t> </w:t>
      </w:r>
      <w:r>
        <w:rPr/>
        <w:t>consequence</w:t>
      </w:r>
      <w:r>
        <w:rPr>
          <w:spacing w:val="-1"/>
        </w:rPr>
        <w:t> </w:t>
      </w:r>
      <w:r>
        <w:rPr/>
        <w:t>of the decrease in estrogen levels.</w:t>
      </w:r>
      <w:r>
        <w:rPr>
          <w:vertAlign w:val="superscript"/>
        </w:rPr>
        <w:t>1168</w:t>
      </w:r>
      <w:r>
        <w:rPr>
          <w:vertAlign w:val="baseline"/>
        </w:rPr>
        <w:t> Postmenopausal ET maintains the premenopausal body habitus, preventing the increases in abdominal fat, insulin resistance, blood pressure, and diabetes mellitus associated with estrogen deficiency.</w:t>
      </w:r>
      <w:r>
        <w:rPr>
          <w:vertAlign w:val="superscript"/>
        </w:rPr>
        <w:t>1169</w:t>
      </w:r>
      <w:r>
        <w:rPr>
          <w:vertAlign w:val="baseline"/>
        </w:rPr>
        <w:t> Estrogen (with or without progestin) prevents the tendency</w:t>
      </w:r>
      <w:r>
        <w:rPr>
          <w:spacing w:val="-7"/>
          <w:vertAlign w:val="baseline"/>
        </w:rPr>
        <w:t> </w:t>
      </w:r>
      <w:r>
        <w:rPr>
          <w:vertAlign w:val="baseline"/>
        </w:rPr>
        <w:t>to</w:t>
      </w:r>
      <w:r>
        <w:rPr>
          <w:spacing w:val="-7"/>
          <w:vertAlign w:val="baseline"/>
        </w:rPr>
        <w:t> </w:t>
      </w:r>
      <w:r>
        <w:rPr>
          <w:vertAlign w:val="baseline"/>
        </w:rPr>
        <w:t>increase</w:t>
      </w:r>
      <w:r>
        <w:rPr>
          <w:spacing w:val="-7"/>
          <w:vertAlign w:val="baseline"/>
        </w:rPr>
        <w:t> </w:t>
      </w:r>
      <w:r>
        <w:rPr>
          <w:vertAlign w:val="baseline"/>
        </w:rPr>
        <w:t>central</w:t>
      </w:r>
      <w:r>
        <w:rPr>
          <w:spacing w:val="-7"/>
          <w:vertAlign w:val="baseline"/>
        </w:rPr>
        <w:t> </w:t>
      </w:r>
      <w:r>
        <w:rPr>
          <w:vertAlign w:val="baseline"/>
        </w:rPr>
        <w:t>body</w:t>
      </w:r>
      <w:r>
        <w:rPr>
          <w:spacing w:val="-7"/>
          <w:vertAlign w:val="baseline"/>
        </w:rPr>
        <w:t> </w:t>
      </w:r>
      <w:r>
        <w:rPr>
          <w:vertAlign w:val="baseline"/>
        </w:rPr>
        <w:t>fat</w:t>
      </w:r>
      <w:r>
        <w:rPr>
          <w:spacing w:val="-7"/>
          <w:vertAlign w:val="baseline"/>
        </w:rPr>
        <w:t> </w:t>
      </w:r>
      <w:r>
        <w:rPr>
          <w:vertAlign w:val="baseline"/>
        </w:rPr>
        <w:t>with</w:t>
      </w:r>
      <w:r>
        <w:rPr>
          <w:spacing w:val="-7"/>
          <w:vertAlign w:val="baseline"/>
        </w:rPr>
        <w:t> </w:t>
      </w:r>
      <w:r>
        <w:rPr>
          <w:vertAlign w:val="baseline"/>
        </w:rPr>
        <w:t>aging.</w:t>
      </w:r>
      <w:r>
        <w:rPr>
          <w:vertAlign w:val="superscript"/>
        </w:rPr>
        <w:t>618-621,1170</w:t>
      </w:r>
      <w:r>
        <w:rPr>
          <w:spacing w:val="-6"/>
          <w:vertAlign w:val="baseline"/>
        </w:rPr>
        <w:t> </w:t>
      </w:r>
      <w:r>
        <w:rPr>
          <w:vertAlign w:val="baseline"/>
        </w:rPr>
        <w:t>This</w:t>
      </w:r>
      <w:r>
        <w:rPr>
          <w:spacing w:val="-5"/>
          <w:vertAlign w:val="baseline"/>
        </w:rPr>
        <w:t> </w:t>
      </w:r>
      <w:r>
        <w:rPr>
          <w:vertAlign w:val="baseline"/>
        </w:rPr>
        <w:t>would</w:t>
      </w:r>
      <w:r>
        <w:rPr>
          <w:spacing w:val="-5"/>
          <w:vertAlign w:val="baseline"/>
        </w:rPr>
        <w:t> </w:t>
      </w:r>
      <w:r>
        <w:rPr>
          <w:vertAlign w:val="baseline"/>
        </w:rPr>
        <w:t>inhibit the interaction among abdominal adiposity, hormones, insulin resistance, hyperinsulinemia, blood pressure, and an atherogenic lipid profile that results in the metabolic syndrome. An excellent randomized trial in Denmark documented less weight gain with HT because of a smaller increase in fat mass.</w:t>
      </w:r>
      <w:r>
        <w:rPr>
          <w:vertAlign w:val="superscript"/>
        </w:rPr>
        <w:t>1171</w:t>
      </w:r>
      <w:r>
        <w:rPr>
          <w:vertAlign w:val="baseline"/>
        </w:rPr>
        <w:t> In a substudy of the WHI, assessments of body composition by dual-energy x-ray absorptiometry (DXA) indicated that estrogen-progestin users had less fat and greater lean mass.</w:t>
      </w:r>
      <w:r>
        <w:rPr>
          <w:vertAlign w:val="superscript"/>
        </w:rPr>
        <w:t>1172</w:t>
      </w:r>
      <w:r>
        <w:rPr>
          <w:vertAlign w:val="baseline"/>
        </w:rPr>
        <w:t> This same salutary effect on central body fat has also been observed with tibolone treatment.</w:t>
      </w:r>
      <w:r>
        <w:rPr>
          <w:vertAlign w:val="superscript"/>
        </w:rPr>
        <w:t>1173</w:t>
      </w:r>
      <w:r>
        <w:rPr>
          <w:vertAlign w:val="baseline"/>
        </w:rPr>
        <w:t> </w:t>
      </w:r>
      <w:r>
        <w:rPr>
          <w:b/>
          <w:vertAlign w:val="baseline"/>
        </w:rPr>
        <w:t>Rather than causing body weight gain, therefore, postmenopausal HT reduces the increase in insulin resistance and abdominal fat usually seen with aging, with a beneficial impact on the risks of hypertension, diabetes mellitus, and dyslipidemia.</w:t>
      </w:r>
    </w:p>
    <w:p>
      <w:pPr>
        <w:pStyle w:val="BodyText"/>
        <w:spacing w:after="0" w:line="249" w:lineRule="auto"/>
        <w:rPr>
          <w:b/>
        </w:rPr>
        <w:sectPr>
          <w:pgSz w:w="12240" w:h="15840"/>
          <w:pgMar w:top="1380" w:bottom="280" w:left="1440" w:right="1440"/>
        </w:sectPr>
      </w:pPr>
    </w:p>
    <w:p>
      <w:pPr>
        <w:spacing w:line="90" w:lineRule="exact"/>
        <w:ind w:left="105" w:right="0" w:firstLine="0"/>
        <w:rPr>
          <w:position w:val="-1"/>
          <w:sz w:val="8"/>
        </w:rPr>
      </w:pPr>
      <w:r>
        <w:rPr>
          <w:position w:val="-1"/>
          <w:sz w:val="8"/>
        </w:rPr>
        <mc:AlternateContent>
          <mc:Choice Requires="wps">
            <w:drawing>
              <wp:inline distT="0" distB="0" distL="0" distR="0">
                <wp:extent cx="285750" cy="57150"/>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285750" cy="57150"/>
                          <a:chExt cx="285750" cy="57150"/>
                        </a:xfrm>
                      </wpg:grpSpPr>
                      <wps:wsp>
                        <wps:cNvPr id="308" name="Graphic 308"/>
                        <wps:cNvSpPr/>
                        <wps:spPr>
                          <a:xfrm>
                            <a:off x="0" y="0"/>
                            <a:ext cx="285750" cy="57150"/>
                          </a:xfrm>
                          <a:custGeom>
                            <a:avLst/>
                            <a:gdLst/>
                            <a:ahLst/>
                            <a:cxnLst/>
                            <a:rect l="l" t="t" r="r" b="b"/>
                            <a:pathLst>
                              <a:path w="285750" h="57150">
                                <a:moveTo>
                                  <a:pt x="28575" y="57149"/>
                                </a:moveTo>
                                <a:lnTo>
                                  <a:pt x="24785" y="56997"/>
                                </a:lnTo>
                                <a:lnTo>
                                  <a:pt x="21140" y="56254"/>
                                </a:lnTo>
                                <a:lnTo>
                                  <a:pt x="17639" y="54768"/>
                                </a:lnTo>
                                <a:lnTo>
                                  <a:pt x="14138" y="53425"/>
                                </a:lnTo>
                                <a:lnTo>
                                  <a:pt x="11048" y="51349"/>
                                </a:lnTo>
                                <a:lnTo>
                                  <a:pt x="5689" y="45986"/>
                                </a:lnTo>
                                <a:lnTo>
                                  <a:pt x="3625" y="42862"/>
                                </a:lnTo>
                                <a:lnTo>
                                  <a:pt x="2175" y="39290"/>
                                </a:lnTo>
                                <a:lnTo>
                                  <a:pt x="725" y="35871"/>
                                </a:lnTo>
                                <a:lnTo>
                                  <a:pt x="0" y="32299"/>
                                </a:lnTo>
                                <a:lnTo>
                                  <a:pt x="0" y="24707"/>
                                </a:lnTo>
                                <a:lnTo>
                                  <a:pt x="725" y="20983"/>
                                </a:lnTo>
                                <a:lnTo>
                                  <a:pt x="2175" y="17564"/>
                                </a:lnTo>
                                <a:lnTo>
                                  <a:pt x="3625" y="13992"/>
                                </a:lnTo>
                                <a:lnTo>
                                  <a:pt x="5689" y="10868"/>
                                </a:lnTo>
                                <a:lnTo>
                                  <a:pt x="8369" y="8334"/>
                                </a:lnTo>
                                <a:lnTo>
                                  <a:pt x="11048" y="5505"/>
                                </a:lnTo>
                                <a:lnTo>
                                  <a:pt x="14138" y="3419"/>
                                </a:lnTo>
                                <a:lnTo>
                                  <a:pt x="21140" y="742"/>
                                </a:lnTo>
                                <a:lnTo>
                                  <a:pt x="24785" y="0"/>
                                </a:lnTo>
                                <a:lnTo>
                                  <a:pt x="32364" y="0"/>
                                </a:lnTo>
                                <a:lnTo>
                                  <a:pt x="36009" y="742"/>
                                </a:lnTo>
                                <a:lnTo>
                                  <a:pt x="43010" y="3419"/>
                                </a:lnTo>
                                <a:lnTo>
                                  <a:pt x="46101" y="5505"/>
                                </a:lnTo>
                                <a:lnTo>
                                  <a:pt x="48780" y="8334"/>
                                </a:lnTo>
                                <a:lnTo>
                                  <a:pt x="51459" y="10868"/>
                                </a:lnTo>
                                <a:lnTo>
                                  <a:pt x="53524" y="13992"/>
                                </a:lnTo>
                                <a:lnTo>
                                  <a:pt x="54974" y="17564"/>
                                </a:lnTo>
                                <a:lnTo>
                                  <a:pt x="56424" y="20983"/>
                                </a:lnTo>
                                <a:lnTo>
                                  <a:pt x="57149" y="24707"/>
                                </a:lnTo>
                                <a:lnTo>
                                  <a:pt x="57149" y="32299"/>
                                </a:lnTo>
                                <a:lnTo>
                                  <a:pt x="56424" y="35871"/>
                                </a:lnTo>
                                <a:lnTo>
                                  <a:pt x="54974" y="39290"/>
                                </a:lnTo>
                                <a:lnTo>
                                  <a:pt x="53524" y="42862"/>
                                </a:lnTo>
                                <a:lnTo>
                                  <a:pt x="51459" y="45986"/>
                                </a:lnTo>
                                <a:lnTo>
                                  <a:pt x="46101" y="51349"/>
                                </a:lnTo>
                                <a:lnTo>
                                  <a:pt x="43010" y="53425"/>
                                </a:lnTo>
                                <a:lnTo>
                                  <a:pt x="39510" y="54768"/>
                                </a:lnTo>
                                <a:lnTo>
                                  <a:pt x="36009" y="56254"/>
                                </a:lnTo>
                                <a:lnTo>
                                  <a:pt x="32364" y="56997"/>
                                </a:lnTo>
                                <a:lnTo>
                                  <a:pt x="28575" y="57149"/>
                                </a:lnTo>
                                <a:close/>
                              </a:path>
                              <a:path w="285750" h="57150">
                                <a:moveTo>
                                  <a:pt x="142779" y="57149"/>
                                </a:moveTo>
                                <a:lnTo>
                                  <a:pt x="138990" y="56997"/>
                                </a:lnTo>
                                <a:lnTo>
                                  <a:pt x="135345" y="56254"/>
                                </a:lnTo>
                                <a:lnTo>
                                  <a:pt x="131844" y="54768"/>
                                </a:lnTo>
                                <a:lnTo>
                                  <a:pt x="128343" y="53425"/>
                                </a:lnTo>
                                <a:lnTo>
                                  <a:pt x="125253" y="51349"/>
                                </a:lnTo>
                                <a:lnTo>
                                  <a:pt x="119894" y="45986"/>
                                </a:lnTo>
                                <a:lnTo>
                                  <a:pt x="117829" y="42862"/>
                                </a:lnTo>
                                <a:lnTo>
                                  <a:pt x="116379" y="39290"/>
                                </a:lnTo>
                                <a:lnTo>
                                  <a:pt x="114929" y="35871"/>
                                </a:lnTo>
                                <a:lnTo>
                                  <a:pt x="114204" y="32299"/>
                                </a:lnTo>
                                <a:lnTo>
                                  <a:pt x="114204" y="24707"/>
                                </a:lnTo>
                                <a:lnTo>
                                  <a:pt x="114929" y="20983"/>
                                </a:lnTo>
                                <a:lnTo>
                                  <a:pt x="116379" y="17564"/>
                                </a:lnTo>
                                <a:lnTo>
                                  <a:pt x="117829" y="13992"/>
                                </a:lnTo>
                                <a:lnTo>
                                  <a:pt x="119894" y="10868"/>
                                </a:lnTo>
                                <a:lnTo>
                                  <a:pt x="122574" y="8334"/>
                                </a:lnTo>
                                <a:lnTo>
                                  <a:pt x="125253" y="5505"/>
                                </a:lnTo>
                                <a:lnTo>
                                  <a:pt x="128343" y="3419"/>
                                </a:lnTo>
                                <a:lnTo>
                                  <a:pt x="135345" y="742"/>
                                </a:lnTo>
                                <a:lnTo>
                                  <a:pt x="138990" y="0"/>
                                </a:lnTo>
                                <a:lnTo>
                                  <a:pt x="146569" y="0"/>
                                </a:lnTo>
                                <a:lnTo>
                                  <a:pt x="150214" y="742"/>
                                </a:lnTo>
                                <a:lnTo>
                                  <a:pt x="157215" y="3419"/>
                                </a:lnTo>
                                <a:lnTo>
                                  <a:pt x="160305" y="5505"/>
                                </a:lnTo>
                                <a:lnTo>
                                  <a:pt x="162985" y="8334"/>
                                </a:lnTo>
                                <a:lnTo>
                                  <a:pt x="165664" y="10868"/>
                                </a:lnTo>
                                <a:lnTo>
                                  <a:pt x="167729" y="13992"/>
                                </a:lnTo>
                                <a:lnTo>
                                  <a:pt x="169179" y="17564"/>
                                </a:lnTo>
                                <a:lnTo>
                                  <a:pt x="170629" y="20983"/>
                                </a:lnTo>
                                <a:lnTo>
                                  <a:pt x="171354" y="24707"/>
                                </a:lnTo>
                                <a:lnTo>
                                  <a:pt x="171354" y="32299"/>
                                </a:lnTo>
                                <a:lnTo>
                                  <a:pt x="170629" y="35871"/>
                                </a:lnTo>
                                <a:lnTo>
                                  <a:pt x="169179" y="39290"/>
                                </a:lnTo>
                                <a:lnTo>
                                  <a:pt x="167729" y="42862"/>
                                </a:lnTo>
                                <a:lnTo>
                                  <a:pt x="165664" y="45986"/>
                                </a:lnTo>
                                <a:lnTo>
                                  <a:pt x="160305" y="51349"/>
                                </a:lnTo>
                                <a:lnTo>
                                  <a:pt x="157215" y="53425"/>
                                </a:lnTo>
                                <a:lnTo>
                                  <a:pt x="153714" y="54768"/>
                                </a:lnTo>
                                <a:lnTo>
                                  <a:pt x="150214" y="56254"/>
                                </a:lnTo>
                                <a:lnTo>
                                  <a:pt x="146569" y="56997"/>
                                </a:lnTo>
                                <a:lnTo>
                                  <a:pt x="142779" y="57149"/>
                                </a:lnTo>
                                <a:close/>
                              </a:path>
                              <a:path w="285750" h="57150">
                                <a:moveTo>
                                  <a:pt x="256984" y="57149"/>
                                </a:moveTo>
                                <a:lnTo>
                                  <a:pt x="253195" y="56997"/>
                                </a:lnTo>
                                <a:lnTo>
                                  <a:pt x="249550" y="56254"/>
                                </a:lnTo>
                                <a:lnTo>
                                  <a:pt x="246049" y="54768"/>
                                </a:lnTo>
                                <a:lnTo>
                                  <a:pt x="242548" y="53425"/>
                                </a:lnTo>
                                <a:lnTo>
                                  <a:pt x="239458" y="51349"/>
                                </a:lnTo>
                                <a:lnTo>
                                  <a:pt x="234099" y="45986"/>
                                </a:lnTo>
                                <a:lnTo>
                                  <a:pt x="232034" y="42862"/>
                                </a:lnTo>
                                <a:lnTo>
                                  <a:pt x="230584" y="39290"/>
                                </a:lnTo>
                                <a:lnTo>
                                  <a:pt x="229134" y="35871"/>
                                </a:lnTo>
                                <a:lnTo>
                                  <a:pt x="228409" y="32299"/>
                                </a:lnTo>
                                <a:lnTo>
                                  <a:pt x="228409" y="24707"/>
                                </a:lnTo>
                                <a:lnTo>
                                  <a:pt x="229134" y="20983"/>
                                </a:lnTo>
                                <a:lnTo>
                                  <a:pt x="230584" y="17564"/>
                                </a:lnTo>
                                <a:lnTo>
                                  <a:pt x="232034" y="13992"/>
                                </a:lnTo>
                                <a:lnTo>
                                  <a:pt x="234099" y="10868"/>
                                </a:lnTo>
                                <a:lnTo>
                                  <a:pt x="236778" y="8334"/>
                                </a:lnTo>
                                <a:lnTo>
                                  <a:pt x="239458" y="5505"/>
                                </a:lnTo>
                                <a:lnTo>
                                  <a:pt x="242548" y="3419"/>
                                </a:lnTo>
                                <a:lnTo>
                                  <a:pt x="249550" y="742"/>
                                </a:lnTo>
                                <a:lnTo>
                                  <a:pt x="253195" y="0"/>
                                </a:lnTo>
                                <a:lnTo>
                                  <a:pt x="260773" y="0"/>
                                </a:lnTo>
                                <a:lnTo>
                                  <a:pt x="264418" y="742"/>
                                </a:lnTo>
                                <a:lnTo>
                                  <a:pt x="271420" y="3419"/>
                                </a:lnTo>
                                <a:lnTo>
                                  <a:pt x="274510" y="5505"/>
                                </a:lnTo>
                                <a:lnTo>
                                  <a:pt x="277190" y="8334"/>
                                </a:lnTo>
                                <a:lnTo>
                                  <a:pt x="279869" y="10868"/>
                                </a:lnTo>
                                <a:lnTo>
                                  <a:pt x="281934" y="13992"/>
                                </a:lnTo>
                                <a:lnTo>
                                  <a:pt x="283384" y="17564"/>
                                </a:lnTo>
                                <a:lnTo>
                                  <a:pt x="284834" y="20983"/>
                                </a:lnTo>
                                <a:lnTo>
                                  <a:pt x="285559" y="24707"/>
                                </a:lnTo>
                                <a:lnTo>
                                  <a:pt x="285559" y="32299"/>
                                </a:lnTo>
                                <a:lnTo>
                                  <a:pt x="284834" y="35871"/>
                                </a:lnTo>
                                <a:lnTo>
                                  <a:pt x="283384" y="39290"/>
                                </a:lnTo>
                                <a:lnTo>
                                  <a:pt x="281934" y="42862"/>
                                </a:lnTo>
                                <a:lnTo>
                                  <a:pt x="279869" y="45986"/>
                                </a:lnTo>
                                <a:lnTo>
                                  <a:pt x="274510" y="51349"/>
                                </a:lnTo>
                                <a:lnTo>
                                  <a:pt x="271420" y="53425"/>
                                </a:lnTo>
                                <a:lnTo>
                                  <a:pt x="267919" y="54768"/>
                                </a:lnTo>
                                <a:lnTo>
                                  <a:pt x="264418" y="56254"/>
                                </a:lnTo>
                                <a:lnTo>
                                  <a:pt x="260773" y="56997"/>
                                </a:lnTo>
                                <a:lnTo>
                                  <a:pt x="256984" y="57149"/>
                                </a:lnTo>
                                <a:close/>
                              </a:path>
                            </a:pathLst>
                          </a:custGeom>
                          <a:solidFill>
                            <a:srgbClr val="BDB4D4"/>
                          </a:solidFill>
                        </wps:spPr>
                        <wps:bodyPr wrap="square" lIns="0" tIns="0" rIns="0" bIns="0" rtlCol="0">
                          <a:prstTxWarp prst="textNoShape">
                            <a:avLst/>
                          </a:prstTxWarp>
                          <a:noAutofit/>
                        </wps:bodyPr>
                      </wps:wsp>
                    </wpg:wgp>
                  </a:graphicData>
                </a:graphic>
              </wp:inline>
            </w:drawing>
          </mc:Choice>
          <mc:Fallback>
            <w:pict>
              <v:group style="width:22.5pt;height:4.5pt;mso-position-horizontal-relative:char;mso-position-vertical-relative:line" id="docshapegroup284" coordorigin="0,0" coordsize="450,90">
                <v:shape style="position:absolute;left:0;top:0;width:450;height:90" id="docshape285" coordorigin="0,0" coordsize="450,90" path="m45,90l39,90,33,89,28,86,22,84,17,81,9,72,6,67,3,62,1,56,0,51,0,39,1,33,3,28,6,22,9,17,13,13,17,9,22,5,33,1,39,0,51,0,57,1,68,5,73,9,77,13,81,17,84,22,87,28,89,33,90,39,90,51,89,56,87,62,84,67,81,72,73,81,68,84,62,86,57,89,51,90,45,90xm225,90l219,90,213,89,208,86,202,84,197,81,189,72,186,67,183,62,181,56,180,51,180,39,181,33,183,28,186,22,189,17,193,13,197,9,202,5,213,1,219,0,231,0,237,1,248,5,252,9,257,13,261,17,264,22,266,28,269,33,270,39,270,51,269,56,266,62,264,67,261,72,252,81,248,84,242,86,237,89,231,90,225,90xm405,90l399,90,393,89,387,86,382,84,377,81,369,72,365,67,363,62,361,56,360,51,360,39,361,33,363,28,365,22,369,17,373,13,377,9,382,5,393,1,399,0,411,0,416,1,427,5,432,9,437,13,441,17,444,22,446,28,449,33,450,39,450,51,449,56,446,62,444,67,441,72,432,81,427,84,422,86,416,89,411,90,405,90xe" filled="true" fillcolor="#bdb4d4" stroked="false">
                  <v:path arrowok="t"/>
                  <v:fill type="solid"/>
                </v:shape>
              </v:group>
            </w:pict>
          </mc:Fallback>
        </mc:AlternateContent>
      </w:r>
      <w:r>
        <w:rPr>
          <w:position w:val="-1"/>
          <w:sz w:val="8"/>
        </w:rPr>
      </w:r>
    </w:p>
    <w:p>
      <w:pPr>
        <w:pStyle w:val="Heading3"/>
      </w:pPr>
      <w:r>
        <w:rPr>
          <w:color w:val="534089"/>
        </w:rPr>
        <w:t>PRESENTATIONS</w:t>
      </w:r>
      <w:r>
        <w:rPr>
          <w:color w:val="534089"/>
          <w:spacing w:val="-16"/>
        </w:rPr>
        <w:t> </w:t>
      </w:r>
      <w:r>
        <w:rPr>
          <w:color w:val="534089"/>
        </w:rPr>
        <w:t>REQUIRING</w:t>
      </w:r>
      <w:r>
        <w:rPr>
          <w:color w:val="534089"/>
          <w:spacing w:val="-15"/>
        </w:rPr>
        <w:t> </w:t>
      </w:r>
      <w:r>
        <w:rPr>
          <w:color w:val="534089"/>
        </w:rPr>
        <w:t>CLINICAL</w:t>
      </w:r>
      <w:r>
        <w:rPr>
          <w:color w:val="534089"/>
          <w:spacing w:val="-15"/>
        </w:rPr>
        <w:t> </w:t>
      </w:r>
      <w:r>
        <w:rPr>
          <w:color w:val="534089"/>
          <w:spacing w:val="-2"/>
        </w:rPr>
        <w:t>JUDGMENT</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70784">
                <wp:simplePos x="0" y="0"/>
                <wp:positionH relativeFrom="page">
                  <wp:posOffset>981075</wp:posOffset>
                </wp:positionH>
                <wp:positionV relativeFrom="paragraph">
                  <wp:posOffset>45682</wp:posOffset>
                </wp:positionV>
                <wp:extent cx="5810250" cy="1905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7059pt;width:457.499964pt;height:1.5pt;mso-position-horizontal-relative:page;mso-position-vertical-relative:paragraph;z-index:-15645696;mso-wrap-distance-left:0;mso-wrap-distance-right:0" id="docshape286" filled="true" fillcolor="#534089" stroked="false">
                <v:fill type="solid"/>
                <w10:wrap type="topAndBottom"/>
              </v:rect>
            </w:pict>
          </mc:Fallback>
        </mc:AlternateContent>
      </w:r>
    </w:p>
    <w:p>
      <w:pPr>
        <w:spacing w:line="249" w:lineRule="auto" w:before="213"/>
        <w:ind w:left="99" w:right="255" w:firstLine="0"/>
        <w:jc w:val="left"/>
        <w:rPr>
          <w:rFonts w:ascii="Arial"/>
          <w:b/>
          <w:sz w:val="30"/>
        </w:rPr>
      </w:pPr>
      <w:r>
        <w:rPr>
          <w:rFonts w:ascii="Arial"/>
          <w:b/>
          <w:color w:val="2674AE"/>
          <w:sz w:val="30"/>
        </w:rPr>
        <w:t>Patients</w:t>
      </w:r>
      <w:r>
        <w:rPr>
          <w:rFonts w:ascii="Arial"/>
          <w:b/>
          <w:color w:val="2674AE"/>
          <w:spacing w:val="-14"/>
          <w:sz w:val="30"/>
        </w:rPr>
        <w:t> </w:t>
      </w:r>
      <w:r>
        <w:rPr>
          <w:rFonts w:ascii="Arial"/>
          <w:b/>
          <w:color w:val="2674AE"/>
          <w:sz w:val="30"/>
        </w:rPr>
        <w:t>With</w:t>
      </w:r>
      <w:r>
        <w:rPr>
          <w:rFonts w:ascii="Arial"/>
          <w:b/>
          <w:color w:val="2674AE"/>
          <w:spacing w:val="-14"/>
          <w:sz w:val="30"/>
        </w:rPr>
        <w:t> </w:t>
      </w:r>
      <w:r>
        <w:rPr>
          <w:rFonts w:ascii="Arial"/>
          <w:b/>
          <w:color w:val="2674AE"/>
          <w:sz w:val="30"/>
        </w:rPr>
        <w:t>Endometrial</w:t>
      </w:r>
      <w:r>
        <w:rPr>
          <w:rFonts w:ascii="Arial"/>
          <w:b/>
          <w:color w:val="2674AE"/>
          <w:spacing w:val="-14"/>
          <w:sz w:val="30"/>
        </w:rPr>
        <w:t> </w:t>
      </w:r>
      <w:r>
        <w:rPr>
          <w:rFonts w:ascii="Arial"/>
          <w:b/>
          <w:color w:val="2674AE"/>
          <w:sz w:val="30"/>
        </w:rPr>
        <w:t>Cancer,</w:t>
      </w:r>
      <w:r>
        <w:rPr>
          <w:rFonts w:ascii="Arial"/>
          <w:b/>
          <w:color w:val="2674AE"/>
          <w:spacing w:val="-14"/>
          <w:sz w:val="30"/>
        </w:rPr>
        <w:t> </w:t>
      </w:r>
      <w:r>
        <w:rPr>
          <w:rFonts w:ascii="Arial"/>
          <w:b/>
          <w:color w:val="2674AE"/>
          <w:sz w:val="30"/>
        </w:rPr>
        <w:t>Endometrioid</w:t>
      </w:r>
      <w:r>
        <w:rPr>
          <w:rFonts w:ascii="Arial"/>
          <w:b/>
          <w:color w:val="2674AE"/>
          <w:spacing w:val="-14"/>
          <w:sz w:val="30"/>
        </w:rPr>
        <w:t> </w:t>
      </w:r>
      <w:r>
        <w:rPr>
          <w:rFonts w:ascii="Arial"/>
          <w:b/>
          <w:color w:val="2674AE"/>
          <w:sz w:val="30"/>
        </w:rPr>
        <w:t>Tumors,</w:t>
      </w:r>
      <w:r>
        <w:rPr>
          <w:rFonts w:ascii="Arial"/>
          <w:b/>
          <w:color w:val="2674AE"/>
          <w:spacing w:val="-14"/>
          <w:sz w:val="30"/>
        </w:rPr>
        <w:t> </w:t>
      </w:r>
      <w:r>
        <w:rPr>
          <w:rFonts w:ascii="Arial"/>
          <w:b/>
          <w:color w:val="2674AE"/>
          <w:sz w:val="30"/>
        </w:rPr>
        <w:t>and </w:t>
      </w:r>
      <w:r>
        <w:rPr>
          <w:rFonts w:ascii="Arial"/>
          <w:b/>
          <w:color w:val="2674AE"/>
          <w:spacing w:val="-2"/>
          <w:sz w:val="30"/>
        </w:rPr>
        <w:t>Endometriosis</w:t>
      </w:r>
    </w:p>
    <w:p>
      <w:pPr>
        <w:spacing w:line="249" w:lineRule="auto" w:before="154"/>
        <w:ind w:left="99" w:right="98" w:firstLine="0"/>
        <w:jc w:val="both"/>
        <w:rPr>
          <w:sz w:val="30"/>
        </w:rPr>
      </w:pPr>
      <w:r>
        <w:rPr>
          <w:sz w:val="30"/>
        </w:rPr>
        <w:t>Gynecologic oncologists have reported that HT can be safely considered in patients who have had stage I and II adenocarcinoma of the endometrium without fear of an increased risk of recurrence or a decrease in disease-free interval.</w:t>
      </w:r>
      <w:r>
        <w:rPr>
          <w:sz w:val="30"/>
          <w:vertAlign w:val="superscript"/>
        </w:rPr>
        <w:t>1174-1177</w:t>
      </w:r>
      <w:r>
        <w:rPr>
          <w:sz w:val="30"/>
          <w:vertAlign w:val="baseline"/>
        </w:rPr>
        <w:t> In a matched cohort of 249 women with stage I, II, and </w:t>
      </w:r>
      <w:r>
        <w:rPr>
          <w:sz w:val="30"/>
          <w:vertAlign w:val="baseline"/>
        </w:rPr>
        <w:t>III endometrial cancers with a long follow-up, there was no indication of an increase in recurrent disease with HT.</w:t>
      </w:r>
      <w:r>
        <w:rPr>
          <w:sz w:val="30"/>
          <w:vertAlign w:val="superscript"/>
        </w:rPr>
        <w:t>1178</w:t>
      </w:r>
      <w:r>
        <w:rPr>
          <w:sz w:val="30"/>
          <w:vertAlign w:val="baseline"/>
        </w:rPr>
        <w:t> Similar negative results were reported in a Turkish case-control study.</w:t>
      </w:r>
      <w:r>
        <w:rPr>
          <w:sz w:val="30"/>
          <w:vertAlign w:val="superscript"/>
        </w:rPr>
        <w:t>1179</w:t>
      </w:r>
      <w:r>
        <w:rPr>
          <w:sz w:val="30"/>
          <w:vertAlign w:val="baseline"/>
        </w:rPr>
        <w:t> The only randomized trial, organized by the Gynecologic Oncology Group, closed prematurely</w:t>
      </w:r>
      <w:r>
        <w:rPr>
          <w:spacing w:val="40"/>
          <w:sz w:val="30"/>
          <w:vertAlign w:val="baseline"/>
        </w:rPr>
        <w:t> </w:t>
      </w:r>
      <w:r>
        <w:rPr>
          <w:sz w:val="30"/>
          <w:vertAlign w:val="baseline"/>
        </w:rPr>
        <w:t>because of recruitment difficulties following the publicity associated with the WHI.</w:t>
      </w:r>
      <w:r>
        <w:rPr>
          <w:sz w:val="30"/>
          <w:vertAlign w:val="superscript"/>
        </w:rPr>
        <w:t>1180</w:t>
      </w:r>
      <w:r>
        <w:rPr>
          <w:sz w:val="30"/>
          <w:vertAlign w:val="baseline"/>
        </w:rPr>
        <w:t> Nevertheless, a total of 1,236 patients with stage I or II endometrial</w:t>
      </w:r>
      <w:r>
        <w:rPr>
          <w:spacing w:val="-3"/>
          <w:sz w:val="30"/>
          <w:vertAlign w:val="baseline"/>
        </w:rPr>
        <w:t> </w:t>
      </w:r>
      <w:r>
        <w:rPr>
          <w:sz w:val="30"/>
          <w:vertAlign w:val="baseline"/>
        </w:rPr>
        <w:t>cancer</w:t>
      </w:r>
      <w:r>
        <w:rPr>
          <w:spacing w:val="-3"/>
          <w:sz w:val="30"/>
          <w:vertAlign w:val="baseline"/>
        </w:rPr>
        <w:t> </w:t>
      </w:r>
      <w:r>
        <w:rPr>
          <w:sz w:val="30"/>
          <w:vertAlign w:val="baseline"/>
        </w:rPr>
        <w:t>were</w:t>
      </w:r>
      <w:r>
        <w:rPr>
          <w:spacing w:val="-3"/>
          <w:sz w:val="30"/>
          <w:vertAlign w:val="baseline"/>
        </w:rPr>
        <w:t> </w:t>
      </w:r>
      <w:r>
        <w:rPr>
          <w:sz w:val="30"/>
          <w:vertAlign w:val="baseline"/>
        </w:rPr>
        <w:t>randomized</w:t>
      </w:r>
      <w:r>
        <w:rPr>
          <w:spacing w:val="-3"/>
          <w:sz w:val="30"/>
          <w:vertAlign w:val="baseline"/>
        </w:rPr>
        <w:t> </w:t>
      </w:r>
      <w:r>
        <w:rPr>
          <w:sz w:val="30"/>
          <w:vertAlign w:val="baseline"/>
        </w:rPr>
        <w:t>to</w:t>
      </w:r>
      <w:r>
        <w:rPr>
          <w:spacing w:val="-3"/>
          <w:sz w:val="30"/>
          <w:vertAlign w:val="baseline"/>
        </w:rPr>
        <w:t> </w:t>
      </w:r>
      <w:r>
        <w:rPr>
          <w:sz w:val="30"/>
          <w:vertAlign w:val="baseline"/>
        </w:rPr>
        <w:t>either</w:t>
      </w:r>
      <w:r>
        <w:rPr>
          <w:spacing w:val="-3"/>
          <w:sz w:val="30"/>
          <w:vertAlign w:val="baseline"/>
        </w:rPr>
        <w:t> </w:t>
      </w:r>
      <w:r>
        <w:rPr>
          <w:sz w:val="30"/>
          <w:vertAlign w:val="baseline"/>
        </w:rPr>
        <w:t>estrogen-only</w:t>
      </w:r>
      <w:r>
        <w:rPr>
          <w:spacing w:val="-3"/>
          <w:sz w:val="30"/>
          <w:vertAlign w:val="baseline"/>
        </w:rPr>
        <w:t> </w:t>
      </w:r>
      <w:r>
        <w:rPr>
          <w:sz w:val="30"/>
          <w:vertAlign w:val="baseline"/>
        </w:rPr>
        <w:t>or</w:t>
      </w:r>
      <w:r>
        <w:rPr>
          <w:spacing w:val="-3"/>
          <w:sz w:val="30"/>
          <w:vertAlign w:val="baseline"/>
        </w:rPr>
        <w:t> </w:t>
      </w:r>
      <w:r>
        <w:rPr>
          <w:sz w:val="30"/>
          <w:vertAlign w:val="baseline"/>
        </w:rPr>
        <w:t>placebo,</w:t>
      </w:r>
      <w:r>
        <w:rPr>
          <w:spacing w:val="-3"/>
          <w:sz w:val="30"/>
          <w:vertAlign w:val="baseline"/>
        </w:rPr>
        <w:t> </w:t>
      </w:r>
      <w:r>
        <w:rPr>
          <w:sz w:val="30"/>
          <w:vertAlign w:val="baseline"/>
        </w:rPr>
        <w:t>and although the participants constituted a low-risk group, the recurrence rate was low, 14 recurrences with 5 deaths in the treatment group and 12 recurrences and 9 deaths in the placebo group. If a high-risk tumor is ER and PR negative, it seems reasonable to allow immediate initiation of HT. Because the latent period with endometrial cancer is relatively short, a period of time under observation (5 years) without evidence of recurrence would increase the likelihood of long-term safety on an estrogen program. </w:t>
      </w:r>
      <w:r>
        <w:rPr>
          <w:b/>
          <w:sz w:val="30"/>
          <w:vertAlign w:val="baseline"/>
        </w:rPr>
        <w:t>We recommend that HT be avoided in patients with high-risk tumors that are receptor-positive until 5 years have elapsed. The combination of estrogen-progestin is recommended in view of the potential protective</w:t>
      </w:r>
      <w:r>
        <w:rPr>
          <w:b/>
          <w:spacing w:val="-3"/>
          <w:sz w:val="30"/>
          <w:vertAlign w:val="baseline"/>
        </w:rPr>
        <w:t> </w:t>
      </w:r>
      <w:r>
        <w:rPr>
          <w:b/>
          <w:sz w:val="30"/>
          <w:vertAlign w:val="baseline"/>
        </w:rPr>
        <w:t>action</w:t>
      </w:r>
      <w:r>
        <w:rPr>
          <w:b/>
          <w:spacing w:val="-3"/>
          <w:sz w:val="30"/>
          <w:vertAlign w:val="baseline"/>
        </w:rPr>
        <w:t> </w:t>
      </w:r>
      <w:r>
        <w:rPr>
          <w:b/>
          <w:sz w:val="30"/>
          <w:vertAlign w:val="baseline"/>
        </w:rPr>
        <w:t>of</w:t>
      </w:r>
      <w:r>
        <w:rPr>
          <w:b/>
          <w:spacing w:val="-3"/>
          <w:sz w:val="30"/>
          <w:vertAlign w:val="baseline"/>
        </w:rPr>
        <w:t> </w:t>
      </w:r>
      <w:r>
        <w:rPr>
          <w:b/>
          <w:sz w:val="30"/>
          <w:vertAlign w:val="baseline"/>
        </w:rPr>
        <w:t>the</w:t>
      </w:r>
      <w:r>
        <w:rPr>
          <w:b/>
          <w:spacing w:val="-3"/>
          <w:sz w:val="30"/>
          <w:vertAlign w:val="baseline"/>
        </w:rPr>
        <w:t> </w:t>
      </w:r>
      <w:r>
        <w:rPr>
          <w:b/>
          <w:sz w:val="30"/>
          <w:vertAlign w:val="baseline"/>
        </w:rPr>
        <w:t>progestational</w:t>
      </w:r>
      <w:r>
        <w:rPr>
          <w:b/>
          <w:spacing w:val="-3"/>
          <w:sz w:val="30"/>
          <w:vertAlign w:val="baseline"/>
        </w:rPr>
        <w:t> </w:t>
      </w:r>
      <w:r>
        <w:rPr>
          <w:b/>
          <w:sz w:val="30"/>
          <w:vertAlign w:val="baseline"/>
        </w:rPr>
        <w:t>agent.</w:t>
      </w:r>
      <w:r>
        <w:rPr>
          <w:b/>
          <w:spacing w:val="-3"/>
          <w:sz w:val="30"/>
          <w:vertAlign w:val="baseline"/>
        </w:rPr>
        <w:t> </w:t>
      </w:r>
      <w:r>
        <w:rPr>
          <w:b/>
          <w:sz w:val="30"/>
          <w:vertAlign w:val="baseline"/>
        </w:rPr>
        <w:t>A</w:t>
      </w:r>
      <w:r>
        <w:rPr>
          <w:b/>
          <w:spacing w:val="-5"/>
          <w:sz w:val="30"/>
          <w:vertAlign w:val="baseline"/>
        </w:rPr>
        <w:t> </w:t>
      </w:r>
      <w:r>
        <w:rPr>
          <w:b/>
          <w:sz w:val="30"/>
          <w:vertAlign w:val="baseline"/>
        </w:rPr>
        <w:t>similar</w:t>
      </w:r>
      <w:r>
        <w:rPr>
          <w:b/>
          <w:spacing w:val="-5"/>
          <w:sz w:val="30"/>
          <w:vertAlign w:val="baseline"/>
        </w:rPr>
        <w:t> </w:t>
      </w:r>
      <w:r>
        <w:rPr>
          <w:b/>
          <w:sz w:val="30"/>
          <w:vertAlign w:val="baseline"/>
        </w:rPr>
        <w:t>approach</w:t>
      </w:r>
      <w:r>
        <w:rPr>
          <w:b/>
          <w:spacing w:val="-5"/>
          <w:sz w:val="30"/>
          <w:vertAlign w:val="baseline"/>
        </w:rPr>
        <w:t> </w:t>
      </w:r>
      <w:r>
        <w:rPr>
          <w:b/>
          <w:sz w:val="30"/>
          <w:vertAlign w:val="baseline"/>
        </w:rPr>
        <w:t>makes sense for patients previously treated for endometrioid tumors of the ovary. In view of the fact that adenocarcinoma has been reported in patients with pelvic endometriosis and on unopposed estrogen and that estrogen alone may allow for recurrence of endometriosis, the combined estrogen-progestin program is also advised in patients with a prior history of endometriosis.</w:t>
      </w:r>
      <w:r>
        <w:rPr>
          <w:sz w:val="30"/>
          <w:vertAlign w:val="superscript"/>
        </w:rPr>
        <w:t>1181-1186</w:t>
      </w:r>
    </w:p>
    <w:p>
      <w:pPr>
        <w:pStyle w:val="BodyText"/>
        <w:spacing w:before="78"/>
        <w:ind w:left="0"/>
        <w:jc w:val="left"/>
      </w:pPr>
    </w:p>
    <w:p>
      <w:pPr>
        <w:spacing w:line="249" w:lineRule="auto" w:before="0"/>
        <w:ind w:left="99" w:right="0" w:firstLine="0"/>
        <w:jc w:val="left"/>
        <w:rPr>
          <w:rFonts w:ascii="Arial"/>
          <w:b/>
          <w:sz w:val="30"/>
        </w:rPr>
      </w:pPr>
      <w:r>
        <w:rPr>
          <w:rFonts w:ascii="Arial"/>
          <w:b/>
          <w:color w:val="2674AE"/>
          <w:sz w:val="30"/>
        </w:rPr>
        <w:t>Should</w:t>
      </w:r>
      <w:r>
        <w:rPr>
          <w:rFonts w:ascii="Arial"/>
          <w:b/>
          <w:color w:val="2674AE"/>
          <w:spacing w:val="-6"/>
          <w:sz w:val="30"/>
        </w:rPr>
        <w:t> </w:t>
      </w:r>
      <w:r>
        <w:rPr>
          <w:rFonts w:ascii="Arial"/>
          <w:b/>
          <w:color w:val="2674AE"/>
          <w:sz w:val="30"/>
        </w:rPr>
        <w:t>a</w:t>
      </w:r>
      <w:r>
        <w:rPr>
          <w:rFonts w:ascii="Arial"/>
          <w:b/>
          <w:color w:val="2674AE"/>
          <w:spacing w:val="-6"/>
          <w:sz w:val="30"/>
        </w:rPr>
        <w:t> </w:t>
      </w:r>
      <w:r>
        <w:rPr>
          <w:rFonts w:ascii="Arial"/>
          <w:b/>
          <w:color w:val="2674AE"/>
          <w:sz w:val="30"/>
        </w:rPr>
        <w:t>Postmenopausal</w:t>
      </w:r>
      <w:r>
        <w:rPr>
          <w:rFonts w:ascii="Arial"/>
          <w:b/>
          <w:color w:val="2674AE"/>
          <w:spacing w:val="-6"/>
          <w:sz w:val="30"/>
        </w:rPr>
        <w:t> </w:t>
      </w:r>
      <w:r>
        <w:rPr>
          <w:rFonts w:ascii="Arial"/>
          <w:b/>
          <w:color w:val="2674AE"/>
          <w:sz w:val="30"/>
        </w:rPr>
        <w:t>Woman</w:t>
      </w:r>
      <w:r>
        <w:rPr>
          <w:rFonts w:ascii="Arial"/>
          <w:b/>
          <w:color w:val="2674AE"/>
          <w:spacing w:val="-6"/>
          <w:sz w:val="30"/>
        </w:rPr>
        <w:t> </w:t>
      </w:r>
      <w:r>
        <w:rPr>
          <w:rFonts w:ascii="Arial"/>
          <w:b/>
          <w:color w:val="2674AE"/>
          <w:sz w:val="30"/>
        </w:rPr>
        <w:t>Who</w:t>
      </w:r>
      <w:r>
        <w:rPr>
          <w:rFonts w:ascii="Arial"/>
          <w:b/>
          <w:color w:val="2674AE"/>
          <w:spacing w:val="-6"/>
          <w:sz w:val="30"/>
        </w:rPr>
        <w:t> </w:t>
      </w:r>
      <w:r>
        <w:rPr>
          <w:rFonts w:ascii="Arial"/>
          <w:b/>
          <w:color w:val="2674AE"/>
          <w:sz w:val="30"/>
        </w:rPr>
        <w:t>Has</w:t>
      </w:r>
      <w:r>
        <w:rPr>
          <w:rFonts w:ascii="Arial"/>
          <w:b/>
          <w:color w:val="2674AE"/>
          <w:spacing w:val="-6"/>
          <w:sz w:val="30"/>
        </w:rPr>
        <w:t> </w:t>
      </w:r>
      <w:r>
        <w:rPr>
          <w:rFonts w:ascii="Arial"/>
          <w:b/>
          <w:color w:val="2674AE"/>
          <w:sz w:val="30"/>
        </w:rPr>
        <w:t>Had</w:t>
      </w:r>
      <w:r>
        <w:rPr>
          <w:rFonts w:ascii="Arial"/>
          <w:b/>
          <w:color w:val="2674AE"/>
          <w:spacing w:val="-6"/>
          <w:sz w:val="30"/>
        </w:rPr>
        <w:t> </w:t>
      </w:r>
      <w:r>
        <w:rPr>
          <w:rFonts w:ascii="Arial"/>
          <w:b/>
          <w:color w:val="2674AE"/>
          <w:sz w:val="30"/>
        </w:rPr>
        <w:t>Breast</w:t>
      </w:r>
      <w:r>
        <w:rPr>
          <w:rFonts w:ascii="Arial"/>
          <w:b/>
          <w:color w:val="2674AE"/>
          <w:spacing w:val="-6"/>
          <w:sz w:val="30"/>
        </w:rPr>
        <w:t> </w:t>
      </w:r>
      <w:r>
        <w:rPr>
          <w:rFonts w:ascii="Arial"/>
          <w:b/>
          <w:color w:val="2674AE"/>
          <w:sz w:val="30"/>
        </w:rPr>
        <w:t>Cancer Use Hormones?</w:t>
      </w:r>
    </w:p>
    <w:p>
      <w:pPr>
        <w:spacing w:after="0" w:line="249" w:lineRule="auto"/>
        <w:jc w:val="left"/>
        <w:rPr>
          <w:rFonts w:ascii="Arial"/>
          <w:b/>
          <w:sz w:val="30"/>
        </w:rPr>
        <w:sectPr>
          <w:pgSz w:w="12240" w:h="15840"/>
          <w:pgMar w:top="1440" w:bottom="280" w:left="1440" w:right="1440"/>
        </w:sectPr>
      </w:pPr>
    </w:p>
    <w:p>
      <w:pPr>
        <w:pStyle w:val="BodyText"/>
        <w:spacing w:line="249" w:lineRule="auto"/>
        <w:ind w:right="98"/>
      </w:pPr>
      <w:r>
        <w:rPr/>
        <w:t>The argument that postmenopausal HT should not be given to women who have had breast cancer is a reasonable one. It is based on the recognition </w:t>
      </w:r>
      <w:r>
        <w:rPr/>
        <w:t>of a large body of evidence that indicates that breast cancer is often a hormone-responsive tumor. The overriding fear of many clinicians (and patients) is that metastatic cells are present (perhaps being controlled by various host defense factors) that will be susceptible to stimulation by exogenous hormones.</w:t>
      </w:r>
      <w:r>
        <w:rPr>
          <w:vertAlign w:val="superscript"/>
        </w:rPr>
        <w:t>1187</w:t>
      </w:r>
      <w:r>
        <w:rPr>
          <w:vertAlign w:val="baseline"/>
        </w:rPr>
        <w:t> However, many women who have had breast cancer are aware of the benefits of postmenopausal hormone treatment and are asking clinicians to help make this risk-benefit decision. In addition, some women suffer from such severe hot flushing and vaginal dryness that they are willing to consider hormonal treatment. Tibolone treatment of breast cancer survivors is relatively contraindicated as discussed earlier in this chapter.</w:t>
      </w:r>
    </w:p>
    <w:p>
      <w:pPr>
        <w:pStyle w:val="BodyText"/>
        <w:spacing w:line="249" w:lineRule="auto" w:before="16"/>
        <w:ind w:right="98" w:firstLine="450"/>
      </w:pPr>
      <w:r>
        <w:rPr/>
        <w:t>The rate of recurrent breast cancer in hormone users has been </w:t>
      </w:r>
      <w:r>
        <w:rPr/>
        <w:t>reported in multiple case series with more than 1,000 breast cancer survivors.</w:t>
      </w:r>
      <w:r>
        <w:rPr>
          <w:vertAlign w:val="superscript"/>
        </w:rPr>
        <w:t>1188-1204</w:t>
      </w:r>
      <w:r>
        <w:rPr>
          <w:vertAlign w:val="baseline"/>
        </w:rPr>
        <w:t> It is reassuring that the recurrence rates in these reports are not different from the expected rate of breast cancer recurrence. In one series, 25 and then 77 women with breast cancer ranging from in situ to stage III disease received estrogen-progestin therapy for 24 to 82 months; the recurrence</w:t>
      </w:r>
      <w:r>
        <w:rPr>
          <w:spacing w:val="80"/>
          <w:vertAlign w:val="baseline"/>
        </w:rPr>
        <w:t> </w:t>
      </w:r>
      <w:r>
        <w:rPr>
          <w:vertAlign w:val="baseline"/>
        </w:rPr>
        <w:t>rate</w:t>
      </w:r>
      <w:r>
        <w:rPr>
          <w:spacing w:val="20"/>
          <w:vertAlign w:val="baseline"/>
        </w:rPr>
        <w:t> </w:t>
      </w:r>
      <w:r>
        <w:rPr>
          <w:vertAlign w:val="baseline"/>
        </w:rPr>
        <w:t>was</w:t>
      </w:r>
      <w:r>
        <w:rPr>
          <w:spacing w:val="21"/>
          <w:vertAlign w:val="baseline"/>
        </w:rPr>
        <w:t> </w:t>
      </w:r>
      <w:r>
        <w:rPr>
          <w:vertAlign w:val="baseline"/>
        </w:rPr>
        <w:t>not</w:t>
      </w:r>
      <w:r>
        <w:rPr>
          <w:spacing w:val="21"/>
          <w:vertAlign w:val="baseline"/>
        </w:rPr>
        <w:t> </w:t>
      </w:r>
      <w:r>
        <w:rPr>
          <w:vertAlign w:val="baseline"/>
        </w:rPr>
        <w:t>greater</w:t>
      </w:r>
      <w:r>
        <w:rPr>
          <w:spacing w:val="21"/>
          <w:vertAlign w:val="baseline"/>
        </w:rPr>
        <w:t> </w:t>
      </w:r>
      <w:r>
        <w:rPr>
          <w:vertAlign w:val="baseline"/>
        </w:rPr>
        <w:t>than</w:t>
      </w:r>
      <w:r>
        <w:rPr>
          <w:spacing w:val="20"/>
          <w:vertAlign w:val="baseline"/>
        </w:rPr>
        <w:t> </w:t>
      </w:r>
      <w:r>
        <w:rPr>
          <w:vertAlign w:val="baseline"/>
        </w:rPr>
        <w:t>that</w:t>
      </w:r>
      <w:r>
        <w:rPr>
          <w:spacing w:val="21"/>
          <w:vertAlign w:val="baseline"/>
        </w:rPr>
        <w:t> </w:t>
      </w:r>
      <w:r>
        <w:rPr>
          <w:vertAlign w:val="baseline"/>
        </w:rPr>
        <w:t>expected.</w:t>
      </w:r>
      <w:r>
        <w:rPr>
          <w:vertAlign w:val="superscript"/>
        </w:rPr>
        <w:t>1191,1192</w:t>
      </w:r>
      <w:r>
        <w:rPr>
          <w:spacing w:val="23"/>
          <w:vertAlign w:val="baseline"/>
        </w:rPr>
        <w:t> </w:t>
      </w:r>
      <w:r>
        <w:rPr>
          <w:vertAlign w:val="baseline"/>
        </w:rPr>
        <w:t>From</w:t>
      </w:r>
      <w:r>
        <w:rPr>
          <w:spacing w:val="23"/>
          <w:vertAlign w:val="baseline"/>
        </w:rPr>
        <w:t> </w:t>
      </w:r>
      <w:r>
        <w:rPr>
          <w:vertAlign w:val="baseline"/>
        </w:rPr>
        <w:t>this</w:t>
      </w:r>
      <w:r>
        <w:rPr>
          <w:spacing w:val="24"/>
          <w:vertAlign w:val="baseline"/>
        </w:rPr>
        <w:t> </w:t>
      </w:r>
      <w:r>
        <w:rPr>
          <w:vertAlign w:val="baseline"/>
        </w:rPr>
        <w:t>group</w:t>
      </w:r>
      <w:r>
        <w:rPr>
          <w:spacing w:val="23"/>
          <w:vertAlign w:val="baseline"/>
        </w:rPr>
        <w:t> </w:t>
      </w:r>
      <w:r>
        <w:rPr>
          <w:vertAlign w:val="baseline"/>
        </w:rPr>
        <w:t>of</w:t>
      </w:r>
      <w:r>
        <w:rPr>
          <w:spacing w:val="24"/>
          <w:vertAlign w:val="baseline"/>
        </w:rPr>
        <w:t> </w:t>
      </w:r>
      <w:r>
        <w:rPr>
          <w:spacing w:val="-2"/>
          <w:vertAlign w:val="baseline"/>
        </w:rPr>
        <w:t>patients,</w:t>
      </w:r>
    </w:p>
    <w:p>
      <w:pPr>
        <w:pStyle w:val="BodyText"/>
        <w:spacing w:line="249" w:lineRule="auto" w:before="8"/>
        <w:ind w:right="99"/>
      </w:pPr>
      <w:r>
        <w:rPr/>
        <w:t>41 breast cancer survivors receiving HT had the same outcomes when compared with 82 women selected from a cancer registry and not taking hormones.</w:t>
      </w:r>
      <w:r>
        <w:rPr>
          <w:vertAlign w:val="superscript"/>
        </w:rPr>
        <w:t>1192</w:t>
      </w:r>
      <w:r>
        <w:rPr>
          <w:vertAlign w:val="baseline"/>
        </w:rPr>
        <w:t> In a report from Australia, 90 women with a history of </w:t>
      </w:r>
      <w:r>
        <w:rPr>
          <w:vertAlign w:val="baseline"/>
        </w:rPr>
        <w:t>breast cancer who were given a combination of estrogen and progestin had lower mortality and recurrence rates; however, the dose of progestin was very</w:t>
      </w:r>
      <w:r>
        <w:rPr>
          <w:spacing w:val="40"/>
          <w:vertAlign w:val="baseline"/>
        </w:rPr>
        <w:t> </w:t>
      </w:r>
      <w:r>
        <w:rPr>
          <w:vertAlign w:val="baseline"/>
        </w:rPr>
        <w:t>high (which in itself can be therapeutic), and treatment was not randomized.</w:t>
      </w:r>
      <w:r>
        <w:rPr>
          <w:vertAlign w:val="superscript"/>
        </w:rPr>
        <w:t>1196</w:t>
      </w:r>
      <w:r>
        <w:rPr>
          <w:vertAlign w:val="baseline"/>
        </w:rPr>
        <w:t> In a follow-up of 319 women treated with estrogen after treatment for localized breast cancer, only one patient developed recurrent disease.</w:t>
      </w:r>
      <w:r>
        <w:rPr>
          <w:vertAlign w:val="superscript"/>
        </w:rPr>
        <w:t>1197</w:t>
      </w:r>
      <w:r>
        <w:rPr>
          <w:vertAlign w:val="baseline"/>
        </w:rPr>
        <w:t> In a matched-controlled series of 277 breast cancer survivors, there was no difference in the estrogen-treated group and the control group for recurrent disease.</w:t>
      </w:r>
      <w:r>
        <w:rPr>
          <w:vertAlign w:val="superscript"/>
        </w:rPr>
        <w:t>1204</w:t>
      </w:r>
      <w:r>
        <w:rPr>
          <w:vertAlign w:val="baseline"/>
        </w:rPr>
        <w:t> A series with 114 women who received hormone treatment had a low rate of recurrence.</w:t>
      </w:r>
      <w:r>
        <w:rPr>
          <w:vertAlign w:val="superscript"/>
        </w:rPr>
        <w:t>1193</w:t>
      </w:r>
      <w:r>
        <w:rPr>
          <w:vertAlign w:val="baseline"/>
        </w:rPr>
        <w:t> These patients have had both positive and negative nodes and positive and negative ER status. Although the results conform to an incidence of recurrent disease no greater than expected,</w:t>
      </w:r>
      <w:r>
        <w:rPr>
          <w:spacing w:val="21"/>
          <w:vertAlign w:val="baseline"/>
        </w:rPr>
        <w:t> </w:t>
      </w:r>
      <w:r>
        <w:rPr>
          <w:vertAlign w:val="baseline"/>
        </w:rPr>
        <w:t>the</w:t>
      </w:r>
      <w:r>
        <w:rPr>
          <w:spacing w:val="21"/>
          <w:vertAlign w:val="baseline"/>
        </w:rPr>
        <w:t> </w:t>
      </w:r>
      <w:r>
        <w:rPr>
          <w:vertAlign w:val="baseline"/>
        </w:rPr>
        <w:t>outcomes</w:t>
      </w:r>
      <w:r>
        <w:rPr>
          <w:spacing w:val="21"/>
          <w:vertAlign w:val="baseline"/>
        </w:rPr>
        <w:t> </w:t>
      </w:r>
      <w:r>
        <w:rPr>
          <w:vertAlign w:val="baseline"/>
        </w:rPr>
        <w:t>can</w:t>
      </w:r>
      <w:r>
        <w:rPr>
          <w:spacing w:val="21"/>
          <w:vertAlign w:val="baseline"/>
        </w:rPr>
        <w:t> </w:t>
      </w:r>
      <w:r>
        <w:rPr>
          <w:vertAlign w:val="baseline"/>
        </w:rPr>
        <w:t>reflect</w:t>
      </w:r>
      <w:r>
        <w:rPr>
          <w:spacing w:val="21"/>
          <w:vertAlign w:val="baseline"/>
        </w:rPr>
        <w:t> </w:t>
      </w:r>
      <w:r>
        <w:rPr>
          <w:vertAlign w:val="baseline"/>
        </w:rPr>
        <w:t>biases</w:t>
      </w:r>
      <w:r>
        <w:rPr>
          <w:spacing w:val="21"/>
          <w:vertAlign w:val="baseline"/>
        </w:rPr>
        <w:t> </w:t>
      </w:r>
      <w:r>
        <w:rPr>
          <w:vertAlign w:val="baseline"/>
        </w:rPr>
        <w:t>in</w:t>
      </w:r>
      <w:r>
        <w:rPr>
          <w:spacing w:val="21"/>
          <w:vertAlign w:val="baseline"/>
        </w:rPr>
        <w:t> </w:t>
      </w:r>
      <w:r>
        <w:rPr>
          <w:vertAlign w:val="baseline"/>
        </w:rPr>
        <w:t>clinician</w:t>
      </w:r>
      <w:r>
        <w:rPr>
          <w:spacing w:val="21"/>
          <w:vertAlign w:val="baseline"/>
        </w:rPr>
        <w:t> </w:t>
      </w:r>
      <w:r>
        <w:rPr>
          <w:vertAlign w:val="baseline"/>
        </w:rPr>
        <w:t>and</w:t>
      </w:r>
      <w:r>
        <w:rPr>
          <w:spacing w:val="21"/>
          <w:vertAlign w:val="baseline"/>
        </w:rPr>
        <w:t> </w:t>
      </w:r>
      <w:r>
        <w:rPr>
          <w:vertAlign w:val="baseline"/>
        </w:rPr>
        <w:t>patient</w:t>
      </w:r>
      <w:r>
        <w:rPr>
          <w:spacing w:val="21"/>
          <w:vertAlign w:val="baseline"/>
        </w:rPr>
        <w:t> </w:t>
      </w:r>
      <w:r>
        <w:rPr>
          <w:spacing w:val="-2"/>
          <w:vertAlign w:val="baseline"/>
        </w:rPr>
        <w:t>decision-</w:t>
      </w:r>
    </w:p>
    <w:p>
      <w:pPr>
        <w:pStyle w:val="BodyText"/>
        <w:spacing w:after="0" w:line="249" w:lineRule="auto"/>
        <w:sectPr>
          <w:pgSz w:w="12240" w:h="15840"/>
          <w:pgMar w:top="1380" w:bottom="280" w:left="1440" w:right="1440"/>
        </w:sectPr>
      </w:pPr>
    </w:p>
    <w:p>
      <w:pPr>
        <w:pStyle w:val="BodyText"/>
        <w:spacing w:line="249" w:lineRule="auto"/>
        <w:ind w:right="109"/>
      </w:pPr>
      <w:r>
        <w:rPr/>
        <w:t>making that can only be overcome with a proper long-term, </w:t>
      </w:r>
      <w:r>
        <w:rPr/>
        <w:t>randomized clinical trial.</w:t>
      </w:r>
    </w:p>
    <w:p>
      <w:pPr>
        <w:pStyle w:val="BodyText"/>
        <w:spacing w:line="249" w:lineRule="auto" w:before="2"/>
        <w:ind w:right="99" w:firstLine="450"/>
      </w:pPr>
      <w:r>
        <w:rPr/>
        <w:t>A case-control study of HT after breast cancer actually found </w:t>
      </w:r>
      <w:r>
        <w:rPr/>
        <w:t>a significant reduction in risk of recurrent disease, breast cancer mortality, and total mortality in hormone users.</w:t>
      </w:r>
      <w:r>
        <w:rPr>
          <w:vertAlign w:val="superscript"/>
        </w:rPr>
        <w:t>1205</w:t>
      </w:r>
      <w:r>
        <w:rPr>
          <w:vertAlign w:val="baseline"/>
        </w:rPr>
        <w:t> Again, these are reassuring observational data that HT after breast cancer has no adverse impact on </w:t>
      </w:r>
      <w:r>
        <w:rPr>
          <w:spacing w:val="-2"/>
          <w:vertAlign w:val="baseline"/>
        </w:rPr>
        <w:t>recurrence.</w:t>
      </w:r>
    </w:p>
    <w:p>
      <w:pPr>
        <w:pStyle w:val="BodyText"/>
        <w:spacing w:line="249" w:lineRule="auto" w:before="6"/>
        <w:ind w:right="98" w:firstLine="450"/>
      </w:pPr>
      <w:r>
        <w:rPr/>
        <w:t>A US trial at the University of Texas M.D. Anderson Cancer </w:t>
      </w:r>
      <w:r>
        <w:rPr/>
        <w:t>Center provided</w:t>
      </w:r>
      <w:r>
        <w:rPr>
          <w:spacing w:val="-1"/>
        </w:rPr>
        <w:t> </w:t>
      </w:r>
      <w:r>
        <w:rPr/>
        <w:t>estrogen</w:t>
      </w:r>
      <w:r>
        <w:rPr>
          <w:spacing w:val="-1"/>
        </w:rPr>
        <w:t> </w:t>
      </w:r>
      <w:r>
        <w:rPr/>
        <w:t>to</w:t>
      </w:r>
      <w:r>
        <w:rPr>
          <w:spacing w:val="-1"/>
        </w:rPr>
        <w:t> </w:t>
      </w:r>
      <w:r>
        <w:rPr/>
        <w:t>randomized</w:t>
      </w:r>
      <w:r>
        <w:rPr>
          <w:spacing w:val="-1"/>
        </w:rPr>
        <w:t> </w:t>
      </w:r>
      <w:r>
        <w:rPr/>
        <w:t>women</w:t>
      </w:r>
      <w:r>
        <w:rPr>
          <w:spacing w:val="-1"/>
        </w:rPr>
        <w:t> </w:t>
      </w:r>
      <w:r>
        <w:rPr/>
        <w:t>who</w:t>
      </w:r>
      <w:r>
        <w:rPr>
          <w:spacing w:val="-1"/>
        </w:rPr>
        <w:t> </w:t>
      </w:r>
      <w:r>
        <w:rPr/>
        <w:t>had</w:t>
      </w:r>
      <w:r>
        <w:rPr>
          <w:spacing w:val="-1"/>
        </w:rPr>
        <w:t> </w:t>
      </w:r>
      <w:r>
        <w:rPr/>
        <w:t>been</w:t>
      </w:r>
      <w:r>
        <w:rPr>
          <w:spacing w:val="-1"/>
        </w:rPr>
        <w:t> </w:t>
      </w:r>
      <w:r>
        <w:rPr/>
        <w:t>treated</w:t>
      </w:r>
      <w:r>
        <w:rPr>
          <w:spacing w:val="-1"/>
        </w:rPr>
        <w:t> </w:t>
      </w:r>
      <w:r>
        <w:rPr/>
        <w:t>for</w:t>
      </w:r>
      <w:r>
        <w:rPr>
          <w:spacing w:val="-1"/>
        </w:rPr>
        <w:t> </w:t>
      </w:r>
      <w:r>
        <w:rPr/>
        <w:t>localized stage I and stage II breast cancers with either ER-negative or ER status unknown tumors.</w:t>
      </w:r>
      <w:r>
        <w:rPr>
          <w:vertAlign w:val="superscript"/>
        </w:rPr>
        <w:t>1206</w:t>
      </w:r>
      <w:r>
        <w:rPr>
          <w:vertAlign w:val="baseline"/>
        </w:rPr>
        <w:t> After 5 years of follow-up, 56 women in the trial receiving estrogen were compared with 243 women with comparable disease not receiving estrogen; there was no adverse effect of estrogen treatment on disease-free survival.</w:t>
      </w:r>
      <w:r>
        <w:rPr>
          <w:vertAlign w:val="superscript"/>
        </w:rPr>
        <w:t>1207</w:t>
      </w:r>
    </w:p>
    <w:p>
      <w:pPr>
        <w:pStyle w:val="BodyText"/>
        <w:spacing w:line="249" w:lineRule="auto" w:before="9"/>
        <w:ind w:right="100" w:firstLine="450"/>
      </w:pPr>
      <w:r>
        <w:rPr/>
        <w:t>A multicenter, large case-control study of women younger than 55</w:t>
      </w:r>
      <w:r>
        <w:rPr>
          <w:spacing w:val="80"/>
        </w:rPr>
        <w:t> </w:t>
      </w:r>
      <w:r>
        <w:rPr/>
        <w:t>years with breast cancer concluded that the use of oral contraceptives or postmenopausal HT either before or after diagnosis did not increase the risk of</w:t>
      </w:r>
      <w:r>
        <w:rPr>
          <w:spacing w:val="-2"/>
        </w:rPr>
        <w:t> </w:t>
      </w:r>
      <w:r>
        <w:rPr/>
        <w:t>the</w:t>
      </w:r>
      <w:r>
        <w:rPr>
          <w:spacing w:val="-2"/>
        </w:rPr>
        <w:t> </w:t>
      </w:r>
      <w:r>
        <w:rPr/>
        <w:t>first</w:t>
      </w:r>
      <w:r>
        <w:rPr>
          <w:spacing w:val="-2"/>
        </w:rPr>
        <w:t> </w:t>
      </w:r>
      <w:r>
        <w:rPr/>
        <w:t>breast</w:t>
      </w:r>
      <w:r>
        <w:rPr>
          <w:spacing w:val="-2"/>
        </w:rPr>
        <w:t> </w:t>
      </w:r>
      <w:r>
        <w:rPr/>
        <w:t>cancer</w:t>
      </w:r>
      <w:r>
        <w:rPr>
          <w:spacing w:val="-2"/>
        </w:rPr>
        <w:t> </w:t>
      </w:r>
      <w:r>
        <w:rPr/>
        <w:t>or</w:t>
      </w:r>
      <w:r>
        <w:rPr>
          <w:spacing w:val="-2"/>
        </w:rPr>
        <w:t> </w:t>
      </w:r>
      <w:r>
        <w:rPr/>
        <w:t>recurrent</w:t>
      </w:r>
      <w:r>
        <w:rPr>
          <w:spacing w:val="-2"/>
        </w:rPr>
        <w:t> </w:t>
      </w:r>
      <w:r>
        <w:rPr/>
        <w:t>breast</w:t>
      </w:r>
      <w:r>
        <w:rPr>
          <w:spacing w:val="-2"/>
        </w:rPr>
        <w:t> </w:t>
      </w:r>
      <w:r>
        <w:rPr/>
        <w:t>cancer.</w:t>
      </w:r>
      <w:r>
        <w:rPr>
          <w:vertAlign w:val="superscript"/>
        </w:rPr>
        <w:t>1208</w:t>
      </w:r>
      <w:r>
        <w:rPr>
          <w:vertAlign w:val="baseline"/>
        </w:rPr>
        <w:t> This negative </w:t>
      </w:r>
      <w:r>
        <w:rPr>
          <w:vertAlign w:val="baseline"/>
        </w:rPr>
        <w:t>finding was not changed by duration of use or age of oral contraceptive use or by BMI, duration of use, or type of postmenopausal hormone use (estrogen only or combined estrogen-progestin).</w:t>
      </w:r>
    </w:p>
    <w:p>
      <w:pPr>
        <w:pStyle w:val="BodyText"/>
        <w:spacing w:line="249" w:lineRule="auto" w:before="9"/>
        <w:ind w:right="97" w:firstLine="450"/>
      </w:pPr>
      <w:r>
        <w:rPr/>
        <w:t>A longitudinal national cohort study analyzed over 2,000 women with a history of early-stage invasive ER-positive breast cancer taking </w:t>
      </w:r>
      <w:r>
        <w:rPr/>
        <w:t>either vaginal estrogen or systemic HT. Neither vaginal nor systemic HT was associated with increased risk of recurrence or mortality.</w:t>
      </w:r>
      <w:r>
        <w:rPr>
          <w:vertAlign w:val="superscript"/>
        </w:rPr>
        <w:t>1209</w:t>
      </w:r>
      <w:r>
        <w:rPr>
          <w:vertAlign w:val="baseline"/>
        </w:rPr>
        <w:t> An increase in recurrence was, however, noted on subgroup analysis of vaginal hormone users who were also on an AI (HR = 1.39, 95% CI = 1.04-1.85); mortality risk was not increased, and these authors advised caution when considering vaginal</w:t>
      </w:r>
      <w:r>
        <w:rPr>
          <w:spacing w:val="-2"/>
          <w:vertAlign w:val="baseline"/>
        </w:rPr>
        <w:t> </w:t>
      </w:r>
      <w:r>
        <w:rPr>
          <w:vertAlign w:val="baseline"/>
        </w:rPr>
        <w:t>ET</w:t>
      </w:r>
      <w:r>
        <w:rPr>
          <w:spacing w:val="-2"/>
          <w:vertAlign w:val="baseline"/>
        </w:rPr>
        <w:t> </w:t>
      </w:r>
      <w:r>
        <w:rPr>
          <w:vertAlign w:val="baseline"/>
        </w:rPr>
        <w:t>for</w:t>
      </w:r>
      <w:r>
        <w:rPr>
          <w:spacing w:val="-2"/>
          <w:vertAlign w:val="baseline"/>
        </w:rPr>
        <w:t> </w:t>
      </w:r>
      <w:r>
        <w:rPr>
          <w:vertAlign w:val="baseline"/>
        </w:rPr>
        <w:t>early-stage</w:t>
      </w:r>
      <w:r>
        <w:rPr>
          <w:spacing w:val="-2"/>
          <w:vertAlign w:val="baseline"/>
        </w:rPr>
        <w:t> </w:t>
      </w:r>
      <w:r>
        <w:rPr>
          <w:vertAlign w:val="baseline"/>
        </w:rPr>
        <w:t>breast</w:t>
      </w:r>
      <w:r>
        <w:rPr>
          <w:spacing w:val="-2"/>
          <w:vertAlign w:val="baseline"/>
        </w:rPr>
        <w:t> </w:t>
      </w:r>
      <w:r>
        <w:rPr>
          <w:vertAlign w:val="baseline"/>
        </w:rPr>
        <w:t>cancer</w:t>
      </w:r>
      <w:r>
        <w:rPr>
          <w:spacing w:val="-2"/>
          <w:vertAlign w:val="baseline"/>
        </w:rPr>
        <w:t> </w:t>
      </w:r>
      <w:r>
        <w:rPr>
          <w:vertAlign w:val="baseline"/>
        </w:rPr>
        <w:t>patients</w:t>
      </w:r>
      <w:r>
        <w:rPr>
          <w:spacing w:val="-2"/>
          <w:vertAlign w:val="baseline"/>
        </w:rPr>
        <w:t> </w:t>
      </w:r>
      <w:r>
        <w:rPr>
          <w:vertAlign w:val="baseline"/>
        </w:rPr>
        <w:t>who</w:t>
      </w:r>
      <w:r>
        <w:rPr>
          <w:spacing w:val="-2"/>
          <w:vertAlign w:val="baseline"/>
        </w:rPr>
        <w:t> </w:t>
      </w:r>
      <w:r>
        <w:rPr>
          <w:vertAlign w:val="baseline"/>
        </w:rPr>
        <w:t>are</w:t>
      </w:r>
      <w:r>
        <w:rPr>
          <w:spacing w:val="-2"/>
          <w:vertAlign w:val="baseline"/>
        </w:rPr>
        <w:t> </w:t>
      </w:r>
      <w:r>
        <w:rPr>
          <w:vertAlign w:val="baseline"/>
        </w:rPr>
        <w:t>on</w:t>
      </w:r>
      <w:r>
        <w:rPr>
          <w:spacing w:val="-2"/>
          <w:vertAlign w:val="baseline"/>
        </w:rPr>
        <w:t> </w:t>
      </w:r>
      <w:r>
        <w:rPr>
          <w:vertAlign w:val="baseline"/>
        </w:rPr>
        <w:t>AIs</w:t>
      </w:r>
      <w:r>
        <w:rPr>
          <w:spacing w:val="-2"/>
          <w:vertAlign w:val="baseline"/>
        </w:rPr>
        <w:t> </w:t>
      </w:r>
      <w:r>
        <w:rPr>
          <w:vertAlign w:val="baseline"/>
        </w:rPr>
        <w:t>as</w:t>
      </w:r>
      <w:r>
        <w:rPr>
          <w:spacing w:val="-2"/>
          <w:vertAlign w:val="baseline"/>
        </w:rPr>
        <w:t> </w:t>
      </w:r>
      <w:r>
        <w:rPr>
          <w:vertAlign w:val="baseline"/>
        </w:rPr>
        <w:t>adjuvant </w:t>
      </w:r>
      <w:r>
        <w:rPr>
          <w:spacing w:val="-2"/>
          <w:vertAlign w:val="baseline"/>
        </w:rPr>
        <w:t>therapy.</w:t>
      </w:r>
    </w:p>
    <w:p>
      <w:pPr>
        <w:spacing w:before="309"/>
        <w:ind w:left="99" w:right="0" w:firstLine="0"/>
        <w:jc w:val="both"/>
        <w:rPr>
          <w:rFonts w:ascii="Arial"/>
          <w:b/>
          <w:i/>
          <w:sz w:val="22"/>
        </w:rPr>
      </w:pPr>
      <w:r>
        <w:rPr>
          <w:rFonts w:ascii="Arial"/>
          <w:b/>
          <w:i/>
          <w:color w:val="A0234E"/>
          <w:sz w:val="22"/>
        </w:rPr>
        <w:t>The</w:t>
      </w:r>
      <w:r>
        <w:rPr>
          <w:rFonts w:ascii="Arial"/>
          <w:b/>
          <w:i/>
          <w:color w:val="A0234E"/>
          <w:spacing w:val="13"/>
          <w:sz w:val="22"/>
        </w:rPr>
        <w:t> </w:t>
      </w:r>
      <w:r>
        <w:rPr>
          <w:rFonts w:ascii="Arial"/>
          <w:b/>
          <w:i/>
          <w:color w:val="A0234E"/>
          <w:sz w:val="22"/>
        </w:rPr>
        <w:t>HABITS</w:t>
      </w:r>
      <w:r>
        <w:rPr>
          <w:rFonts w:ascii="Arial"/>
          <w:b/>
          <w:i/>
          <w:color w:val="A0234E"/>
          <w:spacing w:val="13"/>
          <w:sz w:val="22"/>
        </w:rPr>
        <w:t> </w:t>
      </w:r>
      <w:r>
        <w:rPr>
          <w:rFonts w:ascii="Arial"/>
          <w:b/>
          <w:i/>
          <w:color w:val="A0234E"/>
          <w:spacing w:val="-2"/>
          <w:sz w:val="22"/>
        </w:rPr>
        <w:t>Trial</w:t>
      </w:r>
    </w:p>
    <w:p>
      <w:pPr>
        <w:pStyle w:val="BodyText"/>
        <w:spacing w:line="249" w:lineRule="auto" w:before="124"/>
        <w:ind w:right="98"/>
      </w:pPr>
      <w:r>
        <w:rPr/>
        <w:t>“Hormonal replacement therapy After Breast cancer—Is it Safe?” (HABITS) began in multiple centers in Sweden in May 1997, to </w:t>
      </w:r>
      <w:r>
        <w:rPr/>
        <w:t>compare breast cancer survivors treated for at least 2 years with HT with treatment other</w:t>
      </w:r>
      <w:r>
        <w:rPr>
          <w:spacing w:val="40"/>
        </w:rPr>
        <w:t> </w:t>
      </w:r>
      <w:r>
        <w:rPr/>
        <w:t>than</w:t>
      </w:r>
      <w:r>
        <w:rPr>
          <w:spacing w:val="40"/>
        </w:rPr>
        <w:t> </w:t>
      </w:r>
      <w:r>
        <w:rPr/>
        <w:t>hormones.</w:t>
      </w:r>
      <w:r>
        <w:rPr>
          <w:spacing w:val="39"/>
        </w:rPr>
        <w:t> </w:t>
      </w:r>
      <w:r>
        <w:rPr/>
        <w:t>A</w:t>
      </w:r>
      <w:r>
        <w:rPr>
          <w:spacing w:val="42"/>
        </w:rPr>
        <w:t> </w:t>
      </w:r>
      <w:r>
        <w:rPr/>
        <w:t>similar</w:t>
      </w:r>
      <w:r>
        <w:rPr>
          <w:spacing w:val="42"/>
        </w:rPr>
        <w:t> </w:t>
      </w:r>
      <w:r>
        <w:rPr/>
        <w:t>trial</w:t>
      </w:r>
      <w:r>
        <w:rPr>
          <w:spacing w:val="42"/>
        </w:rPr>
        <w:t> </w:t>
      </w:r>
      <w:r>
        <w:rPr/>
        <w:t>was</w:t>
      </w:r>
      <w:r>
        <w:rPr>
          <w:spacing w:val="42"/>
        </w:rPr>
        <w:t> </w:t>
      </w:r>
      <w:r>
        <w:rPr/>
        <w:t>initiated</w:t>
      </w:r>
      <w:r>
        <w:rPr>
          <w:spacing w:val="42"/>
        </w:rPr>
        <w:t> </w:t>
      </w:r>
      <w:r>
        <w:rPr/>
        <w:t>in</w:t>
      </w:r>
      <w:r>
        <w:rPr>
          <w:spacing w:val="42"/>
        </w:rPr>
        <w:t> </w:t>
      </w:r>
      <w:r>
        <w:rPr/>
        <w:t>Stockholm.</w:t>
      </w:r>
      <w:r>
        <w:rPr>
          <w:spacing w:val="42"/>
        </w:rPr>
        <w:t> </w:t>
      </w:r>
      <w:r>
        <w:rPr>
          <w:spacing w:val="-2"/>
        </w:rPr>
        <w:t>Because</w:t>
      </w:r>
    </w:p>
    <w:p>
      <w:pPr>
        <w:pStyle w:val="BodyText"/>
        <w:spacing w:after="0" w:line="249" w:lineRule="auto"/>
        <w:sectPr>
          <w:pgSz w:w="12240" w:h="15840"/>
          <w:pgMar w:top="1380" w:bottom="280" w:left="1440" w:right="1440"/>
        </w:sectPr>
      </w:pPr>
    </w:p>
    <w:p>
      <w:pPr>
        <w:pStyle w:val="BodyText"/>
        <w:spacing w:line="249" w:lineRule="auto"/>
        <w:ind w:right="98"/>
      </w:pPr>
      <w:r>
        <w:rPr/>
        <w:t>recruitment was slower than anticipated, the two trials agreed in February 2002 to pool their patients and to use a joint safety and monitoring committee. In October 2003, the safety committee recommended that the trial be discontinued because there were 26 women in the treated group</w:t>
      </w:r>
      <w:r>
        <w:rPr>
          <w:spacing w:val="40"/>
        </w:rPr>
        <w:t> </w:t>
      </w:r>
      <w:r>
        <w:rPr/>
        <w:t>with new breast cancers compared with 7 in the nontreated group. The HABITS trial was terminated in December 2003.</w:t>
      </w:r>
      <w:r>
        <w:rPr>
          <w:vertAlign w:val="superscript"/>
        </w:rPr>
        <w:t>1210</w:t>
      </w:r>
      <w:r>
        <w:rPr>
          <w:vertAlign w:val="baseline"/>
        </w:rPr>
        <w:t> Confronted with </w:t>
      </w:r>
      <w:r>
        <w:rPr>
          <w:vertAlign w:val="baseline"/>
        </w:rPr>
        <w:t>this outcome, the Stockholm investigators decided to cancel their trial as well, even though the HR in the Stockholm patients was 0.82 (CI = 0.35-1.9).</w:t>
      </w:r>
    </w:p>
    <w:p>
      <w:pPr>
        <w:pStyle w:val="BodyText"/>
        <w:spacing w:line="249" w:lineRule="auto" w:before="10"/>
        <w:ind w:right="98" w:firstLine="450"/>
      </w:pPr>
      <w:r>
        <w:rPr/>
        <w:t>HABITS was a randomized but not placebo-controlled trial in which</w:t>
      </w:r>
      <w:r>
        <w:rPr>
          <w:spacing w:val="40"/>
        </w:rPr>
        <w:t> </w:t>
      </w:r>
      <w:r>
        <w:rPr/>
        <w:t>HT was compared to management without hormones in women with menopausal symptoms who had been previously treated for stage I or II breast cancer. Concomitant use of tamoxifen treatment was allowed in </w:t>
      </w:r>
      <w:r>
        <w:rPr/>
        <w:t>the HABITS patients, but not of AIs. HT consisted of the variety of products and methods on the Swedish market, but not tibolone. Most of the treated women used products with the relatively high dose of 2 mg estradiol. After 4 more years of follow-up of 442 women, there were 39 cases of new breast cancer in women using HT compared with 17 in the nontreated group, for an HR of 2.4 (CI = 1.3-4.2).</w:t>
      </w:r>
      <w:r>
        <w:rPr>
          <w:vertAlign w:val="superscript"/>
        </w:rPr>
        <w:t>1211</w:t>
      </w:r>
    </w:p>
    <w:p>
      <w:pPr>
        <w:pStyle w:val="BodyText"/>
        <w:spacing w:line="249" w:lineRule="auto" w:before="12"/>
        <w:ind w:right="97" w:firstLine="450"/>
      </w:pPr>
      <w:r>
        <w:rPr/>
        <w:t>It is important to appreciate some significant concerns related to the study design and methodology in HABITS. The treated and </w:t>
      </w:r>
      <w:r>
        <w:rPr/>
        <w:t>nontreated groups of women were very different in terms of characteristics and behaviors. More of the women in the treated group had hormone receptor-positive cancers (62.3%) compared with the nontreated group (54.5%). Protocol deviations occurred; 11 women in the treated group never received hormones, whereas 43 in the nontreated group did receive hormones. There was a very wide range of exposure times, ranging from 0 to 80 months. About one-third of the women who received hormones changed products during</w:t>
      </w:r>
      <w:r>
        <w:rPr>
          <w:spacing w:val="-5"/>
        </w:rPr>
        <w:t> </w:t>
      </w:r>
      <w:r>
        <w:rPr/>
        <w:t>the study. The method of analysis of the HABITS data was intent to treat and, thus, the impact of these differences cannot be ascertained.</w:t>
      </w:r>
    </w:p>
    <w:p>
      <w:pPr>
        <w:pStyle w:val="BodyText"/>
        <w:spacing w:line="249" w:lineRule="auto" w:before="13"/>
        <w:ind w:right="98" w:firstLine="450"/>
      </w:pPr>
      <w:r>
        <w:rPr/>
        <w:t>Analysis of the new breast cancers in HABITS (either local recurrences or contralateral cancers) indicated statistically significant increases only </w:t>
      </w:r>
      <w:r>
        <w:rPr/>
        <w:t>in hormone receptor-positive cancers. However, when adjusted for use of HT before diagnosis of the original breast cancer, use of tamoxifen, and hormone</w:t>
      </w:r>
      <w:r>
        <w:rPr>
          <w:spacing w:val="40"/>
        </w:rPr>
        <w:t> </w:t>
      </w:r>
      <w:r>
        <w:rPr/>
        <w:t>receptor</w:t>
      </w:r>
      <w:r>
        <w:rPr>
          <w:spacing w:val="40"/>
        </w:rPr>
        <w:t> </w:t>
      </w:r>
      <w:r>
        <w:rPr/>
        <w:t>status,</w:t>
      </w:r>
      <w:r>
        <w:rPr>
          <w:spacing w:val="40"/>
        </w:rPr>
        <w:t> </w:t>
      </w:r>
      <w:r>
        <w:rPr/>
        <w:t>the</w:t>
      </w:r>
      <w:r>
        <w:rPr>
          <w:spacing w:val="40"/>
        </w:rPr>
        <w:t> </w:t>
      </w:r>
      <w:r>
        <w:rPr/>
        <w:t>HR</w:t>
      </w:r>
      <w:r>
        <w:rPr>
          <w:spacing w:val="40"/>
        </w:rPr>
        <w:t> </w:t>
      </w:r>
      <w:r>
        <w:rPr/>
        <w:t>was</w:t>
      </w:r>
      <w:r>
        <w:rPr>
          <w:spacing w:val="40"/>
        </w:rPr>
        <w:t> </w:t>
      </w:r>
      <w:r>
        <w:rPr/>
        <w:t>2.2</w:t>
      </w:r>
      <w:r>
        <w:rPr>
          <w:spacing w:val="40"/>
        </w:rPr>
        <w:t> </w:t>
      </w:r>
      <w:r>
        <w:rPr/>
        <w:t>with</w:t>
      </w:r>
      <w:r>
        <w:rPr>
          <w:spacing w:val="40"/>
        </w:rPr>
        <w:t> </w:t>
      </w:r>
      <w:r>
        <w:rPr/>
        <w:t>a</w:t>
      </w:r>
      <w:r>
        <w:rPr>
          <w:spacing w:val="40"/>
        </w:rPr>
        <w:t> </w:t>
      </w:r>
      <w:r>
        <w:rPr/>
        <w:t>CI</w:t>
      </w:r>
      <w:r>
        <w:rPr>
          <w:spacing w:val="40"/>
        </w:rPr>
        <w:t> </w:t>
      </w:r>
      <w:r>
        <w:rPr/>
        <w:t>that</w:t>
      </w:r>
      <w:r>
        <w:rPr>
          <w:spacing w:val="40"/>
        </w:rPr>
        <w:t> </w:t>
      </w:r>
      <w:r>
        <w:rPr/>
        <w:t>included</w:t>
      </w:r>
      <w:r>
        <w:rPr>
          <w:spacing w:val="40"/>
        </w:rPr>
        <w:t> </w:t>
      </w:r>
      <w:r>
        <w:rPr/>
        <w:t>1</w:t>
      </w:r>
      <w:r>
        <w:rPr>
          <w:spacing w:val="40"/>
        </w:rPr>
        <w:t> </w:t>
      </w:r>
      <w:r>
        <w:rPr/>
        <w:t>(1.0-5.1), which, by definition, while close, is not statistically significant.</w:t>
      </w:r>
    </w:p>
    <w:p>
      <w:pPr>
        <w:pStyle w:val="BodyText"/>
        <w:spacing w:after="0" w:line="249" w:lineRule="auto"/>
        <w:sectPr>
          <w:pgSz w:w="12240" w:h="15840"/>
          <w:pgMar w:top="1380" w:bottom="280" w:left="1440" w:right="1440"/>
        </w:sectPr>
      </w:pPr>
    </w:p>
    <w:p>
      <w:pPr>
        <w:pStyle w:val="BodyText"/>
        <w:spacing w:line="249" w:lineRule="auto"/>
        <w:ind w:right="100" w:firstLine="450"/>
      </w:pPr>
      <w:r>
        <w:rPr/>
        <w:t>The Stockholm trial reported in 2005, after a median follow-up of 4.1 years,</w:t>
      </w:r>
      <w:r>
        <w:rPr>
          <w:spacing w:val="-2"/>
        </w:rPr>
        <w:t> </w:t>
      </w:r>
      <w:r>
        <w:rPr/>
        <w:t>11</w:t>
      </w:r>
      <w:r>
        <w:rPr>
          <w:spacing w:val="-2"/>
        </w:rPr>
        <w:t> </w:t>
      </w:r>
      <w:r>
        <w:rPr/>
        <w:t>new</w:t>
      </w:r>
      <w:r>
        <w:rPr>
          <w:spacing w:val="-2"/>
        </w:rPr>
        <w:t> </w:t>
      </w:r>
      <w:r>
        <w:rPr/>
        <w:t>breast</w:t>
      </w:r>
      <w:r>
        <w:rPr>
          <w:spacing w:val="-2"/>
        </w:rPr>
        <w:t> </w:t>
      </w:r>
      <w:r>
        <w:rPr/>
        <w:t>cancers</w:t>
      </w:r>
      <w:r>
        <w:rPr>
          <w:spacing w:val="-2"/>
        </w:rPr>
        <w:t> </w:t>
      </w:r>
      <w:r>
        <w:rPr/>
        <w:t>in</w:t>
      </w:r>
      <w:r>
        <w:rPr>
          <w:spacing w:val="-2"/>
        </w:rPr>
        <w:t> </w:t>
      </w:r>
      <w:r>
        <w:rPr/>
        <w:t>the</w:t>
      </w:r>
      <w:r>
        <w:rPr>
          <w:spacing w:val="-2"/>
        </w:rPr>
        <w:t> </w:t>
      </w:r>
      <w:r>
        <w:rPr/>
        <w:t>treated</w:t>
      </w:r>
      <w:r>
        <w:rPr>
          <w:spacing w:val="-2"/>
        </w:rPr>
        <w:t> </w:t>
      </w:r>
      <w:r>
        <w:rPr/>
        <w:t>arm</w:t>
      </w:r>
      <w:r>
        <w:rPr>
          <w:spacing w:val="-2"/>
        </w:rPr>
        <w:t> </w:t>
      </w:r>
      <w:r>
        <w:rPr/>
        <w:t>and</w:t>
      </w:r>
      <w:r>
        <w:rPr>
          <w:spacing w:val="-2"/>
        </w:rPr>
        <w:t> </w:t>
      </w:r>
      <w:r>
        <w:rPr/>
        <w:t>13</w:t>
      </w:r>
      <w:r>
        <w:rPr>
          <w:spacing w:val="-2"/>
        </w:rPr>
        <w:t> </w:t>
      </w:r>
      <w:r>
        <w:rPr/>
        <w:t>new</w:t>
      </w:r>
      <w:r>
        <w:rPr>
          <w:spacing w:val="-2"/>
        </w:rPr>
        <w:t> </w:t>
      </w:r>
      <w:r>
        <w:rPr/>
        <w:t>breast</w:t>
      </w:r>
      <w:r>
        <w:rPr>
          <w:spacing w:val="-2"/>
        </w:rPr>
        <w:t> </w:t>
      </w:r>
      <w:r>
        <w:rPr/>
        <w:t>cancers</w:t>
      </w:r>
      <w:r>
        <w:rPr>
          <w:spacing w:val="-2"/>
        </w:rPr>
        <w:t> </w:t>
      </w:r>
      <w:r>
        <w:rPr/>
        <w:t>in the nontreated arm.</w:t>
      </w:r>
      <w:r>
        <w:rPr>
          <w:vertAlign w:val="superscript"/>
        </w:rPr>
        <w:t>1212</w:t>
      </w:r>
      <w:r>
        <w:rPr>
          <w:vertAlign w:val="baseline"/>
        </w:rPr>
        <w:t> Why there is difference between the Stockholm trial and HABITS? The HABITS investigators suggest that their patients had more node-positive disease and thus “probably” had more women with subclinical disease that would be stimulated by HT. Another</w:t>
      </w:r>
      <w:r>
        <w:rPr>
          <w:spacing w:val="-5"/>
          <w:vertAlign w:val="baseline"/>
        </w:rPr>
        <w:t> </w:t>
      </w:r>
      <w:r>
        <w:rPr>
          <w:vertAlign w:val="baseline"/>
        </w:rPr>
        <w:t>possibility</w:t>
      </w:r>
      <w:r>
        <w:rPr>
          <w:spacing w:val="-5"/>
          <w:vertAlign w:val="baseline"/>
        </w:rPr>
        <w:t> </w:t>
      </w:r>
      <w:r>
        <w:rPr>
          <w:vertAlign w:val="baseline"/>
        </w:rPr>
        <w:t>was more protection with higher tamoxifen use in the Stockholm trial, although the HABITS trial could detect no impact of tamoxifen. The HABITS investigators believe that another possible explanation was the greater use</w:t>
      </w:r>
      <w:r>
        <w:rPr>
          <w:spacing w:val="40"/>
          <w:vertAlign w:val="baseline"/>
        </w:rPr>
        <w:t> </w:t>
      </w:r>
      <w:r>
        <w:rPr>
          <w:vertAlign w:val="baseline"/>
        </w:rPr>
        <w:t>of norethindrone and NETA in HABITS compared with the use of MPA in Stockholm. All of these explanations are speculations; the difference between the two trials remains and calls into question the reliability and accuracy of the data.</w:t>
      </w:r>
    </w:p>
    <w:p>
      <w:pPr>
        <w:pStyle w:val="BodyText"/>
        <w:spacing w:line="249" w:lineRule="auto" w:before="16"/>
        <w:ind w:right="101" w:firstLine="450"/>
      </w:pPr>
      <w:r>
        <w:rPr/>
        <w:t>The cancelation of HABITS and the Stockholm trials made </w:t>
      </w:r>
      <w:r>
        <w:rPr/>
        <w:t>it</w:t>
      </w:r>
      <w:r>
        <w:rPr>
          <w:spacing w:val="40"/>
        </w:rPr>
        <w:t> </w:t>
      </w:r>
      <w:r>
        <w:rPr/>
        <w:t>impossible for the English and Italian trials to continue recruitment, and they were also canceled. Thus, the scientific community was left with many questions,</w:t>
      </w:r>
      <w:r>
        <w:rPr>
          <w:spacing w:val="-2"/>
        </w:rPr>
        <w:t> </w:t>
      </w:r>
      <w:r>
        <w:rPr/>
        <w:t>but</w:t>
      </w:r>
      <w:r>
        <w:rPr>
          <w:spacing w:val="-2"/>
        </w:rPr>
        <w:t> </w:t>
      </w:r>
      <w:r>
        <w:rPr/>
        <w:t>without</w:t>
      </w:r>
      <w:r>
        <w:rPr>
          <w:spacing w:val="-2"/>
        </w:rPr>
        <w:t> </w:t>
      </w:r>
      <w:r>
        <w:rPr/>
        <w:t>ongoing</w:t>
      </w:r>
      <w:r>
        <w:rPr>
          <w:spacing w:val="-2"/>
        </w:rPr>
        <w:t> </w:t>
      </w:r>
      <w:r>
        <w:rPr/>
        <w:t>efforts</w:t>
      </w:r>
      <w:r>
        <w:rPr>
          <w:spacing w:val="-2"/>
        </w:rPr>
        <w:t> </w:t>
      </w:r>
      <w:r>
        <w:rPr/>
        <w:t>to</w:t>
      </w:r>
      <w:r>
        <w:rPr>
          <w:spacing w:val="-2"/>
        </w:rPr>
        <w:t> </w:t>
      </w:r>
      <w:r>
        <w:rPr/>
        <w:t>elucidate</w:t>
      </w:r>
      <w:r>
        <w:rPr>
          <w:spacing w:val="-2"/>
        </w:rPr>
        <w:t> </w:t>
      </w:r>
      <w:r>
        <w:rPr/>
        <w:t>answers.</w:t>
      </w:r>
      <w:r>
        <w:rPr>
          <w:spacing w:val="-2"/>
        </w:rPr>
        <w:t> </w:t>
      </w:r>
      <w:r>
        <w:rPr/>
        <w:t>In our view, the existing data on the risk of breast cancer recurrence or new-onset cancers related to HT are far from being definitive.</w:t>
      </w:r>
    </w:p>
    <w:p>
      <w:pPr>
        <w:spacing w:line="249" w:lineRule="auto" w:before="7"/>
        <w:ind w:left="99" w:right="99" w:firstLine="450"/>
        <w:jc w:val="both"/>
        <w:rPr>
          <w:b/>
          <w:sz w:val="30"/>
        </w:rPr>
      </w:pPr>
      <w:r>
        <w:rPr>
          <w:b/>
          <w:sz w:val="30"/>
        </w:rPr>
        <w:t>Although intuitively it seems that the risk/benefit ratio would be more favorable in the presence of negative nodes, negative receptors, and small tumors, are negative ER and PR assessments by </w:t>
      </w:r>
      <w:r>
        <w:rPr>
          <w:b/>
          <w:sz w:val="30"/>
        </w:rPr>
        <w:t>themselves sufficient to conclude that the cancer is not sensitive to hormones? Moreover, if the patient is in the high-cure category, does it make any difference what the receptor status is? The answers to these questions are not known. Receptor status is not absolute; it is always a relative measure and can change over the course of disease progression.</w:t>
      </w:r>
    </w:p>
    <w:p>
      <w:pPr>
        <w:spacing w:line="249" w:lineRule="auto" w:before="10"/>
        <w:ind w:left="99" w:right="97" w:firstLine="450"/>
        <w:jc w:val="both"/>
        <w:rPr>
          <w:b/>
          <w:sz w:val="30"/>
        </w:rPr>
      </w:pPr>
      <w:r>
        <w:rPr>
          <w:b/>
          <w:sz w:val="30"/>
        </w:rPr>
        <w:t>Patients and clinicians have to incorporate all of the previously mentioned considerations into medical decision-making. However, when all is said and done, patients have to take an unknown risk if they want the benefits of hormone treatment; the prescribing clinicians too take an unknown medical-legal risk. Some patients who are burdened by severe menopausal symptoms that remain unresponsive to nonhormonal interventions may and do choose to take estrogen, judging the benefits to their quality of life with hormone use to be worth</w:t>
      </w:r>
      <w:r>
        <w:rPr>
          <w:b/>
          <w:spacing w:val="62"/>
          <w:w w:val="150"/>
          <w:sz w:val="30"/>
        </w:rPr>
        <w:t> </w:t>
      </w:r>
      <w:r>
        <w:rPr>
          <w:b/>
          <w:sz w:val="30"/>
        </w:rPr>
        <w:t>the</w:t>
      </w:r>
      <w:r>
        <w:rPr>
          <w:b/>
          <w:spacing w:val="63"/>
          <w:w w:val="150"/>
          <w:sz w:val="30"/>
        </w:rPr>
        <w:t> </w:t>
      </w:r>
      <w:r>
        <w:rPr>
          <w:b/>
          <w:sz w:val="30"/>
        </w:rPr>
        <w:t>unknown</w:t>
      </w:r>
      <w:r>
        <w:rPr>
          <w:b/>
          <w:spacing w:val="63"/>
          <w:w w:val="150"/>
          <w:sz w:val="30"/>
        </w:rPr>
        <w:t> </w:t>
      </w:r>
      <w:r>
        <w:rPr>
          <w:b/>
          <w:sz w:val="30"/>
        </w:rPr>
        <w:t>risk.</w:t>
      </w:r>
      <w:r>
        <w:rPr>
          <w:b/>
          <w:spacing w:val="63"/>
          <w:w w:val="150"/>
          <w:sz w:val="30"/>
        </w:rPr>
        <w:t> </w:t>
      </w:r>
      <w:r>
        <w:rPr>
          <w:b/>
          <w:sz w:val="30"/>
        </w:rPr>
        <w:t>Until</w:t>
      </w:r>
      <w:r>
        <w:rPr>
          <w:b/>
          <w:spacing w:val="67"/>
          <w:w w:val="150"/>
          <w:sz w:val="30"/>
        </w:rPr>
        <w:t> </w:t>
      </w:r>
      <w:r>
        <w:rPr>
          <w:b/>
          <w:sz w:val="30"/>
        </w:rPr>
        <w:t>definitive</w:t>
      </w:r>
      <w:r>
        <w:rPr>
          <w:b/>
          <w:spacing w:val="67"/>
          <w:w w:val="150"/>
          <w:sz w:val="30"/>
        </w:rPr>
        <w:t> </w:t>
      </w:r>
      <w:r>
        <w:rPr>
          <w:b/>
          <w:sz w:val="30"/>
        </w:rPr>
        <w:t>data</w:t>
      </w:r>
      <w:r>
        <w:rPr>
          <w:b/>
          <w:spacing w:val="66"/>
          <w:w w:val="150"/>
          <w:sz w:val="30"/>
        </w:rPr>
        <w:t> </w:t>
      </w:r>
      <w:r>
        <w:rPr>
          <w:b/>
          <w:sz w:val="30"/>
        </w:rPr>
        <w:t>are</w:t>
      </w:r>
      <w:r>
        <w:rPr>
          <w:b/>
          <w:spacing w:val="67"/>
          <w:w w:val="150"/>
          <w:sz w:val="30"/>
        </w:rPr>
        <w:t> </w:t>
      </w:r>
      <w:r>
        <w:rPr>
          <w:b/>
          <w:sz w:val="30"/>
        </w:rPr>
        <w:t>available</w:t>
      </w:r>
      <w:r>
        <w:rPr>
          <w:b/>
          <w:spacing w:val="67"/>
          <w:w w:val="150"/>
          <w:sz w:val="30"/>
        </w:rPr>
        <w:t> </w:t>
      </w:r>
      <w:r>
        <w:rPr>
          <w:b/>
          <w:spacing w:val="-4"/>
          <w:sz w:val="30"/>
        </w:rPr>
        <w:t>from</w:t>
      </w:r>
    </w:p>
    <w:p>
      <w:pPr>
        <w:spacing w:after="0" w:line="249" w:lineRule="auto"/>
        <w:jc w:val="both"/>
        <w:rPr>
          <w:b/>
          <w:sz w:val="30"/>
        </w:rPr>
        <w:sectPr>
          <w:pgSz w:w="12240" w:h="15840"/>
          <w:pgMar w:top="1380" w:bottom="280" w:left="1440" w:right="1440"/>
        </w:sectPr>
      </w:pPr>
    </w:p>
    <w:p>
      <w:pPr>
        <w:spacing w:line="249" w:lineRule="auto" w:before="65"/>
        <w:ind w:left="99" w:right="100" w:firstLine="0"/>
        <w:jc w:val="both"/>
        <w:rPr>
          <w:b/>
          <w:sz w:val="30"/>
        </w:rPr>
      </w:pPr>
      <w:r>
        <w:rPr>
          <w:b/>
          <w:sz w:val="30"/>
        </w:rPr>
        <w:t>clinical trials, clinicians should support patients in this decision. </w:t>
      </w:r>
      <w:r>
        <w:rPr>
          <w:b/>
          <w:sz w:val="30"/>
        </w:rPr>
        <w:t>Other patients will prefer to avoid any unknown risks. These patients, too, deserve support in their decision.</w:t>
      </w:r>
    </w:p>
    <w:p>
      <w:pPr>
        <w:pStyle w:val="BodyText"/>
        <w:spacing w:before="0"/>
        <w:ind w:left="0"/>
        <w:jc w:val="left"/>
        <w:rPr>
          <w:b/>
          <w:sz w:val="20"/>
        </w:rPr>
      </w:pPr>
    </w:p>
    <w:p>
      <w:pPr>
        <w:pStyle w:val="BodyText"/>
        <w:spacing w:before="114"/>
        <w:ind w:left="0"/>
        <w:jc w:val="left"/>
        <w:rPr>
          <w:b/>
          <w:sz w:val="20"/>
        </w:rPr>
      </w:pPr>
      <w:r>
        <w:rPr>
          <w:b/>
          <w:sz w:val="20"/>
        </w:rPr>
        <mc:AlternateContent>
          <mc:Choice Requires="wps">
            <w:drawing>
              <wp:anchor distT="0" distB="0" distL="0" distR="0" allowOverlap="1" layoutInCell="1" locked="0" behindDoc="1" simplePos="0" relativeHeight="487671296">
                <wp:simplePos x="0" y="0"/>
                <wp:positionH relativeFrom="page">
                  <wp:posOffset>981075</wp:posOffset>
                </wp:positionH>
                <wp:positionV relativeFrom="paragraph">
                  <wp:posOffset>234225</wp:posOffset>
                </wp:positionV>
                <wp:extent cx="285750" cy="57150"/>
                <wp:effectExtent l="0" t="0" r="0" b="0"/>
                <wp:wrapTopAndBottom/>
                <wp:docPr id="310" name="Graphic 310"/>
                <wp:cNvGraphicFramePr>
                  <a:graphicFrameLocks/>
                </wp:cNvGraphicFramePr>
                <a:graphic>
                  <a:graphicData uri="http://schemas.microsoft.com/office/word/2010/wordprocessingShape">
                    <wps:wsp>
                      <wps:cNvPr id="310" name="Graphic 310"/>
                      <wps:cNvSpPr/>
                      <wps:spPr>
                        <a:xfrm>
                          <a:off x="0" y="0"/>
                          <a:ext cx="285750" cy="57150"/>
                        </a:xfrm>
                        <a:custGeom>
                          <a:avLst/>
                          <a:gdLst/>
                          <a:ahLst/>
                          <a:cxnLst/>
                          <a:rect l="l" t="t" r="r" b="b"/>
                          <a:pathLst>
                            <a:path w="285750" h="57150">
                              <a:moveTo>
                                <a:pt x="28575" y="57149"/>
                              </a:moveTo>
                              <a:lnTo>
                                <a:pt x="0" y="32299"/>
                              </a:lnTo>
                              <a:lnTo>
                                <a:pt x="0" y="24707"/>
                              </a:lnTo>
                              <a:lnTo>
                                <a:pt x="8369" y="8334"/>
                              </a:lnTo>
                              <a:lnTo>
                                <a:pt x="11048" y="5657"/>
                              </a:lnTo>
                              <a:lnTo>
                                <a:pt x="14138" y="3571"/>
                              </a:lnTo>
                              <a:lnTo>
                                <a:pt x="17639" y="2085"/>
                              </a:lnTo>
                              <a:lnTo>
                                <a:pt x="21140" y="742"/>
                              </a:lnTo>
                              <a:lnTo>
                                <a:pt x="24785" y="0"/>
                              </a:lnTo>
                              <a:lnTo>
                                <a:pt x="32364" y="0"/>
                              </a:lnTo>
                              <a:lnTo>
                                <a:pt x="48780" y="8334"/>
                              </a:lnTo>
                              <a:lnTo>
                                <a:pt x="51459" y="10868"/>
                              </a:lnTo>
                              <a:lnTo>
                                <a:pt x="53524" y="13992"/>
                              </a:lnTo>
                              <a:lnTo>
                                <a:pt x="54974" y="17411"/>
                              </a:lnTo>
                              <a:lnTo>
                                <a:pt x="56424" y="20983"/>
                              </a:lnTo>
                              <a:lnTo>
                                <a:pt x="57149" y="24707"/>
                              </a:lnTo>
                              <a:lnTo>
                                <a:pt x="57149" y="32299"/>
                              </a:lnTo>
                              <a:lnTo>
                                <a:pt x="32364" y="56997"/>
                              </a:lnTo>
                              <a:lnTo>
                                <a:pt x="28575" y="57149"/>
                              </a:lnTo>
                              <a:close/>
                            </a:path>
                            <a:path w="285750" h="57150">
                              <a:moveTo>
                                <a:pt x="142779" y="57149"/>
                              </a:moveTo>
                              <a:lnTo>
                                <a:pt x="114204" y="32299"/>
                              </a:lnTo>
                              <a:lnTo>
                                <a:pt x="114204" y="24707"/>
                              </a:lnTo>
                              <a:lnTo>
                                <a:pt x="122574" y="8334"/>
                              </a:lnTo>
                              <a:lnTo>
                                <a:pt x="125253" y="5657"/>
                              </a:lnTo>
                              <a:lnTo>
                                <a:pt x="128343" y="3571"/>
                              </a:lnTo>
                              <a:lnTo>
                                <a:pt x="131844" y="2085"/>
                              </a:lnTo>
                              <a:lnTo>
                                <a:pt x="135345" y="742"/>
                              </a:lnTo>
                              <a:lnTo>
                                <a:pt x="138990" y="0"/>
                              </a:lnTo>
                              <a:lnTo>
                                <a:pt x="146569" y="0"/>
                              </a:lnTo>
                              <a:lnTo>
                                <a:pt x="162985" y="8334"/>
                              </a:lnTo>
                              <a:lnTo>
                                <a:pt x="165664" y="10868"/>
                              </a:lnTo>
                              <a:lnTo>
                                <a:pt x="167729" y="13992"/>
                              </a:lnTo>
                              <a:lnTo>
                                <a:pt x="169179" y="17411"/>
                              </a:lnTo>
                              <a:lnTo>
                                <a:pt x="170629" y="20983"/>
                              </a:lnTo>
                              <a:lnTo>
                                <a:pt x="171354" y="24707"/>
                              </a:lnTo>
                              <a:lnTo>
                                <a:pt x="171354" y="32299"/>
                              </a:lnTo>
                              <a:lnTo>
                                <a:pt x="146569" y="56997"/>
                              </a:lnTo>
                              <a:lnTo>
                                <a:pt x="142779" y="57149"/>
                              </a:lnTo>
                              <a:close/>
                            </a:path>
                            <a:path w="285750" h="57150">
                              <a:moveTo>
                                <a:pt x="256984" y="57149"/>
                              </a:moveTo>
                              <a:lnTo>
                                <a:pt x="228409" y="32299"/>
                              </a:lnTo>
                              <a:lnTo>
                                <a:pt x="228409" y="24707"/>
                              </a:lnTo>
                              <a:lnTo>
                                <a:pt x="236778" y="8334"/>
                              </a:lnTo>
                              <a:lnTo>
                                <a:pt x="239458" y="5657"/>
                              </a:lnTo>
                              <a:lnTo>
                                <a:pt x="242548" y="3571"/>
                              </a:lnTo>
                              <a:lnTo>
                                <a:pt x="246049" y="2085"/>
                              </a:lnTo>
                              <a:lnTo>
                                <a:pt x="249550" y="742"/>
                              </a:lnTo>
                              <a:lnTo>
                                <a:pt x="253195" y="0"/>
                              </a:lnTo>
                              <a:lnTo>
                                <a:pt x="260773" y="0"/>
                              </a:lnTo>
                              <a:lnTo>
                                <a:pt x="277190" y="8334"/>
                              </a:lnTo>
                              <a:lnTo>
                                <a:pt x="279869" y="10868"/>
                              </a:lnTo>
                              <a:lnTo>
                                <a:pt x="281934" y="13992"/>
                              </a:lnTo>
                              <a:lnTo>
                                <a:pt x="283384" y="17411"/>
                              </a:lnTo>
                              <a:lnTo>
                                <a:pt x="284834" y="20983"/>
                              </a:lnTo>
                              <a:lnTo>
                                <a:pt x="285559" y="24707"/>
                              </a:lnTo>
                              <a:lnTo>
                                <a:pt x="285559" y="32299"/>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442961pt;width:22.5pt;height:4.5pt;mso-position-horizontal-relative:page;mso-position-vertical-relative:paragraph;z-index:-15645184;mso-wrap-distance-left:0;mso-wrap-distance-right:0" id="docshape287" coordorigin="1545,369" coordsize="450,90" path="m1590,459l1584,459,1578,457,1573,455,1567,453,1562,449,1558,445,1554,441,1551,436,1546,425,1545,420,1545,408,1546,402,1548,396,1551,391,1554,386,1558,382,1562,378,1567,374,1573,372,1578,370,1584,369,1596,369,1602,370,1607,372,1613,374,1618,378,1622,382,1626,386,1629,391,1632,396,1634,402,1635,408,1635,420,1634,425,1629,436,1626,441,1622,445,1618,449,1613,453,1607,455,1602,457,1596,459,1590,459xm1770,459l1764,459,1758,457,1753,455,1747,453,1742,449,1738,445,1734,441,1731,436,1726,425,1725,420,1725,408,1726,402,1728,396,1731,391,1734,386,1738,382,1742,378,1747,374,1753,372,1758,370,1764,369,1776,369,1782,370,1787,372,1793,374,1797,378,1802,382,1806,386,1809,391,1811,396,1814,402,1815,408,1815,420,1814,425,1809,436,1806,441,1802,445,1797,449,1793,453,1787,455,1782,457,1776,459,1770,459xm1950,459l1944,459,1938,457,1932,455,1927,453,1922,449,1918,445,1914,441,1910,436,1906,425,1905,420,1905,408,1906,402,1908,396,1910,391,1914,386,1918,382,1922,378,1927,374,1932,372,1938,370,1944,369,1956,369,1961,370,1967,372,1972,374,1977,378,1982,382,1986,386,1989,391,1991,396,1994,402,1995,408,1995,420,1994,425,1989,436,1986,441,1982,445,1977,449,1972,453,1967,455,1961,457,1956,459,1950,459xe" filled="true" fillcolor="#bdb4d4" stroked="false">
                <v:path arrowok="t"/>
                <v:fill type="solid"/>
                <w10:wrap type="topAndBottom"/>
              </v:shape>
            </w:pict>
          </mc:Fallback>
        </mc:AlternateContent>
      </w:r>
    </w:p>
    <w:p>
      <w:pPr>
        <w:pStyle w:val="Heading3"/>
        <w:spacing w:line="249" w:lineRule="auto" w:after="59"/>
        <w:ind w:right="255"/>
      </w:pPr>
      <w:r>
        <w:rPr>
          <w:color w:val="534089"/>
        </w:rPr>
        <w:t>IMPLICATIONS</w:t>
      </w:r>
      <w:r>
        <w:rPr>
          <w:color w:val="534089"/>
          <w:spacing w:val="-10"/>
        </w:rPr>
        <w:t> </w:t>
      </w:r>
      <w:r>
        <w:rPr>
          <w:color w:val="534089"/>
        </w:rPr>
        <w:t>OF</w:t>
      </w:r>
      <w:r>
        <w:rPr>
          <w:color w:val="534089"/>
          <w:spacing w:val="-10"/>
        </w:rPr>
        <w:t> </w:t>
      </w:r>
      <w:r>
        <w:rPr>
          <w:color w:val="534089"/>
        </w:rPr>
        <w:t>HORMONE</w:t>
      </w:r>
      <w:r>
        <w:rPr>
          <w:color w:val="534089"/>
          <w:spacing w:val="-10"/>
        </w:rPr>
        <w:t> </w:t>
      </w:r>
      <w:r>
        <w:rPr>
          <w:color w:val="534089"/>
        </w:rPr>
        <w:t>THERAPY</w:t>
      </w:r>
      <w:r>
        <w:rPr>
          <w:color w:val="534089"/>
          <w:spacing w:val="-10"/>
        </w:rPr>
        <w:t> </w:t>
      </w:r>
      <w:r>
        <w:rPr>
          <w:color w:val="534089"/>
        </w:rPr>
        <w:t>FOR</w:t>
      </w:r>
      <w:r>
        <w:rPr>
          <w:color w:val="534089"/>
          <w:spacing w:val="-10"/>
        </w:rPr>
        <w:t> </w:t>
      </w:r>
      <w:r>
        <w:rPr>
          <w:color w:val="534089"/>
        </w:rPr>
        <w:t>WOMEN</w:t>
      </w:r>
      <w:r>
        <w:rPr>
          <w:color w:val="534089"/>
          <w:spacing w:val="-10"/>
        </w:rPr>
        <w:t> </w:t>
      </w:r>
      <w:r>
        <w:rPr>
          <w:color w:val="534089"/>
        </w:rPr>
        <w:t>WITH DIABETES MELLITUS</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11" name="Group 311"/>
                <wp:cNvGraphicFramePr>
                  <a:graphicFrameLocks/>
                </wp:cNvGraphicFramePr>
                <a:graphic>
                  <a:graphicData uri="http://schemas.microsoft.com/office/word/2010/wordprocessingGroup">
                    <wpg:wgp>
                      <wpg:cNvPr id="311" name="Group 311"/>
                      <wpg:cNvGrpSpPr/>
                      <wpg:grpSpPr>
                        <a:xfrm>
                          <a:off x="0" y="0"/>
                          <a:ext cx="5810250" cy="19050"/>
                          <a:chExt cx="5810250" cy="19050"/>
                        </a:xfrm>
                      </wpg:grpSpPr>
                      <wps:wsp>
                        <wps:cNvPr id="312" name="Graphic 312"/>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88" coordorigin="0,0" coordsize="9150,30">
                <v:rect style="position:absolute;left:0;top:0;width:9150;height:30" id="docshape289" filled="true" fillcolor="#534089" stroked="false">
                  <v:fill type="solid"/>
                </v:rect>
              </v:group>
            </w:pict>
          </mc:Fallback>
        </mc:AlternateContent>
      </w:r>
      <w:r>
        <w:rPr>
          <w:rFonts w:ascii="Arial"/>
          <w:position w:val="0"/>
          <w:sz w:val="2"/>
        </w:rPr>
      </w:r>
    </w:p>
    <w:p>
      <w:pPr>
        <w:pStyle w:val="BodyText"/>
        <w:spacing w:line="249" w:lineRule="auto" w:before="215"/>
        <w:ind w:right="97"/>
      </w:pPr>
      <w:r>
        <w:rPr/>
        <w:t>Estrogen can improve the metabolic changes associated with diabetes. Indeed, in prospective studies of postmenopausal women with type 2, non-insulin-dependent diabetes mellitus, estrogen-only or estrogen-progestin therapy improved all glucose metabolic parameters, including </w:t>
      </w:r>
      <w:r>
        <w:rPr/>
        <w:t>insulin resistance, the lipoprotein profile, and measurements of androgenicity.</w:t>
      </w:r>
      <w:r>
        <w:rPr>
          <w:vertAlign w:val="superscript"/>
        </w:rPr>
        <w:t>631,632,1066,1213-1217</w:t>
      </w:r>
      <w:r>
        <w:rPr>
          <w:vertAlign w:val="baseline"/>
        </w:rPr>
        <w:t> One study, however, could detect no impact with</w:t>
      </w:r>
      <w:r>
        <w:rPr>
          <w:spacing w:val="-7"/>
          <w:vertAlign w:val="baseline"/>
        </w:rPr>
        <w:t> </w:t>
      </w:r>
      <w:r>
        <w:rPr>
          <w:vertAlign w:val="baseline"/>
        </w:rPr>
        <w:t>transdermal</w:t>
      </w:r>
      <w:r>
        <w:rPr>
          <w:spacing w:val="-7"/>
          <w:vertAlign w:val="baseline"/>
        </w:rPr>
        <w:t> </w:t>
      </w:r>
      <w:r>
        <w:rPr>
          <w:vertAlign w:val="baseline"/>
        </w:rPr>
        <w:t>administration.</w:t>
      </w:r>
      <w:r>
        <w:rPr>
          <w:vertAlign w:val="superscript"/>
        </w:rPr>
        <w:t>1215</w:t>
      </w:r>
      <w:r>
        <w:rPr>
          <w:spacing w:val="-4"/>
          <w:vertAlign w:val="baseline"/>
        </w:rPr>
        <w:t> </w:t>
      </w:r>
      <w:r>
        <w:rPr>
          <w:vertAlign w:val="baseline"/>
        </w:rPr>
        <w:t>These</w:t>
      </w:r>
      <w:r>
        <w:rPr>
          <w:spacing w:val="-4"/>
          <w:vertAlign w:val="baseline"/>
        </w:rPr>
        <w:t> </w:t>
      </w:r>
      <w:r>
        <w:rPr>
          <w:vertAlign w:val="baseline"/>
        </w:rPr>
        <w:t>changes</w:t>
      </w:r>
      <w:r>
        <w:rPr>
          <w:spacing w:val="-4"/>
          <w:vertAlign w:val="baseline"/>
        </w:rPr>
        <w:t> </w:t>
      </w:r>
      <w:r>
        <w:rPr>
          <w:vertAlign w:val="baseline"/>
        </w:rPr>
        <w:t>should</w:t>
      </w:r>
      <w:r>
        <w:rPr>
          <w:spacing w:val="-4"/>
          <w:vertAlign w:val="baseline"/>
        </w:rPr>
        <w:t> </w:t>
      </w:r>
      <w:r>
        <w:rPr>
          <w:vertAlign w:val="baseline"/>
        </w:rPr>
        <w:t>reduce</w:t>
      </w:r>
      <w:r>
        <w:rPr>
          <w:spacing w:val="-4"/>
          <w:vertAlign w:val="baseline"/>
        </w:rPr>
        <w:t> </w:t>
      </w:r>
      <w:r>
        <w:rPr>
          <w:vertAlign w:val="baseline"/>
        </w:rPr>
        <w:t>the</w:t>
      </w:r>
      <w:r>
        <w:rPr>
          <w:spacing w:val="-4"/>
          <w:vertAlign w:val="baseline"/>
        </w:rPr>
        <w:t> </w:t>
      </w:r>
      <w:r>
        <w:rPr>
          <w:vertAlign w:val="baseline"/>
        </w:rPr>
        <w:t>risk</w:t>
      </w:r>
      <w:r>
        <w:rPr>
          <w:spacing w:val="-4"/>
          <w:vertAlign w:val="baseline"/>
        </w:rPr>
        <w:t> </w:t>
      </w:r>
      <w:r>
        <w:rPr>
          <w:vertAlign w:val="baseline"/>
        </w:rPr>
        <w:t>of CVD, and in a very large cohort of 24,420 women from the Northern California Kaiser Permanente Diabetes Registry, current use of HT reduced the risk of myocardial infarction, but in women with a recent heart attack, an increased risk of a recurrent myocardial infarction was observed in hormone users (again a difference between primary prevention and secondary prevention).</w:t>
      </w:r>
      <w:r>
        <w:rPr>
          <w:vertAlign w:val="superscript"/>
        </w:rPr>
        <w:t>1218</w:t>
      </w:r>
      <w:r>
        <w:rPr>
          <w:vertAlign w:val="baseline"/>
        </w:rPr>
        <w:t> Tibolone also has a beneficial impact in short-term studies on insulin resistance in normal women and in women with</w:t>
      </w:r>
      <w:r>
        <w:rPr>
          <w:spacing w:val="40"/>
          <w:vertAlign w:val="baseline"/>
        </w:rPr>
        <w:t> </w:t>
      </w:r>
      <w:r>
        <w:rPr>
          <w:vertAlign w:val="baseline"/>
        </w:rPr>
        <w:t>non-insulin-dependent</w:t>
      </w:r>
      <w:r>
        <w:rPr>
          <w:spacing w:val="-4"/>
          <w:vertAlign w:val="baseline"/>
        </w:rPr>
        <w:t> </w:t>
      </w:r>
      <w:r>
        <w:rPr>
          <w:vertAlign w:val="baseline"/>
        </w:rPr>
        <w:t>diabetes</w:t>
      </w:r>
      <w:r>
        <w:rPr>
          <w:spacing w:val="-4"/>
          <w:vertAlign w:val="baseline"/>
        </w:rPr>
        <w:t> </w:t>
      </w:r>
      <w:r>
        <w:rPr>
          <w:vertAlign w:val="baseline"/>
        </w:rPr>
        <w:t>mellitus.</w:t>
      </w:r>
      <w:r>
        <w:rPr>
          <w:vertAlign w:val="superscript"/>
        </w:rPr>
        <w:t>283,307</w:t>
      </w:r>
      <w:r>
        <w:rPr>
          <w:spacing w:val="-2"/>
          <w:vertAlign w:val="baseline"/>
        </w:rPr>
        <w:t> </w:t>
      </w:r>
      <w:r>
        <w:rPr>
          <w:vertAlign w:val="baseline"/>
        </w:rPr>
        <w:t>Raloxifene,</w:t>
      </w:r>
      <w:r>
        <w:rPr>
          <w:spacing w:val="-1"/>
          <w:vertAlign w:val="baseline"/>
        </w:rPr>
        <w:t> </w:t>
      </w:r>
      <w:r>
        <w:rPr>
          <w:vertAlign w:val="baseline"/>
        </w:rPr>
        <w:t>an</w:t>
      </w:r>
      <w:r>
        <w:rPr>
          <w:spacing w:val="-1"/>
          <w:vertAlign w:val="baseline"/>
        </w:rPr>
        <w:t> </w:t>
      </w:r>
      <w:r>
        <w:rPr>
          <w:vertAlign w:val="baseline"/>
        </w:rPr>
        <w:t>SERM,</w:t>
      </w:r>
      <w:r>
        <w:rPr>
          <w:spacing w:val="-1"/>
          <w:vertAlign w:val="baseline"/>
        </w:rPr>
        <w:t> </w:t>
      </w:r>
      <w:r>
        <w:rPr>
          <w:vertAlign w:val="baseline"/>
        </w:rPr>
        <w:t>has</w:t>
      </w:r>
      <w:r>
        <w:rPr>
          <w:spacing w:val="-1"/>
          <w:vertAlign w:val="baseline"/>
        </w:rPr>
        <w:t> </w:t>
      </w:r>
      <w:r>
        <w:rPr>
          <w:vertAlign w:val="baseline"/>
        </w:rPr>
        <w:t>no effects on glucose metabolism or insulin sensitivity in normal women but exerts a modest improvement in insulin resistance in women who are </w:t>
      </w:r>
      <w:r>
        <w:rPr>
          <w:spacing w:val="-2"/>
          <w:vertAlign w:val="baseline"/>
        </w:rPr>
        <w:t>hyperinsulinemic.</w:t>
      </w:r>
      <w:r>
        <w:rPr>
          <w:spacing w:val="-2"/>
          <w:vertAlign w:val="superscript"/>
        </w:rPr>
        <w:t>1219,1220</w:t>
      </w:r>
    </w:p>
    <w:p>
      <w:pPr>
        <w:pStyle w:val="BodyText"/>
        <w:spacing w:before="0"/>
        <w:ind w:left="0"/>
        <w:jc w:val="left"/>
        <w:rPr>
          <w:sz w:val="20"/>
        </w:rPr>
      </w:pPr>
    </w:p>
    <w:p>
      <w:pPr>
        <w:pStyle w:val="BodyText"/>
        <w:spacing w:before="133"/>
        <w:ind w:left="0"/>
        <w:jc w:val="left"/>
        <w:rPr>
          <w:sz w:val="20"/>
        </w:rPr>
      </w:pPr>
      <w:r>
        <w:rPr>
          <w:sz w:val="20"/>
        </w:rPr>
        <mc:AlternateContent>
          <mc:Choice Requires="wps">
            <w:drawing>
              <wp:anchor distT="0" distB="0" distL="0" distR="0" allowOverlap="1" layoutInCell="1" locked="0" behindDoc="1" simplePos="0" relativeHeight="487672320">
                <wp:simplePos x="0" y="0"/>
                <wp:positionH relativeFrom="page">
                  <wp:posOffset>981075</wp:posOffset>
                </wp:positionH>
                <wp:positionV relativeFrom="paragraph">
                  <wp:posOffset>245909</wp:posOffset>
                </wp:positionV>
                <wp:extent cx="285750" cy="5715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285750" cy="57150"/>
                        </a:xfrm>
                        <a:custGeom>
                          <a:avLst/>
                          <a:gdLst/>
                          <a:ahLst/>
                          <a:cxnLst/>
                          <a:rect l="l" t="t" r="r" b="b"/>
                          <a:pathLst>
                            <a:path w="285750" h="57150">
                              <a:moveTo>
                                <a:pt x="28575" y="57149"/>
                              </a:moveTo>
                              <a:lnTo>
                                <a:pt x="24785" y="56997"/>
                              </a:lnTo>
                              <a:lnTo>
                                <a:pt x="21140" y="56254"/>
                              </a:lnTo>
                              <a:lnTo>
                                <a:pt x="17639" y="54768"/>
                              </a:lnTo>
                              <a:lnTo>
                                <a:pt x="14138" y="53425"/>
                              </a:lnTo>
                              <a:lnTo>
                                <a:pt x="0" y="32299"/>
                              </a:lnTo>
                              <a:lnTo>
                                <a:pt x="0" y="24555"/>
                              </a:lnTo>
                              <a:lnTo>
                                <a:pt x="725" y="20840"/>
                              </a:lnTo>
                              <a:lnTo>
                                <a:pt x="3625" y="13992"/>
                              </a:lnTo>
                              <a:lnTo>
                                <a:pt x="5689" y="10868"/>
                              </a:lnTo>
                              <a:lnTo>
                                <a:pt x="8369" y="8181"/>
                              </a:lnTo>
                              <a:lnTo>
                                <a:pt x="11048" y="5362"/>
                              </a:lnTo>
                              <a:lnTo>
                                <a:pt x="14138" y="3419"/>
                              </a:lnTo>
                              <a:lnTo>
                                <a:pt x="21140" y="742"/>
                              </a:lnTo>
                              <a:lnTo>
                                <a:pt x="24785" y="0"/>
                              </a:lnTo>
                              <a:lnTo>
                                <a:pt x="32364" y="0"/>
                              </a:lnTo>
                              <a:lnTo>
                                <a:pt x="36009" y="742"/>
                              </a:lnTo>
                              <a:lnTo>
                                <a:pt x="43010" y="3419"/>
                              </a:lnTo>
                              <a:lnTo>
                                <a:pt x="46101" y="5362"/>
                              </a:lnTo>
                              <a:lnTo>
                                <a:pt x="48780" y="8181"/>
                              </a:lnTo>
                              <a:lnTo>
                                <a:pt x="51459" y="10868"/>
                              </a:lnTo>
                              <a:lnTo>
                                <a:pt x="53524" y="13992"/>
                              </a:lnTo>
                              <a:lnTo>
                                <a:pt x="56424" y="20840"/>
                              </a:lnTo>
                              <a:lnTo>
                                <a:pt x="57149" y="24555"/>
                              </a:lnTo>
                              <a:lnTo>
                                <a:pt x="57149" y="32299"/>
                              </a:lnTo>
                              <a:lnTo>
                                <a:pt x="39510" y="54768"/>
                              </a:lnTo>
                              <a:lnTo>
                                <a:pt x="36009" y="56254"/>
                              </a:lnTo>
                              <a:lnTo>
                                <a:pt x="32364" y="56997"/>
                              </a:lnTo>
                              <a:lnTo>
                                <a:pt x="28575" y="57149"/>
                              </a:lnTo>
                              <a:close/>
                            </a:path>
                            <a:path w="285750" h="57150">
                              <a:moveTo>
                                <a:pt x="142779" y="57149"/>
                              </a:moveTo>
                              <a:lnTo>
                                <a:pt x="138990" y="56997"/>
                              </a:lnTo>
                              <a:lnTo>
                                <a:pt x="135345" y="56254"/>
                              </a:lnTo>
                              <a:lnTo>
                                <a:pt x="131844" y="54768"/>
                              </a:lnTo>
                              <a:lnTo>
                                <a:pt x="128343" y="53425"/>
                              </a:lnTo>
                              <a:lnTo>
                                <a:pt x="114204" y="32299"/>
                              </a:lnTo>
                              <a:lnTo>
                                <a:pt x="114204" y="24555"/>
                              </a:lnTo>
                              <a:lnTo>
                                <a:pt x="114929" y="20840"/>
                              </a:lnTo>
                              <a:lnTo>
                                <a:pt x="117829" y="13992"/>
                              </a:lnTo>
                              <a:lnTo>
                                <a:pt x="119894" y="10868"/>
                              </a:lnTo>
                              <a:lnTo>
                                <a:pt x="122574" y="8181"/>
                              </a:lnTo>
                              <a:lnTo>
                                <a:pt x="125253" y="5362"/>
                              </a:lnTo>
                              <a:lnTo>
                                <a:pt x="128343" y="3419"/>
                              </a:lnTo>
                              <a:lnTo>
                                <a:pt x="135345" y="742"/>
                              </a:lnTo>
                              <a:lnTo>
                                <a:pt x="138990" y="0"/>
                              </a:lnTo>
                              <a:lnTo>
                                <a:pt x="146569" y="0"/>
                              </a:lnTo>
                              <a:lnTo>
                                <a:pt x="150214" y="742"/>
                              </a:lnTo>
                              <a:lnTo>
                                <a:pt x="157215" y="3419"/>
                              </a:lnTo>
                              <a:lnTo>
                                <a:pt x="160305" y="5362"/>
                              </a:lnTo>
                              <a:lnTo>
                                <a:pt x="162985" y="8181"/>
                              </a:lnTo>
                              <a:lnTo>
                                <a:pt x="165664" y="10868"/>
                              </a:lnTo>
                              <a:lnTo>
                                <a:pt x="167729" y="13992"/>
                              </a:lnTo>
                              <a:lnTo>
                                <a:pt x="170629" y="20840"/>
                              </a:lnTo>
                              <a:lnTo>
                                <a:pt x="171354" y="24555"/>
                              </a:lnTo>
                              <a:lnTo>
                                <a:pt x="171354" y="32299"/>
                              </a:lnTo>
                              <a:lnTo>
                                <a:pt x="153714" y="54768"/>
                              </a:lnTo>
                              <a:lnTo>
                                <a:pt x="150214" y="56254"/>
                              </a:lnTo>
                              <a:lnTo>
                                <a:pt x="146569" y="56997"/>
                              </a:lnTo>
                              <a:lnTo>
                                <a:pt x="142779" y="57149"/>
                              </a:lnTo>
                              <a:close/>
                            </a:path>
                            <a:path w="285750" h="57150">
                              <a:moveTo>
                                <a:pt x="256984" y="57149"/>
                              </a:moveTo>
                              <a:lnTo>
                                <a:pt x="253195" y="56997"/>
                              </a:lnTo>
                              <a:lnTo>
                                <a:pt x="249550" y="56254"/>
                              </a:lnTo>
                              <a:lnTo>
                                <a:pt x="246049" y="54768"/>
                              </a:lnTo>
                              <a:lnTo>
                                <a:pt x="242548" y="53425"/>
                              </a:lnTo>
                              <a:lnTo>
                                <a:pt x="228409" y="32299"/>
                              </a:lnTo>
                              <a:lnTo>
                                <a:pt x="228409" y="24555"/>
                              </a:lnTo>
                              <a:lnTo>
                                <a:pt x="229134" y="20840"/>
                              </a:lnTo>
                              <a:lnTo>
                                <a:pt x="232034" y="13992"/>
                              </a:lnTo>
                              <a:lnTo>
                                <a:pt x="234099" y="10868"/>
                              </a:lnTo>
                              <a:lnTo>
                                <a:pt x="236778" y="8181"/>
                              </a:lnTo>
                              <a:lnTo>
                                <a:pt x="239458" y="5362"/>
                              </a:lnTo>
                              <a:lnTo>
                                <a:pt x="242548" y="3419"/>
                              </a:lnTo>
                              <a:lnTo>
                                <a:pt x="249550" y="742"/>
                              </a:lnTo>
                              <a:lnTo>
                                <a:pt x="253195" y="0"/>
                              </a:lnTo>
                              <a:lnTo>
                                <a:pt x="260773" y="0"/>
                              </a:lnTo>
                              <a:lnTo>
                                <a:pt x="264418" y="742"/>
                              </a:lnTo>
                              <a:lnTo>
                                <a:pt x="271420" y="3419"/>
                              </a:lnTo>
                              <a:lnTo>
                                <a:pt x="274510" y="5362"/>
                              </a:lnTo>
                              <a:lnTo>
                                <a:pt x="277190" y="8181"/>
                              </a:lnTo>
                              <a:lnTo>
                                <a:pt x="279869" y="10868"/>
                              </a:lnTo>
                              <a:lnTo>
                                <a:pt x="281934" y="13992"/>
                              </a:lnTo>
                              <a:lnTo>
                                <a:pt x="284834" y="20840"/>
                              </a:lnTo>
                              <a:lnTo>
                                <a:pt x="285559" y="24555"/>
                              </a:lnTo>
                              <a:lnTo>
                                <a:pt x="285559" y="32299"/>
                              </a:lnTo>
                              <a:lnTo>
                                <a:pt x="267919" y="54768"/>
                              </a:lnTo>
                              <a:lnTo>
                                <a:pt x="264418" y="56254"/>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362921pt;width:22.5pt;height:4.5pt;mso-position-horizontal-relative:page;mso-position-vertical-relative:paragraph;z-index:-15644160;mso-wrap-distance-left:0;mso-wrap-distance-right:0" id="docshape290" coordorigin="1545,387" coordsize="450,90" path="m1590,477l1584,477,1578,476,1573,474,1567,471,1562,468,1554,460,1551,455,1548,449,1546,444,1545,438,1545,426,1546,420,1551,409,1554,404,1558,400,1562,396,1567,393,1578,388,1584,387,1596,387,1602,388,1613,393,1618,396,1622,400,1626,404,1629,409,1634,420,1635,426,1635,438,1634,444,1632,449,1629,455,1626,460,1618,468,1613,471,1607,474,1602,476,1596,477,1590,477xm1770,477l1764,477,1758,476,1753,474,1747,471,1742,468,1734,460,1731,455,1728,449,1726,444,1725,438,1725,426,1726,420,1731,409,1734,404,1738,400,1742,396,1747,393,1758,388,1764,387,1776,387,1782,388,1793,393,1797,396,1802,400,1806,404,1809,409,1814,420,1815,426,1815,438,1814,444,1811,449,1809,455,1806,460,1797,468,1793,471,1787,474,1782,476,1776,477,1770,477xm1950,477l1944,477,1938,476,1932,474,1927,471,1922,468,1914,460,1910,455,1908,449,1906,444,1905,438,1905,426,1906,420,1910,409,1914,404,1918,400,1922,396,1927,393,1938,388,1944,387,1956,387,1961,388,1972,393,1977,396,1982,400,1986,404,1989,409,1994,420,1995,426,1995,438,1994,444,1991,449,1989,455,1986,460,1977,468,1972,471,1967,474,1961,476,1956,477,1950,477xe" filled="true" fillcolor="#bdb4d4" stroked="false">
                <v:path arrowok="t"/>
                <v:fill type="solid"/>
                <w10:wrap type="topAndBottom"/>
              </v:shape>
            </w:pict>
          </mc:Fallback>
        </mc:AlternateContent>
      </w:r>
    </w:p>
    <w:p>
      <w:pPr>
        <w:pStyle w:val="Heading3"/>
        <w:spacing w:line="249" w:lineRule="auto" w:after="59"/>
        <w:ind w:right="255"/>
      </w:pPr>
      <w:r>
        <w:rPr>
          <w:color w:val="534089"/>
        </w:rPr>
        <w:t>IMPLICATIONS</w:t>
      </w:r>
      <w:r>
        <w:rPr>
          <w:color w:val="534089"/>
          <w:spacing w:val="-10"/>
        </w:rPr>
        <w:t> </w:t>
      </w:r>
      <w:r>
        <w:rPr>
          <w:color w:val="534089"/>
        </w:rPr>
        <w:t>OF</w:t>
      </w:r>
      <w:r>
        <w:rPr>
          <w:color w:val="534089"/>
          <w:spacing w:val="-10"/>
        </w:rPr>
        <w:t> </w:t>
      </w:r>
      <w:r>
        <w:rPr>
          <w:color w:val="534089"/>
        </w:rPr>
        <w:t>HORMONE</w:t>
      </w:r>
      <w:r>
        <w:rPr>
          <w:color w:val="534089"/>
          <w:spacing w:val="-10"/>
        </w:rPr>
        <w:t> </w:t>
      </w:r>
      <w:r>
        <w:rPr>
          <w:color w:val="534089"/>
        </w:rPr>
        <w:t>THERAPY</w:t>
      </w:r>
      <w:r>
        <w:rPr>
          <w:color w:val="534089"/>
          <w:spacing w:val="-10"/>
        </w:rPr>
        <w:t> </w:t>
      </w:r>
      <w:r>
        <w:rPr>
          <w:color w:val="534089"/>
        </w:rPr>
        <w:t>FOR</w:t>
      </w:r>
      <w:r>
        <w:rPr>
          <w:color w:val="534089"/>
          <w:spacing w:val="-10"/>
        </w:rPr>
        <w:t> </w:t>
      </w:r>
      <w:r>
        <w:rPr>
          <w:color w:val="534089"/>
        </w:rPr>
        <w:t>WOMEN</w:t>
      </w:r>
      <w:r>
        <w:rPr>
          <w:color w:val="534089"/>
          <w:spacing w:val="-10"/>
        </w:rPr>
        <w:t> </w:t>
      </w:r>
      <w:r>
        <w:rPr>
          <w:color w:val="534089"/>
        </w:rPr>
        <w:t>WITH LIVER DISEASE</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14" name="Group 314"/>
                <wp:cNvGraphicFramePr>
                  <a:graphicFrameLocks/>
                </wp:cNvGraphicFramePr>
                <a:graphic>
                  <a:graphicData uri="http://schemas.microsoft.com/office/word/2010/wordprocessingGroup">
                    <wpg:wgp>
                      <wpg:cNvPr id="314" name="Group 314"/>
                      <wpg:cNvGrpSpPr/>
                      <wpg:grpSpPr>
                        <a:xfrm>
                          <a:off x="0" y="0"/>
                          <a:ext cx="5810250" cy="19050"/>
                          <a:chExt cx="5810250" cy="19050"/>
                        </a:xfrm>
                      </wpg:grpSpPr>
                      <wps:wsp>
                        <wps:cNvPr id="315" name="Graphic 31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91" coordorigin="0,0" coordsize="9150,30">
                <v:rect style="position:absolute;left:0;top:0;width:9150;height:30" id="docshape292" filled="true" fillcolor="#534089" stroked="false">
                  <v:fill type="solid"/>
                </v:rect>
              </v:group>
            </w:pict>
          </mc:Fallback>
        </mc:AlternateContent>
      </w:r>
      <w:r>
        <w:rPr>
          <w:rFonts w:ascii="Arial"/>
          <w:position w:val="0"/>
          <w:sz w:val="2"/>
        </w:rPr>
      </w:r>
    </w:p>
    <w:p>
      <w:pPr>
        <w:pStyle w:val="BodyText"/>
        <w:spacing w:line="249" w:lineRule="auto" w:before="215"/>
        <w:ind w:right="99"/>
      </w:pPr>
      <w:r>
        <w:rPr/>
        <w:t>In an evaluation of liver chemistries in a group of patients with primary biliary cirrhosis, standard HT doses produced no adverse changes over a period of 1 year.</w:t>
      </w:r>
      <w:r>
        <w:rPr>
          <w:vertAlign w:val="superscript"/>
        </w:rPr>
        <w:t>1221</w:t>
      </w:r>
      <w:r>
        <w:rPr>
          <w:vertAlign w:val="baseline"/>
        </w:rPr>
        <w:t> Estrogen treatment, either oral or transdermal, has </w:t>
      </w:r>
      <w:r>
        <w:rPr>
          <w:vertAlign w:val="baseline"/>
        </w:rPr>
        <w:t>not been associated with worsening cholestasis in women with primary biliary cirrhosis.</w:t>
      </w:r>
      <w:r>
        <w:rPr>
          <w:vertAlign w:val="superscript"/>
        </w:rPr>
        <w:t>1222,1223</w:t>
      </w:r>
      <w:r>
        <w:rPr>
          <w:spacing w:val="43"/>
          <w:vertAlign w:val="baseline"/>
        </w:rPr>
        <w:t> </w:t>
      </w:r>
      <w:r>
        <w:rPr>
          <w:vertAlign w:val="baseline"/>
        </w:rPr>
        <w:t>We</w:t>
      </w:r>
      <w:r>
        <w:rPr>
          <w:spacing w:val="44"/>
          <w:vertAlign w:val="baseline"/>
        </w:rPr>
        <w:t> </w:t>
      </w:r>
      <w:r>
        <w:rPr>
          <w:vertAlign w:val="baseline"/>
        </w:rPr>
        <w:t>recommend</w:t>
      </w:r>
      <w:r>
        <w:rPr>
          <w:spacing w:val="44"/>
          <w:vertAlign w:val="baseline"/>
        </w:rPr>
        <w:t> </w:t>
      </w:r>
      <w:r>
        <w:rPr>
          <w:vertAlign w:val="baseline"/>
        </w:rPr>
        <w:t>measurement</w:t>
      </w:r>
      <w:r>
        <w:rPr>
          <w:spacing w:val="43"/>
          <w:vertAlign w:val="baseline"/>
        </w:rPr>
        <w:t> </w:t>
      </w:r>
      <w:r>
        <w:rPr>
          <w:vertAlign w:val="baseline"/>
        </w:rPr>
        <w:t>of</w:t>
      </w:r>
      <w:r>
        <w:rPr>
          <w:spacing w:val="44"/>
          <w:vertAlign w:val="baseline"/>
        </w:rPr>
        <w:t> </w:t>
      </w:r>
      <w:r>
        <w:rPr>
          <w:vertAlign w:val="baseline"/>
        </w:rPr>
        <w:t>liver</w:t>
      </w:r>
      <w:r>
        <w:rPr>
          <w:spacing w:val="44"/>
          <w:vertAlign w:val="baseline"/>
        </w:rPr>
        <w:t> </w:t>
      </w:r>
      <w:r>
        <w:rPr>
          <w:vertAlign w:val="baseline"/>
        </w:rPr>
        <w:t>chemistries</w:t>
      </w:r>
      <w:r>
        <w:rPr>
          <w:spacing w:val="43"/>
          <w:vertAlign w:val="baseline"/>
        </w:rPr>
        <w:t> </w:t>
      </w:r>
      <w:r>
        <w:rPr>
          <w:vertAlign w:val="baseline"/>
        </w:rPr>
        <w:t>after</w:t>
      </w:r>
      <w:r>
        <w:rPr>
          <w:spacing w:val="44"/>
          <w:vertAlign w:val="baseline"/>
        </w:rPr>
        <w:t> </w:t>
      </w:r>
      <w:r>
        <w:rPr>
          <w:spacing w:val="-12"/>
          <w:vertAlign w:val="baseline"/>
        </w:rPr>
        <w:t>1</w:t>
      </w:r>
    </w:p>
    <w:p>
      <w:pPr>
        <w:pStyle w:val="BodyText"/>
        <w:spacing w:after="0" w:line="249" w:lineRule="auto"/>
        <w:sectPr>
          <w:pgSz w:w="12240" w:h="15840"/>
          <w:pgMar w:top="1380" w:bottom="280" w:left="1440" w:right="1440"/>
        </w:sectPr>
      </w:pPr>
    </w:p>
    <w:p>
      <w:pPr>
        <w:pStyle w:val="BodyText"/>
        <w:spacing w:line="249" w:lineRule="auto"/>
        <w:ind w:right="100"/>
      </w:pPr>
      <w:r>
        <w:rPr/>
        <w:t>month of treatment and every 6 months, with continuing HT in the </w:t>
      </w:r>
      <w:r>
        <w:rPr/>
        <w:t>absence of deterioration.</w:t>
      </w:r>
    </w:p>
    <w:p>
      <w:pPr>
        <w:pStyle w:val="BodyText"/>
        <w:spacing w:line="249" w:lineRule="auto" w:before="2"/>
        <w:ind w:right="98" w:firstLine="450"/>
      </w:pPr>
      <w:r>
        <w:rPr/>
        <w:t>A French cohort study concluded that HT protects against </w:t>
      </w:r>
      <w:r>
        <w:rPr/>
        <w:t>the progression of hepatic fibrosis from chronic hepatitis C.</w:t>
      </w:r>
      <w:r>
        <w:rPr>
          <w:vertAlign w:val="superscript"/>
        </w:rPr>
        <w:t>1224</w:t>
      </w:r>
      <w:r>
        <w:rPr>
          <w:vertAlign w:val="baseline"/>
        </w:rPr>
        <w:t> Most</w:t>
      </w:r>
      <w:r>
        <w:rPr>
          <w:spacing w:val="40"/>
          <w:vertAlign w:val="baseline"/>
        </w:rPr>
        <w:t> </w:t>
      </w:r>
      <w:r>
        <w:rPr>
          <w:vertAlign w:val="baseline"/>
        </w:rPr>
        <w:t>individuals</w:t>
      </w:r>
      <w:r>
        <w:rPr>
          <w:spacing w:val="-1"/>
          <w:vertAlign w:val="baseline"/>
        </w:rPr>
        <w:t> </w:t>
      </w:r>
      <w:r>
        <w:rPr>
          <w:vertAlign w:val="baseline"/>
        </w:rPr>
        <w:t>with</w:t>
      </w:r>
      <w:r>
        <w:rPr>
          <w:spacing w:val="-1"/>
          <w:vertAlign w:val="baseline"/>
        </w:rPr>
        <w:t> </w:t>
      </w:r>
      <w:r>
        <w:rPr>
          <w:vertAlign w:val="baseline"/>
        </w:rPr>
        <w:t>hepatitis</w:t>
      </w:r>
      <w:r>
        <w:rPr>
          <w:spacing w:val="-1"/>
          <w:vertAlign w:val="baseline"/>
        </w:rPr>
        <w:t> </w:t>
      </w:r>
      <w:r>
        <w:rPr>
          <w:vertAlign w:val="baseline"/>
        </w:rPr>
        <w:t>C</w:t>
      </w:r>
      <w:r>
        <w:rPr>
          <w:spacing w:val="-1"/>
          <w:vertAlign w:val="baseline"/>
        </w:rPr>
        <w:t> </w:t>
      </w:r>
      <w:r>
        <w:rPr>
          <w:vertAlign w:val="baseline"/>
        </w:rPr>
        <w:t>virus</w:t>
      </w:r>
      <w:r>
        <w:rPr>
          <w:spacing w:val="-1"/>
          <w:vertAlign w:val="baseline"/>
        </w:rPr>
        <w:t> </w:t>
      </w:r>
      <w:r>
        <w:rPr>
          <w:vertAlign w:val="baseline"/>
        </w:rPr>
        <w:t>infection</w:t>
      </w:r>
      <w:r>
        <w:rPr>
          <w:spacing w:val="-1"/>
          <w:vertAlign w:val="baseline"/>
        </w:rPr>
        <w:t> </w:t>
      </w:r>
      <w:r>
        <w:rPr>
          <w:vertAlign w:val="baseline"/>
        </w:rPr>
        <w:t>develop</w:t>
      </w:r>
      <w:r>
        <w:rPr>
          <w:spacing w:val="-1"/>
          <w:vertAlign w:val="baseline"/>
        </w:rPr>
        <w:t> </w:t>
      </w:r>
      <w:r>
        <w:rPr>
          <w:vertAlign w:val="baseline"/>
        </w:rPr>
        <w:t>chronic</w:t>
      </w:r>
      <w:r>
        <w:rPr>
          <w:spacing w:val="-1"/>
          <w:vertAlign w:val="baseline"/>
        </w:rPr>
        <w:t> </w:t>
      </w:r>
      <w:r>
        <w:rPr>
          <w:vertAlign w:val="baseline"/>
        </w:rPr>
        <w:t>disease,</w:t>
      </w:r>
      <w:r>
        <w:rPr>
          <w:spacing w:val="-1"/>
          <w:vertAlign w:val="baseline"/>
        </w:rPr>
        <w:t> </w:t>
      </w:r>
      <w:r>
        <w:rPr>
          <w:vertAlign w:val="baseline"/>
        </w:rPr>
        <w:t>a</w:t>
      </w:r>
      <w:r>
        <w:rPr>
          <w:spacing w:val="-1"/>
          <w:vertAlign w:val="baseline"/>
        </w:rPr>
        <w:t> </w:t>
      </w:r>
      <w:r>
        <w:rPr>
          <w:vertAlign w:val="baseline"/>
        </w:rPr>
        <w:t>major cause of worldwide morbidity and mortality from liver fibrosis. The time course is relatively slow, taking years to progress from infection to cirrhosis. Progression is increased by consumption of alcohol, excess body weight, diabetes, and the degree of fatty degeneration in the liver. The severity of liver fibrosis is greater in men, and progression in women accelerates around age 60. In vitro and animal experiments have documented a beneficial effect of estrogen on the development of fibrosis, an effect that is consistent with the data in the French study finding greater progression of fibrosis after menopause and amelioration with HT. Another French study, a retrospective survey, reported a greater rate of fibrosis progression with hepatitis C in postmenopausal and nulliparous women and a lower rate in postmenopausal women treated with HT compared with nontreated women.</w:t>
      </w:r>
      <w:r>
        <w:rPr>
          <w:vertAlign w:val="superscript"/>
        </w:rPr>
        <w:t>1225</w:t>
      </w:r>
    </w:p>
    <w:p>
      <w:pPr>
        <w:pStyle w:val="BodyText"/>
        <w:spacing w:line="249" w:lineRule="auto" w:before="20"/>
        <w:ind w:right="100" w:firstLine="450"/>
      </w:pPr>
      <w:r>
        <w:rPr/>
        <w:t>Liver fibrosis from hepatitis C infection is not the result of </w:t>
      </w:r>
      <w:r>
        <w:rPr/>
        <w:t>viral destruction of hepatic cells. Fibrosis is a response to the inflammatory activity incited by the virus. By now, it is well known that estrogen can suppress the secretion of pro-inflammatory cytokines. Because of the prevalence of hepatitis C infection, these French reports are very important. Many clinicians are reluctant to prescribe HT to women with a history of liver disease. However, as long as liver enzymes are normal, there is no reason to withhold treatment, and these French studies indicate that ET is beneficial. Postmenopausal HT should be discussed when women present with a history of hepatitis C infection.</w:t>
      </w:r>
    </w:p>
    <w:p>
      <w:pPr>
        <w:pStyle w:val="BodyText"/>
        <w:spacing w:line="249" w:lineRule="auto" w:before="12"/>
        <w:ind w:right="98" w:firstLine="450"/>
      </w:pPr>
      <w:r>
        <w:rPr/>
        <w:t>The lesson learned from the earlier-mentioned conditions is </w:t>
      </w:r>
      <w:r>
        <w:rPr/>
        <w:t>that estrogen-alone and estrogen-progestin treatment including contraception is acceptable as long as liver enzyme function is normal. This caveat is also true for women who have undergone organ transplantation surgery.</w:t>
      </w:r>
      <w:r>
        <w:rPr>
          <w:vertAlign w:val="superscript"/>
        </w:rPr>
        <w:t>1226</w:t>
      </w:r>
    </w:p>
    <w:p>
      <w:pPr>
        <w:spacing w:line="249" w:lineRule="auto" w:before="5"/>
        <w:ind w:left="99" w:right="102" w:firstLine="450"/>
        <w:jc w:val="both"/>
        <w:rPr>
          <w:b/>
          <w:sz w:val="30"/>
        </w:rPr>
      </w:pPr>
      <w:r>
        <w:rPr>
          <w:b/>
          <w:sz w:val="30"/>
        </w:rPr>
        <w:t>HT should be avoided in the setting of chronically impaired </w:t>
      </w:r>
      <w:r>
        <w:rPr>
          <w:b/>
          <w:sz w:val="30"/>
        </w:rPr>
        <w:t>liver </w:t>
      </w:r>
      <w:r>
        <w:rPr>
          <w:b/>
          <w:spacing w:val="-2"/>
          <w:sz w:val="30"/>
        </w:rPr>
        <w:t>function.</w:t>
      </w:r>
    </w:p>
    <w:p>
      <w:pPr>
        <w:pStyle w:val="BodyText"/>
        <w:spacing w:before="0"/>
        <w:ind w:left="0"/>
        <w:jc w:val="left"/>
        <w:rPr>
          <w:b/>
          <w:sz w:val="20"/>
        </w:rPr>
      </w:pPr>
    </w:p>
    <w:p>
      <w:pPr>
        <w:pStyle w:val="BodyText"/>
        <w:spacing w:before="114"/>
        <w:ind w:left="0"/>
        <w:jc w:val="left"/>
        <w:rPr>
          <w:b/>
          <w:sz w:val="20"/>
        </w:rPr>
      </w:pPr>
      <w:r>
        <w:rPr>
          <w:b/>
          <w:sz w:val="20"/>
        </w:rPr>
        <mc:AlternateContent>
          <mc:Choice Requires="wps">
            <w:drawing>
              <wp:anchor distT="0" distB="0" distL="0" distR="0" allowOverlap="1" layoutInCell="1" locked="0" behindDoc="1" simplePos="0" relativeHeight="487673344">
                <wp:simplePos x="0" y="0"/>
                <wp:positionH relativeFrom="page">
                  <wp:posOffset>981075</wp:posOffset>
                </wp:positionH>
                <wp:positionV relativeFrom="paragraph">
                  <wp:posOffset>233682</wp:posOffset>
                </wp:positionV>
                <wp:extent cx="285750" cy="5715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285750" cy="57150"/>
                        </a:xfrm>
                        <a:custGeom>
                          <a:avLst/>
                          <a:gdLst/>
                          <a:ahLst/>
                          <a:cxnLst/>
                          <a:rect l="l" t="t" r="r" b="b"/>
                          <a:pathLst>
                            <a:path w="285750" h="57150">
                              <a:moveTo>
                                <a:pt x="28575" y="57149"/>
                              </a:moveTo>
                              <a:lnTo>
                                <a:pt x="0" y="32299"/>
                              </a:lnTo>
                              <a:lnTo>
                                <a:pt x="0" y="24707"/>
                              </a:lnTo>
                              <a:lnTo>
                                <a:pt x="8369" y="8334"/>
                              </a:lnTo>
                              <a:lnTo>
                                <a:pt x="11048" y="5505"/>
                              </a:lnTo>
                              <a:lnTo>
                                <a:pt x="14138" y="3419"/>
                              </a:lnTo>
                              <a:lnTo>
                                <a:pt x="17639" y="1933"/>
                              </a:lnTo>
                              <a:lnTo>
                                <a:pt x="21140" y="600"/>
                              </a:lnTo>
                              <a:lnTo>
                                <a:pt x="24785" y="0"/>
                              </a:lnTo>
                              <a:lnTo>
                                <a:pt x="32364" y="0"/>
                              </a:lnTo>
                              <a:lnTo>
                                <a:pt x="48780" y="8334"/>
                              </a:lnTo>
                              <a:lnTo>
                                <a:pt x="51459" y="10868"/>
                              </a:lnTo>
                              <a:lnTo>
                                <a:pt x="53524" y="13992"/>
                              </a:lnTo>
                              <a:lnTo>
                                <a:pt x="54974" y="17411"/>
                              </a:lnTo>
                              <a:lnTo>
                                <a:pt x="56424" y="20983"/>
                              </a:lnTo>
                              <a:lnTo>
                                <a:pt x="57149" y="24707"/>
                              </a:lnTo>
                              <a:lnTo>
                                <a:pt x="57149" y="32299"/>
                              </a:lnTo>
                              <a:lnTo>
                                <a:pt x="32364" y="56997"/>
                              </a:lnTo>
                              <a:lnTo>
                                <a:pt x="28575" y="57149"/>
                              </a:lnTo>
                              <a:close/>
                            </a:path>
                            <a:path w="285750" h="57150">
                              <a:moveTo>
                                <a:pt x="142779" y="57149"/>
                              </a:moveTo>
                              <a:lnTo>
                                <a:pt x="114204" y="32299"/>
                              </a:lnTo>
                              <a:lnTo>
                                <a:pt x="114204" y="24707"/>
                              </a:lnTo>
                              <a:lnTo>
                                <a:pt x="122574" y="8334"/>
                              </a:lnTo>
                              <a:lnTo>
                                <a:pt x="125253" y="5505"/>
                              </a:lnTo>
                              <a:lnTo>
                                <a:pt x="128343" y="3419"/>
                              </a:lnTo>
                              <a:lnTo>
                                <a:pt x="131844" y="1933"/>
                              </a:lnTo>
                              <a:lnTo>
                                <a:pt x="135345" y="600"/>
                              </a:lnTo>
                              <a:lnTo>
                                <a:pt x="138990" y="0"/>
                              </a:lnTo>
                              <a:lnTo>
                                <a:pt x="146569" y="0"/>
                              </a:lnTo>
                              <a:lnTo>
                                <a:pt x="162985" y="8334"/>
                              </a:lnTo>
                              <a:lnTo>
                                <a:pt x="165664" y="10868"/>
                              </a:lnTo>
                              <a:lnTo>
                                <a:pt x="167729" y="13992"/>
                              </a:lnTo>
                              <a:lnTo>
                                <a:pt x="169179" y="17411"/>
                              </a:lnTo>
                              <a:lnTo>
                                <a:pt x="170629" y="20983"/>
                              </a:lnTo>
                              <a:lnTo>
                                <a:pt x="171354" y="24707"/>
                              </a:lnTo>
                              <a:lnTo>
                                <a:pt x="171354" y="32299"/>
                              </a:lnTo>
                              <a:lnTo>
                                <a:pt x="146569" y="56997"/>
                              </a:lnTo>
                              <a:lnTo>
                                <a:pt x="142779" y="57149"/>
                              </a:lnTo>
                              <a:close/>
                            </a:path>
                            <a:path w="285750" h="57150">
                              <a:moveTo>
                                <a:pt x="256984" y="57149"/>
                              </a:moveTo>
                              <a:lnTo>
                                <a:pt x="228409" y="32299"/>
                              </a:lnTo>
                              <a:lnTo>
                                <a:pt x="228409" y="24707"/>
                              </a:lnTo>
                              <a:lnTo>
                                <a:pt x="236778" y="8334"/>
                              </a:lnTo>
                              <a:lnTo>
                                <a:pt x="239458" y="5505"/>
                              </a:lnTo>
                              <a:lnTo>
                                <a:pt x="242548" y="3419"/>
                              </a:lnTo>
                              <a:lnTo>
                                <a:pt x="246049" y="1933"/>
                              </a:lnTo>
                              <a:lnTo>
                                <a:pt x="249550" y="600"/>
                              </a:lnTo>
                              <a:lnTo>
                                <a:pt x="253195" y="0"/>
                              </a:lnTo>
                              <a:lnTo>
                                <a:pt x="260773" y="0"/>
                              </a:lnTo>
                              <a:lnTo>
                                <a:pt x="277190" y="8334"/>
                              </a:lnTo>
                              <a:lnTo>
                                <a:pt x="279869" y="10868"/>
                              </a:lnTo>
                              <a:lnTo>
                                <a:pt x="281934" y="13992"/>
                              </a:lnTo>
                              <a:lnTo>
                                <a:pt x="283384" y="17411"/>
                              </a:lnTo>
                              <a:lnTo>
                                <a:pt x="284834" y="20983"/>
                              </a:lnTo>
                              <a:lnTo>
                                <a:pt x="285559" y="24707"/>
                              </a:lnTo>
                              <a:lnTo>
                                <a:pt x="285559" y="32299"/>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400166pt;width:22.5pt;height:4.5pt;mso-position-horizontal-relative:page;mso-position-vertical-relative:paragraph;z-index:-15643136;mso-wrap-distance-left:0;mso-wrap-distance-right:0" id="docshape293" coordorigin="1545,368" coordsize="450,90" path="m1590,458l1584,458,1578,457,1567,452,1562,449,1558,445,1554,440,1551,435,1546,424,1545,419,1545,407,1546,401,1548,395,1551,390,1554,385,1558,381,1562,377,1567,373,1573,371,1578,369,1584,368,1596,368,1602,369,1607,371,1613,373,1618,377,1622,381,1626,385,1629,390,1632,395,1634,401,1635,407,1635,419,1634,424,1629,435,1626,440,1622,445,1618,449,1613,452,1602,457,1596,458,1590,458xm1770,458l1764,458,1758,457,1747,452,1742,449,1738,445,1734,440,1731,435,1726,424,1725,419,1725,407,1726,401,1728,395,1731,390,1734,385,1738,381,1742,377,1747,373,1753,371,1758,369,1764,368,1776,368,1782,369,1787,371,1793,373,1797,377,1802,381,1806,385,1809,390,1811,395,1814,401,1815,407,1815,419,1814,424,1809,435,1806,440,1802,445,1797,449,1793,452,1782,457,1776,458,1770,458xm1950,458l1944,458,1938,457,1927,452,1922,449,1918,445,1914,440,1910,435,1906,424,1905,419,1905,407,1906,401,1908,395,1910,390,1914,385,1918,381,1922,377,1927,373,1932,371,1938,369,1944,368,1956,368,1961,369,1967,371,1972,373,1977,377,1982,381,1986,385,1989,390,1991,395,1994,401,1995,407,1995,419,1994,424,1989,435,1986,440,1982,445,1977,449,1972,452,1961,457,1956,458,1950,458xe" filled="true" fillcolor="#bdb4d4" stroked="false">
                <v:path arrowok="t"/>
                <v:fill type="solid"/>
                <w10:wrap type="topAndBottom"/>
              </v:shape>
            </w:pict>
          </mc:Fallback>
        </mc:AlternateContent>
      </w:r>
    </w:p>
    <w:p>
      <w:pPr>
        <w:pStyle w:val="BodyText"/>
        <w:spacing w:after="0"/>
        <w:jc w:val="left"/>
        <w:rPr>
          <w:b/>
          <w:sz w:val="20"/>
        </w:rPr>
        <w:sectPr>
          <w:pgSz w:w="12240" w:h="15840"/>
          <w:pgMar w:top="1380" w:bottom="280" w:left="1440" w:right="1440"/>
        </w:sectPr>
      </w:pPr>
    </w:p>
    <w:p>
      <w:pPr>
        <w:pStyle w:val="Heading3"/>
        <w:spacing w:line="249" w:lineRule="auto" w:before="63"/>
        <w:ind w:right="255"/>
      </w:pPr>
      <w:r>
        <w:rPr/>
        <mc:AlternateContent>
          <mc:Choice Requires="wps">
            <w:drawing>
              <wp:anchor distT="0" distB="0" distL="0" distR="0" allowOverlap="1" layoutInCell="1" locked="0" behindDoc="1" simplePos="0" relativeHeight="487673856">
                <wp:simplePos x="0" y="0"/>
                <wp:positionH relativeFrom="page">
                  <wp:posOffset>981075</wp:posOffset>
                </wp:positionH>
                <wp:positionV relativeFrom="paragraph">
                  <wp:posOffset>533435</wp:posOffset>
                </wp:positionV>
                <wp:extent cx="5810250" cy="1905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42.002834pt;width:457.499964pt;height:1.5pt;mso-position-horizontal-relative:page;mso-position-vertical-relative:paragraph;z-index:-15642624;mso-wrap-distance-left:0;mso-wrap-distance-right:0" id="docshape294" filled="true" fillcolor="#534089" stroked="false">
                <v:fill type="solid"/>
                <w10:wrap type="topAndBottom"/>
              </v:rect>
            </w:pict>
          </mc:Fallback>
        </mc:AlternateContent>
      </w:r>
      <w:r>
        <w:rPr>
          <w:color w:val="534089"/>
        </w:rPr>
        <w:t>HORMONE</w:t>
      </w:r>
      <w:r>
        <w:rPr>
          <w:color w:val="534089"/>
          <w:spacing w:val="-10"/>
        </w:rPr>
        <w:t> </w:t>
      </w:r>
      <w:r>
        <w:rPr>
          <w:color w:val="534089"/>
        </w:rPr>
        <w:t>TREATMENT</w:t>
      </w:r>
      <w:r>
        <w:rPr>
          <w:color w:val="534089"/>
          <w:spacing w:val="-10"/>
        </w:rPr>
        <w:t> </w:t>
      </w:r>
      <w:r>
        <w:rPr>
          <w:color w:val="534089"/>
        </w:rPr>
        <w:t>IN</w:t>
      </w:r>
      <w:r>
        <w:rPr>
          <w:color w:val="534089"/>
          <w:spacing w:val="-10"/>
        </w:rPr>
        <w:t> </w:t>
      </w:r>
      <w:r>
        <w:rPr>
          <w:color w:val="534089"/>
        </w:rPr>
        <w:t>THE</w:t>
      </w:r>
      <w:r>
        <w:rPr>
          <w:color w:val="534089"/>
          <w:spacing w:val="-10"/>
        </w:rPr>
        <w:t> </w:t>
      </w:r>
      <w:r>
        <w:rPr>
          <w:color w:val="534089"/>
        </w:rPr>
        <w:t>PRESENCE</w:t>
      </w:r>
      <w:r>
        <w:rPr>
          <w:color w:val="534089"/>
          <w:spacing w:val="-10"/>
        </w:rPr>
        <w:t> </w:t>
      </w:r>
      <w:r>
        <w:rPr>
          <w:color w:val="534089"/>
        </w:rPr>
        <w:t>OF</w:t>
      </w:r>
      <w:r>
        <w:rPr>
          <w:color w:val="534089"/>
          <w:spacing w:val="-10"/>
        </w:rPr>
        <w:t> </w:t>
      </w:r>
      <w:r>
        <w:rPr>
          <w:color w:val="534089"/>
        </w:rPr>
        <w:t>UTERINE LEIOMYOMAS (FIBROIDS)</w:t>
      </w:r>
    </w:p>
    <w:p>
      <w:pPr>
        <w:pStyle w:val="BodyText"/>
        <w:spacing w:line="249" w:lineRule="auto" w:before="215"/>
        <w:ind w:right="99"/>
        <w:rPr>
          <w:b/>
        </w:rPr>
      </w:pPr>
      <w:r>
        <w:rPr/>
        <w:t>Uterine leiomyomas are monoclonal tumors that retain sensitivity to both estrogen and progestin (see Chapter 3); therefore, it is appropriate to be concerned over whether leiomyomas will grow in response to postmenopausal HT. As assessed by vaginal ultrasonography, the number and size of uterine leiomyomas increased in women being treated with </w:t>
      </w:r>
      <w:r>
        <w:rPr/>
        <w:t>an intramuscular depot form of estrogen-progestin therapy.</w:t>
      </w:r>
      <w:r>
        <w:rPr>
          <w:vertAlign w:val="superscript"/>
        </w:rPr>
        <w:t>1227</w:t>
      </w:r>
      <w:r>
        <w:rPr>
          <w:vertAlign w:val="baseline"/>
        </w:rPr>
        <w:t> However, the hormonal dose in this study was relatively high, certainly higher than standard regimens. At the end of 1 year, women with small asymptomatic fibroids administered with a daily combination of 0.625-mg conjugated estrogens and 2.5-mg MPA had no sonographic evidence of growth in contrast to an increase in size observed with transdermal estradiol (50 μg) and</w:t>
      </w:r>
      <w:r>
        <w:rPr>
          <w:spacing w:val="-4"/>
          <w:vertAlign w:val="baseline"/>
        </w:rPr>
        <w:t> </w:t>
      </w:r>
      <w:r>
        <w:rPr>
          <w:vertAlign w:val="baseline"/>
        </w:rPr>
        <w:t>5-mg</w:t>
      </w:r>
      <w:r>
        <w:rPr>
          <w:spacing w:val="-4"/>
          <w:vertAlign w:val="baseline"/>
        </w:rPr>
        <w:t> </w:t>
      </w:r>
      <w:r>
        <w:rPr>
          <w:vertAlign w:val="baseline"/>
        </w:rPr>
        <w:t>MPA</w:t>
      </w:r>
      <w:r>
        <w:rPr>
          <w:spacing w:val="-4"/>
          <w:vertAlign w:val="baseline"/>
        </w:rPr>
        <w:t> </w:t>
      </w:r>
      <w:r>
        <w:rPr>
          <w:vertAlign w:val="baseline"/>
        </w:rPr>
        <w:t>daily</w:t>
      </w:r>
      <w:r>
        <w:rPr>
          <w:spacing w:val="-4"/>
          <w:vertAlign w:val="baseline"/>
        </w:rPr>
        <w:t> </w:t>
      </w:r>
      <w:r>
        <w:rPr>
          <w:vertAlign w:val="baseline"/>
        </w:rPr>
        <w:t>(a</w:t>
      </w:r>
      <w:r>
        <w:rPr>
          <w:spacing w:val="-4"/>
          <w:vertAlign w:val="baseline"/>
        </w:rPr>
        <w:t> </w:t>
      </w:r>
      <w:r>
        <w:rPr>
          <w:vertAlign w:val="baseline"/>
        </w:rPr>
        <w:t>response</w:t>
      </w:r>
      <w:r>
        <w:rPr>
          <w:spacing w:val="-4"/>
          <w:vertAlign w:val="baseline"/>
        </w:rPr>
        <w:t> </w:t>
      </w:r>
      <w:r>
        <w:rPr>
          <w:vertAlign w:val="baseline"/>
        </w:rPr>
        <w:t>that</w:t>
      </w:r>
      <w:r>
        <w:rPr>
          <w:spacing w:val="-4"/>
          <w:vertAlign w:val="baseline"/>
        </w:rPr>
        <w:t> </w:t>
      </w:r>
      <w:r>
        <w:rPr>
          <w:vertAlign w:val="baseline"/>
        </w:rPr>
        <w:t>probably</w:t>
      </w:r>
      <w:r>
        <w:rPr>
          <w:spacing w:val="-4"/>
          <w:vertAlign w:val="baseline"/>
        </w:rPr>
        <w:t> </w:t>
      </w:r>
      <w:r>
        <w:rPr>
          <w:vertAlign w:val="baseline"/>
        </w:rPr>
        <w:t>reflects</w:t>
      </w:r>
      <w:r>
        <w:rPr>
          <w:spacing w:val="-4"/>
          <w:vertAlign w:val="baseline"/>
        </w:rPr>
        <w:t> </w:t>
      </w:r>
      <w:r>
        <w:rPr>
          <w:vertAlign w:val="baseline"/>
        </w:rPr>
        <w:t>the</w:t>
      </w:r>
      <w:r>
        <w:rPr>
          <w:spacing w:val="-4"/>
          <w:vertAlign w:val="baseline"/>
        </w:rPr>
        <w:t> </w:t>
      </w:r>
      <w:r>
        <w:rPr>
          <w:vertAlign w:val="baseline"/>
        </w:rPr>
        <w:t>effect</w:t>
      </w:r>
      <w:r>
        <w:rPr>
          <w:spacing w:val="-4"/>
          <w:vertAlign w:val="baseline"/>
        </w:rPr>
        <w:t> </w:t>
      </w:r>
      <w:r>
        <w:rPr>
          <w:vertAlign w:val="baseline"/>
        </w:rPr>
        <w:t>of</w:t>
      </w:r>
      <w:r>
        <w:rPr>
          <w:spacing w:val="-4"/>
          <w:vertAlign w:val="baseline"/>
        </w:rPr>
        <w:t> </w:t>
      </w:r>
      <w:r>
        <w:rPr>
          <w:vertAlign w:val="baseline"/>
        </w:rPr>
        <w:t>a</w:t>
      </w:r>
      <w:r>
        <w:rPr>
          <w:spacing w:val="-4"/>
          <w:vertAlign w:val="baseline"/>
        </w:rPr>
        <w:t> </w:t>
      </w:r>
      <w:r>
        <w:rPr>
          <w:vertAlign w:val="baseline"/>
        </w:rPr>
        <w:t>higher progestin dose).</w:t>
      </w:r>
      <w:r>
        <w:rPr>
          <w:vertAlign w:val="superscript"/>
        </w:rPr>
        <w:t>1228</w:t>
      </w:r>
      <w:r>
        <w:rPr>
          <w:vertAlign w:val="baseline"/>
        </w:rPr>
        <w:t> In follow-up studies with standard doses of estrogen-progestin or tibolone, ultrasonography detected no changes in uterine or myoma</w:t>
      </w:r>
      <w:r>
        <w:rPr>
          <w:spacing w:val="-7"/>
          <w:vertAlign w:val="baseline"/>
        </w:rPr>
        <w:t> </w:t>
      </w:r>
      <w:r>
        <w:rPr>
          <w:vertAlign w:val="baseline"/>
        </w:rPr>
        <w:t>volumes.</w:t>
      </w:r>
      <w:r>
        <w:rPr>
          <w:vertAlign w:val="superscript"/>
        </w:rPr>
        <w:t>1229-1231</w:t>
      </w:r>
      <w:r>
        <w:rPr>
          <w:vertAlign w:val="baseline"/>
        </w:rPr>
        <w:t> Clinical experience indicates that fibroid tumors of the uterus almost always are not stimulated to grow by the commonly utilized postmenopausal doses of estrogen and progestin. Tibolone and raloxifene also do not stimulate myoma growth.</w:t>
      </w:r>
      <w:r>
        <w:rPr>
          <w:vertAlign w:val="superscript"/>
        </w:rPr>
        <w:t>320,1232,1233</w:t>
      </w:r>
      <w:r>
        <w:rPr>
          <w:vertAlign w:val="baseline"/>
        </w:rPr>
        <w:t> Interestingly, however,</w:t>
      </w:r>
      <w:r>
        <w:rPr>
          <w:spacing w:val="40"/>
          <w:vertAlign w:val="baseline"/>
        </w:rPr>
        <w:t> </w:t>
      </w:r>
      <w:r>
        <w:rPr>
          <w:vertAlign w:val="baseline"/>
        </w:rPr>
        <w:t>a</w:t>
      </w:r>
      <w:r>
        <w:rPr>
          <w:spacing w:val="40"/>
          <w:vertAlign w:val="baseline"/>
        </w:rPr>
        <w:t> </w:t>
      </w:r>
      <w:r>
        <w:rPr>
          <w:vertAlign w:val="baseline"/>
        </w:rPr>
        <w:t>vulvar</w:t>
      </w:r>
      <w:r>
        <w:rPr>
          <w:spacing w:val="40"/>
          <w:vertAlign w:val="baseline"/>
        </w:rPr>
        <w:t> </w:t>
      </w:r>
      <w:r>
        <w:rPr>
          <w:vertAlign w:val="baseline"/>
        </w:rPr>
        <w:t>leiomyoma</w:t>
      </w:r>
      <w:r>
        <w:rPr>
          <w:spacing w:val="40"/>
          <w:vertAlign w:val="baseline"/>
        </w:rPr>
        <w:t> </w:t>
      </w:r>
      <w:r>
        <w:rPr>
          <w:vertAlign w:val="baseline"/>
        </w:rPr>
        <w:t>with</w:t>
      </w:r>
      <w:r>
        <w:rPr>
          <w:spacing w:val="40"/>
          <w:vertAlign w:val="baseline"/>
        </w:rPr>
        <w:t> </w:t>
      </w:r>
      <w:r>
        <w:rPr>
          <w:vertAlign w:val="baseline"/>
        </w:rPr>
        <w:t>growth</w:t>
      </w:r>
      <w:r>
        <w:rPr>
          <w:spacing w:val="40"/>
          <w:vertAlign w:val="baseline"/>
        </w:rPr>
        <w:t> </w:t>
      </w:r>
      <w:r>
        <w:rPr>
          <w:vertAlign w:val="baseline"/>
        </w:rPr>
        <w:t>stimulated</w:t>
      </w:r>
      <w:r>
        <w:rPr>
          <w:spacing w:val="40"/>
          <w:vertAlign w:val="baseline"/>
        </w:rPr>
        <w:t> </w:t>
      </w:r>
      <w:r>
        <w:rPr>
          <w:vertAlign w:val="baseline"/>
        </w:rPr>
        <w:t>by</w:t>
      </w:r>
      <w:r>
        <w:rPr>
          <w:spacing w:val="40"/>
          <w:vertAlign w:val="baseline"/>
        </w:rPr>
        <w:t> </w:t>
      </w:r>
      <w:r>
        <w:rPr>
          <w:vertAlign w:val="baseline"/>
        </w:rPr>
        <w:t>estrogen-progestin treatment has been reported.</w:t>
      </w:r>
      <w:r>
        <w:rPr>
          <w:vertAlign w:val="superscript"/>
        </w:rPr>
        <w:t>1234</w:t>
      </w:r>
      <w:r>
        <w:rPr>
          <w:vertAlign w:val="baseline"/>
        </w:rPr>
        <w:t> A case-control study could find no</w:t>
      </w:r>
      <w:r>
        <w:rPr>
          <w:spacing w:val="-3"/>
          <w:vertAlign w:val="baseline"/>
        </w:rPr>
        <w:t> </w:t>
      </w:r>
      <w:r>
        <w:rPr>
          <w:vertAlign w:val="baseline"/>
        </w:rPr>
        <w:t>statistically</w:t>
      </w:r>
      <w:r>
        <w:rPr>
          <w:spacing w:val="-3"/>
          <w:vertAlign w:val="baseline"/>
        </w:rPr>
        <w:t> </w:t>
      </w:r>
      <w:r>
        <w:rPr>
          <w:vertAlign w:val="baseline"/>
        </w:rPr>
        <w:t>significant</w:t>
      </w:r>
      <w:r>
        <w:rPr>
          <w:spacing w:val="-3"/>
          <w:vertAlign w:val="baseline"/>
        </w:rPr>
        <w:t> </w:t>
      </w:r>
      <w:r>
        <w:rPr>
          <w:vertAlign w:val="baseline"/>
        </w:rPr>
        <w:t>increase</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risk</w:t>
      </w:r>
      <w:r>
        <w:rPr>
          <w:spacing w:val="-3"/>
          <w:vertAlign w:val="baseline"/>
        </w:rPr>
        <w:t> </w:t>
      </w:r>
      <w:r>
        <w:rPr>
          <w:vertAlign w:val="baseline"/>
        </w:rPr>
        <w:t>of</w:t>
      </w:r>
      <w:r>
        <w:rPr>
          <w:spacing w:val="-3"/>
          <w:vertAlign w:val="baseline"/>
        </w:rPr>
        <w:t> </w:t>
      </w:r>
      <w:r>
        <w:rPr>
          <w:vertAlign w:val="baseline"/>
        </w:rPr>
        <w:t>uterine</w:t>
      </w:r>
      <w:r>
        <w:rPr>
          <w:spacing w:val="-3"/>
          <w:vertAlign w:val="baseline"/>
        </w:rPr>
        <w:t> </w:t>
      </w:r>
      <w:r>
        <w:rPr>
          <w:vertAlign w:val="baseline"/>
        </w:rPr>
        <w:t>sarcomas</w:t>
      </w:r>
      <w:r>
        <w:rPr>
          <w:spacing w:val="-3"/>
          <w:vertAlign w:val="baseline"/>
        </w:rPr>
        <w:t> </w:t>
      </w:r>
      <w:r>
        <w:rPr>
          <w:vertAlign w:val="baseline"/>
        </w:rPr>
        <w:t>associated with ET.</w:t>
      </w:r>
      <w:r>
        <w:rPr>
          <w:vertAlign w:val="superscript"/>
        </w:rPr>
        <w:t>1235</w:t>
      </w:r>
      <w:r>
        <w:rPr>
          <w:vertAlign w:val="baseline"/>
        </w:rPr>
        <w:t> </w:t>
      </w:r>
      <w:r>
        <w:rPr>
          <w:b/>
          <w:vertAlign w:val="baseline"/>
        </w:rPr>
        <w:t>Nevertheless, in women with known fibroids, periodic surveillance by pelvic examination and TVUS scans is prudent.</w:t>
      </w:r>
    </w:p>
    <w:p>
      <w:pPr>
        <w:pStyle w:val="BodyText"/>
        <w:spacing w:before="0"/>
        <w:ind w:left="0"/>
        <w:jc w:val="left"/>
        <w:rPr>
          <w:b/>
          <w:sz w:val="20"/>
        </w:rPr>
      </w:pPr>
    </w:p>
    <w:p>
      <w:pPr>
        <w:pStyle w:val="BodyText"/>
        <w:spacing w:before="139"/>
        <w:ind w:left="0"/>
        <w:jc w:val="left"/>
        <w:rPr>
          <w:b/>
          <w:sz w:val="20"/>
        </w:rPr>
      </w:pPr>
      <w:r>
        <w:rPr>
          <w:b/>
          <w:sz w:val="20"/>
        </w:rPr>
        <mc:AlternateContent>
          <mc:Choice Requires="wps">
            <w:drawing>
              <wp:anchor distT="0" distB="0" distL="0" distR="0" allowOverlap="1" layoutInCell="1" locked="0" behindDoc="1" simplePos="0" relativeHeight="487674368">
                <wp:simplePos x="0" y="0"/>
                <wp:positionH relativeFrom="page">
                  <wp:posOffset>981075</wp:posOffset>
                </wp:positionH>
                <wp:positionV relativeFrom="paragraph">
                  <wp:posOffset>249816</wp:posOffset>
                </wp:positionV>
                <wp:extent cx="285750" cy="5715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285750" cy="57150"/>
                        </a:xfrm>
                        <a:custGeom>
                          <a:avLst/>
                          <a:gdLst/>
                          <a:ahLst/>
                          <a:cxnLst/>
                          <a:rect l="l" t="t" r="r" b="b"/>
                          <a:pathLst>
                            <a:path w="285750" h="57150">
                              <a:moveTo>
                                <a:pt x="28575" y="57149"/>
                              </a:moveTo>
                              <a:lnTo>
                                <a:pt x="0" y="32299"/>
                              </a:lnTo>
                              <a:lnTo>
                                <a:pt x="0" y="24707"/>
                              </a:lnTo>
                              <a:lnTo>
                                <a:pt x="8369" y="8334"/>
                              </a:lnTo>
                              <a:lnTo>
                                <a:pt x="11048" y="5657"/>
                              </a:lnTo>
                              <a:lnTo>
                                <a:pt x="14138" y="3571"/>
                              </a:lnTo>
                              <a:lnTo>
                                <a:pt x="17639" y="2085"/>
                              </a:lnTo>
                              <a:lnTo>
                                <a:pt x="21140" y="742"/>
                              </a:lnTo>
                              <a:lnTo>
                                <a:pt x="24785" y="0"/>
                              </a:lnTo>
                              <a:lnTo>
                                <a:pt x="32364" y="0"/>
                              </a:lnTo>
                              <a:lnTo>
                                <a:pt x="48780" y="8334"/>
                              </a:lnTo>
                              <a:lnTo>
                                <a:pt x="51459" y="10868"/>
                              </a:lnTo>
                              <a:lnTo>
                                <a:pt x="53524" y="13992"/>
                              </a:lnTo>
                              <a:lnTo>
                                <a:pt x="54974" y="17411"/>
                              </a:lnTo>
                              <a:lnTo>
                                <a:pt x="56424" y="20983"/>
                              </a:lnTo>
                              <a:lnTo>
                                <a:pt x="57149" y="24707"/>
                              </a:lnTo>
                              <a:lnTo>
                                <a:pt x="57149" y="32299"/>
                              </a:lnTo>
                              <a:lnTo>
                                <a:pt x="32364" y="56997"/>
                              </a:lnTo>
                              <a:lnTo>
                                <a:pt x="28575" y="57149"/>
                              </a:lnTo>
                              <a:close/>
                            </a:path>
                            <a:path w="285750" h="57150">
                              <a:moveTo>
                                <a:pt x="142779" y="57149"/>
                              </a:moveTo>
                              <a:lnTo>
                                <a:pt x="114204" y="32299"/>
                              </a:lnTo>
                              <a:lnTo>
                                <a:pt x="114204" y="24707"/>
                              </a:lnTo>
                              <a:lnTo>
                                <a:pt x="122574" y="8334"/>
                              </a:lnTo>
                              <a:lnTo>
                                <a:pt x="125253" y="5657"/>
                              </a:lnTo>
                              <a:lnTo>
                                <a:pt x="128343" y="3571"/>
                              </a:lnTo>
                              <a:lnTo>
                                <a:pt x="131844" y="2085"/>
                              </a:lnTo>
                              <a:lnTo>
                                <a:pt x="135345" y="742"/>
                              </a:lnTo>
                              <a:lnTo>
                                <a:pt x="138990" y="0"/>
                              </a:lnTo>
                              <a:lnTo>
                                <a:pt x="146569" y="0"/>
                              </a:lnTo>
                              <a:lnTo>
                                <a:pt x="162985" y="8334"/>
                              </a:lnTo>
                              <a:lnTo>
                                <a:pt x="165664" y="10868"/>
                              </a:lnTo>
                              <a:lnTo>
                                <a:pt x="167729" y="13992"/>
                              </a:lnTo>
                              <a:lnTo>
                                <a:pt x="169179" y="17411"/>
                              </a:lnTo>
                              <a:lnTo>
                                <a:pt x="170629" y="20983"/>
                              </a:lnTo>
                              <a:lnTo>
                                <a:pt x="171354" y="24707"/>
                              </a:lnTo>
                              <a:lnTo>
                                <a:pt x="171354" y="32299"/>
                              </a:lnTo>
                              <a:lnTo>
                                <a:pt x="146569" y="56997"/>
                              </a:lnTo>
                              <a:lnTo>
                                <a:pt x="142779" y="57149"/>
                              </a:lnTo>
                              <a:close/>
                            </a:path>
                            <a:path w="285750" h="57150">
                              <a:moveTo>
                                <a:pt x="256984" y="57149"/>
                              </a:moveTo>
                              <a:lnTo>
                                <a:pt x="228409" y="32299"/>
                              </a:lnTo>
                              <a:lnTo>
                                <a:pt x="228409" y="24707"/>
                              </a:lnTo>
                              <a:lnTo>
                                <a:pt x="236778" y="8334"/>
                              </a:lnTo>
                              <a:lnTo>
                                <a:pt x="239458" y="5657"/>
                              </a:lnTo>
                              <a:lnTo>
                                <a:pt x="242548" y="3571"/>
                              </a:lnTo>
                              <a:lnTo>
                                <a:pt x="246049" y="2085"/>
                              </a:lnTo>
                              <a:lnTo>
                                <a:pt x="249550" y="742"/>
                              </a:lnTo>
                              <a:lnTo>
                                <a:pt x="253195" y="0"/>
                              </a:lnTo>
                              <a:lnTo>
                                <a:pt x="260773" y="0"/>
                              </a:lnTo>
                              <a:lnTo>
                                <a:pt x="277190" y="8334"/>
                              </a:lnTo>
                              <a:lnTo>
                                <a:pt x="279869" y="10868"/>
                              </a:lnTo>
                              <a:lnTo>
                                <a:pt x="281934" y="13992"/>
                              </a:lnTo>
                              <a:lnTo>
                                <a:pt x="283384" y="17411"/>
                              </a:lnTo>
                              <a:lnTo>
                                <a:pt x="284834" y="20983"/>
                              </a:lnTo>
                              <a:lnTo>
                                <a:pt x="285559" y="24707"/>
                              </a:lnTo>
                              <a:lnTo>
                                <a:pt x="285559" y="32299"/>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670582pt;width:22.5pt;height:4.5pt;mso-position-horizontal-relative:page;mso-position-vertical-relative:paragraph;z-index:-15642112;mso-wrap-distance-left:0;mso-wrap-distance-right:0" id="docshape295" coordorigin="1545,393" coordsize="450,90" path="m1590,483l1584,483,1578,482,1573,480,1567,478,1562,474,1558,470,1554,466,1551,461,1546,450,1545,444,1545,432,1546,426,1548,421,1551,415,1554,411,1558,407,1562,402,1567,399,1573,397,1578,395,1584,393,1596,393,1602,395,1607,397,1613,399,1618,402,1622,407,1626,411,1629,415,1632,421,1634,426,1635,432,1635,444,1634,450,1629,461,1626,466,1622,470,1618,474,1613,478,1607,480,1602,482,1596,483,1590,483xm1770,483l1764,483,1758,482,1753,480,1747,478,1742,474,1738,470,1734,466,1731,461,1726,450,1725,444,1725,432,1726,426,1728,421,1731,415,1734,411,1738,407,1742,402,1747,399,1753,397,1758,395,1764,393,1776,393,1782,395,1787,397,1793,399,1797,402,1802,407,1806,411,1809,415,1811,421,1814,426,1815,432,1815,444,1814,450,1809,461,1806,466,1802,470,1797,474,1793,478,1787,480,1782,482,1776,483,1770,483xm1950,483l1944,483,1938,482,1932,480,1927,478,1922,474,1918,470,1914,466,1910,461,1906,450,1905,444,1905,432,1906,426,1908,421,1910,415,1914,411,1918,407,1922,402,1927,399,1932,397,1938,395,1944,393,1956,393,1961,395,1967,397,1972,399,1977,402,1982,407,1986,411,1989,415,1991,421,1994,426,1995,432,1995,444,1994,450,1989,461,1986,466,1982,470,1977,474,1972,478,1967,480,1961,482,1956,483,1950,483xe" filled="true" fillcolor="#bdb4d4" stroked="false">
                <v:path arrowok="t"/>
                <v:fill type="solid"/>
                <w10:wrap type="topAndBottom"/>
              </v:shape>
            </w:pict>
          </mc:Fallback>
        </mc:AlternateContent>
      </w:r>
    </w:p>
    <w:p>
      <w:pPr>
        <w:pStyle w:val="Heading3"/>
        <w:spacing w:line="249" w:lineRule="auto" w:after="59"/>
        <w:ind w:right="255"/>
      </w:pPr>
      <w:r>
        <w:rPr>
          <w:color w:val="534089"/>
        </w:rPr>
        <w:t>IMPLICATIONS</w:t>
      </w:r>
      <w:r>
        <w:rPr>
          <w:color w:val="534089"/>
          <w:spacing w:val="-10"/>
        </w:rPr>
        <w:t> </w:t>
      </w:r>
      <w:r>
        <w:rPr>
          <w:color w:val="534089"/>
        </w:rPr>
        <w:t>OF</w:t>
      </w:r>
      <w:r>
        <w:rPr>
          <w:color w:val="534089"/>
          <w:spacing w:val="-10"/>
        </w:rPr>
        <w:t> </w:t>
      </w:r>
      <w:r>
        <w:rPr>
          <w:color w:val="534089"/>
        </w:rPr>
        <w:t>HORMONE</w:t>
      </w:r>
      <w:r>
        <w:rPr>
          <w:color w:val="534089"/>
          <w:spacing w:val="-10"/>
        </w:rPr>
        <w:t> </w:t>
      </w:r>
      <w:r>
        <w:rPr>
          <w:color w:val="534089"/>
        </w:rPr>
        <w:t>THERAPY</w:t>
      </w:r>
      <w:r>
        <w:rPr>
          <w:color w:val="534089"/>
          <w:spacing w:val="-10"/>
        </w:rPr>
        <w:t> </w:t>
      </w:r>
      <w:r>
        <w:rPr>
          <w:color w:val="534089"/>
        </w:rPr>
        <w:t>FOR</w:t>
      </w:r>
      <w:r>
        <w:rPr>
          <w:color w:val="534089"/>
          <w:spacing w:val="-10"/>
        </w:rPr>
        <w:t> </w:t>
      </w:r>
      <w:r>
        <w:rPr>
          <w:color w:val="534089"/>
        </w:rPr>
        <w:t>WOMEN</w:t>
      </w:r>
      <w:r>
        <w:rPr>
          <w:color w:val="534089"/>
          <w:spacing w:val="-10"/>
        </w:rPr>
        <w:t> </w:t>
      </w:r>
      <w:r>
        <w:rPr>
          <w:color w:val="534089"/>
        </w:rPr>
        <w:t>WITH SLEEP APNEA</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19" name="Group 319"/>
                <wp:cNvGraphicFramePr>
                  <a:graphicFrameLocks/>
                </wp:cNvGraphicFramePr>
                <a:graphic>
                  <a:graphicData uri="http://schemas.microsoft.com/office/word/2010/wordprocessingGroup">
                    <wpg:wgp>
                      <wpg:cNvPr id="319" name="Group 319"/>
                      <wpg:cNvGrpSpPr/>
                      <wpg:grpSpPr>
                        <a:xfrm>
                          <a:off x="0" y="0"/>
                          <a:ext cx="5810250" cy="19050"/>
                          <a:chExt cx="5810250" cy="19050"/>
                        </a:xfrm>
                      </wpg:grpSpPr>
                      <wps:wsp>
                        <wps:cNvPr id="320" name="Graphic 32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96" coordorigin="0,0" coordsize="9150,30">
                <v:rect style="position:absolute;left:0;top:0;width:9150;height:30" id="docshape297" filled="true" fillcolor="#534089" stroked="false">
                  <v:fill type="solid"/>
                </v:rect>
              </v:group>
            </w:pict>
          </mc:Fallback>
        </mc:AlternateContent>
      </w:r>
      <w:r>
        <w:rPr>
          <w:rFonts w:ascii="Arial"/>
          <w:position w:val="0"/>
          <w:sz w:val="2"/>
        </w:rPr>
      </w:r>
    </w:p>
    <w:p>
      <w:pPr>
        <w:pStyle w:val="BodyText"/>
        <w:spacing w:line="249" w:lineRule="auto" w:before="215"/>
        <w:ind w:right="98"/>
      </w:pPr>
      <w:r>
        <w:rPr/>
        <w:t>The low prevalence of sleep apnea in premenopausal women and the increased frequency after menopause suggest a hormonal link. In careful studies, however, postmenopausal HT had no significant adverse effect </w:t>
      </w:r>
      <w:r>
        <w:rPr/>
        <w:t>on sleep-disordered breathing in women with more than mild obstructive sleep apnea.</w:t>
      </w:r>
      <w:r>
        <w:rPr>
          <w:vertAlign w:val="superscript"/>
        </w:rPr>
        <w:t>1236,1237</w:t>
      </w:r>
      <w:r>
        <w:rPr>
          <w:spacing w:val="24"/>
          <w:vertAlign w:val="baseline"/>
        </w:rPr>
        <w:t>  </w:t>
      </w:r>
      <w:r>
        <w:rPr>
          <w:vertAlign w:val="baseline"/>
        </w:rPr>
        <w:t>And</w:t>
      </w:r>
      <w:r>
        <w:rPr>
          <w:spacing w:val="24"/>
          <w:vertAlign w:val="baseline"/>
        </w:rPr>
        <w:t>  </w:t>
      </w:r>
      <w:r>
        <w:rPr>
          <w:vertAlign w:val="baseline"/>
        </w:rPr>
        <w:t>other</w:t>
      </w:r>
      <w:r>
        <w:rPr>
          <w:spacing w:val="25"/>
          <w:vertAlign w:val="baseline"/>
        </w:rPr>
        <w:t>  </w:t>
      </w:r>
      <w:r>
        <w:rPr>
          <w:vertAlign w:val="baseline"/>
        </w:rPr>
        <w:t>sleep</w:t>
      </w:r>
      <w:r>
        <w:rPr>
          <w:spacing w:val="24"/>
          <w:vertAlign w:val="baseline"/>
        </w:rPr>
        <w:t>  </w:t>
      </w:r>
      <w:r>
        <w:rPr>
          <w:vertAlign w:val="baseline"/>
        </w:rPr>
        <w:t>laboratory</w:t>
      </w:r>
      <w:r>
        <w:rPr>
          <w:spacing w:val="25"/>
          <w:vertAlign w:val="baseline"/>
        </w:rPr>
        <w:t>  </w:t>
      </w:r>
      <w:r>
        <w:rPr>
          <w:vertAlign w:val="baseline"/>
        </w:rPr>
        <w:t>studies</w:t>
      </w:r>
      <w:r>
        <w:rPr>
          <w:spacing w:val="24"/>
          <w:vertAlign w:val="baseline"/>
        </w:rPr>
        <w:t>  </w:t>
      </w:r>
      <w:r>
        <w:rPr>
          <w:vertAlign w:val="baseline"/>
        </w:rPr>
        <w:t>found</w:t>
      </w:r>
      <w:r>
        <w:rPr>
          <w:spacing w:val="24"/>
          <w:vertAlign w:val="baseline"/>
        </w:rPr>
        <w:t>  </w:t>
      </w:r>
      <w:r>
        <w:rPr>
          <w:vertAlign w:val="baseline"/>
        </w:rPr>
        <w:t>that</w:t>
      </w:r>
      <w:r>
        <w:rPr>
          <w:spacing w:val="25"/>
          <w:vertAlign w:val="baseline"/>
        </w:rPr>
        <w:t>  </w:t>
      </w:r>
      <w:r>
        <w:rPr>
          <w:spacing w:val="-2"/>
          <w:vertAlign w:val="baseline"/>
        </w:rPr>
        <w:t>estrogen</w:t>
      </w:r>
    </w:p>
    <w:p>
      <w:pPr>
        <w:pStyle w:val="BodyText"/>
        <w:spacing w:after="0" w:line="249" w:lineRule="auto"/>
        <w:sectPr>
          <w:pgSz w:w="12240" w:h="15840"/>
          <w:pgMar w:top="1380" w:bottom="280" w:left="1440" w:right="1440"/>
        </w:sectPr>
      </w:pPr>
    </w:p>
    <w:p>
      <w:pPr>
        <w:pStyle w:val="BodyText"/>
        <w:spacing w:line="249" w:lineRule="auto"/>
        <w:ind w:right="107"/>
      </w:pPr>
      <w:r>
        <w:rPr/>
        <w:t>treatment reduced difficulties with sleep-disordered breathing.</w:t>
      </w:r>
      <w:r>
        <w:rPr>
          <w:vertAlign w:val="superscript"/>
        </w:rPr>
        <w:t>1238-1240</w:t>
      </w:r>
      <w:r>
        <w:rPr>
          <w:vertAlign w:val="baseline"/>
        </w:rPr>
        <w:t> </w:t>
      </w:r>
      <w:r>
        <w:rPr>
          <w:vertAlign w:val="baseline"/>
        </w:rPr>
        <w:t>The slight rise in basal body temperature induced by a progestational agent may be sufficient to disrupt the quality of sleep in some women, a problem that may be more noticeable with a sequential regimen and with nighttime </w:t>
      </w:r>
      <w:r>
        <w:rPr>
          <w:spacing w:val="-2"/>
          <w:vertAlign w:val="baseline"/>
        </w:rPr>
        <w:t>administration.</w:t>
      </w:r>
    </w:p>
    <w:p>
      <w:pPr>
        <w:pStyle w:val="BodyText"/>
        <w:spacing w:before="0"/>
        <w:ind w:left="0"/>
        <w:jc w:val="left"/>
        <w:rPr>
          <w:sz w:val="20"/>
        </w:rPr>
      </w:pPr>
    </w:p>
    <w:p>
      <w:pPr>
        <w:pStyle w:val="BodyText"/>
        <w:spacing w:before="117"/>
        <w:ind w:left="0"/>
        <w:jc w:val="left"/>
        <w:rPr>
          <w:sz w:val="20"/>
        </w:rPr>
      </w:pPr>
      <w:r>
        <w:rPr>
          <w:sz w:val="20"/>
        </w:rPr>
        <mc:AlternateContent>
          <mc:Choice Requires="wps">
            <w:drawing>
              <wp:anchor distT="0" distB="0" distL="0" distR="0" allowOverlap="1" layoutInCell="1" locked="0" behindDoc="1" simplePos="0" relativeHeight="487675392">
                <wp:simplePos x="0" y="0"/>
                <wp:positionH relativeFrom="page">
                  <wp:posOffset>981075</wp:posOffset>
                </wp:positionH>
                <wp:positionV relativeFrom="paragraph">
                  <wp:posOffset>235788</wp:posOffset>
                </wp:positionV>
                <wp:extent cx="285750" cy="5715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285750" cy="57150"/>
                        </a:xfrm>
                        <a:custGeom>
                          <a:avLst/>
                          <a:gdLst/>
                          <a:ahLst/>
                          <a:cxnLst/>
                          <a:rect l="l" t="t" r="r" b="b"/>
                          <a:pathLst>
                            <a:path w="285750" h="57150">
                              <a:moveTo>
                                <a:pt x="28575" y="57149"/>
                              </a:moveTo>
                              <a:lnTo>
                                <a:pt x="0" y="32299"/>
                              </a:lnTo>
                              <a:lnTo>
                                <a:pt x="0" y="24555"/>
                              </a:lnTo>
                              <a:lnTo>
                                <a:pt x="24785" y="0"/>
                              </a:lnTo>
                              <a:lnTo>
                                <a:pt x="32364" y="0"/>
                              </a:lnTo>
                              <a:lnTo>
                                <a:pt x="57149" y="24555"/>
                              </a:lnTo>
                              <a:lnTo>
                                <a:pt x="57149" y="32299"/>
                              </a:lnTo>
                              <a:lnTo>
                                <a:pt x="28575" y="57149"/>
                              </a:lnTo>
                              <a:close/>
                            </a:path>
                            <a:path w="285750" h="57150">
                              <a:moveTo>
                                <a:pt x="142779" y="57149"/>
                              </a:moveTo>
                              <a:lnTo>
                                <a:pt x="114204" y="32299"/>
                              </a:lnTo>
                              <a:lnTo>
                                <a:pt x="114204" y="24555"/>
                              </a:lnTo>
                              <a:lnTo>
                                <a:pt x="138990" y="0"/>
                              </a:lnTo>
                              <a:lnTo>
                                <a:pt x="146569" y="0"/>
                              </a:lnTo>
                              <a:lnTo>
                                <a:pt x="171354" y="24555"/>
                              </a:lnTo>
                              <a:lnTo>
                                <a:pt x="171354" y="32299"/>
                              </a:lnTo>
                              <a:lnTo>
                                <a:pt x="142779" y="57149"/>
                              </a:lnTo>
                              <a:close/>
                            </a:path>
                            <a:path w="285750" h="57150">
                              <a:moveTo>
                                <a:pt x="256984" y="57149"/>
                              </a:moveTo>
                              <a:lnTo>
                                <a:pt x="228409" y="32299"/>
                              </a:lnTo>
                              <a:lnTo>
                                <a:pt x="228409" y="24555"/>
                              </a:lnTo>
                              <a:lnTo>
                                <a:pt x="253195" y="0"/>
                              </a:lnTo>
                              <a:lnTo>
                                <a:pt x="260773" y="0"/>
                              </a:lnTo>
                              <a:lnTo>
                                <a:pt x="285559" y="24555"/>
                              </a:lnTo>
                              <a:lnTo>
                                <a:pt x="285559" y="32299"/>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566010pt;width:22.5pt;height:4.5pt;mso-position-horizontal-relative:page;mso-position-vertical-relative:paragraph;z-index:-15641088;mso-wrap-distance-left:0;mso-wrap-distance-right:0" id="docshape298" coordorigin="1545,371" coordsize="450,90" path="m1590,461l1584,461,1578,460,1573,458,1567,455,1562,452,1554,444,1551,439,1548,433,1546,428,1545,422,1545,410,1546,404,1551,393,1554,388,1562,380,1567,377,1578,372,1584,371,1596,371,1602,372,1613,377,1618,380,1626,388,1629,393,1634,404,1635,410,1635,422,1634,428,1632,433,1629,439,1626,444,1618,452,1613,455,1607,458,1602,460,1596,461,1590,461xm1770,461l1764,461,1758,460,1753,458,1747,455,1742,452,1734,444,1731,439,1728,433,1726,428,1725,422,1725,410,1726,404,1731,393,1734,388,1742,380,1747,377,1758,372,1764,371,1776,371,1782,372,1793,377,1797,380,1806,388,1809,393,1814,404,1815,410,1815,422,1814,428,1811,433,1809,439,1806,444,1797,452,1793,455,1787,458,1782,460,1776,461,1770,461xm1950,461l1944,461,1938,460,1932,458,1927,455,1922,452,1914,444,1910,439,1908,433,1906,428,1905,422,1905,410,1906,404,1910,393,1914,388,1922,380,1927,377,1938,372,1944,371,1956,371,1961,372,1972,377,1977,380,1986,388,1989,393,1994,404,1995,410,1995,422,1994,428,1991,433,1989,439,1986,444,1977,452,1972,455,1967,458,1961,460,1956,461,1950,461xe" filled="true" fillcolor="#bdb4d4" stroked="false">
                <v:path arrowok="t"/>
                <v:fill type="solid"/>
                <w10:wrap type="topAndBottom"/>
              </v:shape>
            </w:pict>
          </mc:Fallback>
        </mc:AlternateContent>
      </w:r>
    </w:p>
    <w:p>
      <w:pPr>
        <w:pStyle w:val="Heading3"/>
        <w:spacing w:line="249" w:lineRule="auto" w:after="59"/>
        <w:ind w:right="255"/>
      </w:pPr>
      <w:r>
        <w:rPr>
          <w:color w:val="534089"/>
        </w:rPr>
        <w:t>IMPLICATIONS</w:t>
      </w:r>
      <w:r>
        <w:rPr>
          <w:color w:val="534089"/>
          <w:spacing w:val="-10"/>
        </w:rPr>
        <w:t> </w:t>
      </w:r>
      <w:r>
        <w:rPr>
          <w:color w:val="534089"/>
        </w:rPr>
        <w:t>OF</w:t>
      </w:r>
      <w:r>
        <w:rPr>
          <w:color w:val="534089"/>
          <w:spacing w:val="-10"/>
        </w:rPr>
        <w:t> </w:t>
      </w:r>
      <w:r>
        <w:rPr>
          <w:color w:val="534089"/>
        </w:rPr>
        <w:t>HORMONE</w:t>
      </w:r>
      <w:r>
        <w:rPr>
          <w:color w:val="534089"/>
          <w:spacing w:val="-10"/>
        </w:rPr>
        <w:t> </w:t>
      </w:r>
      <w:r>
        <w:rPr>
          <w:color w:val="534089"/>
        </w:rPr>
        <w:t>THERAPY</w:t>
      </w:r>
      <w:r>
        <w:rPr>
          <w:color w:val="534089"/>
          <w:spacing w:val="-10"/>
        </w:rPr>
        <w:t> </w:t>
      </w:r>
      <w:r>
        <w:rPr>
          <w:color w:val="534089"/>
        </w:rPr>
        <w:t>FOR</w:t>
      </w:r>
      <w:r>
        <w:rPr>
          <w:color w:val="534089"/>
          <w:spacing w:val="-10"/>
        </w:rPr>
        <w:t> </w:t>
      </w:r>
      <w:r>
        <w:rPr>
          <w:color w:val="534089"/>
        </w:rPr>
        <w:t>WOMEN</w:t>
      </w:r>
      <w:r>
        <w:rPr>
          <w:color w:val="534089"/>
          <w:spacing w:val="-10"/>
        </w:rPr>
        <w:t> </w:t>
      </w:r>
      <w:r>
        <w:rPr>
          <w:color w:val="534089"/>
        </w:rPr>
        <w:t>WITH </w:t>
      </w:r>
      <w:r>
        <w:rPr>
          <w:color w:val="534089"/>
          <w:spacing w:val="-2"/>
        </w:rPr>
        <w:t>ASTHMA</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5810250" cy="19050"/>
                          <a:chExt cx="5810250" cy="19050"/>
                        </a:xfrm>
                      </wpg:grpSpPr>
                      <wps:wsp>
                        <wps:cNvPr id="323" name="Graphic 323"/>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299" coordorigin="0,0" coordsize="9150,30">
                <v:rect style="position:absolute;left:0;top:0;width:9150;height:30" id="docshape300" filled="true" fillcolor="#534089" stroked="false">
                  <v:fill type="solid"/>
                </v:rect>
              </v:group>
            </w:pict>
          </mc:Fallback>
        </mc:AlternateContent>
      </w:r>
      <w:r>
        <w:rPr>
          <w:rFonts w:ascii="Arial"/>
          <w:position w:val="0"/>
          <w:sz w:val="2"/>
        </w:rPr>
      </w:r>
    </w:p>
    <w:p>
      <w:pPr>
        <w:pStyle w:val="BodyText"/>
        <w:spacing w:line="249" w:lineRule="auto" w:before="215"/>
        <w:ind w:right="98"/>
      </w:pPr>
      <w:r>
        <w:rPr/>
        <w:t>In some women, changes in asthma activity have been noted to correlate with the phases of the menstrual cycle. The impact of postmenopausal HT on asthma activity has not been well investigated, but there is an indication that estrogen has an adverse effect. A worsening in spirometry assessment was detected in asthmatics after ET; however, the difference was judged to be subclinical, and the patients did not report any changes in their perceptions</w:t>
      </w:r>
      <w:r>
        <w:rPr>
          <w:spacing w:val="-6"/>
        </w:rPr>
        <w:t> </w:t>
      </w:r>
      <w:r>
        <w:rPr/>
        <w:t>of</w:t>
      </w:r>
      <w:r>
        <w:rPr>
          <w:spacing w:val="-6"/>
        </w:rPr>
        <w:t> </w:t>
      </w:r>
      <w:r>
        <w:rPr/>
        <w:t>symptoms.</w:t>
      </w:r>
      <w:r>
        <w:rPr>
          <w:vertAlign w:val="superscript"/>
        </w:rPr>
        <w:t>1241</w:t>
      </w:r>
      <w:r>
        <w:rPr>
          <w:spacing w:val="-5"/>
          <w:vertAlign w:val="baseline"/>
        </w:rPr>
        <w:t> </w:t>
      </w:r>
      <w:r>
        <w:rPr>
          <w:vertAlign w:val="baseline"/>
        </w:rPr>
        <w:t>A</w:t>
      </w:r>
      <w:r>
        <w:rPr>
          <w:spacing w:val="-5"/>
          <w:vertAlign w:val="baseline"/>
        </w:rPr>
        <w:t> </w:t>
      </w:r>
      <w:r>
        <w:rPr>
          <w:vertAlign w:val="baseline"/>
        </w:rPr>
        <w:t>similar</w:t>
      </w:r>
      <w:r>
        <w:rPr>
          <w:spacing w:val="-5"/>
          <w:vertAlign w:val="baseline"/>
        </w:rPr>
        <w:t> </w:t>
      </w:r>
      <w:r>
        <w:rPr>
          <w:vertAlign w:val="baseline"/>
        </w:rPr>
        <w:t>study</w:t>
      </w:r>
      <w:r>
        <w:rPr>
          <w:spacing w:val="-5"/>
          <w:vertAlign w:val="baseline"/>
        </w:rPr>
        <w:t> </w:t>
      </w:r>
      <w:r>
        <w:rPr>
          <w:vertAlign w:val="baseline"/>
        </w:rPr>
        <w:t>could</w:t>
      </w:r>
      <w:r>
        <w:rPr>
          <w:spacing w:val="-5"/>
          <w:vertAlign w:val="baseline"/>
        </w:rPr>
        <w:t> </w:t>
      </w:r>
      <w:r>
        <w:rPr>
          <w:vertAlign w:val="baseline"/>
        </w:rPr>
        <w:t>detect</w:t>
      </w:r>
      <w:r>
        <w:rPr>
          <w:spacing w:val="-5"/>
          <w:vertAlign w:val="baseline"/>
        </w:rPr>
        <w:t> </w:t>
      </w:r>
      <w:r>
        <w:rPr>
          <w:vertAlign w:val="baseline"/>
        </w:rPr>
        <w:t>no</w:t>
      </w:r>
      <w:r>
        <w:rPr>
          <w:spacing w:val="-5"/>
          <w:vertAlign w:val="baseline"/>
        </w:rPr>
        <w:t> </w:t>
      </w:r>
      <w:r>
        <w:rPr>
          <w:vertAlign w:val="baseline"/>
        </w:rPr>
        <w:t>adverse</w:t>
      </w:r>
      <w:r>
        <w:rPr>
          <w:spacing w:val="-5"/>
          <w:vertAlign w:val="baseline"/>
        </w:rPr>
        <w:t> </w:t>
      </w:r>
      <w:r>
        <w:rPr>
          <w:vertAlign w:val="baseline"/>
        </w:rPr>
        <w:t>effects with either discontinuation or reinitiation of estrogen treatment.</w:t>
      </w:r>
      <w:r>
        <w:rPr>
          <w:vertAlign w:val="superscript"/>
        </w:rPr>
        <w:t>1242</w:t>
      </w:r>
      <w:r>
        <w:rPr>
          <w:vertAlign w:val="baseline"/>
        </w:rPr>
        <w:t> </w:t>
      </w:r>
      <w:r>
        <w:rPr>
          <w:vertAlign w:val="baseline"/>
        </w:rPr>
        <w:t>And another study concluded that ET improved asthma and decreased the need for</w:t>
      </w:r>
      <w:r>
        <w:rPr>
          <w:spacing w:val="-6"/>
          <w:vertAlign w:val="baseline"/>
        </w:rPr>
        <w:t> </w:t>
      </w:r>
      <w:r>
        <w:rPr>
          <w:vertAlign w:val="baseline"/>
        </w:rPr>
        <w:t>glucocorticosteroid</w:t>
      </w:r>
      <w:r>
        <w:rPr>
          <w:spacing w:val="-6"/>
          <w:vertAlign w:val="baseline"/>
        </w:rPr>
        <w:t> </w:t>
      </w:r>
      <w:r>
        <w:rPr>
          <w:vertAlign w:val="baseline"/>
        </w:rPr>
        <w:t>treatment.</w:t>
      </w:r>
      <w:r>
        <w:rPr>
          <w:vertAlign w:val="superscript"/>
        </w:rPr>
        <w:t>1243</w:t>
      </w:r>
      <w:r>
        <w:rPr>
          <w:spacing w:val="-7"/>
          <w:vertAlign w:val="baseline"/>
        </w:rPr>
        <w:t> </w:t>
      </w:r>
      <w:r>
        <w:rPr>
          <w:vertAlign w:val="baseline"/>
        </w:rPr>
        <w:t>In</w:t>
      </w:r>
      <w:r>
        <w:rPr>
          <w:spacing w:val="-6"/>
          <w:vertAlign w:val="baseline"/>
        </w:rPr>
        <w:t> </w:t>
      </w:r>
      <w:r>
        <w:rPr>
          <w:vertAlign w:val="baseline"/>
        </w:rPr>
        <w:t>a</w:t>
      </w:r>
      <w:r>
        <w:rPr>
          <w:spacing w:val="-6"/>
          <w:vertAlign w:val="baseline"/>
        </w:rPr>
        <w:t> </w:t>
      </w:r>
      <w:r>
        <w:rPr>
          <w:vertAlign w:val="baseline"/>
        </w:rPr>
        <w:t>prospective</w:t>
      </w:r>
      <w:r>
        <w:rPr>
          <w:spacing w:val="-6"/>
          <w:vertAlign w:val="baseline"/>
        </w:rPr>
        <w:t> </w:t>
      </w:r>
      <w:r>
        <w:rPr>
          <w:vertAlign w:val="baseline"/>
        </w:rPr>
        <w:t>assessment</w:t>
      </w:r>
      <w:r>
        <w:rPr>
          <w:spacing w:val="-6"/>
          <w:vertAlign w:val="baseline"/>
        </w:rPr>
        <w:t> </w:t>
      </w:r>
      <w:r>
        <w:rPr>
          <w:vertAlign w:val="baseline"/>
        </w:rPr>
        <w:t>of</w:t>
      </w:r>
      <w:r>
        <w:rPr>
          <w:spacing w:val="-6"/>
          <w:vertAlign w:val="baseline"/>
        </w:rPr>
        <w:t> </w:t>
      </w:r>
      <w:r>
        <w:rPr>
          <w:vertAlign w:val="baseline"/>
        </w:rPr>
        <w:t>a</w:t>
      </w:r>
      <w:r>
        <w:rPr>
          <w:spacing w:val="-6"/>
          <w:vertAlign w:val="baseline"/>
        </w:rPr>
        <w:t> </w:t>
      </w:r>
      <w:r>
        <w:rPr>
          <w:vertAlign w:val="baseline"/>
        </w:rPr>
        <w:t>cohort of women, the use of postmenopausal HT (estrogen with or without progestin) was associated with a 50% increase in the risk of developing adult-onset asthma, and the risk was greater with long-term use and higher doses of estrogen.</w:t>
      </w:r>
      <w:r>
        <w:rPr>
          <w:vertAlign w:val="superscript"/>
        </w:rPr>
        <w:t>1244</w:t>
      </w:r>
      <w:r>
        <w:rPr>
          <w:vertAlign w:val="baseline"/>
        </w:rPr>
        <w:t> Similar results were reported in the French E3N cohort study, except an increased risk was observed only in estrogen-alone users.</w:t>
      </w:r>
      <w:r>
        <w:rPr>
          <w:vertAlign w:val="superscript"/>
        </w:rPr>
        <w:t>1245</w:t>
      </w:r>
      <w:r>
        <w:rPr>
          <w:vertAlign w:val="baseline"/>
        </w:rPr>
        <w:t> In the Nurses’ Health Study, newly diagnosed asthma was increased about 2-fold by HT.</w:t>
      </w:r>
      <w:r>
        <w:rPr>
          <w:vertAlign w:val="superscript"/>
        </w:rPr>
        <w:t>1246</w:t>
      </w:r>
      <w:r>
        <w:rPr>
          <w:vertAlign w:val="baseline"/>
        </w:rPr>
        <w:t> Because hormonal changes may precipitate asthmatic activity (eg, catamenial asthma), attention should be directed to the symptomatic pattern and consideration given to the daily, continuous, combined regimen.</w:t>
      </w:r>
    </w:p>
    <w:p>
      <w:pPr>
        <w:pStyle w:val="BodyText"/>
        <w:spacing w:before="0"/>
        <w:ind w:left="0"/>
        <w:jc w:val="left"/>
        <w:rPr>
          <w:sz w:val="20"/>
        </w:rPr>
      </w:pPr>
    </w:p>
    <w:p>
      <w:pPr>
        <w:pStyle w:val="BodyText"/>
        <w:spacing w:before="135"/>
        <w:ind w:left="0"/>
        <w:jc w:val="left"/>
        <w:rPr>
          <w:sz w:val="20"/>
        </w:rPr>
      </w:pPr>
      <w:r>
        <w:rPr>
          <w:sz w:val="20"/>
        </w:rPr>
        <mc:AlternateContent>
          <mc:Choice Requires="wps">
            <w:drawing>
              <wp:anchor distT="0" distB="0" distL="0" distR="0" allowOverlap="1" layoutInCell="1" locked="0" behindDoc="1" simplePos="0" relativeHeight="487676416">
                <wp:simplePos x="0" y="0"/>
                <wp:positionH relativeFrom="page">
                  <wp:posOffset>981075</wp:posOffset>
                </wp:positionH>
                <wp:positionV relativeFrom="paragraph">
                  <wp:posOffset>247472</wp:posOffset>
                </wp:positionV>
                <wp:extent cx="285750" cy="57150"/>
                <wp:effectExtent l="0" t="0" r="0" b="0"/>
                <wp:wrapTopAndBottom/>
                <wp:docPr id="324" name="Graphic 324"/>
                <wp:cNvGraphicFramePr>
                  <a:graphicFrameLocks/>
                </wp:cNvGraphicFramePr>
                <a:graphic>
                  <a:graphicData uri="http://schemas.microsoft.com/office/word/2010/wordprocessingShape">
                    <wps:wsp>
                      <wps:cNvPr id="324" name="Graphic 324"/>
                      <wps:cNvSpPr/>
                      <wps:spPr>
                        <a:xfrm>
                          <a:off x="0" y="0"/>
                          <a:ext cx="285750" cy="57150"/>
                        </a:xfrm>
                        <a:custGeom>
                          <a:avLst/>
                          <a:gdLst/>
                          <a:ahLst/>
                          <a:cxnLst/>
                          <a:rect l="l" t="t" r="r" b="b"/>
                          <a:pathLst>
                            <a:path w="285750" h="57150">
                              <a:moveTo>
                                <a:pt x="28575" y="57149"/>
                              </a:moveTo>
                              <a:lnTo>
                                <a:pt x="0" y="32299"/>
                              </a:lnTo>
                              <a:lnTo>
                                <a:pt x="0" y="24555"/>
                              </a:lnTo>
                              <a:lnTo>
                                <a:pt x="8369" y="8181"/>
                              </a:lnTo>
                              <a:lnTo>
                                <a:pt x="11048" y="5505"/>
                              </a:lnTo>
                              <a:lnTo>
                                <a:pt x="14138" y="3419"/>
                              </a:lnTo>
                              <a:lnTo>
                                <a:pt x="21140" y="742"/>
                              </a:lnTo>
                              <a:lnTo>
                                <a:pt x="24785" y="0"/>
                              </a:lnTo>
                              <a:lnTo>
                                <a:pt x="32364" y="0"/>
                              </a:lnTo>
                              <a:lnTo>
                                <a:pt x="36009" y="742"/>
                              </a:lnTo>
                              <a:lnTo>
                                <a:pt x="43010" y="3419"/>
                              </a:lnTo>
                              <a:lnTo>
                                <a:pt x="46101" y="5505"/>
                              </a:lnTo>
                              <a:lnTo>
                                <a:pt x="48780" y="8181"/>
                              </a:lnTo>
                              <a:lnTo>
                                <a:pt x="51459" y="10715"/>
                              </a:lnTo>
                              <a:lnTo>
                                <a:pt x="53524" y="13839"/>
                              </a:lnTo>
                              <a:lnTo>
                                <a:pt x="54974" y="17268"/>
                              </a:lnTo>
                              <a:lnTo>
                                <a:pt x="56424" y="20840"/>
                              </a:lnTo>
                              <a:lnTo>
                                <a:pt x="57149" y="24555"/>
                              </a:lnTo>
                              <a:lnTo>
                                <a:pt x="57149" y="32299"/>
                              </a:lnTo>
                              <a:lnTo>
                                <a:pt x="32364" y="56997"/>
                              </a:lnTo>
                              <a:lnTo>
                                <a:pt x="28575" y="57149"/>
                              </a:lnTo>
                              <a:close/>
                            </a:path>
                            <a:path w="285750" h="57150">
                              <a:moveTo>
                                <a:pt x="142779" y="57149"/>
                              </a:moveTo>
                              <a:lnTo>
                                <a:pt x="114204" y="32299"/>
                              </a:lnTo>
                              <a:lnTo>
                                <a:pt x="114204" y="24555"/>
                              </a:lnTo>
                              <a:lnTo>
                                <a:pt x="122574" y="8181"/>
                              </a:lnTo>
                              <a:lnTo>
                                <a:pt x="125253" y="5505"/>
                              </a:lnTo>
                              <a:lnTo>
                                <a:pt x="128343" y="3419"/>
                              </a:lnTo>
                              <a:lnTo>
                                <a:pt x="135345" y="742"/>
                              </a:lnTo>
                              <a:lnTo>
                                <a:pt x="138990" y="0"/>
                              </a:lnTo>
                              <a:lnTo>
                                <a:pt x="146569" y="0"/>
                              </a:lnTo>
                              <a:lnTo>
                                <a:pt x="150214" y="742"/>
                              </a:lnTo>
                              <a:lnTo>
                                <a:pt x="157215" y="3419"/>
                              </a:lnTo>
                              <a:lnTo>
                                <a:pt x="160305" y="5505"/>
                              </a:lnTo>
                              <a:lnTo>
                                <a:pt x="162985" y="8181"/>
                              </a:lnTo>
                              <a:lnTo>
                                <a:pt x="165664" y="10715"/>
                              </a:lnTo>
                              <a:lnTo>
                                <a:pt x="167729" y="13839"/>
                              </a:lnTo>
                              <a:lnTo>
                                <a:pt x="169179" y="17268"/>
                              </a:lnTo>
                              <a:lnTo>
                                <a:pt x="170629" y="20840"/>
                              </a:lnTo>
                              <a:lnTo>
                                <a:pt x="171354" y="24555"/>
                              </a:lnTo>
                              <a:lnTo>
                                <a:pt x="171354" y="32299"/>
                              </a:lnTo>
                              <a:lnTo>
                                <a:pt x="146569" y="56997"/>
                              </a:lnTo>
                              <a:lnTo>
                                <a:pt x="142779" y="57149"/>
                              </a:lnTo>
                              <a:close/>
                            </a:path>
                            <a:path w="285750" h="57150">
                              <a:moveTo>
                                <a:pt x="256984" y="57149"/>
                              </a:moveTo>
                              <a:lnTo>
                                <a:pt x="228409" y="32299"/>
                              </a:lnTo>
                              <a:lnTo>
                                <a:pt x="228409" y="24555"/>
                              </a:lnTo>
                              <a:lnTo>
                                <a:pt x="236778" y="8181"/>
                              </a:lnTo>
                              <a:lnTo>
                                <a:pt x="239458" y="5505"/>
                              </a:lnTo>
                              <a:lnTo>
                                <a:pt x="242548" y="3419"/>
                              </a:lnTo>
                              <a:lnTo>
                                <a:pt x="249550" y="742"/>
                              </a:lnTo>
                              <a:lnTo>
                                <a:pt x="253195" y="0"/>
                              </a:lnTo>
                              <a:lnTo>
                                <a:pt x="260773" y="0"/>
                              </a:lnTo>
                              <a:lnTo>
                                <a:pt x="264418" y="742"/>
                              </a:lnTo>
                              <a:lnTo>
                                <a:pt x="271420" y="3419"/>
                              </a:lnTo>
                              <a:lnTo>
                                <a:pt x="274510" y="5505"/>
                              </a:lnTo>
                              <a:lnTo>
                                <a:pt x="277190" y="8181"/>
                              </a:lnTo>
                              <a:lnTo>
                                <a:pt x="279869" y="10715"/>
                              </a:lnTo>
                              <a:lnTo>
                                <a:pt x="281934" y="13839"/>
                              </a:lnTo>
                              <a:lnTo>
                                <a:pt x="283384" y="17268"/>
                              </a:lnTo>
                              <a:lnTo>
                                <a:pt x="284834" y="20840"/>
                              </a:lnTo>
                              <a:lnTo>
                                <a:pt x="285559" y="24555"/>
                              </a:lnTo>
                              <a:lnTo>
                                <a:pt x="285559" y="32299"/>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486046pt;width:22.5pt;height:4.5pt;mso-position-horizontal-relative:page;mso-position-vertical-relative:paragraph;z-index:-15640064;mso-wrap-distance-left:0;mso-wrap-distance-right:0" id="docshape301" coordorigin="1545,390" coordsize="450,90" path="m1590,480l1584,479,1578,478,1567,474,1562,470,1558,466,1554,462,1551,457,1546,446,1545,441,1545,428,1546,423,1548,417,1551,412,1554,407,1558,403,1562,398,1567,395,1578,391,1584,390,1596,390,1602,391,1613,395,1618,398,1622,403,1626,407,1629,412,1632,417,1634,423,1635,428,1635,441,1634,446,1629,457,1626,462,1622,466,1618,470,1613,474,1602,478,1596,479,1590,480xm1770,480l1764,479,1758,478,1747,474,1742,470,1738,466,1734,462,1731,457,1726,446,1725,441,1725,428,1726,423,1728,417,1731,412,1734,407,1738,403,1742,398,1747,395,1758,391,1764,390,1776,390,1782,391,1793,395,1797,398,1802,403,1806,407,1809,412,1811,417,1814,423,1815,428,1815,441,1814,446,1809,457,1806,462,1802,466,1797,470,1793,474,1782,478,1776,479,1770,480xm1950,480l1944,479,1938,478,1927,474,1922,470,1918,466,1914,462,1910,457,1906,446,1905,441,1905,428,1906,423,1908,417,1910,412,1914,407,1918,403,1922,398,1927,395,1938,391,1944,390,1956,390,1961,391,1972,395,1977,398,1982,403,1986,407,1989,412,1991,417,1994,423,1995,428,1995,441,1994,446,1989,457,1986,462,1982,466,1977,470,1972,474,1961,478,1956,479,1950,480xe" filled="true" fillcolor="#bdb4d4" stroked="false">
                <v:path arrowok="t"/>
                <v:fill type="solid"/>
                <w10:wrap type="topAndBottom"/>
              </v:shape>
            </w:pict>
          </mc:Fallback>
        </mc:AlternateContent>
      </w:r>
    </w:p>
    <w:p>
      <w:pPr>
        <w:pStyle w:val="Heading3"/>
        <w:spacing w:line="249" w:lineRule="auto" w:after="59"/>
        <w:ind w:right="255"/>
      </w:pPr>
      <w:r>
        <w:rPr>
          <w:color w:val="534089"/>
        </w:rPr>
        <w:t>MENOPAUSAL</w:t>
      </w:r>
      <w:r>
        <w:rPr>
          <w:color w:val="534089"/>
          <w:spacing w:val="-21"/>
        </w:rPr>
        <w:t> </w:t>
      </w:r>
      <w:r>
        <w:rPr>
          <w:color w:val="534089"/>
        </w:rPr>
        <w:t>HORMONE</w:t>
      </w:r>
      <w:r>
        <w:rPr>
          <w:color w:val="534089"/>
          <w:spacing w:val="-21"/>
        </w:rPr>
        <w:t> </w:t>
      </w:r>
      <w:r>
        <w:rPr>
          <w:color w:val="534089"/>
        </w:rPr>
        <w:t>THERAPY,</w:t>
      </w:r>
      <w:r>
        <w:rPr>
          <w:color w:val="534089"/>
          <w:spacing w:val="-21"/>
        </w:rPr>
        <w:t> </w:t>
      </w:r>
      <w:r>
        <w:rPr>
          <w:color w:val="534089"/>
        </w:rPr>
        <w:t>DEMENTIA,</w:t>
      </w:r>
      <w:r>
        <w:rPr>
          <w:color w:val="534089"/>
          <w:spacing w:val="-21"/>
        </w:rPr>
        <w:t> </w:t>
      </w:r>
      <w:r>
        <w:rPr>
          <w:color w:val="534089"/>
        </w:rPr>
        <w:t>AND </w:t>
      </w:r>
      <w:r>
        <w:rPr>
          <w:color w:val="534089"/>
          <w:spacing w:val="-2"/>
        </w:rPr>
        <w:t>COGNITION</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25" name="Group 325"/>
                <wp:cNvGraphicFramePr>
                  <a:graphicFrameLocks/>
                </wp:cNvGraphicFramePr>
                <a:graphic>
                  <a:graphicData uri="http://schemas.microsoft.com/office/word/2010/wordprocessingGroup">
                    <wpg:wgp>
                      <wpg:cNvPr id="325" name="Group 325"/>
                      <wpg:cNvGrpSpPr/>
                      <wpg:grpSpPr>
                        <a:xfrm>
                          <a:off x="0" y="0"/>
                          <a:ext cx="5810250" cy="19050"/>
                          <a:chExt cx="5810250" cy="19050"/>
                        </a:xfrm>
                      </wpg:grpSpPr>
                      <wps:wsp>
                        <wps:cNvPr id="326" name="Graphic 326"/>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02" coordorigin="0,0" coordsize="9150,30">
                <v:rect style="position:absolute;left:0;top:0;width:9150;height:30" id="docshape303" filled="true" fillcolor="#534089" stroked="false">
                  <v:fill type="solid"/>
                </v:rect>
              </v:group>
            </w:pict>
          </mc:Fallback>
        </mc:AlternateContent>
      </w:r>
      <w:r>
        <w:rPr>
          <w:rFonts w:ascii="Arial"/>
          <w:position w:val="0"/>
          <w:sz w:val="2"/>
        </w:rPr>
      </w:r>
    </w:p>
    <w:p>
      <w:pPr>
        <w:spacing w:after="0" w:line="30" w:lineRule="exact"/>
        <w:rPr>
          <w:rFonts w:ascii="Arial"/>
          <w:position w:val="0"/>
          <w:sz w:val="2"/>
        </w:rPr>
        <w:sectPr>
          <w:pgSz w:w="12240" w:h="15840"/>
          <w:pgMar w:top="1380" w:bottom="280" w:left="1440" w:right="1440"/>
        </w:sectPr>
      </w:pPr>
    </w:p>
    <w:p>
      <w:pPr>
        <w:pStyle w:val="BodyText"/>
        <w:spacing w:line="249" w:lineRule="auto"/>
        <w:ind w:right="97"/>
      </w:pPr>
      <w:r>
        <w:rPr/>
        <w:t>The WHIMS analyzed the effects of HT on cognition and on risk of dementia in postmenopausal women participating in the WHI hormone trials. Contrary to earlier assumptions that menopausal ET should offer cognitive benefit, the WHIMS concluded that estrogen-progestin and estrogen-only therapy actually increased the risk for dementia in women aged</w:t>
      </w:r>
      <w:r>
        <w:rPr>
          <w:spacing w:val="-2"/>
        </w:rPr>
        <w:t> </w:t>
      </w:r>
      <w:r>
        <w:rPr/>
        <w:t>65</w:t>
      </w:r>
      <w:r>
        <w:rPr>
          <w:spacing w:val="-2"/>
        </w:rPr>
        <w:t> </w:t>
      </w:r>
      <w:r>
        <w:rPr/>
        <w:t>years</w:t>
      </w:r>
      <w:r>
        <w:rPr>
          <w:spacing w:val="-2"/>
        </w:rPr>
        <w:t> </w:t>
      </w:r>
      <w:r>
        <w:rPr/>
        <w:t>and</w:t>
      </w:r>
      <w:r>
        <w:rPr>
          <w:spacing w:val="-2"/>
        </w:rPr>
        <w:t> </w:t>
      </w:r>
      <w:r>
        <w:rPr/>
        <w:t>above</w:t>
      </w:r>
      <w:r>
        <w:rPr>
          <w:spacing w:val="-2"/>
        </w:rPr>
        <w:t> </w:t>
      </w:r>
      <w:r>
        <w:rPr/>
        <w:t>and</w:t>
      </w:r>
      <w:r>
        <w:rPr>
          <w:spacing w:val="-2"/>
        </w:rPr>
        <w:t> </w:t>
      </w:r>
      <w:r>
        <w:rPr/>
        <w:t>did</w:t>
      </w:r>
      <w:r>
        <w:rPr>
          <w:spacing w:val="-2"/>
        </w:rPr>
        <w:t> </w:t>
      </w:r>
      <w:r>
        <w:rPr/>
        <w:t>not</w:t>
      </w:r>
      <w:r>
        <w:rPr>
          <w:spacing w:val="-2"/>
        </w:rPr>
        <w:t> </w:t>
      </w:r>
      <w:r>
        <w:rPr/>
        <w:t>prevent</w:t>
      </w:r>
      <w:r>
        <w:rPr>
          <w:spacing w:val="-2"/>
        </w:rPr>
        <w:t> </w:t>
      </w:r>
      <w:r>
        <w:rPr/>
        <w:t>mild</w:t>
      </w:r>
      <w:r>
        <w:rPr>
          <w:spacing w:val="-2"/>
        </w:rPr>
        <w:t> </w:t>
      </w:r>
      <w:r>
        <w:rPr/>
        <w:t>cognitive</w:t>
      </w:r>
      <w:r>
        <w:rPr>
          <w:spacing w:val="-2"/>
        </w:rPr>
        <w:t> </w:t>
      </w:r>
      <w:r>
        <w:rPr/>
        <w:t>impairment.</w:t>
      </w:r>
      <w:r>
        <w:rPr>
          <w:vertAlign w:val="superscript"/>
        </w:rPr>
        <w:t>1247-1250</w:t>
      </w:r>
      <w:r>
        <w:rPr>
          <w:vertAlign w:val="baseline"/>
        </w:rPr>
        <w:t> However, the only statistically significant finding in the estrogen-progestin arm was increased dementia (vascular dementia, not Alzheimer disease) in older women (22 cases in the treated group and 10 cases in the placebo group) aged 75 years and above and who had been exposed to a relatively short term of estrogen-progestin therapy. The estrogen-only arm of the WHI contained more women who are obese with preexisting CVD, and the trend for an increase in dementia likely reflected an effect in older women with established atherosclerosis. A 2019 randomized placebo-controlled trial noted a faster decline in immediate list recall and a slower decline in story recall in ET use. However, like the WHI/WHIMS </w:t>
      </w:r>
      <w:r>
        <w:rPr>
          <w:vertAlign w:val="baseline"/>
        </w:rPr>
        <w:t>trials, average age was more than 10 years from menopause.</w:t>
      </w:r>
      <w:r>
        <w:rPr>
          <w:vertAlign w:val="superscript"/>
        </w:rPr>
        <w:t>1251</w:t>
      </w:r>
      <w:r>
        <w:rPr>
          <w:vertAlign w:val="baseline"/>
        </w:rPr>
        <w:t> Both </w:t>
      </w:r>
      <w:r>
        <w:rPr>
          <w:i/>
          <w:vertAlign w:val="baseline"/>
        </w:rPr>
        <w:t>timing </w:t>
      </w:r>
      <w:r>
        <w:rPr>
          <w:vertAlign w:val="baseline"/>
        </w:rPr>
        <w:t>and </w:t>
      </w:r>
      <w:r>
        <w:rPr>
          <w:i/>
          <w:vertAlign w:val="baseline"/>
        </w:rPr>
        <w:t>duration </w:t>
      </w:r>
      <w:r>
        <w:rPr>
          <w:vertAlign w:val="baseline"/>
        </w:rPr>
        <w:t>hypothesis, similar to ones proposed for cardiovascular effects of HT, emerged in the wake of WHIMS, raising questions that outcomes may differ for those women who initiate HT early in the course of menopause and in those who following early initiation continue to use HT for longer durations; hypotheses proposed that unlike WHIMS, women initiating HT proximate to final menses and who then continue to use hormones for prolonged periods may be protected against dementia. The WHI report recognized that these hypotheses could not be tested in this clinical trial because of the older age of the study participants and remoteness of hormone initiation from the onset of menopause. A prospective study of a homogeneous population in Utah (thus minimizing, if not eliminating, the healthy user bias) concluded that a reduction in the risk of Alzheimer required long-term treatment, initiated at least 10 years before symptoms of dementia appear.</w:t>
      </w:r>
      <w:r>
        <w:rPr>
          <w:vertAlign w:val="superscript"/>
        </w:rPr>
        <w:t>1252</w:t>
      </w:r>
      <w:r>
        <w:rPr>
          <w:vertAlign w:val="baseline"/>
        </w:rPr>
        <w:t> Thus, any favorable effects of HT on cognition and on the risk of Alzheimer disease, if any, appear to be limited to women who initiate treatment close to onset of menopause. However, KEEPSCog, an ancillary study to KEEPS that examined the timing hypothesis as regards the effects of HT initiated within 3 years of the onset of menopause, similarly failed to identify cognitive benefit.</w:t>
      </w:r>
      <w:r>
        <w:rPr>
          <w:vertAlign w:val="superscript"/>
        </w:rPr>
        <w:t>1253</w:t>
      </w:r>
    </w:p>
    <w:p>
      <w:pPr>
        <w:pStyle w:val="BodyText"/>
        <w:spacing w:after="0" w:line="249" w:lineRule="auto"/>
        <w:sectPr>
          <w:pgSz w:w="12240" w:h="15840"/>
          <w:pgMar w:top="1380" w:bottom="280" w:left="1440" w:right="1440"/>
        </w:sectPr>
      </w:pPr>
    </w:p>
    <w:p>
      <w:pPr>
        <w:spacing w:line="90" w:lineRule="exact"/>
        <w:ind w:left="105" w:right="0" w:firstLine="0"/>
        <w:rPr>
          <w:position w:val="-1"/>
          <w:sz w:val="8"/>
        </w:rPr>
      </w:pPr>
      <w:r>
        <w:rPr>
          <w:position w:val="-1"/>
          <w:sz w:val="8"/>
        </w:rPr>
        <mc:AlternateContent>
          <mc:Choice Requires="wps">
            <w:drawing>
              <wp:inline distT="0" distB="0" distL="0" distR="0">
                <wp:extent cx="285750" cy="57150"/>
                <wp:effectExtent l="0" t="0" r="0" b="0"/>
                <wp:docPr id="327" name="Group 327"/>
                <wp:cNvGraphicFramePr>
                  <a:graphicFrameLocks/>
                </wp:cNvGraphicFramePr>
                <a:graphic>
                  <a:graphicData uri="http://schemas.microsoft.com/office/word/2010/wordprocessingGroup">
                    <wpg:wgp>
                      <wpg:cNvPr id="327" name="Group 327"/>
                      <wpg:cNvGrpSpPr/>
                      <wpg:grpSpPr>
                        <a:xfrm>
                          <a:off x="0" y="0"/>
                          <a:ext cx="285750" cy="57150"/>
                          <a:chExt cx="285750" cy="57150"/>
                        </a:xfrm>
                      </wpg:grpSpPr>
                      <wps:wsp>
                        <wps:cNvPr id="328" name="Graphic 328"/>
                        <wps:cNvSpPr/>
                        <wps:spPr>
                          <a:xfrm>
                            <a:off x="0" y="0"/>
                            <a:ext cx="285750" cy="57150"/>
                          </a:xfrm>
                          <a:custGeom>
                            <a:avLst/>
                            <a:gdLst/>
                            <a:ahLst/>
                            <a:cxnLst/>
                            <a:rect l="l" t="t" r="r" b="b"/>
                            <a:pathLst>
                              <a:path w="285750" h="57150">
                                <a:moveTo>
                                  <a:pt x="32364" y="57149"/>
                                </a:moveTo>
                                <a:lnTo>
                                  <a:pt x="24785" y="57149"/>
                                </a:lnTo>
                                <a:lnTo>
                                  <a:pt x="21140" y="56407"/>
                                </a:lnTo>
                                <a:lnTo>
                                  <a:pt x="0" y="32299"/>
                                </a:lnTo>
                                <a:lnTo>
                                  <a:pt x="0" y="24707"/>
                                </a:lnTo>
                                <a:lnTo>
                                  <a:pt x="8369" y="8334"/>
                                </a:lnTo>
                                <a:lnTo>
                                  <a:pt x="11048" y="5657"/>
                                </a:lnTo>
                                <a:lnTo>
                                  <a:pt x="14138" y="3571"/>
                                </a:lnTo>
                                <a:lnTo>
                                  <a:pt x="17639" y="2085"/>
                                </a:lnTo>
                                <a:lnTo>
                                  <a:pt x="21140" y="742"/>
                                </a:lnTo>
                                <a:lnTo>
                                  <a:pt x="24785" y="0"/>
                                </a:lnTo>
                                <a:lnTo>
                                  <a:pt x="32364" y="0"/>
                                </a:lnTo>
                                <a:lnTo>
                                  <a:pt x="48780" y="8334"/>
                                </a:lnTo>
                                <a:lnTo>
                                  <a:pt x="51459" y="10868"/>
                                </a:lnTo>
                                <a:lnTo>
                                  <a:pt x="53524" y="13992"/>
                                </a:lnTo>
                                <a:lnTo>
                                  <a:pt x="54974" y="17411"/>
                                </a:lnTo>
                                <a:lnTo>
                                  <a:pt x="56424" y="20983"/>
                                </a:lnTo>
                                <a:lnTo>
                                  <a:pt x="57149" y="24707"/>
                                </a:lnTo>
                                <a:lnTo>
                                  <a:pt x="57149" y="32299"/>
                                </a:lnTo>
                                <a:lnTo>
                                  <a:pt x="36009" y="56407"/>
                                </a:lnTo>
                                <a:lnTo>
                                  <a:pt x="32364" y="57149"/>
                                </a:lnTo>
                                <a:close/>
                              </a:path>
                              <a:path w="285750" h="57150">
                                <a:moveTo>
                                  <a:pt x="146569" y="57149"/>
                                </a:moveTo>
                                <a:lnTo>
                                  <a:pt x="138990" y="57149"/>
                                </a:lnTo>
                                <a:lnTo>
                                  <a:pt x="135345" y="56407"/>
                                </a:lnTo>
                                <a:lnTo>
                                  <a:pt x="114204" y="32299"/>
                                </a:lnTo>
                                <a:lnTo>
                                  <a:pt x="114204" y="24707"/>
                                </a:lnTo>
                                <a:lnTo>
                                  <a:pt x="122574" y="8334"/>
                                </a:lnTo>
                                <a:lnTo>
                                  <a:pt x="125253" y="5657"/>
                                </a:lnTo>
                                <a:lnTo>
                                  <a:pt x="128343" y="3571"/>
                                </a:lnTo>
                                <a:lnTo>
                                  <a:pt x="131844" y="2085"/>
                                </a:lnTo>
                                <a:lnTo>
                                  <a:pt x="135345" y="742"/>
                                </a:lnTo>
                                <a:lnTo>
                                  <a:pt x="138990" y="0"/>
                                </a:lnTo>
                                <a:lnTo>
                                  <a:pt x="146569" y="0"/>
                                </a:lnTo>
                                <a:lnTo>
                                  <a:pt x="162985" y="8334"/>
                                </a:lnTo>
                                <a:lnTo>
                                  <a:pt x="165664" y="10868"/>
                                </a:lnTo>
                                <a:lnTo>
                                  <a:pt x="167729" y="13992"/>
                                </a:lnTo>
                                <a:lnTo>
                                  <a:pt x="169179" y="17411"/>
                                </a:lnTo>
                                <a:lnTo>
                                  <a:pt x="170629" y="20983"/>
                                </a:lnTo>
                                <a:lnTo>
                                  <a:pt x="171354" y="24707"/>
                                </a:lnTo>
                                <a:lnTo>
                                  <a:pt x="171354" y="32299"/>
                                </a:lnTo>
                                <a:lnTo>
                                  <a:pt x="150214" y="56407"/>
                                </a:lnTo>
                                <a:lnTo>
                                  <a:pt x="146569" y="57149"/>
                                </a:lnTo>
                                <a:close/>
                              </a:path>
                              <a:path w="285750" h="57150">
                                <a:moveTo>
                                  <a:pt x="260773" y="57149"/>
                                </a:moveTo>
                                <a:lnTo>
                                  <a:pt x="253195" y="57149"/>
                                </a:lnTo>
                                <a:lnTo>
                                  <a:pt x="249550" y="56407"/>
                                </a:lnTo>
                                <a:lnTo>
                                  <a:pt x="228409" y="32299"/>
                                </a:lnTo>
                                <a:lnTo>
                                  <a:pt x="228409" y="24707"/>
                                </a:lnTo>
                                <a:lnTo>
                                  <a:pt x="236778" y="8334"/>
                                </a:lnTo>
                                <a:lnTo>
                                  <a:pt x="239458" y="5657"/>
                                </a:lnTo>
                                <a:lnTo>
                                  <a:pt x="242548" y="3571"/>
                                </a:lnTo>
                                <a:lnTo>
                                  <a:pt x="246049" y="2085"/>
                                </a:lnTo>
                                <a:lnTo>
                                  <a:pt x="249550" y="742"/>
                                </a:lnTo>
                                <a:lnTo>
                                  <a:pt x="253195" y="0"/>
                                </a:lnTo>
                                <a:lnTo>
                                  <a:pt x="260773" y="0"/>
                                </a:lnTo>
                                <a:lnTo>
                                  <a:pt x="277190" y="8334"/>
                                </a:lnTo>
                                <a:lnTo>
                                  <a:pt x="279869" y="10868"/>
                                </a:lnTo>
                                <a:lnTo>
                                  <a:pt x="281934" y="13992"/>
                                </a:lnTo>
                                <a:lnTo>
                                  <a:pt x="283384" y="17411"/>
                                </a:lnTo>
                                <a:lnTo>
                                  <a:pt x="284834" y="20983"/>
                                </a:lnTo>
                                <a:lnTo>
                                  <a:pt x="285559" y="24707"/>
                                </a:lnTo>
                                <a:lnTo>
                                  <a:pt x="285559" y="32299"/>
                                </a:lnTo>
                                <a:lnTo>
                                  <a:pt x="264418" y="56407"/>
                                </a:lnTo>
                                <a:lnTo>
                                  <a:pt x="260773" y="57149"/>
                                </a:lnTo>
                                <a:close/>
                              </a:path>
                            </a:pathLst>
                          </a:custGeom>
                          <a:solidFill>
                            <a:srgbClr val="BDB4D4"/>
                          </a:solidFill>
                        </wps:spPr>
                        <wps:bodyPr wrap="square" lIns="0" tIns="0" rIns="0" bIns="0" rtlCol="0">
                          <a:prstTxWarp prst="textNoShape">
                            <a:avLst/>
                          </a:prstTxWarp>
                          <a:noAutofit/>
                        </wps:bodyPr>
                      </wps:wsp>
                    </wpg:wgp>
                  </a:graphicData>
                </a:graphic>
              </wp:inline>
            </w:drawing>
          </mc:Choice>
          <mc:Fallback>
            <w:pict>
              <v:group style="width:22.5pt;height:4.5pt;mso-position-horizontal-relative:char;mso-position-vertical-relative:line" id="docshapegroup304" coordorigin="0,0" coordsize="450,90">
                <v:shape style="position:absolute;left:0;top:0;width:450;height:90" id="docshape305" coordorigin="0,0" coordsize="450,90" path="m51,90l39,90,33,89,28,86,22,84,17,81,13,77,9,72,6,67,1,56,0,51,0,39,1,33,3,27,6,22,9,17,13,13,17,9,22,6,28,3,33,1,39,0,51,0,57,1,62,3,68,6,73,9,77,13,81,17,84,22,87,27,89,33,90,39,90,51,89,56,84,67,81,72,77,77,73,81,68,84,62,86,57,89,51,90xm231,90l219,90,213,89,208,86,202,84,197,81,193,77,189,72,186,67,181,56,180,51,180,39,181,33,183,27,186,22,189,17,193,13,197,9,202,6,208,3,213,1,219,0,231,0,237,1,242,3,248,6,252,9,257,13,261,17,264,22,266,27,269,33,270,39,270,51,269,56,264,67,261,72,257,77,252,81,248,84,242,86,237,89,231,90xm411,90l399,90,393,89,387,86,382,84,377,81,373,77,369,72,365,67,361,56,360,51,360,39,361,33,363,27,365,22,369,17,373,13,377,9,382,6,387,3,393,1,399,0,411,0,416,1,422,3,427,6,432,9,437,13,441,17,444,22,446,27,449,33,450,39,450,51,449,56,444,67,441,72,437,77,432,81,427,84,422,86,416,89,411,90xe" filled="true" fillcolor="#bdb4d4" stroked="false">
                  <v:path arrowok="t"/>
                  <v:fill type="solid"/>
                </v:shape>
              </v:group>
            </w:pict>
          </mc:Fallback>
        </mc:AlternateContent>
      </w:r>
      <w:r>
        <w:rPr>
          <w:position w:val="-1"/>
          <w:sz w:val="8"/>
        </w:rPr>
      </w:r>
    </w:p>
    <w:p>
      <w:pPr>
        <w:pStyle w:val="Heading3"/>
        <w:jc w:val="both"/>
      </w:pPr>
      <w:r>
        <w:rPr>
          <w:color w:val="534089"/>
        </w:rPr>
        <w:t>OTHER </w:t>
      </w:r>
      <w:r>
        <w:rPr>
          <w:color w:val="534089"/>
          <w:spacing w:val="-2"/>
        </w:rPr>
        <w:t>CONDITIONS</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77952">
                <wp:simplePos x="0" y="0"/>
                <wp:positionH relativeFrom="page">
                  <wp:posOffset>981075</wp:posOffset>
                </wp:positionH>
                <wp:positionV relativeFrom="paragraph">
                  <wp:posOffset>45679</wp:posOffset>
                </wp:positionV>
                <wp:extent cx="5810250" cy="1905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6802pt;width:457.499964pt;height:1.5pt;mso-position-horizontal-relative:page;mso-position-vertical-relative:paragraph;z-index:-15638528;mso-wrap-distance-left:0;mso-wrap-distance-right:0" id="docshape306" filled="true" fillcolor="#534089" stroked="false">
                <v:fill type="solid"/>
                <w10:wrap type="topAndBottom"/>
              </v:rect>
            </w:pict>
          </mc:Fallback>
        </mc:AlternateContent>
      </w:r>
    </w:p>
    <w:p>
      <w:pPr>
        <w:pStyle w:val="BodyText"/>
        <w:spacing w:line="249" w:lineRule="auto" w:before="215"/>
        <w:ind w:right="97"/>
      </w:pPr>
      <w:r>
        <w:rPr/>
        <w:t>Close surveillance is indicated for some patients with seizure disorders and migraine headaches. Patients with migraine headaches often improve </w:t>
      </w:r>
      <w:r>
        <w:rPr/>
        <w:t>with strategies that minimize fluctuations in circulating hormone levels that can serve to trigger headaches. Transdermal route of estrogen administration is preferable, given a stable hormone profile in comparison to following oral ingestion. Conditions that do not represent contraindications include controlled hypertension, smoking, and varicose veins. The belief that estrogen is potentially harmful with each of these clinical situations is derived from old studies of high-dose oral contraceptives. Estrogen in appropriate postmenopausal doses is acceptable in the presence of these </w:t>
      </w:r>
      <w:r>
        <w:rPr>
          <w:spacing w:val="-2"/>
        </w:rPr>
        <w:t>conditions.</w:t>
      </w:r>
    </w:p>
    <w:p>
      <w:pPr>
        <w:pStyle w:val="BodyText"/>
        <w:spacing w:line="249" w:lineRule="auto" w:before="13"/>
        <w:ind w:right="102" w:firstLine="450"/>
      </w:pPr>
      <w:r>
        <w:rPr/>
        <w:t>No other cancers (in addition to those mentioned previously) are </w:t>
      </w:r>
      <w:r>
        <w:rPr/>
        <w:t>known to be adversely affected by HT. Postmenopausal HT can be administered to all patients with a history of cervical, ovarian, or vulvar malignancies.</w:t>
      </w:r>
    </w:p>
    <w:p>
      <w:pPr>
        <w:pStyle w:val="BodyText"/>
        <w:spacing w:before="4"/>
      </w:pPr>
      <w:r>
        <w:rPr/>
        <w:t>Highly unusual anecdotal happenings include the </w:t>
      </w:r>
      <w:r>
        <w:rPr>
          <w:spacing w:val="-2"/>
        </w:rPr>
        <w:t>following:</w:t>
      </w:r>
    </w:p>
    <w:p>
      <w:pPr>
        <w:pStyle w:val="ListParagraph"/>
        <w:numPr>
          <w:ilvl w:val="0"/>
          <w:numId w:val="17"/>
        </w:numPr>
        <w:tabs>
          <w:tab w:pos="399" w:val="left" w:leader="none"/>
        </w:tabs>
        <w:spacing w:line="280" w:lineRule="auto" w:before="270" w:after="0"/>
        <w:ind w:left="399" w:right="101" w:hanging="280"/>
        <w:jc w:val="left"/>
        <w:rPr>
          <w:sz w:val="30"/>
        </w:rPr>
      </w:pPr>
      <w:r>
        <w:rPr>
          <w:sz w:val="30"/>
        </w:rPr>
        <w:t>Provocation</w:t>
      </w:r>
      <w:r>
        <w:rPr>
          <w:spacing w:val="40"/>
          <w:sz w:val="30"/>
        </w:rPr>
        <w:t> </w:t>
      </w:r>
      <w:r>
        <w:rPr>
          <w:sz w:val="30"/>
        </w:rPr>
        <w:t>of</w:t>
      </w:r>
      <w:r>
        <w:rPr>
          <w:spacing w:val="40"/>
          <w:sz w:val="30"/>
        </w:rPr>
        <w:t> </w:t>
      </w:r>
      <w:r>
        <w:rPr>
          <w:sz w:val="30"/>
        </w:rPr>
        <w:t>chorea</w:t>
      </w:r>
      <w:r>
        <w:rPr>
          <w:spacing w:val="40"/>
          <w:sz w:val="30"/>
        </w:rPr>
        <w:t> </w:t>
      </w:r>
      <w:r>
        <w:rPr>
          <w:sz w:val="30"/>
        </w:rPr>
        <w:t>by</w:t>
      </w:r>
      <w:r>
        <w:rPr>
          <w:spacing w:val="40"/>
          <w:sz w:val="30"/>
        </w:rPr>
        <w:t> </w:t>
      </w:r>
      <w:r>
        <w:rPr>
          <w:sz w:val="30"/>
        </w:rPr>
        <w:t>ET</w:t>
      </w:r>
      <w:r>
        <w:rPr>
          <w:spacing w:val="40"/>
          <w:sz w:val="30"/>
        </w:rPr>
        <w:t> </w:t>
      </w:r>
      <w:r>
        <w:rPr>
          <w:sz w:val="30"/>
        </w:rPr>
        <w:t>in</w:t>
      </w:r>
      <w:r>
        <w:rPr>
          <w:spacing w:val="40"/>
          <w:sz w:val="30"/>
        </w:rPr>
        <w:t> </w:t>
      </w:r>
      <w:r>
        <w:rPr>
          <w:sz w:val="30"/>
        </w:rPr>
        <w:t>a</w:t>
      </w:r>
      <w:r>
        <w:rPr>
          <w:spacing w:val="40"/>
          <w:sz w:val="30"/>
        </w:rPr>
        <w:t> </w:t>
      </w:r>
      <w:r>
        <w:rPr>
          <w:sz w:val="30"/>
        </w:rPr>
        <w:t>woman</w:t>
      </w:r>
      <w:r>
        <w:rPr>
          <w:spacing w:val="40"/>
          <w:sz w:val="30"/>
        </w:rPr>
        <w:t> </w:t>
      </w:r>
      <w:r>
        <w:rPr>
          <w:sz w:val="30"/>
        </w:rPr>
        <w:t>with</w:t>
      </w:r>
      <w:r>
        <w:rPr>
          <w:spacing w:val="40"/>
          <w:sz w:val="30"/>
        </w:rPr>
        <w:t> </w:t>
      </w:r>
      <w:r>
        <w:rPr>
          <w:sz w:val="30"/>
        </w:rPr>
        <w:t>a</w:t>
      </w:r>
      <w:r>
        <w:rPr>
          <w:spacing w:val="40"/>
          <w:sz w:val="30"/>
        </w:rPr>
        <w:t> </w:t>
      </w:r>
      <w:r>
        <w:rPr>
          <w:sz w:val="30"/>
        </w:rPr>
        <w:t>history</w:t>
      </w:r>
      <w:r>
        <w:rPr>
          <w:spacing w:val="40"/>
          <w:sz w:val="30"/>
        </w:rPr>
        <w:t> </w:t>
      </w:r>
      <w:r>
        <w:rPr>
          <w:sz w:val="30"/>
        </w:rPr>
        <w:t>of</w:t>
      </w:r>
      <w:r>
        <w:rPr>
          <w:spacing w:val="40"/>
          <w:sz w:val="30"/>
        </w:rPr>
        <w:t> </w:t>
      </w:r>
      <w:r>
        <w:rPr>
          <w:sz w:val="30"/>
        </w:rPr>
        <w:t>Sydenham </w:t>
      </w:r>
      <w:r>
        <w:rPr>
          <w:spacing w:val="-2"/>
          <w:sz w:val="30"/>
        </w:rPr>
        <w:t>chorea</w:t>
      </w:r>
      <w:r>
        <w:rPr>
          <w:spacing w:val="-2"/>
          <w:sz w:val="30"/>
          <w:vertAlign w:val="superscript"/>
        </w:rPr>
        <w:t>1254</w:t>
      </w:r>
    </w:p>
    <w:p>
      <w:pPr>
        <w:pStyle w:val="ListParagraph"/>
        <w:numPr>
          <w:ilvl w:val="0"/>
          <w:numId w:val="17"/>
        </w:numPr>
        <w:tabs>
          <w:tab w:pos="398" w:val="left" w:leader="none"/>
        </w:tabs>
        <w:spacing w:line="240" w:lineRule="auto" w:before="3" w:after="0"/>
        <w:ind w:left="398" w:right="0" w:hanging="279"/>
        <w:jc w:val="left"/>
        <w:rPr>
          <w:position w:val="10"/>
          <w:sz w:val="17"/>
        </w:rPr>
      </w:pPr>
      <w:r>
        <w:rPr>
          <w:sz w:val="30"/>
        </w:rPr>
        <w:t>Exacerbation</w:t>
      </w:r>
      <w:r>
        <w:rPr>
          <w:spacing w:val="-2"/>
          <w:sz w:val="30"/>
        </w:rPr>
        <w:t> </w:t>
      </w:r>
      <w:r>
        <w:rPr>
          <w:sz w:val="30"/>
        </w:rPr>
        <w:t>of pulmonary leiomyomatosis by </w:t>
      </w:r>
      <w:r>
        <w:rPr>
          <w:spacing w:val="-2"/>
          <w:sz w:val="30"/>
        </w:rPr>
        <w:t>ET</w:t>
      </w:r>
      <w:r>
        <w:rPr>
          <w:spacing w:val="-2"/>
          <w:position w:val="10"/>
          <w:sz w:val="17"/>
        </w:rPr>
        <w:t>1255</w:t>
      </w:r>
    </w:p>
    <w:p>
      <w:pPr>
        <w:pStyle w:val="ListParagraph"/>
        <w:numPr>
          <w:ilvl w:val="0"/>
          <w:numId w:val="17"/>
        </w:numPr>
        <w:tabs>
          <w:tab w:pos="399" w:val="left" w:leader="none"/>
        </w:tabs>
        <w:spacing w:line="280" w:lineRule="auto" w:before="105" w:after="0"/>
        <w:ind w:left="399" w:right="101" w:hanging="280"/>
        <w:jc w:val="left"/>
        <w:rPr>
          <w:sz w:val="30"/>
        </w:rPr>
      </w:pPr>
      <w:r>
        <w:rPr>
          <w:sz w:val="30"/>
        </w:rPr>
        <w:t>Psychiatric</w:t>
      </w:r>
      <w:r>
        <w:rPr>
          <w:spacing w:val="79"/>
          <w:sz w:val="30"/>
        </w:rPr>
        <w:t> </w:t>
      </w:r>
      <w:r>
        <w:rPr>
          <w:sz w:val="30"/>
        </w:rPr>
        <w:t>symptoms</w:t>
      </w:r>
      <w:r>
        <w:rPr>
          <w:spacing w:val="79"/>
          <w:sz w:val="30"/>
        </w:rPr>
        <w:t> </w:t>
      </w:r>
      <w:r>
        <w:rPr>
          <w:sz w:val="30"/>
        </w:rPr>
        <w:t>in</w:t>
      </w:r>
      <w:r>
        <w:rPr>
          <w:spacing w:val="79"/>
          <w:sz w:val="30"/>
        </w:rPr>
        <w:t> </w:t>
      </w:r>
      <w:r>
        <w:rPr>
          <w:sz w:val="30"/>
        </w:rPr>
        <w:t>response</w:t>
      </w:r>
      <w:r>
        <w:rPr>
          <w:spacing w:val="79"/>
          <w:sz w:val="30"/>
        </w:rPr>
        <w:t> </w:t>
      </w:r>
      <w:r>
        <w:rPr>
          <w:sz w:val="30"/>
        </w:rPr>
        <w:t>to</w:t>
      </w:r>
      <w:r>
        <w:rPr>
          <w:spacing w:val="79"/>
          <w:sz w:val="30"/>
        </w:rPr>
        <w:t> </w:t>
      </w:r>
      <w:r>
        <w:rPr>
          <w:sz w:val="30"/>
        </w:rPr>
        <w:t>estrogen</w:t>
      </w:r>
      <w:r>
        <w:rPr>
          <w:spacing w:val="79"/>
          <w:sz w:val="30"/>
        </w:rPr>
        <w:t> </w:t>
      </w:r>
      <w:r>
        <w:rPr>
          <w:sz w:val="30"/>
        </w:rPr>
        <w:t>in</w:t>
      </w:r>
      <w:r>
        <w:rPr>
          <w:spacing w:val="79"/>
          <w:sz w:val="30"/>
        </w:rPr>
        <w:t> </w:t>
      </w:r>
      <w:r>
        <w:rPr>
          <w:sz w:val="30"/>
        </w:rPr>
        <w:t>patients</w:t>
      </w:r>
      <w:r>
        <w:rPr>
          <w:spacing w:val="79"/>
          <w:sz w:val="30"/>
        </w:rPr>
        <w:t> </w:t>
      </w:r>
      <w:r>
        <w:rPr>
          <w:sz w:val="30"/>
        </w:rPr>
        <w:t>with</w:t>
      </w:r>
      <w:r>
        <w:rPr>
          <w:spacing w:val="79"/>
          <w:sz w:val="30"/>
        </w:rPr>
        <w:t> </w:t>
      </w:r>
      <w:r>
        <w:rPr>
          <w:sz w:val="30"/>
        </w:rPr>
        <w:t>acute intermittent porphyria</w:t>
      </w:r>
      <w:r>
        <w:rPr>
          <w:sz w:val="30"/>
          <w:vertAlign w:val="superscript"/>
        </w:rPr>
        <w:t>1256</w:t>
      </w:r>
    </w:p>
    <w:p>
      <w:pPr>
        <w:pStyle w:val="ListParagraph"/>
        <w:numPr>
          <w:ilvl w:val="0"/>
          <w:numId w:val="17"/>
        </w:numPr>
        <w:tabs>
          <w:tab w:pos="398" w:val="left" w:leader="none"/>
        </w:tabs>
        <w:spacing w:line="240" w:lineRule="auto" w:before="3" w:after="0"/>
        <w:ind w:left="398" w:right="0" w:hanging="279"/>
        <w:jc w:val="left"/>
        <w:rPr>
          <w:position w:val="10"/>
          <w:sz w:val="17"/>
        </w:rPr>
      </w:pPr>
      <w:r>
        <w:rPr>
          <w:sz w:val="30"/>
        </w:rPr>
        <w:t>Idiosyncratic</w:t>
      </w:r>
      <w:r>
        <w:rPr>
          <w:spacing w:val="-2"/>
          <w:sz w:val="30"/>
        </w:rPr>
        <w:t> </w:t>
      </w:r>
      <w:r>
        <w:rPr>
          <w:sz w:val="30"/>
        </w:rPr>
        <w:t>ocular symptoms associated with </w:t>
      </w:r>
      <w:r>
        <w:rPr>
          <w:spacing w:val="-2"/>
          <w:sz w:val="30"/>
        </w:rPr>
        <w:t>estrogen</w:t>
      </w:r>
      <w:r>
        <w:rPr>
          <w:spacing w:val="-2"/>
          <w:position w:val="10"/>
          <w:sz w:val="17"/>
        </w:rPr>
        <w:t>1257</w:t>
      </w:r>
    </w:p>
    <w:p>
      <w:pPr>
        <w:pStyle w:val="ListParagraph"/>
        <w:numPr>
          <w:ilvl w:val="0"/>
          <w:numId w:val="17"/>
        </w:numPr>
        <w:tabs>
          <w:tab w:pos="398" w:val="left" w:leader="none"/>
        </w:tabs>
        <w:spacing w:line="240" w:lineRule="auto" w:before="105" w:after="0"/>
        <w:ind w:left="398" w:right="0" w:hanging="279"/>
        <w:jc w:val="left"/>
        <w:rPr>
          <w:position w:val="10"/>
          <w:sz w:val="17"/>
        </w:rPr>
      </w:pPr>
      <w:r>
        <w:rPr>
          <w:sz w:val="30"/>
        </w:rPr>
        <w:t>Sudden</w:t>
      </w:r>
      <w:r>
        <w:rPr>
          <w:spacing w:val="-2"/>
          <w:sz w:val="30"/>
        </w:rPr>
        <w:t> </w:t>
      </w:r>
      <w:r>
        <w:rPr>
          <w:sz w:val="30"/>
        </w:rPr>
        <w:t>deafness and tinnitus with commencement of </w:t>
      </w:r>
      <w:r>
        <w:rPr>
          <w:spacing w:val="-2"/>
          <w:sz w:val="30"/>
        </w:rPr>
        <w:t>HT</w:t>
      </w:r>
      <w:r>
        <w:rPr>
          <w:spacing w:val="-2"/>
          <w:position w:val="10"/>
          <w:sz w:val="17"/>
        </w:rPr>
        <w:t>1258</w:t>
      </w:r>
    </w:p>
    <w:p>
      <w:pPr>
        <w:pStyle w:val="ListParagraph"/>
        <w:numPr>
          <w:ilvl w:val="0"/>
          <w:numId w:val="17"/>
        </w:numPr>
        <w:tabs>
          <w:tab w:pos="399" w:val="left" w:leader="none"/>
          <w:tab w:pos="2014" w:val="left" w:leader="none"/>
          <w:tab w:pos="2579" w:val="left" w:leader="none"/>
          <w:tab w:pos="3177" w:val="left" w:leader="none"/>
          <w:tab w:pos="4559" w:val="left" w:leader="none"/>
          <w:tab w:pos="5407" w:val="left" w:leader="none"/>
          <w:tab w:pos="7289" w:val="left" w:leader="none"/>
          <w:tab w:pos="8704" w:val="left" w:leader="none"/>
        </w:tabs>
        <w:spacing w:line="280" w:lineRule="auto" w:before="105" w:after="0"/>
        <w:ind w:left="399" w:right="104" w:hanging="280"/>
        <w:jc w:val="left"/>
        <w:rPr>
          <w:sz w:val="30"/>
        </w:rPr>
      </w:pPr>
      <w:r>
        <w:rPr>
          <w:spacing w:val="-2"/>
          <w:sz w:val="30"/>
        </w:rPr>
        <w:t>Resolution</w:t>
      </w:r>
      <w:r>
        <w:rPr>
          <w:sz w:val="30"/>
        </w:rPr>
        <w:tab/>
      </w:r>
      <w:r>
        <w:rPr>
          <w:spacing w:val="-6"/>
          <w:sz w:val="30"/>
        </w:rPr>
        <w:t>of</w:t>
      </w:r>
      <w:r>
        <w:rPr>
          <w:sz w:val="30"/>
        </w:rPr>
        <w:tab/>
      </w:r>
      <w:r>
        <w:rPr>
          <w:spacing w:val="-6"/>
          <w:sz w:val="30"/>
        </w:rPr>
        <w:t>an</w:t>
      </w:r>
      <w:r>
        <w:rPr>
          <w:sz w:val="30"/>
        </w:rPr>
        <w:tab/>
      </w:r>
      <w:r>
        <w:rPr>
          <w:spacing w:val="-2"/>
          <w:sz w:val="30"/>
        </w:rPr>
        <w:t>infection</w:t>
      </w:r>
      <w:r>
        <w:rPr>
          <w:sz w:val="30"/>
        </w:rPr>
        <w:tab/>
      </w:r>
      <w:r>
        <w:rPr>
          <w:spacing w:val="-4"/>
          <w:sz w:val="30"/>
        </w:rPr>
        <w:t>with</w:t>
      </w:r>
      <w:r>
        <w:rPr>
          <w:sz w:val="30"/>
        </w:rPr>
        <w:tab/>
      </w:r>
      <w:r>
        <w:rPr>
          <w:i/>
          <w:spacing w:val="-2"/>
          <w:sz w:val="30"/>
        </w:rPr>
        <w:t>Trichomonas</w:t>
      </w:r>
      <w:r>
        <w:rPr>
          <w:i/>
          <w:sz w:val="30"/>
        </w:rPr>
        <w:tab/>
      </w:r>
      <w:r>
        <w:rPr>
          <w:i/>
          <w:spacing w:val="-2"/>
          <w:sz w:val="30"/>
        </w:rPr>
        <w:t>vaginalis</w:t>
      </w:r>
      <w:r>
        <w:rPr>
          <w:i/>
          <w:sz w:val="30"/>
        </w:rPr>
        <w:tab/>
      </w:r>
      <w:r>
        <w:rPr>
          <w:spacing w:val="-2"/>
          <w:sz w:val="30"/>
        </w:rPr>
        <w:t>after </w:t>
      </w:r>
      <w:r>
        <w:rPr>
          <w:sz w:val="30"/>
        </w:rPr>
        <w:t>discontinuation of estrogen-progestin therapy</w:t>
      </w:r>
      <w:r>
        <w:rPr>
          <w:sz w:val="30"/>
          <w:vertAlign w:val="superscript"/>
        </w:rPr>
        <w:t>1259</w:t>
      </w:r>
    </w:p>
    <w:p>
      <w:pPr>
        <w:pStyle w:val="ListParagraph"/>
        <w:numPr>
          <w:ilvl w:val="0"/>
          <w:numId w:val="17"/>
        </w:numPr>
        <w:tabs>
          <w:tab w:pos="398" w:val="left" w:leader="none"/>
        </w:tabs>
        <w:spacing w:line="240" w:lineRule="auto" w:before="2" w:after="0"/>
        <w:ind w:left="398" w:right="0" w:hanging="279"/>
        <w:jc w:val="left"/>
        <w:rPr>
          <w:position w:val="10"/>
          <w:sz w:val="17"/>
        </w:rPr>
      </w:pPr>
      <w:r>
        <w:rPr>
          <w:sz w:val="30"/>
        </w:rPr>
        <w:t>Successful</w:t>
      </w:r>
      <w:r>
        <w:rPr>
          <w:spacing w:val="-2"/>
          <w:sz w:val="30"/>
        </w:rPr>
        <w:t> </w:t>
      </w:r>
      <w:r>
        <w:rPr>
          <w:sz w:val="30"/>
        </w:rPr>
        <w:t>treatment of Sjögren syndrome with </w:t>
      </w:r>
      <w:r>
        <w:rPr>
          <w:spacing w:val="-2"/>
          <w:sz w:val="30"/>
        </w:rPr>
        <w:t>tibolone</w:t>
      </w:r>
      <w:r>
        <w:rPr>
          <w:spacing w:val="-2"/>
          <w:position w:val="10"/>
          <w:sz w:val="17"/>
        </w:rPr>
        <w:t>1260</w:t>
      </w:r>
    </w:p>
    <w:p>
      <w:pPr>
        <w:pStyle w:val="BodyText"/>
        <w:spacing w:before="0"/>
        <w:ind w:left="0"/>
        <w:jc w:val="left"/>
        <w:rPr>
          <w:sz w:val="20"/>
        </w:rPr>
      </w:pPr>
    </w:p>
    <w:p>
      <w:pPr>
        <w:pStyle w:val="BodyText"/>
        <w:spacing w:before="171"/>
        <w:ind w:left="0"/>
        <w:jc w:val="left"/>
        <w:rPr>
          <w:sz w:val="20"/>
        </w:rPr>
      </w:pPr>
      <w:r>
        <w:rPr>
          <w:sz w:val="20"/>
        </w:rPr>
        <mc:AlternateContent>
          <mc:Choice Requires="wps">
            <w:drawing>
              <wp:anchor distT="0" distB="0" distL="0" distR="0" allowOverlap="1" layoutInCell="1" locked="0" behindDoc="1" simplePos="0" relativeHeight="487678464">
                <wp:simplePos x="0" y="0"/>
                <wp:positionH relativeFrom="page">
                  <wp:posOffset>981075</wp:posOffset>
                </wp:positionH>
                <wp:positionV relativeFrom="paragraph">
                  <wp:posOffset>270377</wp:posOffset>
                </wp:positionV>
                <wp:extent cx="285750" cy="57150"/>
                <wp:effectExtent l="0" t="0" r="0" b="0"/>
                <wp:wrapTopAndBottom/>
                <wp:docPr id="330" name="Graphic 330"/>
                <wp:cNvGraphicFramePr>
                  <a:graphicFrameLocks/>
                </wp:cNvGraphicFramePr>
                <a:graphic>
                  <a:graphicData uri="http://schemas.microsoft.com/office/word/2010/wordprocessingShape">
                    <wps:wsp>
                      <wps:cNvPr id="330" name="Graphic 330"/>
                      <wps:cNvSpPr/>
                      <wps:spPr>
                        <a:xfrm>
                          <a:off x="0" y="0"/>
                          <a:ext cx="285750" cy="57150"/>
                        </a:xfrm>
                        <a:custGeom>
                          <a:avLst/>
                          <a:gdLst/>
                          <a:ahLst/>
                          <a:cxnLst/>
                          <a:rect l="l" t="t" r="r" b="b"/>
                          <a:pathLst>
                            <a:path w="285750" h="57150">
                              <a:moveTo>
                                <a:pt x="28575" y="57149"/>
                              </a:moveTo>
                              <a:lnTo>
                                <a:pt x="0" y="32299"/>
                              </a:lnTo>
                              <a:lnTo>
                                <a:pt x="0" y="24850"/>
                              </a:lnTo>
                              <a:lnTo>
                                <a:pt x="24785" y="0"/>
                              </a:lnTo>
                              <a:lnTo>
                                <a:pt x="32364" y="0"/>
                              </a:lnTo>
                              <a:lnTo>
                                <a:pt x="57149" y="24850"/>
                              </a:lnTo>
                              <a:lnTo>
                                <a:pt x="57149" y="32299"/>
                              </a:lnTo>
                              <a:lnTo>
                                <a:pt x="28575" y="57149"/>
                              </a:lnTo>
                              <a:close/>
                            </a:path>
                            <a:path w="285750" h="57150">
                              <a:moveTo>
                                <a:pt x="142779" y="57149"/>
                              </a:moveTo>
                              <a:lnTo>
                                <a:pt x="114204" y="32299"/>
                              </a:lnTo>
                              <a:lnTo>
                                <a:pt x="114204" y="24850"/>
                              </a:lnTo>
                              <a:lnTo>
                                <a:pt x="138990" y="0"/>
                              </a:lnTo>
                              <a:lnTo>
                                <a:pt x="146569" y="0"/>
                              </a:lnTo>
                              <a:lnTo>
                                <a:pt x="171354" y="24850"/>
                              </a:lnTo>
                              <a:lnTo>
                                <a:pt x="171354" y="32299"/>
                              </a:lnTo>
                              <a:lnTo>
                                <a:pt x="142779" y="57149"/>
                              </a:lnTo>
                              <a:close/>
                            </a:path>
                            <a:path w="285750" h="57150">
                              <a:moveTo>
                                <a:pt x="256984" y="57149"/>
                              </a:moveTo>
                              <a:lnTo>
                                <a:pt x="228409" y="32299"/>
                              </a:lnTo>
                              <a:lnTo>
                                <a:pt x="228409" y="24850"/>
                              </a:lnTo>
                              <a:lnTo>
                                <a:pt x="253195" y="0"/>
                              </a:lnTo>
                              <a:lnTo>
                                <a:pt x="260773" y="0"/>
                              </a:lnTo>
                              <a:lnTo>
                                <a:pt x="285559" y="24850"/>
                              </a:lnTo>
                              <a:lnTo>
                                <a:pt x="285559" y="32299"/>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21.289553pt;width:22.5pt;height:4.5pt;mso-position-horizontal-relative:page;mso-position-vertical-relative:paragraph;z-index:-15638016;mso-wrap-distance-left:0;mso-wrap-distance-right:0" id="docshape307" coordorigin="1545,426" coordsize="450,90" path="m1590,516l1584,516,1578,514,1573,512,1567,510,1562,507,1558,503,1554,498,1551,493,1548,488,1546,482,1545,477,1545,465,1546,459,1548,453,1551,448,1554,443,1562,435,1567,431,1573,429,1578,427,1584,426,1596,426,1602,427,1607,429,1613,431,1618,435,1626,443,1629,448,1632,453,1634,459,1635,465,1635,477,1634,482,1632,488,1629,493,1626,498,1622,503,1618,507,1613,510,1607,512,1602,514,1596,516,1590,516xm1770,516l1764,516,1758,514,1753,512,1747,510,1742,507,1738,503,1734,498,1731,493,1728,488,1726,482,1725,477,1725,465,1726,459,1728,453,1731,448,1734,443,1742,435,1747,431,1753,429,1758,427,1764,426,1776,426,1782,427,1787,429,1793,431,1797,435,1806,443,1809,448,1811,453,1814,459,1815,465,1815,477,1814,482,1811,488,1809,493,1806,498,1802,503,1797,507,1793,510,1787,512,1782,514,1776,516,1770,516xm1950,516l1944,516,1938,514,1932,512,1927,510,1922,507,1918,503,1914,498,1910,493,1908,488,1906,482,1905,477,1905,465,1906,459,1908,453,1910,448,1914,443,1922,435,1927,431,1932,429,1938,427,1944,426,1956,426,1961,427,1967,429,1972,431,1977,435,1986,443,1989,448,1991,453,1994,459,1995,465,1995,477,1994,482,1991,488,1989,493,1986,498,1982,503,1977,507,1972,510,1967,512,1961,514,1956,516,1950,516xe" filled="true" fillcolor="#bdb4d4" stroked="false">
                <v:path arrowok="t"/>
                <v:fill type="solid"/>
                <w10:wrap type="topAndBottom"/>
              </v:shape>
            </w:pict>
          </mc:Fallback>
        </mc:AlternateContent>
      </w:r>
    </w:p>
    <w:p>
      <w:pPr>
        <w:pStyle w:val="Heading3"/>
        <w:jc w:val="both"/>
      </w:pPr>
      <w:r>
        <w:rPr>
          <w:color w:val="534089"/>
        </w:rPr>
        <w:t>BEYOND</w:t>
      </w:r>
      <w:r>
        <w:rPr>
          <w:color w:val="534089"/>
          <w:spacing w:val="-3"/>
        </w:rPr>
        <w:t> </w:t>
      </w:r>
      <w:r>
        <w:rPr>
          <w:color w:val="534089"/>
        </w:rPr>
        <w:t>SYMPTOM</w:t>
      </w:r>
      <w:r>
        <w:rPr>
          <w:color w:val="534089"/>
          <w:spacing w:val="-3"/>
        </w:rPr>
        <w:t> </w:t>
      </w:r>
      <w:r>
        <w:rPr>
          <w:color w:val="534089"/>
          <w:spacing w:val="-2"/>
        </w:rPr>
        <w:t>CONTROL</w:t>
      </w:r>
    </w:p>
    <w:p>
      <w:pPr>
        <w:pStyle w:val="BodyText"/>
        <w:spacing w:before="1"/>
        <w:ind w:left="0"/>
        <w:jc w:val="left"/>
        <w:rPr>
          <w:rFonts w:ascii="Arial"/>
          <w:b/>
          <w:sz w:val="4"/>
        </w:rPr>
      </w:pPr>
      <w:r>
        <w:rPr>
          <w:rFonts w:ascii="Arial"/>
          <w:b/>
          <w:sz w:val="4"/>
        </w:rPr>
        <mc:AlternateContent>
          <mc:Choice Requires="wps">
            <w:drawing>
              <wp:anchor distT="0" distB="0" distL="0" distR="0" allowOverlap="1" layoutInCell="1" locked="0" behindDoc="1" simplePos="0" relativeHeight="487678976">
                <wp:simplePos x="0" y="0"/>
                <wp:positionH relativeFrom="page">
                  <wp:posOffset>981075</wp:posOffset>
                </wp:positionH>
                <wp:positionV relativeFrom="paragraph">
                  <wp:posOffset>45679</wp:posOffset>
                </wp:positionV>
                <wp:extent cx="5810250" cy="1905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3.59678pt;width:457.499964pt;height:1.5pt;mso-position-horizontal-relative:page;mso-position-vertical-relative:paragraph;z-index:-15637504;mso-wrap-distance-left:0;mso-wrap-distance-right:0" id="docshape308" filled="true" fillcolor="#534089" stroked="false">
                <v:fill type="solid"/>
                <w10:wrap type="topAndBottom"/>
              </v:rect>
            </w:pict>
          </mc:Fallback>
        </mc:AlternateContent>
      </w:r>
    </w:p>
    <w:p>
      <w:pPr>
        <w:spacing w:before="215"/>
        <w:ind w:left="99" w:right="0" w:firstLine="0"/>
        <w:jc w:val="both"/>
        <w:rPr>
          <w:i/>
          <w:sz w:val="30"/>
        </w:rPr>
      </w:pPr>
      <w:r>
        <w:rPr>
          <w:i/>
          <w:sz w:val="30"/>
        </w:rPr>
        <w:t>Some Additional Benefits of Hormone </w:t>
      </w:r>
      <w:r>
        <w:rPr>
          <w:i/>
          <w:spacing w:val="-2"/>
          <w:sz w:val="30"/>
        </w:rPr>
        <w:t>Therapy</w:t>
      </w:r>
    </w:p>
    <w:p>
      <w:pPr>
        <w:spacing w:after="0"/>
        <w:jc w:val="both"/>
        <w:rPr>
          <w:i/>
          <w:sz w:val="30"/>
        </w:rPr>
        <w:sectPr>
          <w:pgSz w:w="12240" w:h="15840"/>
          <w:pgMar w:top="1440" w:bottom="280" w:left="1440" w:right="1440"/>
        </w:sectPr>
      </w:pPr>
    </w:p>
    <w:p>
      <w:pPr>
        <w:spacing w:before="63"/>
        <w:ind w:left="99" w:right="0" w:firstLine="0"/>
        <w:jc w:val="left"/>
        <w:rPr>
          <w:rFonts w:ascii="Arial"/>
          <w:b/>
          <w:sz w:val="30"/>
        </w:rPr>
      </w:pPr>
      <w:r>
        <w:rPr>
          <w:rFonts w:ascii="Arial"/>
          <w:b/>
          <w:color w:val="2674AE"/>
          <w:sz w:val="30"/>
        </w:rPr>
        <w:t>Estrogen Therapy and Autoimmune </w:t>
      </w:r>
      <w:r>
        <w:rPr>
          <w:rFonts w:ascii="Arial"/>
          <w:b/>
          <w:color w:val="2674AE"/>
          <w:spacing w:val="-2"/>
          <w:sz w:val="30"/>
        </w:rPr>
        <w:t>Diseases</w:t>
      </w:r>
    </w:p>
    <w:p>
      <w:pPr>
        <w:spacing w:before="166"/>
        <w:ind w:left="99" w:right="0" w:firstLine="0"/>
        <w:jc w:val="left"/>
        <w:rPr>
          <w:rFonts w:ascii="Arial"/>
          <w:b/>
          <w:i/>
          <w:sz w:val="22"/>
        </w:rPr>
      </w:pPr>
      <w:r>
        <w:rPr>
          <w:rFonts w:ascii="Arial"/>
          <w:b/>
          <w:i/>
          <w:color w:val="A0234E"/>
          <w:sz w:val="22"/>
        </w:rPr>
        <w:t>Rheumatoid</w:t>
      </w:r>
      <w:r>
        <w:rPr>
          <w:rFonts w:ascii="Arial"/>
          <w:b/>
          <w:i/>
          <w:color w:val="A0234E"/>
          <w:spacing w:val="26"/>
          <w:sz w:val="22"/>
        </w:rPr>
        <w:t> </w:t>
      </w:r>
      <w:r>
        <w:rPr>
          <w:rFonts w:ascii="Arial"/>
          <w:b/>
          <w:i/>
          <w:color w:val="A0234E"/>
          <w:spacing w:val="-2"/>
          <w:sz w:val="22"/>
        </w:rPr>
        <w:t>Arthritis</w:t>
      </w:r>
    </w:p>
    <w:p>
      <w:pPr>
        <w:spacing w:line="249" w:lineRule="auto" w:before="138"/>
        <w:ind w:left="99" w:right="99" w:firstLine="0"/>
        <w:jc w:val="both"/>
        <w:rPr>
          <w:b/>
          <w:sz w:val="30"/>
        </w:rPr>
      </w:pPr>
      <w:r>
        <w:rPr>
          <w:sz w:val="30"/>
        </w:rPr>
        <w:t>No clear conclusion is apparent from the studies of effects of estrogen on rheumatic diseases, especially rheumatoid arthritis. Some have </w:t>
      </w:r>
      <w:r>
        <w:rPr>
          <w:sz w:val="30"/>
        </w:rPr>
        <w:t>indicated that exogenous estrogen, either in oral contraceptives or as postmenopausal therapy, protects against the onset of rheumatoid arthritis, whereas other studies find no such effect.</w:t>
      </w:r>
      <w:r>
        <w:rPr>
          <w:sz w:val="30"/>
          <w:vertAlign w:val="superscript"/>
        </w:rPr>
        <w:t>1261-1264</w:t>
      </w:r>
      <w:r>
        <w:rPr>
          <w:sz w:val="30"/>
          <w:vertAlign w:val="baseline"/>
        </w:rPr>
        <w:t> Existing data are hampered by small numbers.</w:t>
      </w:r>
      <w:r>
        <w:rPr>
          <w:spacing w:val="-5"/>
          <w:sz w:val="30"/>
          <w:vertAlign w:val="baseline"/>
        </w:rPr>
        <w:t> </w:t>
      </w:r>
      <w:r>
        <w:rPr>
          <w:sz w:val="30"/>
          <w:vertAlign w:val="baseline"/>
        </w:rPr>
        <w:t>In a randomized, placebo-controlled, clinical trial, maintenance of standard serum estradiol levels was associated with improvements in some measurements of disease activity in patients with rheumatoid arthritis.</w:t>
      </w:r>
      <w:r>
        <w:rPr>
          <w:sz w:val="30"/>
          <w:vertAlign w:val="superscript"/>
        </w:rPr>
        <w:t>1265</w:t>
      </w:r>
      <w:r>
        <w:rPr>
          <w:sz w:val="30"/>
          <w:vertAlign w:val="baseline"/>
        </w:rPr>
        <w:t> Reassuringly, there has been no evidence that postmenopausal HT aggravates rheumatoid arthritis or causes a flare in disease activity. </w:t>
      </w:r>
      <w:r>
        <w:rPr>
          <w:b/>
          <w:sz w:val="30"/>
          <w:vertAlign w:val="baseline"/>
        </w:rPr>
        <w:t>Postmenopausal HT can be safely considered in symptomatic postmenopausal</w:t>
      </w:r>
      <w:r>
        <w:rPr>
          <w:b/>
          <w:spacing w:val="-1"/>
          <w:sz w:val="30"/>
          <w:vertAlign w:val="baseline"/>
        </w:rPr>
        <w:t> </w:t>
      </w:r>
      <w:r>
        <w:rPr>
          <w:b/>
          <w:sz w:val="30"/>
          <w:vertAlign w:val="baseline"/>
        </w:rPr>
        <w:t>women</w:t>
      </w:r>
      <w:r>
        <w:rPr>
          <w:b/>
          <w:spacing w:val="-1"/>
          <w:sz w:val="30"/>
          <w:vertAlign w:val="baseline"/>
        </w:rPr>
        <w:t> </w:t>
      </w:r>
      <w:r>
        <w:rPr>
          <w:b/>
          <w:sz w:val="30"/>
          <w:vertAlign w:val="baseline"/>
        </w:rPr>
        <w:t>with</w:t>
      </w:r>
      <w:r>
        <w:rPr>
          <w:b/>
          <w:spacing w:val="-1"/>
          <w:sz w:val="30"/>
          <w:vertAlign w:val="baseline"/>
        </w:rPr>
        <w:t> </w:t>
      </w:r>
      <w:r>
        <w:rPr>
          <w:b/>
          <w:sz w:val="30"/>
          <w:vertAlign w:val="baseline"/>
        </w:rPr>
        <w:t>rheumatoid</w:t>
      </w:r>
      <w:r>
        <w:rPr>
          <w:b/>
          <w:spacing w:val="-1"/>
          <w:sz w:val="30"/>
          <w:vertAlign w:val="baseline"/>
        </w:rPr>
        <w:t> </w:t>
      </w:r>
      <w:r>
        <w:rPr>
          <w:b/>
          <w:sz w:val="30"/>
          <w:vertAlign w:val="baseline"/>
        </w:rPr>
        <w:t>arthritis.</w:t>
      </w:r>
      <w:r>
        <w:rPr>
          <w:b/>
          <w:spacing w:val="-2"/>
          <w:sz w:val="30"/>
          <w:vertAlign w:val="baseline"/>
        </w:rPr>
        <w:t> </w:t>
      </w:r>
      <w:r>
        <w:rPr>
          <w:b/>
          <w:sz w:val="30"/>
          <w:vertAlign w:val="baseline"/>
        </w:rPr>
        <w:t>HT</w:t>
      </w:r>
      <w:r>
        <w:rPr>
          <w:b/>
          <w:spacing w:val="-4"/>
          <w:sz w:val="30"/>
          <w:vertAlign w:val="baseline"/>
        </w:rPr>
        <w:t> </w:t>
      </w:r>
      <w:r>
        <w:rPr>
          <w:b/>
          <w:sz w:val="30"/>
          <w:vertAlign w:val="baseline"/>
        </w:rPr>
        <w:t>can</w:t>
      </w:r>
      <w:r>
        <w:rPr>
          <w:b/>
          <w:spacing w:val="-4"/>
          <w:sz w:val="30"/>
          <w:vertAlign w:val="baseline"/>
        </w:rPr>
        <w:t> </w:t>
      </w:r>
      <w:r>
        <w:rPr>
          <w:b/>
          <w:sz w:val="30"/>
          <w:vertAlign w:val="baseline"/>
        </w:rPr>
        <w:t>additionally be considered as a fracture risk reduction strategy in appropriately selected patients </w:t>
      </w:r>
      <w:r>
        <w:rPr>
          <w:sz w:val="30"/>
          <w:vertAlign w:val="baseline"/>
        </w:rPr>
        <w:t>(skeletal effects of HT are discussed in the section on </w:t>
      </w:r>
      <w:r>
        <w:rPr>
          <w:spacing w:val="-2"/>
          <w:sz w:val="30"/>
          <w:vertAlign w:val="baseline"/>
        </w:rPr>
        <w:t>osteoporosis)</w:t>
      </w:r>
      <w:r>
        <w:rPr>
          <w:b/>
          <w:spacing w:val="-2"/>
          <w:sz w:val="30"/>
          <w:vertAlign w:val="baseline"/>
        </w:rPr>
        <w:t>.</w:t>
      </w:r>
    </w:p>
    <w:p>
      <w:pPr>
        <w:spacing w:before="302"/>
        <w:ind w:left="99" w:right="0" w:firstLine="0"/>
        <w:jc w:val="both"/>
        <w:rPr>
          <w:rFonts w:ascii="Arial"/>
          <w:b/>
          <w:i/>
          <w:sz w:val="22"/>
        </w:rPr>
      </w:pPr>
      <w:r>
        <w:rPr>
          <w:rFonts w:ascii="Arial"/>
          <w:b/>
          <w:i/>
          <w:color w:val="A0234E"/>
          <w:sz w:val="22"/>
        </w:rPr>
        <w:t>Systemic</w:t>
      </w:r>
      <w:r>
        <w:rPr>
          <w:rFonts w:ascii="Arial"/>
          <w:b/>
          <w:i/>
          <w:color w:val="A0234E"/>
          <w:spacing w:val="17"/>
          <w:sz w:val="22"/>
        </w:rPr>
        <w:t> </w:t>
      </w:r>
      <w:r>
        <w:rPr>
          <w:rFonts w:ascii="Arial"/>
          <w:b/>
          <w:i/>
          <w:color w:val="A0234E"/>
          <w:sz w:val="22"/>
        </w:rPr>
        <w:t>Lupus</w:t>
      </w:r>
      <w:r>
        <w:rPr>
          <w:rFonts w:ascii="Arial"/>
          <w:b/>
          <w:i/>
          <w:color w:val="A0234E"/>
          <w:spacing w:val="17"/>
          <w:sz w:val="22"/>
        </w:rPr>
        <w:t> </w:t>
      </w:r>
      <w:r>
        <w:rPr>
          <w:rFonts w:ascii="Arial"/>
          <w:b/>
          <w:i/>
          <w:color w:val="A0234E"/>
          <w:spacing w:val="-2"/>
          <w:sz w:val="22"/>
        </w:rPr>
        <w:t>Erythematosus</w:t>
      </w:r>
    </w:p>
    <w:p>
      <w:pPr>
        <w:spacing w:line="249" w:lineRule="auto" w:before="138"/>
        <w:ind w:left="99" w:right="98" w:firstLine="0"/>
        <w:jc w:val="both"/>
        <w:rPr>
          <w:b/>
          <w:sz w:val="30"/>
        </w:rPr>
      </w:pPr>
      <w:r>
        <w:rPr>
          <w:sz w:val="30"/>
        </w:rPr>
        <w:t>In the Nurses’ Health Study, the use of postmenopausal estrogen </w:t>
      </w:r>
      <w:r>
        <w:rPr>
          <w:sz w:val="30"/>
        </w:rPr>
        <w:t>was associated with approximately a 2-fold increase in systemic lupus erythematosus (SLE), an observation based on 30 cases in past and current users of estrogen.</w:t>
      </w:r>
      <w:r>
        <w:rPr>
          <w:sz w:val="30"/>
          <w:vertAlign w:val="superscript"/>
        </w:rPr>
        <w:t>1266</w:t>
      </w:r>
      <w:r>
        <w:rPr>
          <w:sz w:val="30"/>
          <w:vertAlign w:val="baseline"/>
        </w:rPr>
        <w:t> In a follow-up of 60 postmenopausal women with stable SLE, no adverse effects of HT could be detected.</w:t>
      </w:r>
      <w:r>
        <w:rPr>
          <w:sz w:val="30"/>
          <w:vertAlign w:val="superscript"/>
        </w:rPr>
        <w:t>1267</w:t>
      </w:r>
      <w:r>
        <w:rPr>
          <w:sz w:val="30"/>
          <w:vertAlign w:val="baseline"/>
        </w:rPr>
        <w:t> Patients with SLE develop early atherosclerosis, and those treated with glucocorticoids are especially at greater risk for osteoporosis,</w:t>
      </w:r>
      <w:r>
        <w:rPr>
          <w:sz w:val="30"/>
          <w:vertAlign w:val="superscript"/>
        </w:rPr>
        <w:t>1268</w:t>
      </w:r>
      <w:r>
        <w:rPr>
          <w:sz w:val="30"/>
          <w:vertAlign w:val="baseline"/>
        </w:rPr>
        <w:t> but there is a concern that exogenous</w:t>
      </w:r>
      <w:r>
        <w:rPr>
          <w:spacing w:val="-4"/>
          <w:sz w:val="30"/>
          <w:vertAlign w:val="baseline"/>
        </w:rPr>
        <w:t> </w:t>
      </w:r>
      <w:r>
        <w:rPr>
          <w:sz w:val="30"/>
          <w:vertAlign w:val="baseline"/>
        </w:rPr>
        <w:t>estrogen</w:t>
      </w:r>
      <w:r>
        <w:rPr>
          <w:spacing w:val="-4"/>
          <w:sz w:val="30"/>
          <w:vertAlign w:val="baseline"/>
        </w:rPr>
        <w:t> </w:t>
      </w:r>
      <w:r>
        <w:rPr>
          <w:sz w:val="30"/>
          <w:vertAlign w:val="baseline"/>
        </w:rPr>
        <w:t>will</w:t>
      </w:r>
      <w:r>
        <w:rPr>
          <w:spacing w:val="-4"/>
          <w:sz w:val="30"/>
          <w:vertAlign w:val="baseline"/>
        </w:rPr>
        <w:t> </w:t>
      </w:r>
      <w:r>
        <w:rPr>
          <w:sz w:val="30"/>
          <w:vertAlign w:val="baseline"/>
        </w:rPr>
        <w:t>increase</w:t>
      </w:r>
      <w:r>
        <w:rPr>
          <w:spacing w:val="-4"/>
          <w:sz w:val="30"/>
          <w:vertAlign w:val="baseline"/>
        </w:rPr>
        <w:t> </w:t>
      </w:r>
      <w:r>
        <w:rPr>
          <w:sz w:val="30"/>
          <w:vertAlign w:val="baseline"/>
        </w:rPr>
        <w:t>flares</w:t>
      </w:r>
      <w:r>
        <w:rPr>
          <w:spacing w:val="-4"/>
          <w:sz w:val="30"/>
          <w:vertAlign w:val="baseline"/>
        </w:rPr>
        <w:t> </w:t>
      </w:r>
      <w:r>
        <w:rPr>
          <w:sz w:val="30"/>
          <w:vertAlign w:val="baseline"/>
        </w:rPr>
        <w:t>and</w:t>
      </w:r>
      <w:r>
        <w:rPr>
          <w:spacing w:val="-4"/>
          <w:sz w:val="30"/>
          <w:vertAlign w:val="baseline"/>
        </w:rPr>
        <w:t> </w:t>
      </w:r>
      <w:r>
        <w:rPr>
          <w:sz w:val="30"/>
          <w:vertAlign w:val="baseline"/>
        </w:rPr>
        <w:t>stimulate</w:t>
      </w:r>
      <w:r>
        <w:rPr>
          <w:spacing w:val="-4"/>
          <w:sz w:val="30"/>
          <w:vertAlign w:val="baseline"/>
        </w:rPr>
        <w:t> </w:t>
      </w:r>
      <w:r>
        <w:rPr>
          <w:sz w:val="30"/>
          <w:vertAlign w:val="baseline"/>
        </w:rPr>
        <w:t>thrombosis</w:t>
      </w:r>
      <w:r>
        <w:rPr>
          <w:spacing w:val="-4"/>
          <w:sz w:val="30"/>
          <w:vertAlign w:val="baseline"/>
        </w:rPr>
        <w:t> </w:t>
      </w:r>
      <w:r>
        <w:rPr>
          <w:sz w:val="30"/>
          <w:vertAlign w:val="baseline"/>
        </w:rPr>
        <w:t>because</w:t>
      </w:r>
      <w:r>
        <w:rPr>
          <w:spacing w:val="-4"/>
          <w:sz w:val="30"/>
          <w:vertAlign w:val="baseline"/>
        </w:rPr>
        <w:t> </w:t>
      </w:r>
      <w:r>
        <w:rPr>
          <w:sz w:val="30"/>
          <w:vertAlign w:val="baseline"/>
        </w:rPr>
        <w:t>of an existing hypercoagulable state in these patients. Importantly, no increase in</w:t>
      </w:r>
      <w:r>
        <w:rPr>
          <w:spacing w:val="-1"/>
          <w:sz w:val="30"/>
          <w:vertAlign w:val="baseline"/>
        </w:rPr>
        <w:t> </w:t>
      </w:r>
      <w:r>
        <w:rPr>
          <w:sz w:val="30"/>
          <w:vertAlign w:val="baseline"/>
        </w:rPr>
        <w:t>arterial</w:t>
      </w:r>
      <w:r>
        <w:rPr>
          <w:spacing w:val="-1"/>
          <w:sz w:val="30"/>
          <w:vertAlign w:val="baseline"/>
        </w:rPr>
        <w:t> </w:t>
      </w:r>
      <w:r>
        <w:rPr>
          <w:sz w:val="30"/>
          <w:vertAlign w:val="baseline"/>
        </w:rPr>
        <w:t>or</w:t>
      </w:r>
      <w:r>
        <w:rPr>
          <w:spacing w:val="-1"/>
          <w:sz w:val="30"/>
          <w:vertAlign w:val="baseline"/>
        </w:rPr>
        <w:t> </w:t>
      </w:r>
      <w:r>
        <w:rPr>
          <w:sz w:val="30"/>
          <w:vertAlign w:val="baseline"/>
        </w:rPr>
        <w:t>venous</w:t>
      </w:r>
      <w:r>
        <w:rPr>
          <w:spacing w:val="-1"/>
          <w:sz w:val="30"/>
          <w:vertAlign w:val="baseline"/>
        </w:rPr>
        <w:t> </w:t>
      </w:r>
      <w:r>
        <w:rPr>
          <w:sz w:val="30"/>
          <w:vertAlign w:val="baseline"/>
        </w:rPr>
        <w:t>thrombosis</w:t>
      </w:r>
      <w:r>
        <w:rPr>
          <w:spacing w:val="-1"/>
          <w:sz w:val="30"/>
          <w:vertAlign w:val="baseline"/>
        </w:rPr>
        <w:t> </w:t>
      </w:r>
      <w:r>
        <w:rPr>
          <w:sz w:val="30"/>
          <w:vertAlign w:val="baseline"/>
        </w:rPr>
        <w:t>was</w:t>
      </w:r>
      <w:r>
        <w:rPr>
          <w:spacing w:val="-1"/>
          <w:sz w:val="30"/>
          <w:vertAlign w:val="baseline"/>
        </w:rPr>
        <w:t> </w:t>
      </w:r>
      <w:r>
        <w:rPr>
          <w:sz w:val="30"/>
          <w:vertAlign w:val="baseline"/>
        </w:rPr>
        <w:t>observed</w:t>
      </w:r>
      <w:r>
        <w:rPr>
          <w:spacing w:val="-1"/>
          <w:sz w:val="30"/>
          <w:vertAlign w:val="baseline"/>
        </w:rPr>
        <w:t> </w:t>
      </w:r>
      <w:r>
        <w:rPr>
          <w:sz w:val="30"/>
          <w:vertAlign w:val="baseline"/>
        </w:rPr>
        <w:t>with</w:t>
      </w:r>
      <w:r>
        <w:rPr>
          <w:spacing w:val="-1"/>
          <w:sz w:val="30"/>
          <w:vertAlign w:val="baseline"/>
        </w:rPr>
        <w:t> </w:t>
      </w:r>
      <w:r>
        <w:rPr>
          <w:sz w:val="30"/>
          <w:vertAlign w:val="baseline"/>
        </w:rPr>
        <w:t>postmenopausal</w:t>
      </w:r>
      <w:r>
        <w:rPr>
          <w:spacing w:val="-1"/>
          <w:sz w:val="30"/>
          <w:vertAlign w:val="baseline"/>
        </w:rPr>
        <w:t> </w:t>
      </w:r>
      <w:r>
        <w:rPr>
          <w:sz w:val="30"/>
          <w:vertAlign w:val="baseline"/>
        </w:rPr>
        <w:t>HT</w:t>
      </w:r>
      <w:r>
        <w:rPr>
          <w:spacing w:val="-1"/>
          <w:sz w:val="30"/>
          <w:vertAlign w:val="baseline"/>
        </w:rPr>
        <w:t> </w:t>
      </w:r>
      <w:r>
        <w:rPr>
          <w:sz w:val="30"/>
          <w:vertAlign w:val="baseline"/>
        </w:rPr>
        <w:t>in</w:t>
      </w:r>
      <w:r>
        <w:rPr>
          <w:spacing w:val="-1"/>
          <w:sz w:val="30"/>
          <w:vertAlign w:val="baseline"/>
        </w:rPr>
        <w:t> </w:t>
      </w:r>
      <w:r>
        <w:rPr>
          <w:sz w:val="30"/>
          <w:vertAlign w:val="baseline"/>
        </w:rPr>
        <w:t>a longitudinal study of a large cohort of US women with SLE.</w:t>
      </w:r>
      <w:r>
        <w:rPr>
          <w:sz w:val="30"/>
          <w:vertAlign w:val="superscript"/>
        </w:rPr>
        <w:t>1269</w:t>
      </w:r>
      <w:r>
        <w:rPr>
          <w:sz w:val="30"/>
          <w:vertAlign w:val="baseline"/>
        </w:rPr>
        <w:t> </w:t>
      </w:r>
      <w:r>
        <w:rPr>
          <w:b/>
          <w:sz w:val="30"/>
          <w:vertAlign w:val="baseline"/>
        </w:rPr>
        <w:t>Postmenopausal HT can be considered in patients with stable or inactive disease, without renal involvement, or high antiphospholipid antibodies, and transdermal route for estrogen administration is </w:t>
      </w:r>
      <w:r>
        <w:rPr>
          <w:b/>
          <w:spacing w:val="-2"/>
          <w:sz w:val="30"/>
          <w:vertAlign w:val="baseline"/>
        </w:rPr>
        <w:t>advised.</w:t>
      </w:r>
    </w:p>
    <w:p>
      <w:pPr>
        <w:spacing w:after="0" w:line="249" w:lineRule="auto"/>
        <w:jc w:val="both"/>
        <w:rPr>
          <w:b/>
          <w:sz w:val="30"/>
        </w:rPr>
        <w:sectPr>
          <w:pgSz w:w="12240" w:h="15840"/>
          <w:pgMar w:top="1380" w:bottom="280" w:left="1440" w:right="1440"/>
        </w:sectPr>
      </w:pPr>
    </w:p>
    <w:p>
      <w:pPr>
        <w:spacing w:before="63"/>
        <w:ind w:left="99" w:right="0" w:firstLine="0"/>
        <w:jc w:val="left"/>
        <w:rPr>
          <w:rFonts w:ascii="Arial"/>
          <w:b/>
          <w:sz w:val="30"/>
        </w:rPr>
      </w:pPr>
      <w:r>
        <w:rPr>
          <w:rFonts w:ascii="Arial"/>
          <w:b/>
          <w:color w:val="2674AE"/>
          <w:sz w:val="30"/>
        </w:rPr>
        <w:t>Estrogen Therapy and </w:t>
      </w:r>
      <w:r>
        <w:rPr>
          <w:rFonts w:ascii="Arial"/>
          <w:b/>
          <w:color w:val="2674AE"/>
          <w:spacing w:val="-2"/>
          <w:sz w:val="30"/>
        </w:rPr>
        <w:t>Osteoarthritis</w:t>
      </w:r>
    </w:p>
    <w:p>
      <w:pPr>
        <w:pStyle w:val="BodyText"/>
        <w:spacing w:line="249" w:lineRule="auto" w:before="167"/>
        <w:ind w:right="98"/>
      </w:pPr>
      <w:r>
        <w:rPr/>
        <w:t>Osteoarthritis is the most common form of arthritis in older people, and its prevalence</w:t>
      </w:r>
      <w:r>
        <w:rPr>
          <w:spacing w:val="-2"/>
        </w:rPr>
        <w:t> </w:t>
      </w:r>
      <w:r>
        <w:rPr/>
        <w:t>increases</w:t>
      </w:r>
      <w:r>
        <w:rPr>
          <w:spacing w:val="-2"/>
        </w:rPr>
        <w:t> </w:t>
      </w:r>
      <w:r>
        <w:rPr/>
        <w:t>rapidly</w:t>
      </w:r>
      <w:r>
        <w:rPr>
          <w:spacing w:val="-2"/>
        </w:rPr>
        <w:t> </w:t>
      </w:r>
      <w:r>
        <w:rPr/>
        <w:t>in</w:t>
      </w:r>
      <w:r>
        <w:rPr>
          <w:spacing w:val="-2"/>
        </w:rPr>
        <w:t> </w:t>
      </w:r>
      <w:r>
        <w:rPr/>
        <w:t>women</w:t>
      </w:r>
      <w:r>
        <w:rPr>
          <w:spacing w:val="-2"/>
        </w:rPr>
        <w:t> </w:t>
      </w:r>
      <w:r>
        <w:rPr/>
        <w:t>after</w:t>
      </w:r>
      <w:r>
        <w:rPr>
          <w:spacing w:val="-2"/>
        </w:rPr>
        <w:t> </w:t>
      </w:r>
      <w:r>
        <w:rPr/>
        <w:t>menopause.</w:t>
      </w:r>
      <w:r>
        <w:rPr>
          <w:spacing w:val="-2"/>
        </w:rPr>
        <w:t> </w:t>
      </w:r>
      <w:r>
        <w:rPr/>
        <w:t>Increasing</w:t>
      </w:r>
      <w:r>
        <w:rPr>
          <w:spacing w:val="-4"/>
        </w:rPr>
        <w:t> </w:t>
      </w:r>
      <w:r>
        <w:rPr/>
        <w:t>severity of osteoarthritis of the knee has been reported to be associated with increasing bone density and the current use of postmenopausal HT in middle-aged</w:t>
      </w:r>
      <w:r>
        <w:rPr>
          <w:spacing w:val="-12"/>
        </w:rPr>
        <w:t> </w:t>
      </w:r>
      <w:r>
        <w:rPr/>
        <w:t>women.</w:t>
      </w:r>
      <w:r>
        <w:rPr>
          <w:vertAlign w:val="superscript"/>
        </w:rPr>
        <w:t>1270</w:t>
      </w:r>
      <w:r>
        <w:rPr>
          <w:vertAlign w:val="baseline"/>
        </w:rPr>
        <w:t> However, estrogen treatment reduced </w:t>
      </w:r>
      <w:r>
        <w:rPr>
          <w:vertAlign w:val="baseline"/>
        </w:rPr>
        <w:t>osteoarthritis in</w:t>
      </w:r>
      <w:r>
        <w:rPr>
          <w:spacing w:val="-1"/>
          <w:vertAlign w:val="baseline"/>
        </w:rPr>
        <w:t> </w:t>
      </w:r>
      <w:r>
        <w:rPr>
          <w:vertAlign w:val="baseline"/>
        </w:rPr>
        <w:t>a</w:t>
      </w:r>
      <w:r>
        <w:rPr>
          <w:spacing w:val="-1"/>
          <w:vertAlign w:val="baseline"/>
        </w:rPr>
        <w:t> </w:t>
      </w:r>
      <w:r>
        <w:rPr>
          <w:vertAlign w:val="baseline"/>
        </w:rPr>
        <w:t>monkey</w:t>
      </w:r>
      <w:r>
        <w:rPr>
          <w:spacing w:val="-1"/>
          <w:vertAlign w:val="baseline"/>
        </w:rPr>
        <w:t> </w:t>
      </w:r>
      <w:r>
        <w:rPr>
          <w:vertAlign w:val="baseline"/>
        </w:rPr>
        <w:t>model,</w:t>
      </w:r>
      <w:r>
        <w:rPr>
          <w:spacing w:val="-1"/>
          <w:vertAlign w:val="baseline"/>
        </w:rPr>
        <w:t> </w:t>
      </w:r>
      <w:r>
        <w:rPr>
          <w:vertAlign w:val="baseline"/>
        </w:rPr>
        <w:t>and</w:t>
      </w:r>
      <w:r>
        <w:rPr>
          <w:spacing w:val="-1"/>
          <w:vertAlign w:val="baseline"/>
        </w:rPr>
        <w:t> </w:t>
      </w:r>
      <w:r>
        <w:rPr>
          <w:vertAlign w:val="baseline"/>
        </w:rPr>
        <w:t>a</w:t>
      </w:r>
      <w:r>
        <w:rPr>
          <w:spacing w:val="-1"/>
          <w:vertAlign w:val="baseline"/>
        </w:rPr>
        <w:t> </w:t>
      </w:r>
      <w:r>
        <w:rPr>
          <w:vertAlign w:val="baseline"/>
        </w:rPr>
        <w:t>cross-sectional</w:t>
      </w:r>
      <w:r>
        <w:rPr>
          <w:spacing w:val="-1"/>
          <w:vertAlign w:val="baseline"/>
        </w:rPr>
        <w:t> </w:t>
      </w:r>
      <w:r>
        <w:rPr>
          <w:vertAlign w:val="baseline"/>
        </w:rPr>
        <w:t>study</w:t>
      </w:r>
      <w:r>
        <w:rPr>
          <w:spacing w:val="-1"/>
          <w:vertAlign w:val="baseline"/>
        </w:rPr>
        <w:t> </w:t>
      </w:r>
      <w:r>
        <w:rPr>
          <w:vertAlign w:val="baseline"/>
        </w:rPr>
        <w:t>concluded</w:t>
      </w:r>
      <w:r>
        <w:rPr>
          <w:spacing w:val="-1"/>
          <w:vertAlign w:val="baseline"/>
        </w:rPr>
        <w:t> </w:t>
      </w:r>
      <w:r>
        <w:rPr>
          <w:vertAlign w:val="baseline"/>
        </w:rPr>
        <w:t>that</w:t>
      </w:r>
      <w:r>
        <w:rPr>
          <w:spacing w:val="-1"/>
          <w:vertAlign w:val="baseline"/>
        </w:rPr>
        <w:t> </w:t>
      </w:r>
      <w:r>
        <w:rPr>
          <w:vertAlign w:val="baseline"/>
        </w:rPr>
        <w:t>current</w:t>
      </w:r>
      <w:r>
        <w:rPr>
          <w:spacing w:val="-1"/>
          <w:vertAlign w:val="baseline"/>
        </w:rPr>
        <w:t> </w:t>
      </w:r>
      <w:r>
        <w:rPr>
          <w:vertAlign w:val="baseline"/>
        </w:rPr>
        <w:t>users of estrogen had a reduced prevalence of osteoarthritis of the hip, and there was protection against the severity of osteoarthritis, with a greater effect with longer duration of use.</w:t>
      </w:r>
      <w:r>
        <w:rPr>
          <w:vertAlign w:val="superscript"/>
        </w:rPr>
        <w:t>1271,1272</w:t>
      </w:r>
      <w:r>
        <w:rPr>
          <w:vertAlign w:val="baseline"/>
        </w:rPr>
        <w:t> Arthritic complaints are a major side effect</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low</w:t>
      </w:r>
      <w:r>
        <w:rPr>
          <w:spacing w:val="-1"/>
          <w:vertAlign w:val="baseline"/>
        </w:rPr>
        <w:t> </w:t>
      </w:r>
      <w:r>
        <w:rPr>
          <w:vertAlign w:val="baseline"/>
        </w:rPr>
        <w:t>estrogen</w:t>
      </w:r>
      <w:r>
        <w:rPr>
          <w:spacing w:val="-1"/>
          <w:vertAlign w:val="baseline"/>
        </w:rPr>
        <w:t> </w:t>
      </w:r>
      <w:r>
        <w:rPr>
          <w:vertAlign w:val="baseline"/>
        </w:rPr>
        <w:t>state</w:t>
      </w:r>
      <w:r>
        <w:rPr>
          <w:spacing w:val="-1"/>
          <w:vertAlign w:val="baseline"/>
        </w:rPr>
        <w:t> </w:t>
      </w:r>
      <w:r>
        <w:rPr>
          <w:vertAlign w:val="baseline"/>
        </w:rPr>
        <w:t>induced</w:t>
      </w:r>
      <w:r>
        <w:rPr>
          <w:spacing w:val="-1"/>
          <w:vertAlign w:val="baseline"/>
        </w:rPr>
        <w:t> </w:t>
      </w:r>
      <w:r>
        <w:rPr>
          <w:vertAlign w:val="baseline"/>
        </w:rPr>
        <w:t>in</w:t>
      </w:r>
      <w:r>
        <w:rPr>
          <w:spacing w:val="-1"/>
          <w:vertAlign w:val="baseline"/>
        </w:rPr>
        <w:t> </w:t>
      </w:r>
      <w:r>
        <w:rPr>
          <w:vertAlign w:val="baseline"/>
        </w:rPr>
        <w:t>women</w:t>
      </w:r>
      <w:r>
        <w:rPr>
          <w:spacing w:val="-1"/>
          <w:vertAlign w:val="baseline"/>
        </w:rPr>
        <w:t> </w:t>
      </w:r>
      <w:r>
        <w:rPr>
          <w:vertAlign w:val="baseline"/>
        </w:rPr>
        <w:t>with</w:t>
      </w:r>
      <w:r>
        <w:rPr>
          <w:spacing w:val="-1"/>
          <w:vertAlign w:val="baseline"/>
        </w:rPr>
        <w:t> </w:t>
      </w:r>
      <w:r>
        <w:rPr>
          <w:vertAlign w:val="baseline"/>
        </w:rPr>
        <w:t>breast</w:t>
      </w:r>
      <w:r>
        <w:rPr>
          <w:spacing w:val="-1"/>
          <w:vertAlign w:val="baseline"/>
        </w:rPr>
        <w:t> </w:t>
      </w:r>
      <w:r>
        <w:rPr>
          <w:vertAlign w:val="baseline"/>
        </w:rPr>
        <w:t>cancer</w:t>
      </w:r>
      <w:r>
        <w:rPr>
          <w:spacing w:val="-1"/>
          <w:vertAlign w:val="baseline"/>
        </w:rPr>
        <w:t> </w:t>
      </w:r>
      <w:r>
        <w:rPr>
          <w:vertAlign w:val="baseline"/>
        </w:rPr>
        <w:t>treated with AIs, and osteoarthritis develops more frequently in women with the lowest</w:t>
      </w:r>
      <w:r>
        <w:rPr>
          <w:spacing w:val="-5"/>
          <w:vertAlign w:val="baseline"/>
        </w:rPr>
        <w:t> </w:t>
      </w:r>
      <w:r>
        <w:rPr>
          <w:vertAlign w:val="baseline"/>
        </w:rPr>
        <w:t>levels</w:t>
      </w:r>
      <w:r>
        <w:rPr>
          <w:spacing w:val="-5"/>
          <w:vertAlign w:val="baseline"/>
        </w:rPr>
        <w:t> </w:t>
      </w:r>
      <w:r>
        <w:rPr>
          <w:vertAlign w:val="baseline"/>
        </w:rPr>
        <w:t>of</w:t>
      </w:r>
      <w:r>
        <w:rPr>
          <w:spacing w:val="-5"/>
          <w:vertAlign w:val="baseline"/>
        </w:rPr>
        <w:t> </w:t>
      </w:r>
      <w:r>
        <w:rPr>
          <w:vertAlign w:val="baseline"/>
        </w:rPr>
        <w:t>estrogen.</w:t>
      </w:r>
      <w:r>
        <w:rPr>
          <w:vertAlign w:val="superscript"/>
        </w:rPr>
        <w:t>1273,1274</w:t>
      </w:r>
      <w:r>
        <w:rPr>
          <w:spacing w:val="-4"/>
          <w:vertAlign w:val="baseline"/>
        </w:rPr>
        <w:t> </w:t>
      </w:r>
      <w:r>
        <w:rPr>
          <w:vertAlign w:val="baseline"/>
        </w:rPr>
        <w:t>Because</w:t>
      </w:r>
      <w:r>
        <w:rPr>
          <w:spacing w:val="-4"/>
          <w:vertAlign w:val="baseline"/>
        </w:rPr>
        <w:t> </w:t>
      </w:r>
      <w:r>
        <w:rPr>
          <w:vertAlign w:val="baseline"/>
        </w:rPr>
        <w:t>there</w:t>
      </w:r>
      <w:r>
        <w:rPr>
          <w:spacing w:val="-4"/>
          <w:vertAlign w:val="baseline"/>
        </w:rPr>
        <w:t> </w:t>
      </w:r>
      <w:r>
        <w:rPr>
          <w:vertAlign w:val="baseline"/>
        </w:rPr>
        <w:t>are</w:t>
      </w:r>
      <w:r>
        <w:rPr>
          <w:spacing w:val="-4"/>
          <w:vertAlign w:val="baseline"/>
        </w:rPr>
        <w:t> </w:t>
      </w:r>
      <w:r>
        <w:rPr>
          <w:vertAlign w:val="baseline"/>
        </w:rPr>
        <w:t>no</w:t>
      </w:r>
      <w:r>
        <w:rPr>
          <w:spacing w:val="-4"/>
          <w:vertAlign w:val="baseline"/>
        </w:rPr>
        <w:t> </w:t>
      </w:r>
      <w:r>
        <w:rPr>
          <w:vertAlign w:val="baseline"/>
        </w:rPr>
        <w:t>known</w:t>
      </w:r>
      <w:r>
        <w:rPr>
          <w:spacing w:val="-4"/>
          <w:vertAlign w:val="baseline"/>
        </w:rPr>
        <w:t> </w:t>
      </w:r>
      <w:r>
        <w:rPr>
          <w:vertAlign w:val="baseline"/>
        </w:rPr>
        <w:t>treatments</w:t>
      </w:r>
      <w:r>
        <w:rPr>
          <w:spacing w:val="-4"/>
          <w:vertAlign w:val="baseline"/>
        </w:rPr>
        <w:t> </w:t>
      </w:r>
      <w:r>
        <w:rPr>
          <w:vertAlign w:val="baseline"/>
        </w:rPr>
        <w:t>that modify the course of osteoarthritis, this potential benefit of postmenopausal HT deserves study in appropriately designed randomized clinical trials.</w:t>
      </w:r>
    </w:p>
    <w:p>
      <w:pPr>
        <w:pStyle w:val="BodyText"/>
        <w:spacing w:before="61"/>
        <w:ind w:left="0"/>
        <w:jc w:val="left"/>
      </w:pPr>
    </w:p>
    <w:p>
      <w:pPr>
        <w:spacing w:before="0"/>
        <w:ind w:left="99" w:right="0" w:firstLine="0"/>
        <w:jc w:val="left"/>
        <w:rPr>
          <w:rFonts w:ascii="Arial"/>
          <w:b/>
          <w:sz w:val="30"/>
        </w:rPr>
      </w:pPr>
      <w:r>
        <w:rPr>
          <w:rFonts w:ascii="Arial"/>
          <w:b/>
          <w:color w:val="2674AE"/>
          <w:sz w:val="30"/>
        </w:rPr>
        <w:t>Estrogen Therapy and the Oral </w:t>
      </w:r>
      <w:r>
        <w:rPr>
          <w:rFonts w:ascii="Arial"/>
          <w:b/>
          <w:color w:val="2674AE"/>
          <w:spacing w:val="-2"/>
          <w:sz w:val="30"/>
        </w:rPr>
        <w:t>Cavity</w:t>
      </w:r>
    </w:p>
    <w:p>
      <w:pPr>
        <w:pStyle w:val="BodyText"/>
        <w:spacing w:line="249" w:lineRule="auto" w:before="166"/>
        <w:ind w:right="97"/>
      </w:pPr>
      <w:r>
        <w:rPr/>
        <w:t>Oral complaints are common among postmenopausal women. The administration of estrogen provides significant relief from oral discomfort, burning, bad taste, and dryness.</w:t>
      </w:r>
      <w:r>
        <w:rPr>
          <w:vertAlign w:val="superscript"/>
        </w:rPr>
        <w:t>1275</w:t>
      </w:r>
      <w:r>
        <w:rPr>
          <w:vertAlign w:val="baseline"/>
        </w:rPr>
        <w:t> ET is also associated with a reduction in periodontal disease, including gingival inflammation and </w:t>
      </w:r>
      <w:r>
        <w:rPr>
          <w:vertAlign w:val="baseline"/>
        </w:rPr>
        <w:t>bleeding.</w:t>
      </w:r>
      <w:r>
        <w:rPr>
          <w:vertAlign w:val="superscript"/>
        </w:rPr>
        <w:t>1276,1277</w:t>
      </w:r>
      <w:r>
        <w:rPr>
          <w:vertAlign w:val="baseline"/>
        </w:rPr>
        <w:t> These changes may reflect epithelial responses to estrogen by the oral mucosa, in a manner similar to that of the vaginal mucosa. Oral alveolar bone loss (which can lead to loss of teeth) is strongly correlated with osteoporosis, and the salutary effect of estrogen on skeletal bone mass (discussed later in the section on osteoporosis) is also manifested on oral bone.</w:t>
      </w:r>
      <w:r>
        <w:rPr>
          <w:vertAlign w:val="superscript"/>
        </w:rPr>
        <w:t>1278,1279</w:t>
      </w:r>
      <w:r>
        <w:rPr>
          <w:vertAlign w:val="baseline"/>
        </w:rPr>
        <w:t> In the Leisure World Cohort, tooth loss and edentia were significantly reduced in estrogen users compared with nonusers (with a reduced need for dentures), and this beneficial effect was greater with increasing duration of estrogen use.</w:t>
      </w:r>
      <w:r>
        <w:rPr>
          <w:vertAlign w:val="superscript"/>
        </w:rPr>
        <w:t>1280</w:t>
      </w:r>
      <w:r>
        <w:rPr>
          <w:vertAlign w:val="baseline"/>
        </w:rPr>
        <w:t> Approximately a 25% reduced risk of</w:t>
      </w:r>
      <w:r>
        <w:rPr>
          <w:spacing w:val="-3"/>
          <w:vertAlign w:val="baseline"/>
        </w:rPr>
        <w:t> </w:t>
      </w:r>
      <w:r>
        <w:rPr>
          <w:vertAlign w:val="baseline"/>
        </w:rPr>
        <w:t>tooth</w:t>
      </w:r>
      <w:r>
        <w:rPr>
          <w:spacing w:val="-3"/>
          <w:vertAlign w:val="baseline"/>
        </w:rPr>
        <w:t> </w:t>
      </w:r>
      <w:r>
        <w:rPr>
          <w:vertAlign w:val="baseline"/>
        </w:rPr>
        <w:t>loss</w:t>
      </w:r>
      <w:r>
        <w:rPr>
          <w:spacing w:val="-3"/>
          <w:vertAlign w:val="baseline"/>
        </w:rPr>
        <w:t> </w:t>
      </w:r>
      <w:r>
        <w:rPr>
          <w:vertAlign w:val="baseline"/>
        </w:rPr>
        <w:t>in</w:t>
      </w:r>
      <w:r>
        <w:rPr>
          <w:spacing w:val="-3"/>
          <w:vertAlign w:val="baseline"/>
        </w:rPr>
        <w:t> </w:t>
      </w:r>
      <w:r>
        <w:rPr>
          <w:vertAlign w:val="baseline"/>
        </w:rPr>
        <w:t>current</w:t>
      </w:r>
      <w:r>
        <w:rPr>
          <w:spacing w:val="-3"/>
          <w:vertAlign w:val="baseline"/>
        </w:rPr>
        <w:t> </w:t>
      </w:r>
      <w:r>
        <w:rPr>
          <w:vertAlign w:val="baseline"/>
        </w:rPr>
        <w:t>users</w:t>
      </w:r>
      <w:r>
        <w:rPr>
          <w:spacing w:val="-3"/>
          <w:vertAlign w:val="baseline"/>
        </w:rPr>
        <w:t> </w:t>
      </w:r>
      <w:r>
        <w:rPr>
          <w:vertAlign w:val="baseline"/>
        </w:rPr>
        <w:t>of</w:t>
      </w:r>
      <w:r>
        <w:rPr>
          <w:spacing w:val="-3"/>
          <w:vertAlign w:val="baseline"/>
        </w:rPr>
        <w:t> </w:t>
      </w:r>
      <w:r>
        <w:rPr>
          <w:vertAlign w:val="baseline"/>
        </w:rPr>
        <w:t>estrogen</w:t>
      </w:r>
      <w:r>
        <w:rPr>
          <w:spacing w:val="-3"/>
          <w:vertAlign w:val="baseline"/>
        </w:rPr>
        <w:t> </w:t>
      </w:r>
      <w:r>
        <w:rPr>
          <w:vertAlign w:val="baseline"/>
        </w:rPr>
        <w:t>was</w:t>
      </w:r>
      <w:r>
        <w:rPr>
          <w:spacing w:val="-3"/>
          <w:vertAlign w:val="baseline"/>
        </w:rPr>
        <w:t> </w:t>
      </w:r>
      <w:r>
        <w:rPr>
          <w:vertAlign w:val="baseline"/>
        </w:rPr>
        <w:t>observed</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Nurses’</w:t>
      </w:r>
      <w:r>
        <w:rPr>
          <w:spacing w:val="-3"/>
          <w:vertAlign w:val="baseline"/>
        </w:rPr>
        <w:t> </w:t>
      </w:r>
      <w:r>
        <w:rPr>
          <w:vertAlign w:val="baseline"/>
        </w:rPr>
        <w:t>Health </w:t>
      </w:r>
      <w:r>
        <w:rPr>
          <w:spacing w:val="-2"/>
          <w:vertAlign w:val="baseline"/>
        </w:rPr>
        <w:t>Study.</w:t>
      </w:r>
      <w:r>
        <w:rPr>
          <w:spacing w:val="-2"/>
          <w:vertAlign w:val="superscript"/>
        </w:rPr>
        <w:t>1281</w:t>
      </w:r>
    </w:p>
    <w:p>
      <w:pPr>
        <w:pStyle w:val="BodyText"/>
        <w:spacing w:before="62"/>
        <w:ind w:left="0"/>
        <w:jc w:val="left"/>
      </w:pPr>
    </w:p>
    <w:p>
      <w:pPr>
        <w:spacing w:before="0"/>
        <w:ind w:left="99" w:right="0" w:firstLine="0"/>
        <w:jc w:val="left"/>
        <w:rPr>
          <w:rFonts w:ascii="Arial"/>
          <w:b/>
          <w:sz w:val="30"/>
        </w:rPr>
      </w:pPr>
      <w:r>
        <w:rPr>
          <w:rFonts w:ascii="Arial"/>
          <w:b/>
          <w:color w:val="2674AE"/>
          <w:sz w:val="30"/>
        </w:rPr>
        <w:t>Estrogen Therapy and the </w:t>
      </w:r>
      <w:r>
        <w:rPr>
          <w:rFonts w:ascii="Arial"/>
          <w:b/>
          <w:color w:val="2674AE"/>
          <w:spacing w:val="-2"/>
          <w:sz w:val="30"/>
        </w:rPr>
        <w:t>Larynx</w:t>
      </w:r>
    </w:p>
    <w:p>
      <w:pPr>
        <w:spacing w:after="0"/>
        <w:jc w:val="left"/>
        <w:rPr>
          <w:rFonts w:ascii="Arial"/>
          <w:b/>
          <w:sz w:val="30"/>
        </w:rPr>
        <w:sectPr>
          <w:pgSz w:w="12240" w:h="15840"/>
          <w:pgMar w:top="1380" w:bottom="280" w:left="1440" w:right="1440"/>
        </w:sectPr>
      </w:pPr>
    </w:p>
    <w:p>
      <w:pPr>
        <w:pStyle w:val="BodyText"/>
        <w:spacing w:line="249" w:lineRule="auto"/>
        <w:ind w:right="101"/>
      </w:pPr>
      <w:r>
        <w:rPr/>
        <w:t>Professional singers have used HT to prevent what they view as unwanted voice changes associated with menopause.</w:t>
      </w:r>
      <w:r>
        <w:rPr>
          <w:vertAlign w:val="superscript"/>
        </w:rPr>
        <w:t>1282</w:t>
      </w:r>
      <w:r>
        <w:rPr>
          <w:vertAlign w:val="baseline"/>
        </w:rPr>
        <w:t> In prospective </w:t>
      </w:r>
      <w:r>
        <w:rPr>
          <w:vertAlign w:val="baseline"/>
        </w:rPr>
        <w:t>studies, objective voice analyses have documented a more androgenic change in voice in the early postmenopausal years with a lesser change associated with estrogen treatment; although slightly attenuated by the addition of a progestin, the overall effect of estrogen treatment is to preserve voice quality.</w:t>
      </w:r>
      <w:r>
        <w:rPr>
          <w:vertAlign w:val="superscript"/>
        </w:rPr>
        <w:t>1283-1285</w:t>
      </w:r>
      <w:r>
        <w:rPr>
          <w:vertAlign w:val="baseline"/>
        </w:rPr>
        <w:t> Laryngeal cytology demonstrated epithelial maturation in women on estrogen treatment, and these women reported better voice quality and fewer voice changes compared with a control group.</w:t>
      </w:r>
      <w:r>
        <w:rPr>
          <w:vertAlign w:val="superscript"/>
        </w:rPr>
        <w:t>1286</w:t>
      </w:r>
    </w:p>
    <w:p>
      <w:pPr>
        <w:pStyle w:val="BodyText"/>
        <w:spacing w:before="54"/>
        <w:ind w:left="0"/>
        <w:jc w:val="left"/>
      </w:pPr>
    </w:p>
    <w:p>
      <w:pPr>
        <w:spacing w:before="1"/>
        <w:ind w:left="99" w:right="0" w:firstLine="0"/>
        <w:jc w:val="both"/>
        <w:rPr>
          <w:rFonts w:ascii="Arial"/>
          <w:b/>
          <w:sz w:val="30"/>
        </w:rPr>
      </w:pPr>
      <w:r>
        <w:rPr>
          <w:rFonts w:ascii="Arial"/>
          <w:b/>
          <w:color w:val="2674AE"/>
          <w:sz w:val="30"/>
        </w:rPr>
        <w:t>Estrogen Therapy and </w:t>
      </w:r>
      <w:r>
        <w:rPr>
          <w:rFonts w:ascii="Arial"/>
          <w:b/>
          <w:color w:val="2674AE"/>
          <w:spacing w:val="-2"/>
          <w:sz w:val="30"/>
        </w:rPr>
        <w:t>Vision</w:t>
      </w:r>
    </w:p>
    <w:p>
      <w:pPr>
        <w:pStyle w:val="BodyText"/>
        <w:spacing w:line="252" w:lineRule="auto" w:before="166"/>
        <w:ind w:right="102"/>
        <w:rPr>
          <w:sz w:val="17"/>
        </w:rPr>
      </w:pPr>
      <w:r>
        <w:rPr/>
        <w:t>There is some evidence that ET improves visual acuity (or lessens the</w:t>
      </w:r>
      <w:r>
        <w:rPr>
          <w:spacing w:val="40"/>
        </w:rPr>
        <w:t> </w:t>
      </w:r>
      <w:r>
        <w:rPr/>
        <w:t>visual deterioration during the early postmenopausal years), perhaps due to a beneficial effect on lacrimal fluid.</w:t>
      </w:r>
      <w:r>
        <w:rPr>
          <w:vertAlign w:val="superscript"/>
        </w:rPr>
        <w:t>1287,1288</w:t>
      </w:r>
      <w:r>
        <w:rPr>
          <w:vertAlign w:val="baseline"/>
        </w:rPr>
        <w:t> An increased prevalence </w:t>
      </w:r>
      <w:r>
        <w:rPr>
          <w:vertAlign w:val="baseline"/>
        </w:rPr>
        <w:t>of keratoconjunctivitis sicca (dry eyes) in menopausal and postmenopausal women, with symptoms of scratchiness, burning, and photophobia, is recognized by ophthalmologists.</w:t>
      </w:r>
      <w:r>
        <w:rPr>
          <w:vertAlign w:val="superscript"/>
        </w:rPr>
        <w:t>1289</w:t>
      </w:r>
      <w:r>
        <w:rPr>
          <w:vertAlign w:val="baseline"/>
        </w:rPr>
        <w:t> Although reports concluded that there was no effect or even a worsening of dry eyes with HT, a clinical trial indicated relief from dry eye symptoms with the use of topical estrogen eye </w:t>
      </w:r>
      <w:r>
        <w:rPr>
          <w:spacing w:val="-2"/>
          <w:position w:val="-10"/>
          <w:vertAlign w:val="baseline"/>
        </w:rPr>
        <w:t>drops.</w:t>
      </w:r>
      <w:r>
        <w:rPr>
          <w:spacing w:val="-2"/>
          <w:sz w:val="17"/>
          <w:vertAlign w:val="baseline"/>
        </w:rPr>
        <w:t>1290-1294</w:t>
      </w:r>
    </w:p>
    <w:p>
      <w:pPr>
        <w:pStyle w:val="BodyText"/>
        <w:spacing w:line="325" w:lineRule="exact" w:before="0"/>
        <w:ind w:left="549"/>
      </w:pPr>
      <w:r>
        <w:rPr/>
        <w:t>There</w:t>
      </w:r>
      <w:r>
        <w:rPr>
          <w:spacing w:val="1"/>
        </w:rPr>
        <w:t> </w:t>
      </w:r>
      <w:r>
        <w:rPr/>
        <w:t>is</w:t>
      </w:r>
      <w:r>
        <w:rPr>
          <w:spacing w:val="3"/>
        </w:rPr>
        <w:t> </w:t>
      </w:r>
      <w:r>
        <w:rPr/>
        <w:t>evidence</w:t>
      </w:r>
      <w:r>
        <w:rPr>
          <w:spacing w:val="3"/>
        </w:rPr>
        <w:t> </w:t>
      </w:r>
      <w:r>
        <w:rPr/>
        <w:t>that</w:t>
      </w:r>
      <w:r>
        <w:rPr>
          <w:spacing w:val="3"/>
        </w:rPr>
        <w:t> </w:t>
      </w:r>
      <w:r>
        <w:rPr/>
        <w:t>postmenopausal</w:t>
      </w:r>
      <w:r>
        <w:rPr>
          <w:spacing w:val="3"/>
        </w:rPr>
        <w:t> </w:t>
      </w:r>
      <w:r>
        <w:rPr/>
        <w:t>ET</w:t>
      </w:r>
      <w:r>
        <w:rPr>
          <w:spacing w:val="3"/>
        </w:rPr>
        <w:t> </w:t>
      </w:r>
      <w:r>
        <w:rPr/>
        <w:t>protects</w:t>
      </w:r>
      <w:r>
        <w:rPr>
          <w:spacing w:val="3"/>
        </w:rPr>
        <w:t> </w:t>
      </w:r>
      <w:r>
        <w:rPr/>
        <w:t>against</w:t>
      </w:r>
      <w:r>
        <w:rPr>
          <w:spacing w:val="3"/>
        </w:rPr>
        <w:t> </w:t>
      </w:r>
      <w:r>
        <w:rPr>
          <w:spacing w:val="-2"/>
        </w:rPr>
        <w:t>cataracts.</w:t>
      </w:r>
      <w:r>
        <w:rPr>
          <w:spacing w:val="-2"/>
          <w:vertAlign w:val="superscript"/>
        </w:rPr>
        <w:t>1295-</w:t>
      </w:r>
    </w:p>
    <w:p>
      <w:pPr>
        <w:pStyle w:val="BodyText"/>
        <w:spacing w:line="249" w:lineRule="auto" w:before="15"/>
        <w:ind w:right="99"/>
      </w:pPr>
      <w:r>
        <w:rPr>
          <w:vertAlign w:val="superscript"/>
        </w:rPr>
        <w:t>1299</w:t>
      </w:r>
      <w:r>
        <w:rPr>
          <w:vertAlign w:val="baseline"/>
        </w:rPr>
        <w:t> Estrogen-alone or estrogen-progestin treatment also lowers </w:t>
      </w:r>
      <w:r>
        <w:rPr>
          <w:vertAlign w:val="baseline"/>
        </w:rPr>
        <w:t>intraocular pressure in postmenopausal women with normal eyes or glaucoma.</w:t>
      </w:r>
      <w:r>
        <w:rPr>
          <w:vertAlign w:val="superscript"/>
        </w:rPr>
        <w:t>1293,1300-1302</w:t>
      </w:r>
      <w:r>
        <w:rPr>
          <w:vertAlign w:val="baseline"/>
        </w:rPr>
        <w:t> In the Nurses’ Health Study, current use of estrogen-progestin, but not estrogen alone, was associated with a reduced risk of glaucoma.</w:t>
      </w:r>
      <w:r>
        <w:rPr>
          <w:vertAlign w:val="superscript"/>
        </w:rPr>
        <w:t>1303</w:t>
      </w:r>
      <w:r>
        <w:rPr>
          <w:vertAlign w:val="baseline"/>
        </w:rPr>
        <w:t> In a retrospective study of female veterans with open-angle glaucoma, HT tended to older at the diagnosis of glaucoma.</w:t>
      </w:r>
      <w:r>
        <w:rPr>
          <w:vertAlign w:val="superscript"/>
        </w:rPr>
        <w:t>1304</w:t>
      </w:r>
      <w:r>
        <w:rPr>
          <w:vertAlign w:val="baseline"/>
        </w:rPr>
        <w:t> There is modest and inconsistent evidence that the risk of age-related macular degeneration is reduced in postmenopausal hormone users.</w:t>
      </w:r>
      <w:r>
        <w:rPr>
          <w:vertAlign w:val="superscript"/>
        </w:rPr>
        <w:t>1305-1310</w:t>
      </w:r>
    </w:p>
    <w:p>
      <w:pPr>
        <w:pStyle w:val="BodyText"/>
        <w:spacing w:before="53"/>
        <w:ind w:left="0"/>
        <w:jc w:val="left"/>
      </w:pPr>
    </w:p>
    <w:p>
      <w:pPr>
        <w:spacing w:before="0"/>
        <w:ind w:left="99" w:right="0" w:firstLine="0"/>
        <w:jc w:val="both"/>
        <w:rPr>
          <w:rFonts w:ascii="Arial"/>
          <w:b/>
          <w:sz w:val="30"/>
        </w:rPr>
      </w:pPr>
      <w:r>
        <w:rPr>
          <w:rFonts w:ascii="Arial"/>
          <w:b/>
          <w:color w:val="2674AE"/>
          <w:sz w:val="30"/>
        </w:rPr>
        <w:t>Estrogen Therapy and Age-Related Hearing </w:t>
      </w:r>
      <w:r>
        <w:rPr>
          <w:rFonts w:ascii="Arial"/>
          <w:b/>
          <w:color w:val="2674AE"/>
          <w:spacing w:val="-4"/>
          <w:sz w:val="30"/>
        </w:rPr>
        <w:t>Loss</w:t>
      </w:r>
    </w:p>
    <w:p>
      <w:pPr>
        <w:pStyle w:val="BodyText"/>
        <w:spacing w:line="249" w:lineRule="auto" w:before="167"/>
        <w:ind w:right="98"/>
      </w:pPr>
      <w:r>
        <w:rPr/>
        <w:t>Demineralization of the cochlear capsule occurs with aging and </w:t>
      </w:r>
      <w:r>
        <w:rPr/>
        <w:t>metabolic bone diseases, such as cochlear otosclerosis. This demineralization is associated with neural hearing loss. Postmenopausal women (age 60-85 years)</w:t>
      </w:r>
      <w:r>
        <w:rPr>
          <w:spacing w:val="77"/>
        </w:rPr>
        <w:t> </w:t>
      </w:r>
      <w:r>
        <w:rPr/>
        <w:t>who</w:t>
      </w:r>
      <w:r>
        <w:rPr>
          <w:spacing w:val="77"/>
        </w:rPr>
        <w:t> </w:t>
      </w:r>
      <w:r>
        <w:rPr/>
        <w:t>have</w:t>
      </w:r>
      <w:r>
        <w:rPr>
          <w:spacing w:val="77"/>
        </w:rPr>
        <w:t> </w:t>
      </w:r>
      <w:r>
        <w:rPr/>
        <w:t>lower</w:t>
      </w:r>
      <w:r>
        <w:rPr>
          <w:spacing w:val="77"/>
        </w:rPr>
        <w:t> </w:t>
      </w:r>
      <w:r>
        <w:rPr/>
        <w:t>than</w:t>
      </w:r>
      <w:r>
        <w:rPr>
          <w:spacing w:val="77"/>
        </w:rPr>
        <w:t> </w:t>
      </w:r>
      <w:r>
        <w:rPr/>
        <w:t>average</w:t>
      </w:r>
      <w:r>
        <w:rPr>
          <w:spacing w:val="77"/>
        </w:rPr>
        <w:t> </w:t>
      </w:r>
      <w:r>
        <w:rPr/>
        <w:t>femoral</w:t>
      </w:r>
      <w:r>
        <w:rPr>
          <w:spacing w:val="77"/>
        </w:rPr>
        <w:t> </w:t>
      </w:r>
      <w:r>
        <w:rPr/>
        <w:t>neck</w:t>
      </w:r>
      <w:r>
        <w:rPr>
          <w:spacing w:val="77"/>
        </w:rPr>
        <w:t> </w:t>
      </w:r>
      <w:r>
        <w:rPr/>
        <w:t>bone</w:t>
      </w:r>
      <w:r>
        <w:rPr>
          <w:spacing w:val="77"/>
        </w:rPr>
        <w:t> </w:t>
      </w:r>
      <w:r>
        <w:rPr/>
        <w:t>mass</w:t>
      </w:r>
      <w:r>
        <w:rPr>
          <w:spacing w:val="77"/>
        </w:rPr>
        <w:t> </w:t>
      </w:r>
      <w:r>
        <w:rPr/>
        <w:t>have</w:t>
      </w:r>
      <w:r>
        <w:rPr>
          <w:spacing w:val="77"/>
        </w:rPr>
        <w:t> </w:t>
      </w:r>
      <w:r>
        <w:rPr>
          <w:spacing w:val="-5"/>
        </w:rPr>
        <w:t>an</w:t>
      </w:r>
    </w:p>
    <w:p>
      <w:pPr>
        <w:pStyle w:val="BodyText"/>
        <w:spacing w:after="0" w:line="249" w:lineRule="auto"/>
        <w:sectPr>
          <w:pgSz w:w="12240" w:h="15840"/>
          <w:pgMar w:top="1380" w:bottom="280" w:left="1440" w:right="1440"/>
        </w:sectPr>
      </w:pPr>
    </w:p>
    <w:p>
      <w:pPr>
        <w:pStyle w:val="BodyText"/>
        <w:spacing w:line="249" w:lineRule="auto"/>
        <w:ind w:right="97"/>
      </w:pPr>
      <w:r>
        <w:rPr/>
        <w:t>increased</w:t>
      </w:r>
      <w:r>
        <w:rPr>
          <w:spacing w:val="-5"/>
        </w:rPr>
        <w:t> </w:t>
      </w:r>
      <w:r>
        <w:rPr/>
        <w:t>risk</w:t>
      </w:r>
      <w:r>
        <w:rPr>
          <w:spacing w:val="-5"/>
        </w:rPr>
        <w:t> </w:t>
      </w:r>
      <w:r>
        <w:rPr/>
        <w:t>of</w:t>
      </w:r>
      <w:r>
        <w:rPr>
          <w:spacing w:val="-5"/>
        </w:rPr>
        <w:t> </w:t>
      </w:r>
      <w:r>
        <w:rPr/>
        <w:t>having</w:t>
      </w:r>
      <w:r>
        <w:rPr>
          <w:spacing w:val="-5"/>
        </w:rPr>
        <w:t> </w:t>
      </w:r>
      <w:r>
        <w:rPr/>
        <w:t>a</w:t>
      </w:r>
      <w:r>
        <w:rPr>
          <w:spacing w:val="-5"/>
        </w:rPr>
        <w:t> </w:t>
      </w:r>
      <w:r>
        <w:rPr/>
        <w:t>hearing</w:t>
      </w:r>
      <w:r>
        <w:rPr>
          <w:spacing w:val="-5"/>
        </w:rPr>
        <w:t> </w:t>
      </w:r>
      <w:r>
        <w:rPr/>
        <w:t>loss.</w:t>
      </w:r>
      <w:r>
        <w:rPr>
          <w:vertAlign w:val="superscript"/>
        </w:rPr>
        <w:t>1311</w:t>
      </w:r>
      <w:r>
        <w:rPr>
          <w:spacing w:val="-1"/>
          <w:vertAlign w:val="baseline"/>
        </w:rPr>
        <w:t> </w:t>
      </w:r>
      <w:r>
        <w:rPr>
          <w:vertAlign w:val="baseline"/>
        </w:rPr>
        <w:t>This</w:t>
      </w:r>
      <w:r>
        <w:rPr>
          <w:spacing w:val="-1"/>
          <w:vertAlign w:val="baseline"/>
        </w:rPr>
        <w:t> </w:t>
      </w:r>
      <w:r>
        <w:rPr>
          <w:vertAlign w:val="baseline"/>
        </w:rPr>
        <w:t>association</w:t>
      </w:r>
      <w:r>
        <w:rPr>
          <w:spacing w:val="-1"/>
          <w:vertAlign w:val="baseline"/>
        </w:rPr>
        <w:t> </w:t>
      </w:r>
      <w:r>
        <w:rPr>
          <w:vertAlign w:val="baseline"/>
        </w:rPr>
        <w:t>between</w:t>
      </w:r>
      <w:r>
        <w:rPr>
          <w:spacing w:val="-1"/>
          <w:vertAlign w:val="baseline"/>
        </w:rPr>
        <w:t> </w:t>
      </w:r>
      <w:r>
        <w:rPr>
          <w:vertAlign w:val="baseline"/>
        </w:rPr>
        <w:t>femoral neck bone mass and age-related hearing loss suggests that prevention of bone loss with ET might also be exerted on the cochlear capsule. In addition, estrogen may have beneficial effects on cochlear blood flow and central nervous system auditory neurons. Hearing impairment in a Turkish family was associated with an inactivating mutation for ER-β.</w:t>
      </w:r>
      <w:r>
        <w:rPr>
          <w:vertAlign w:val="superscript"/>
        </w:rPr>
        <w:t>1312</w:t>
      </w:r>
      <w:r>
        <w:rPr>
          <w:vertAlign w:val="baseline"/>
        </w:rPr>
        <w:t> Mouse knockout studies indicate that ER-β is important for the prevention of age-related hearing loss.</w:t>
      </w:r>
      <w:r>
        <w:rPr>
          <w:vertAlign w:val="superscript"/>
        </w:rPr>
        <w:t>1313</w:t>
      </w:r>
      <w:r>
        <w:rPr>
          <w:vertAlign w:val="baseline"/>
        </w:rPr>
        <w:t> Studies have documented better hearing levels in estrogen users, with an indication that the addition of a progestin attenuated the favorable effect of estrogen.</w:t>
      </w:r>
      <w:r>
        <w:rPr>
          <w:vertAlign w:val="superscript"/>
        </w:rPr>
        <w:t>1314,1315</w:t>
      </w:r>
      <w:r>
        <w:rPr>
          <w:vertAlign w:val="baseline"/>
        </w:rPr>
        <w:t> Interestingly, however, older age at menopause</w:t>
      </w:r>
      <w:r>
        <w:rPr>
          <w:spacing w:val="-4"/>
          <w:vertAlign w:val="baseline"/>
        </w:rPr>
        <w:t> </w:t>
      </w:r>
      <w:r>
        <w:rPr>
          <w:vertAlign w:val="baseline"/>
        </w:rPr>
        <w:t>and</w:t>
      </w:r>
      <w:r>
        <w:rPr>
          <w:spacing w:val="-4"/>
          <w:vertAlign w:val="baseline"/>
        </w:rPr>
        <w:t> </w:t>
      </w:r>
      <w:r>
        <w:rPr>
          <w:vertAlign w:val="baseline"/>
        </w:rPr>
        <w:t>longer</w:t>
      </w:r>
      <w:r>
        <w:rPr>
          <w:spacing w:val="-4"/>
          <w:vertAlign w:val="baseline"/>
        </w:rPr>
        <w:t> </w:t>
      </w:r>
      <w:r>
        <w:rPr>
          <w:vertAlign w:val="baseline"/>
        </w:rPr>
        <w:t>duration</w:t>
      </w:r>
      <w:r>
        <w:rPr>
          <w:spacing w:val="-4"/>
          <w:vertAlign w:val="baseline"/>
        </w:rPr>
        <w:t> </w:t>
      </w:r>
      <w:r>
        <w:rPr>
          <w:vertAlign w:val="baseline"/>
        </w:rPr>
        <w:t>of</w:t>
      </w:r>
      <w:r>
        <w:rPr>
          <w:spacing w:val="-4"/>
          <w:vertAlign w:val="baseline"/>
        </w:rPr>
        <w:t> </w:t>
      </w:r>
      <w:r>
        <w:rPr>
          <w:vertAlign w:val="baseline"/>
        </w:rPr>
        <w:t>postmenopausal</w:t>
      </w:r>
      <w:r>
        <w:rPr>
          <w:spacing w:val="-4"/>
          <w:vertAlign w:val="baseline"/>
        </w:rPr>
        <w:t> </w:t>
      </w:r>
      <w:r>
        <w:rPr>
          <w:vertAlign w:val="baseline"/>
        </w:rPr>
        <w:t>HT</w:t>
      </w:r>
      <w:r>
        <w:rPr>
          <w:spacing w:val="-4"/>
          <w:vertAlign w:val="baseline"/>
        </w:rPr>
        <w:t> </w:t>
      </w:r>
      <w:r>
        <w:rPr>
          <w:vertAlign w:val="baseline"/>
        </w:rPr>
        <w:t>were</w:t>
      </w:r>
      <w:r>
        <w:rPr>
          <w:spacing w:val="-4"/>
          <w:vertAlign w:val="baseline"/>
        </w:rPr>
        <w:t> </w:t>
      </w:r>
      <w:r>
        <w:rPr>
          <w:vertAlign w:val="baseline"/>
        </w:rPr>
        <w:t>associated</w:t>
      </w:r>
      <w:r>
        <w:rPr>
          <w:spacing w:val="-4"/>
          <w:vertAlign w:val="baseline"/>
        </w:rPr>
        <w:t> </w:t>
      </w:r>
      <w:r>
        <w:rPr>
          <w:vertAlign w:val="baseline"/>
        </w:rPr>
        <w:t>with a higher risk of hearing loss.</w:t>
      </w:r>
      <w:r>
        <w:rPr>
          <w:vertAlign w:val="superscript"/>
        </w:rPr>
        <w:t>1316</w:t>
      </w:r>
    </w:p>
    <w:p>
      <w:pPr>
        <w:pStyle w:val="BodyText"/>
        <w:spacing w:before="0"/>
        <w:ind w:left="0"/>
        <w:jc w:val="left"/>
        <w:rPr>
          <w:sz w:val="20"/>
        </w:rPr>
      </w:pPr>
    </w:p>
    <w:p>
      <w:pPr>
        <w:pStyle w:val="BodyText"/>
        <w:spacing w:before="125"/>
        <w:ind w:left="0"/>
        <w:jc w:val="left"/>
        <w:rPr>
          <w:sz w:val="20"/>
        </w:rPr>
      </w:pPr>
      <w:r>
        <w:rPr>
          <w:sz w:val="20"/>
        </w:rPr>
        <mc:AlternateContent>
          <mc:Choice Requires="wps">
            <w:drawing>
              <wp:anchor distT="0" distB="0" distL="0" distR="0" allowOverlap="1" layoutInCell="1" locked="0" behindDoc="1" simplePos="0" relativeHeight="487679488">
                <wp:simplePos x="0" y="0"/>
                <wp:positionH relativeFrom="page">
                  <wp:posOffset>981075</wp:posOffset>
                </wp:positionH>
                <wp:positionV relativeFrom="paragraph">
                  <wp:posOffset>241257</wp:posOffset>
                </wp:positionV>
                <wp:extent cx="285750" cy="57150"/>
                <wp:effectExtent l="0" t="0" r="0" b="0"/>
                <wp:wrapTopAndBottom/>
                <wp:docPr id="332" name="Graphic 332"/>
                <wp:cNvGraphicFramePr>
                  <a:graphicFrameLocks/>
                </wp:cNvGraphicFramePr>
                <a:graphic>
                  <a:graphicData uri="http://schemas.microsoft.com/office/word/2010/wordprocessingShape">
                    <wps:wsp>
                      <wps:cNvPr id="332" name="Graphic 332"/>
                      <wps:cNvSpPr/>
                      <wps:spPr>
                        <a:xfrm>
                          <a:off x="0" y="0"/>
                          <a:ext cx="285750" cy="57150"/>
                        </a:xfrm>
                        <a:custGeom>
                          <a:avLst/>
                          <a:gdLst/>
                          <a:ahLst/>
                          <a:cxnLst/>
                          <a:rect l="l" t="t" r="r" b="b"/>
                          <a:pathLst>
                            <a:path w="285750" h="57150">
                              <a:moveTo>
                                <a:pt x="32364" y="57149"/>
                              </a:moveTo>
                              <a:lnTo>
                                <a:pt x="24785" y="57149"/>
                              </a:lnTo>
                              <a:lnTo>
                                <a:pt x="21140" y="56407"/>
                              </a:lnTo>
                              <a:lnTo>
                                <a:pt x="17639" y="54768"/>
                              </a:lnTo>
                              <a:lnTo>
                                <a:pt x="14138" y="53425"/>
                              </a:lnTo>
                              <a:lnTo>
                                <a:pt x="11048" y="51349"/>
                              </a:lnTo>
                              <a:lnTo>
                                <a:pt x="5689" y="45986"/>
                              </a:lnTo>
                              <a:lnTo>
                                <a:pt x="3625" y="42862"/>
                              </a:lnTo>
                              <a:lnTo>
                                <a:pt x="2175" y="39290"/>
                              </a:lnTo>
                              <a:lnTo>
                                <a:pt x="725" y="35871"/>
                              </a:lnTo>
                              <a:lnTo>
                                <a:pt x="0" y="32299"/>
                              </a:lnTo>
                              <a:lnTo>
                                <a:pt x="0" y="24707"/>
                              </a:lnTo>
                              <a:lnTo>
                                <a:pt x="725" y="20983"/>
                              </a:lnTo>
                              <a:lnTo>
                                <a:pt x="2175" y="17564"/>
                              </a:lnTo>
                              <a:lnTo>
                                <a:pt x="3625" y="13992"/>
                              </a:lnTo>
                              <a:lnTo>
                                <a:pt x="24785" y="0"/>
                              </a:lnTo>
                              <a:lnTo>
                                <a:pt x="32364" y="0"/>
                              </a:lnTo>
                              <a:lnTo>
                                <a:pt x="54974" y="17564"/>
                              </a:lnTo>
                              <a:lnTo>
                                <a:pt x="56424" y="20983"/>
                              </a:lnTo>
                              <a:lnTo>
                                <a:pt x="57149" y="24707"/>
                              </a:lnTo>
                              <a:lnTo>
                                <a:pt x="57149" y="32299"/>
                              </a:lnTo>
                              <a:lnTo>
                                <a:pt x="56424" y="35871"/>
                              </a:lnTo>
                              <a:lnTo>
                                <a:pt x="54974" y="39290"/>
                              </a:lnTo>
                              <a:lnTo>
                                <a:pt x="53524" y="42862"/>
                              </a:lnTo>
                              <a:lnTo>
                                <a:pt x="51459" y="45986"/>
                              </a:lnTo>
                              <a:lnTo>
                                <a:pt x="46101" y="51349"/>
                              </a:lnTo>
                              <a:lnTo>
                                <a:pt x="43010" y="53425"/>
                              </a:lnTo>
                              <a:lnTo>
                                <a:pt x="39510" y="54768"/>
                              </a:lnTo>
                              <a:lnTo>
                                <a:pt x="36009" y="56407"/>
                              </a:lnTo>
                              <a:lnTo>
                                <a:pt x="32364" y="57149"/>
                              </a:lnTo>
                              <a:close/>
                            </a:path>
                            <a:path w="285750" h="57150">
                              <a:moveTo>
                                <a:pt x="146569" y="57149"/>
                              </a:moveTo>
                              <a:lnTo>
                                <a:pt x="138990" y="57149"/>
                              </a:lnTo>
                              <a:lnTo>
                                <a:pt x="135345" y="56407"/>
                              </a:lnTo>
                              <a:lnTo>
                                <a:pt x="131844" y="54768"/>
                              </a:lnTo>
                              <a:lnTo>
                                <a:pt x="128343" y="53425"/>
                              </a:lnTo>
                              <a:lnTo>
                                <a:pt x="125253" y="51349"/>
                              </a:lnTo>
                              <a:lnTo>
                                <a:pt x="119894" y="45986"/>
                              </a:lnTo>
                              <a:lnTo>
                                <a:pt x="117829" y="42862"/>
                              </a:lnTo>
                              <a:lnTo>
                                <a:pt x="116379" y="39290"/>
                              </a:lnTo>
                              <a:lnTo>
                                <a:pt x="114929" y="35871"/>
                              </a:lnTo>
                              <a:lnTo>
                                <a:pt x="114204" y="32299"/>
                              </a:lnTo>
                              <a:lnTo>
                                <a:pt x="114204" y="24707"/>
                              </a:lnTo>
                              <a:lnTo>
                                <a:pt x="114929" y="20983"/>
                              </a:lnTo>
                              <a:lnTo>
                                <a:pt x="116379" y="17564"/>
                              </a:lnTo>
                              <a:lnTo>
                                <a:pt x="117829" y="13992"/>
                              </a:lnTo>
                              <a:lnTo>
                                <a:pt x="138990" y="0"/>
                              </a:lnTo>
                              <a:lnTo>
                                <a:pt x="146569" y="0"/>
                              </a:lnTo>
                              <a:lnTo>
                                <a:pt x="169179" y="17564"/>
                              </a:lnTo>
                              <a:lnTo>
                                <a:pt x="170629" y="20983"/>
                              </a:lnTo>
                              <a:lnTo>
                                <a:pt x="171354" y="24707"/>
                              </a:lnTo>
                              <a:lnTo>
                                <a:pt x="171354" y="32299"/>
                              </a:lnTo>
                              <a:lnTo>
                                <a:pt x="170629" y="35871"/>
                              </a:lnTo>
                              <a:lnTo>
                                <a:pt x="169179" y="39290"/>
                              </a:lnTo>
                              <a:lnTo>
                                <a:pt x="167729" y="42862"/>
                              </a:lnTo>
                              <a:lnTo>
                                <a:pt x="165664" y="45986"/>
                              </a:lnTo>
                              <a:lnTo>
                                <a:pt x="160305" y="51349"/>
                              </a:lnTo>
                              <a:lnTo>
                                <a:pt x="157215" y="53425"/>
                              </a:lnTo>
                              <a:lnTo>
                                <a:pt x="153714" y="54768"/>
                              </a:lnTo>
                              <a:lnTo>
                                <a:pt x="150214" y="56407"/>
                              </a:lnTo>
                              <a:lnTo>
                                <a:pt x="146569" y="57149"/>
                              </a:lnTo>
                              <a:close/>
                            </a:path>
                            <a:path w="285750" h="57150">
                              <a:moveTo>
                                <a:pt x="260773" y="57149"/>
                              </a:moveTo>
                              <a:lnTo>
                                <a:pt x="253195" y="57149"/>
                              </a:lnTo>
                              <a:lnTo>
                                <a:pt x="249550" y="56407"/>
                              </a:lnTo>
                              <a:lnTo>
                                <a:pt x="246049" y="54768"/>
                              </a:lnTo>
                              <a:lnTo>
                                <a:pt x="242548" y="53425"/>
                              </a:lnTo>
                              <a:lnTo>
                                <a:pt x="239458" y="51349"/>
                              </a:lnTo>
                              <a:lnTo>
                                <a:pt x="234099" y="45986"/>
                              </a:lnTo>
                              <a:lnTo>
                                <a:pt x="232034" y="42862"/>
                              </a:lnTo>
                              <a:lnTo>
                                <a:pt x="230584" y="39290"/>
                              </a:lnTo>
                              <a:lnTo>
                                <a:pt x="229134" y="35871"/>
                              </a:lnTo>
                              <a:lnTo>
                                <a:pt x="228409" y="32299"/>
                              </a:lnTo>
                              <a:lnTo>
                                <a:pt x="228409" y="24707"/>
                              </a:lnTo>
                              <a:lnTo>
                                <a:pt x="229134" y="20983"/>
                              </a:lnTo>
                              <a:lnTo>
                                <a:pt x="230584" y="17564"/>
                              </a:lnTo>
                              <a:lnTo>
                                <a:pt x="232034" y="13992"/>
                              </a:lnTo>
                              <a:lnTo>
                                <a:pt x="253195" y="0"/>
                              </a:lnTo>
                              <a:lnTo>
                                <a:pt x="260773" y="0"/>
                              </a:lnTo>
                              <a:lnTo>
                                <a:pt x="283384" y="17564"/>
                              </a:lnTo>
                              <a:lnTo>
                                <a:pt x="284834" y="20983"/>
                              </a:lnTo>
                              <a:lnTo>
                                <a:pt x="285559" y="24707"/>
                              </a:lnTo>
                              <a:lnTo>
                                <a:pt x="285559" y="32299"/>
                              </a:lnTo>
                              <a:lnTo>
                                <a:pt x="284834" y="35871"/>
                              </a:lnTo>
                              <a:lnTo>
                                <a:pt x="283384" y="39290"/>
                              </a:lnTo>
                              <a:lnTo>
                                <a:pt x="281934" y="42862"/>
                              </a:lnTo>
                              <a:lnTo>
                                <a:pt x="279869" y="45986"/>
                              </a:lnTo>
                              <a:lnTo>
                                <a:pt x="274510" y="51349"/>
                              </a:lnTo>
                              <a:lnTo>
                                <a:pt x="271420" y="53425"/>
                              </a:lnTo>
                              <a:lnTo>
                                <a:pt x="267919" y="54768"/>
                              </a:lnTo>
                              <a:lnTo>
                                <a:pt x="264418" y="56407"/>
                              </a:lnTo>
                              <a:lnTo>
                                <a:pt x="260773"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996675pt;width:22.5pt;height:4.5pt;mso-position-horizontal-relative:page;mso-position-vertical-relative:paragraph;z-index:-15636992;mso-wrap-distance-left:0;mso-wrap-distance-right:0" id="docshape309" coordorigin="1545,380" coordsize="450,90" path="m1596,470l1584,470,1578,469,1573,466,1567,464,1562,461,1554,452,1551,447,1548,442,1546,436,1545,431,1545,419,1546,413,1548,408,1551,402,1554,397,1562,389,1567,385,1578,381,1584,380,1596,380,1602,381,1613,385,1618,389,1626,397,1629,402,1632,408,1634,413,1635,419,1635,431,1634,436,1632,442,1629,447,1626,452,1618,461,1613,464,1607,466,1602,469,1596,470xm1776,470l1764,470,1758,469,1753,466,1747,464,1742,461,1734,452,1731,447,1728,442,1726,436,1725,431,1725,419,1726,413,1728,408,1731,402,1734,397,1742,389,1747,385,1758,381,1764,380,1776,380,1782,381,1793,385,1797,389,1806,397,1809,402,1811,408,1814,413,1815,419,1815,431,1814,436,1811,442,1809,447,1806,452,1797,461,1793,464,1787,466,1782,469,1776,470xm1956,470l1944,470,1938,469,1932,466,1927,464,1922,461,1914,452,1910,447,1908,442,1906,436,1905,431,1905,419,1906,413,1908,408,1910,402,1914,397,1922,389,1927,385,1938,381,1944,380,1956,380,1961,381,1972,385,1977,389,1986,397,1989,402,1991,408,1994,413,1995,419,1995,431,1994,436,1991,442,1989,447,1986,452,1977,461,1972,464,1967,466,1961,469,1956,470xe" filled="true" fillcolor="#bdb4d4" stroked="false">
                <v:path arrowok="t"/>
                <v:fill type="solid"/>
                <w10:wrap type="topAndBottom"/>
              </v:shape>
            </w:pict>
          </mc:Fallback>
        </mc:AlternateContent>
      </w:r>
    </w:p>
    <w:p>
      <w:pPr>
        <w:pStyle w:val="Heading3"/>
        <w:spacing w:line="249" w:lineRule="auto" w:after="59"/>
        <w:ind w:right="255"/>
      </w:pPr>
      <w:r>
        <w:rPr>
          <w:color w:val="534089"/>
        </w:rPr>
        <w:t>HOW</w:t>
      </w:r>
      <w:r>
        <w:rPr>
          <w:color w:val="534089"/>
          <w:spacing w:val="-15"/>
        </w:rPr>
        <w:t> </w:t>
      </w:r>
      <w:r>
        <w:rPr>
          <w:color w:val="534089"/>
        </w:rPr>
        <w:t>LONG</w:t>
      </w:r>
      <w:r>
        <w:rPr>
          <w:color w:val="534089"/>
          <w:spacing w:val="-15"/>
        </w:rPr>
        <w:t> </w:t>
      </w:r>
      <w:r>
        <w:rPr>
          <w:color w:val="534089"/>
        </w:rPr>
        <w:t>SHOULD</w:t>
      </w:r>
      <w:r>
        <w:rPr>
          <w:color w:val="534089"/>
          <w:spacing w:val="-15"/>
        </w:rPr>
        <w:t> </w:t>
      </w:r>
      <w:r>
        <w:rPr>
          <w:color w:val="534089"/>
        </w:rPr>
        <w:t>POSTMENOPAUSAL</w:t>
      </w:r>
      <w:r>
        <w:rPr>
          <w:color w:val="534089"/>
          <w:spacing w:val="-15"/>
        </w:rPr>
        <w:t> </w:t>
      </w:r>
      <w:r>
        <w:rPr>
          <w:color w:val="534089"/>
        </w:rPr>
        <w:t>HORMONE THERAPY BE CONTINUED?</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33" name="Group 333"/>
                <wp:cNvGraphicFramePr>
                  <a:graphicFrameLocks/>
                </wp:cNvGraphicFramePr>
                <a:graphic>
                  <a:graphicData uri="http://schemas.microsoft.com/office/word/2010/wordprocessingGroup">
                    <wpg:wgp>
                      <wpg:cNvPr id="333" name="Group 333"/>
                      <wpg:cNvGrpSpPr/>
                      <wpg:grpSpPr>
                        <a:xfrm>
                          <a:off x="0" y="0"/>
                          <a:ext cx="5810250" cy="19050"/>
                          <a:chExt cx="5810250" cy="19050"/>
                        </a:xfrm>
                      </wpg:grpSpPr>
                      <wps:wsp>
                        <wps:cNvPr id="334" name="Graphic 334"/>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10" coordorigin="0,0" coordsize="9150,30">
                <v:rect style="position:absolute;left:0;top:0;width:9150;height:30" id="docshape311" filled="true" fillcolor="#534089" stroked="false">
                  <v:fill type="solid"/>
                </v:rect>
              </v:group>
            </w:pict>
          </mc:Fallback>
        </mc:AlternateContent>
      </w:r>
      <w:r>
        <w:rPr>
          <w:rFonts w:ascii="Arial"/>
          <w:position w:val="0"/>
          <w:sz w:val="2"/>
        </w:rPr>
      </w:r>
    </w:p>
    <w:p>
      <w:pPr>
        <w:pStyle w:val="BodyText"/>
        <w:spacing w:line="249" w:lineRule="auto" w:before="215"/>
        <w:ind w:right="97"/>
      </w:pPr>
      <w:r>
        <w:rPr/>
        <w:t>The answer to this question is relatively straightforward. Periodic reassessments of risk-to-benefit ratio must be undertaken in hormone-using women, and </w:t>
      </w:r>
      <w:r>
        <w:rPr>
          <w:b/>
        </w:rPr>
        <w:t>duration of therapy should be guided by the principles of “net benefit” and “do no harm.” </w:t>
      </w:r>
      <w:r>
        <w:rPr/>
        <w:t>Clarity on persistence of the indication for which HT was initiated in the first place and overall risk profile of the user should be periodically assessed, and a woman should continue their menopausal hormone regimen if the potential for benefit outweighs that </w:t>
      </w:r>
      <w:r>
        <w:rPr/>
        <w:t>of harm.</w:t>
      </w:r>
      <w:r>
        <w:rPr>
          <w:vertAlign w:val="superscript"/>
        </w:rPr>
        <w:t>1317</w:t>
      </w:r>
      <w:r>
        <w:rPr>
          <w:vertAlign w:val="baseline"/>
        </w:rPr>
        <w:t> The symptom, metabolic, and skeletal effects of hormones revert early following discontinuation, with longer times needed for others may take years (eg, dissipation in breast cancer risk) after discontinuation.</w:t>
      </w:r>
    </w:p>
    <w:p>
      <w:pPr>
        <w:pStyle w:val="BodyText"/>
        <w:spacing w:line="249" w:lineRule="auto" w:before="12"/>
        <w:ind w:right="97" w:firstLine="450"/>
      </w:pPr>
      <w:r>
        <w:rPr/>
        <w:t>Resurgence in menopausal symptoms after discontinuing HT is not uncommon,</w:t>
      </w:r>
      <w:r>
        <w:rPr>
          <w:spacing w:val="-3"/>
        </w:rPr>
        <w:t> </w:t>
      </w:r>
      <w:r>
        <w:rPr/>
        <w:t>and</w:t>
      </w:r>
      <w:r>
        <w:rPr>
          <w:spacing w:val="-3"/>
        </w:rPr>
        <w:t> </w:t>
      </w:r>
      <w:r>
        <w:rPr/>
        <w:t>resulting</w:t>
      </w:r>
      <w:r>
        <w:rPr>
          <w:spacing w:val="-3"/>
        </w:rPr>
        <w:t> </w:t>
      </w:r>
      <w:r>
        <w:rPr/>
        <w:t>disruption</w:t>
      </w:r>
      <w:r>
        <w:rPr>
          <w:spacing w:val="-3"/>
        </w:rPr>
        <w:t> </w:t>
      </w:r>
      <w:r>
        <w:rPr/>
        <w:t>in</w:t>
      </w:r>
      <w:r>
        <w:rPr>
          <w:spacing w:val="-3"/>
        </w:rPr>
        <w:t> </w:t>
      </w:r>
      <w:r>
        <w:rPr/>
        <w:t>quality</w:t>
      </w:r>
      <w:r>
        <w:rPr>
          <w:spacing w:val="-3"/>
        </w:rPr>
        <w:t> </w:t>
      </w:r>
      <w:r>
        <w:rPr/>
        <w:t>of</w:t>
      </w:r>
      <w:r>
        <w:rPr>
          <w:spacing w:val="-3"/>
        </w:rPr>
        <w:t> </w:t>
      </w:r>
      <w:r>
        <w:rPr/>
        <w:t>life</w:t>
      </w:r>
      <w:r>
        <w:rPr>
          <w:spacing w:val="-3"/>
        </w:rPr>
        <w:t> </w:t>
      </w:r>
      <w:r>
        <w:rPr/>
        <w:t>has</w:t>
      </w:r>
      <w:r>
        <w:rPr>
          <w:spacing w:val="-3"/>
        </w:rPr>
        <w:t> </w:t>
      </w:r>
      <w:r>
        <w:rPr/>
        <w:t>been</w:t>
      </w:r>
      <w:r>
        <w:rPr>
          <w:spacing w:val="-3"/>
        </w:rPr>
        <w:t> </w:t>
      </w:r>
      <w:r>
        <w:rPr/>
        <w:t>reported</w:t>
      </w:r>
      <w:r>
        <w:rPr>
          <w:spacing w:val="-3"/>
        </w:rPr>
        <w:t> </w:t>
      </w:r>
      <w:r>
        <w:rPr/>
        <w:t>in</w:t>
      </w:r>
      <w:r>
        <w:rPr>
          <w:spacing w:val="-3"/>
        </w:rPr>
        <w:t> </w:t>
      </w:r>
      <w:r>
        <w:rPr/>
        <w:t>at least 25% of previously treated women and, in one Swedish study, 70%.</w:t>
      </w:r>
      <w:r>
        <w:rPr>
          <w:vertAlign w:val="superscript"/>
        </w:rPr>
        <w:t>1318,1319</w:t>
      </w:r>
      <w:r>
        <w:rPr>
          <w:vertAlign w:val="baseline"/>
        </w:rPr>
        <w:t> It seems intuitively advantageous to encourage a tapering, gradual discontinuation program to minimize recurrence of menopausal symptoms, although randomized trials comparing gradual discontinuation with abrupt cessation found no benefit with a tapering regimen.</w:t>
      </w:r>
      <w:r>
        <w:rPr>
          <w:vertAlign w:val="superscript"/>
        </w:rPr>
        <w:t>1320-1323</w:t>
      </w:r>
      <w:r>
        <w:rPr>
          <w:vertAlign w:val="baseline"/>
        </w:rPr>
        <w:t> Neither</w:t>
      </w:r>
      <w:r>
        <w:rPr>
          <w:spacing w:val="-3"/>
          <w:vertAlign w:val="baseline"/>
        </w:rPr>
        <w:t> </w:t>
      </w:r>
      <w:r>
        <w:rPr>
          <w:vertAlign w:val="baseline"/>
        </w:rPr>
        <w:t>the</w:t>
      </w:r>
      <w:r>
        <w:rPr>
          <w:spacing w:val="-3"/>
          <w:vertAlign w:val="baseline"/>
        </w:rPr>
        <w:t> </w:t>
      </w:r>
      <w:r>
        <w:rPr>
          <w:vertAlign w:val="baseline"/>
        </w:rPr>
        <w:t>recurrence</w:t>
      </w:r>
      <w:r>
        <w:rPr>
          <w:spacing w:val="-3"/>
          <w:vertAlign w:val="baseline"/>
        </w:rPr>
        <w:t> </w:t>
      </w:r>
      <w:r>
        <w:rPr>
          <w:vertAlign w:val="baseline"/>
        </w:rPr>
        <w:t>rate</w:t>
      </w:r>
      <w:r>
        <w:rPr>
          <w:spacing w:val="-3"/>
          <w:vertAlign w:val="baseline"/>
        </w:rPr>
        <w:t> </w:t>
      </w:r>
      <w:r>
        <w:rPr>
          <w:vertAlign w:val="baseline"/>
        </w:rPr>
        <w:t>nor</w:t>
      </w:r>
      <w:r>
        <w:rPr>
          <w:spacing w:val="-3"/>
          <w:vertAlign w:val="baseline"/>
        </w:rPr>
        <w:t> </w:t>
      </w:r>
      <w:r>
        <w:rPr>
          <w:vertAlign w:val="baseline"/>
        </w:rPr>
        <w:t>the</w:t>
      </w:r>
      <w:r>
        <w:rPr>
          <w:spacing w:val="-3"/>
          <w:vertAlign w:val="baseline"/>
        </w:rPr>
        <w:t> </w:t>
      </w:r>
      <w:r>
        <w:rPr>
          <w:vertAlign w:val="baseline"/>
        </w:rPr>
        <w:t>severity</w:t>
      </w:r>
      <w:r>
        <w:rPr>
          <w:spacing w:val="-3"/>
          <w:vertAlign w:val="baseline"/>
        </w:rPr>
        <w:t> </w:t>
      </w:r>
      <w:r>
        <w:rPr>
          <w:vertAlign w:val="baseline"/>
        </w:rPr>
        <w:t>of</w:t>
      </w:r>
      <w:r>
        <w:rPr>
          <w:spacing w:val="-3"/>
          <w:vertAlign w:val="baseline"/>
        </w:rPr>
        <w:t> </w:t>
      </w:r>
      <w:r>
        <w:rPr>
          <w:vertAlign w:val="baseline"/>
        </w:rPr>
        <w:t>menopausal</w:t>
      </w:r>
      <w:r>
        <w:rPr>
          <w:spacing w:val="-3"/>
          <w:vertAlign w:val="baseline"/>
        </w:rPr>
        <w:t> </w:t>
      </w:r>
      <w:r>
        <w:rPr>
          <w:vertAlign w:val="baseline"/>
        </w:rPr>
        <w:t>symptoms</w:t>
      </w:r>
      <w:r>
        <w:rPr>
          <w:spacing w:val="-3"/>
          <w:vertAlign w:val="baseline"/>
        </w:rPr>
        <w:t> </w:t>
      </w:r>
      <w:r>
        <w:rPr>
          <w:vertAlign w:val="baseline"/>
        </w:rPr>
        <w:t>differs comparing the two methods.</w:t>
      </w:r>
    </w:p>
    <w:p>
      <w:pPr>
        <w:pStyle w:val="BodyText"/>
        <w:spacing w:after="0" w:line="249" w:lineRule="auto"/>
        <w:sectPr>
          <w:pgSz w:w="12240" w:h="15840"/>
          <w:pgMar w:top="1380" w:bottom="280" w:left="1440" w:right="1440"/>
        </w:sectPr>
      </w:pPr>
    </w:p>
    <w:p>
      <w:pPr>
        <w:spacing w:line="90" w:lineRule="exact"/>
        <w:ind w:left="105" w:right="0" w:firstLine="0"/>
        <w:rPr>
          <w:position w:val="-1"/>
          <w:sz w:val="8"/>
        </w:rPr>
      </w:pPr>
      <w:r>
        <w:rPr>
          <w:position w:val="-1"/>
          <w:sz w:val="8"/>
        </w:rPr>
        <mc:AlternateContent>
          <mc:Choice Requires="wps">
            <w:drawing>
              <wp:inline distT="0" distB="0" distL="0" distR="0">
                <wp:extent cx="285750" cy="57150"/>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285750" cy="57150"/>
                          <a:chExt cx="285750" cy="57150"/>
                        </a:xfrm>
                      </wpg:grpSpPr>
                      <wps:wsp>
                        <wps:cNvPr id="336" name="Graphic 336"/>
                        <wps:cNvSpPr/>
                        <wps:spPr>
                          <a:xfrm>
                            <a:off x="0" y="0"/>
                            <a:ext cx="285750" cy="57150"/>
                          </a:xfrm>
                          <a:custGeom>
                            <a:avLst/>
                            <a:gdLst/>
                            <a:ahLst/>
                            <a:cxnLst/>
                            <a:rect l="l" t="t" r="r" b="b"/>
                            <a:pathLst>
                              <a:path w="285750" h="57150">
                                <a:moveTo>
                                  <a:pt x="28575" y="57149"/>
                                </a:moveTo>
                                <a:lnTo>
                                  <a:pt x="0" y="32299"/>
                                </a:lnTo>
                                <a:lnTo>
                                  <a:pt x="0" y="24707"/>
                                </a:lnTo>
                                <a:lnTo>
                                  <a:pt x="24785" y="0"/>
                                </a:lnTo>
                                <a:lnTo>
                                  <a:pt x="32364" y="0"/>
                                </a:lnTo>
                                <a:lnTo>
                                  <a:pt x="57149" y="24707"/>
                                </a:lnTo>
                                <a:lnTo>
                                  <a:pt x="57149" y="32299"/>
                                </a:lnTo>
                                <a:lnTo>
                                  <a:pt x="28575" y="57149"/>
                                </a:lnTo>
                                <a:close/>
                              </a:path>
                              <a:path w="285750" h="57150">
                                <a:moveTo>
                                  <a:pt x="142779" y="57149"/>
                                </a:moveTo>
                                <a:lnTo>
                                  <a:pt x="114204" y="32299"/>
                                </a:lnTo>
                                <a:lnTo>
                                  <a:pt x="114204" y="24707"/>
                                </a:lnTo>
                                <a:lnTo>
                                  <a:pt x="138990" y="0"/>
                                </a:lnTo>
                                <a:lnTo>
                                  <a:pt x="146569" y="0"/>
                                </a:lnTo>
                                <a:lnTo>
                                  <a:pt x="171354" y="24707"/>
                                </a:lnTo>
                                <a:lnTo>
                                  <a:pt x="171354" y="32299"/>
                                </a:lnTo>
                                <a:lnTo>
                                  <a:pt x="142779" y="57149"/>
                                </a:lnTo>
                                <a:close/>
                              </a:path>
                              <a:path w="285750" h="57150">
                                <a:moveTo>
                                  <a:pt x="256984" y="57149"/>
                                </a:moveTo>
                                <a:lnTo>
                                  <a:pt x="228409" y="32299"/>
                                </a:lnTo>
                                <a:lnTo>
                                  <a:pt x="228409" y="24707"/>
                                </a:lnTo>
                                <a:lnTo>
                                  <a:pt x="253195" y="0"/>
                                </a:lnTo>
                                <a:lnTo>
                                  <a:pt x="260773" y="0"/>
                                </a:lnTo>
                                <a:lnTo>
                                  <a:pt x="285559" y="24707"/>
                                </a:lnTo>
                                <a:lnTo>
                                  <a:pt x="285559" y="32299"/>
                                </a:lnTo>
                                <a:lnTo>
                                  <a:pt x="256984" y="57149"/>
                                </a:lnTo>
                                <a:close/>
                              </a:path>
                            </a:pathLst>
                          </a:custGeom>
                          <a:solidFill>
                            <a:srgbClr val="BDB4D4"/>
                          </a:solidFill>
                        </wps:spPr>
                        <wps:bodyPr wrap="square" lIns="0" tIns="0" rIns="0" bIns="0" rtlCol="0">
                          <a:prstTxWarp prst="textNoShape">
                            <a:avLst/>
                          </a:prstTxWarp>
                          <a:noAutofit/>
                        </wps:bodyPr>
                      </wps:wsp>
                    </wpg:wgp>
                  </a:graphicData>
                </a:graphic>
              </wp:inline>
            </w:drawing>
          </mc:Choice>
          <mc:Fallback>
            <w:pict>
              <v:group style="width:22.5pt;height:4.5pt;mso-position-horizontal-relative:char;mso-position-vertical-relative:line" id="docshapegroup312" coordorigin="0,0" coordsize="450,90">
                <v:shape style="position:absolute;left:0;top:0;width:450;height:90" id="docshape313" coordorigin="0,0" coordsize="450,90" path="m45,90l39,90,33,89,22,84,17,81,13,77,9,72,6,67,1,56,0,51,0,39,1,33,3,27,6,22,9,17,17,9,22,5,28,3,33,1,39,0,51,0,57,1,62,3,68,5,73,9,81,17,84,22,87,27,89,33,90,39,90,51,89,56,84,67,81,72,77,77,73,81,68,84,57,89,51,90,45,90xm225,90l219,90,213,89,202,84,197,81,193,77,189,72,186,67,181,56,180,51,180,39,181,33,183,27,186,22,189,17,197,9,202,5,208,3,213,1,219,0,231,0,237,1,242,3,248,5,252,9,261,17,264,22,266,27,269,33,270,39,270,51,269,56,264,67,261,72,257,77,252,81,248,84,237,89,231,90,225,90xm405,90l399,90,393,89,382,84,377,81,373,77,369,72,365,67,361,56,360,51,360,39,361,33,363,27,365,22,369,17,377,9,382,5,387,3,393,1,399,0,411,0,416,1,422,3,427,5,432,9,441,17,444,22,446,27,449,33,450,39,450,51,449,56,444,67,441,72,437,77,432,81,427,84,416,89,411,90,405,90xe" filled="true" fillcolor="#bdb4d4" stroked="false">
                  <v:path arrowok="t"/>
                  <v:fill type="solid"/>
                </v:shape>
              </v:group>
            </w:pict>
          </mc:Fallback>
        </mc:AlternateContent>
      </w:r>
      <w:r>
        <w:rPr>
          <w:position w:val="-1"/>
          <w:sz w:val="8"/>
        </w:rPr>
      </w:r>
    </w:p>
    <w:p>
      <w:pPr>
        <w:pStyle w:val="Heading3"/>
        <w:spacing w:line="249" w:lineRule="auto"/>
        <w:ind w:right="151"/>
      </w:pPr>
      <w:r>
        <w:rPr/>
        <mc:AlternateContent>
          <mc:Choice Requires="wps">
            <w:drawing>
              <wp:anchor distT="0" distB="0" distL="0" distR="0" allowOverlap="1" layoutInCell="1" locked="0" behindDoc="1" simplePos="0" relativeHeight="487681024">
                <wp:simplePos x="0" y="0"/>
                <wp:positionH relativeFrom="page">
                  <wp:posOffset>981075</wp:posOffset>
                </wp:positionH>
                <wp:positionV relativeFrom="paragraph">
                  <wp:posOffset>552389</wp:posOffset>
                </wp:positionV>
                <wp:extent cx="5810250" cy="19050"/>
                <wp:effectExtent l="0" t="0" r="0" b="0"/>
                <wp:wrapTopAndBottom/>
                <wp:docPr id="337" name="Graphic 337"/>
                <wp:cNvGraphicFramePr>
                  <a:graphicFrameLocks/>
                </wp:cNvGraphicFramePr>
                <a:graphic>
                  <a:graphicData uri="http://schemas.microsoft.com/office/word/2010/wordprocessingShape">
                    <wps:wsp>
                      <wps:cNvPr id="337" name="Graphic 337"/>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43.495209pt;width:457.499964pt;height:1.5pt;mso-position-horizontal-relative:page;mso-position-vertical-relative:paragraph;z-index:-15635456;mso-wrap-distance-left:0;mso-wrap-distance-right:0" id="docshape314" filled="true" fillcolor="#534089" stroked="false">
                <v:fill type="solid"/>
                <w10:wrap type="topAndBottom"/>
              </v:rect>
            </w:pict>
          </mc:Fallback>
        </mc:AlternateContent>
      </w:r>
      <w:r>
        <w:rPr>
          <w:color w:val="534089"/>
        </w:rPr>
        <w:t>SHOULD</w:t>
      </w:r>
      <w:r>
        <w:rPr>
          <w:color w:val="534089"/>
          <w:spacing w:val="-14"/>
        </w:rPr>
        <w:t> </w:t>
      </w:r>
      <w:r>
        <w:rPr>
          <w:color w:val="534089"/>
        </w:rPr>
        <w:t>WOMEN</w:t>
      </w:r>
      <w:r>
        <w:rPr>
          <w:color w:val="534089"/>
          <w:spacing w:val="-14"/>
        </w:rPr>
        <w:t> </w:t>
      </w:r>
      <w:r>
        <w:rPr>
          <w:color w:val="534089"/>
        </w:rPr>
        <w:t>REMOTE</w:t>
      </w:r>
      <w:r>
        <w:rPr>
          <w:color w:val="534089"/>
          <w:spacing w:val="-14"/>
        </w:rPr>
        <w:t> </w:t>
      </w:r>
      <w:r>
        <w:rPr>
          <w:color w:val="534089"/>
        </w:rPr>
        <w:t>FROM</w:t>
      </w:r>
      <w:r>
        <w:rPr>
          <w:color w:val="534089"/>
          <w:spacing w:val="-14"/>
        </w:rPr>
        <w:t> </w:t>
      </w:r>
      <w:r>
        <w:rPr>
          <w:color w:val="534089"/>
        </w:rPr>
        <w:t>MENOPAUSE</w:t>
      </w:r>
      <w:r>
        <w:rPr>
          <w:color w:val="534089"/>
          <w:spacing w:val="-14"/>
        </w:rPr>
        <w:t> </w:t>
      </w:r>
      <w:r>
        <w:rPr>
          <w:color w:val="534089"/>
        </w:rPr>
        <w:t>BE</w:t>
      </w:r>
      <w:r>
        <w:rPr>
          <w:color w:val="534089"/>
          <w:spacing w:val="-14"/>
        </w:rPr>
        <w:t> </w:t>
      </w:r>
      <w:r>
        <w:rPr>
          <w:color w:val="534089"/>
        </w:rPr>
        <w:t>STARTED ON HORMONE THERAPY?</w:t>
      </w:r>
    </w:p>
    <w:p>
      <w:pPr>
        <w:pStyle w:val="BodyText"/>
        <w:spacing w:line="249" w:lineRule="auto" w:before="215"/>
        <w:ind w:right="97"/>
      </w:pPr>
      <w:r>
        <w:rPr/>
        <w:t>The positive impact of HT on the bone has been demonstrated even in women older than age 65.</w:t>
      </w:r>
      <w:r>
        <w:rPr>
          <w:vertAlign w:val="superscript"/>
        </w:rPr>
        <w:t>1324,1325</w:t>
      </w:r>
      <w:r>
        <w:rPr>
          <w:vertAlign w:val="baseline"/>
        </w:rPr>
        <w:t> This is a strong argument in favor </w:t>
      </w:r>
      <w:r>
        <w:rPr>
          <w:vertAlign w:val="baseline"/>
        </w:rPr>
        <w:t>of treating women remote from menopause who have never been on estrogen and who cannot take or afford the other alternatives for bone preservation. Estrogen treatment that is not begun until after age 60 can with long-term use achieve bone densities nearly but not totally comparable with those in women</w:t>
      </w:r>
      <w:r>
        <w:rPr>
          <w:spacing w:val="-4"/>
          <w:vertAlign w:val="baseline"/>
        </w:rPr>
        <w:t> </w:t>
      </w:r>
      <w:r>
        <w:rPr>
          <w:vertAlign w:val="baseline"/>
        </w:rPr>
        <w:t>taking</w:t>
      </w:r>
      <w:r>
        <w:rPr>
          <w:spacing w:val="-4"/>
          <w:vertAlign w:val="baseline"/>
        </w:rPr>
        <w:t> </w:t>
      </w:r>
      <w:r>
        <w:rPr>
          <w:vertAlign w:val="baseline"/>
        </w:rPr>
        <w:t>estrogen</w:t>
      </w:r>
      <w:r>
        <w:rPr>
          <w:spacing w:val="-4"/>
          <w:vertAlign w:val="baseline"/>
        </w:rPr>
        <w:t> </w:t>
      </w:r>
      <w:r>
        <w:rPr>
          <w:vertAlign w:val="baseline"/>
        </w:rPr>
        <w:t>from</w:t>
      </w:r>
      <w:r>
        <w:rPr>
          <w:spacing w:val="-4"/>
          <w:vertAlign w:val="baseline"/>
        </w:rPr>
        <w:t> </w:t>
      </w:r>
      <w:r>
        <w:rPr>
          <w:vertAlign w:val="baseline"/>
        </w:rPr>
        <w:t>menopause,</w:t>
      </w:r>
      <w:r>
        <w:rPr>
          <w:spacing w:val="-4"/>
          <w:vertAlign w:val="baseline"/>
        </w:rPr>
        <w:t> </w:t>
      </w:r>
      <w:r>
        <w:rPr>
          <w:vertAlign w:val="baseline"/>
        </w:rPr>
        <w:t>and</w:t>
      </w:r>
      <w:r>
        <w:rPr>
          <w:spacing w:val="-4"/>
          <w:vertAlign w:val="baseline"/>
        </w:rPr>
        <w:t> </w:t>
      </w:r>
      <w:r>
        <w:rPr>
          <w:vertAlign w:val="baseline"/>
        </w:rPr>
        <w:t>estrogen</w:t>
      </w:r>
      <w:r>
        <w:rPr>
          <w:spacing w:val="-4"/>
          <w:vertAlign w:val="baseline"/>
        </w:rPr>
        <w:t> </w:t>
      </w:r>
      <w:r>
        <w:rPr>
          <w:vertAlign w:val="baseline"/>
        </w:rPr>
        <w:t>use</w:t>
      </w:r>
      <w:r>
        <w:rPr>
          <w:spacing w:val="-4"/>
          <w:vertAlign w:val="baseline"/>
        </w:rPr>
        <w:t> </w:t>
      </w:r>
      <w:r>
        <w:rPr>
          <w:vertAlign w:val="baseline"/>
        </w:rPr>
        <w:t>between</w:t>
      </w:r>
      <w:r>
        <w:rPr>
          <w:spacing w:val="-4"/>
          <w:vertAlign w:val="baseline"/>
        </w:rPr>
        <w:t> </w:t>
      </w:r>
      <w:r>
        <w:rPr>
          <w:vertAlign w:val="baseline"/>
        </w:rPr>
        <w:t>the</w:t>
      </w:r>
      <w:r>
        <w:rPr>
          <w:spacing w:val="-4"/>
          <w:vertAlign w:val="baseline"/>
        </w:rPr>
        <w:t> </w:t>
      </w:r>
      <w:r>
        <w:rPr>
          <w:vertAlign w:val="baseline"/>
        </w:rPr>
        <w:t>ages of 65 and 74 has been documented to protect against hip fractures.</w:t>
      </w:r>
      <w:r>
        <w:rPr>
          <w:vertAlign w:val="superscript"/>
        </w:rPr>
        <w:t>1326,1327</w:t>
      </w:r>
      <w:r>
        <w:rPr>
          <w:vertAlign w:val="baseline"/>
        </w:rPr>
        <w:t> </w:t>
      </w:r>
      <w:r>
        <w:rPr>
          <w:b/>
          <w:vertAlign w:val="baseline"/>
        </w:rPr>
        <w:t>Adding a hormonal regimen to women over the age of 60 is, however, not a trivial consideration, given the known risks of thromboembolism, stroke, and cognitive deterioration that were evident in the WHI hormone trials. </w:t>
      </w:r>
      <w:r>
        <w:rPr>
          <w:vertAlign w:val="baseline"/>
        </w:rPr>
        <w:t>This judgment requires the conclusion that a relatively youthful and vigorous older woman has something to gain from the choice of hormone treatment. While patients with osteoporosis may qualify, alternative</w:t>
      </w:r>
      <w:r>
        <w:rPr>
          <w:spacing w:val="-1"/>
          <w:vertAlign w:val="baseline"/>
        </w:rPr>
        <w:t> </w:t>
      </w:r>
      <w:r>
        <w:rPr>
          <w:vertAlign w:val="baseline"/>
        </w:rPr>
        <w:t>effective</w:t>
      </w:r>
      <w:r>
        <w:rPr>
          <w:spacing w:val="-1"/>
          <w:vertAlign w:val="baseline"/>
        </w:rPr>
        <w:t> </w:t>
      </w:r>
      <w:r>
        <w:rPr>
          <w:vertAlign w:val="baseline"/>
        </w:rPr>
        <w:t>strategies</w:t>
      </w:r>
      <w:r>
        <w:rPr>
          <w:spacing w:val="-1"/>
          <w:vertAlign w:val="baseline"/>
        </w:rPr>
        <w:t> </w:t>
      </w:r>
      <w:r>
        <w:rPr>
          <w:vertAlign w:val="baseline"/>
        </w:rPr>
        <w:t>are</w:t>
      </w:r>
      <w:r>
        <w:rPr>
          <w:spacing w:val="-1"/>
          <w:vertAlign w:val="baseline"/>
        </w:rPr>
        <w:t> </w:t>
      </w:r>
      <w:r>
        <w:rPr>
          <w:vertAlign w:val="baseline"/>
        </w:rPr>
        <w:t>available</w:t>
      </w:r>
      <w:r>
        <w:rPr>
          <w:spacing w:val="-1"/>
          <w:vertAlign w:val="baseline"/>
        </w:rPr>
        <w:t> </w:t>
      </w:r>
      <w:r>
        <w:rPr>
          <w:vertAlign w:val="baseline"/>
        </w:rPr>
        <w:t>to</w:t>
      </w:r>
      <w:r>
        <w:rPr>
          <w:spacing w:val="-1"/>
          <w:vertAlign w:val="baseline"/>
        </w:rPr>
        <w:t> </w:t>
      </w:r>
      <w:r>
        <w:rPr>
          <w:vertAlign w:val="baseline"/>
        </w:rPr>
        <w:t>minimize</w:t>
      </w:r>
      <w:r>
        <w:rPr>
          <w:spacing w:val="-1"/>
          <w:vertAlign w:val="baseline"/>
        </w:rPr>
        <w:t> </w:t>
      </w:r>
      <w:r>
        <w:rPr>
          <w:vertAlign w:val="baseline"/>
        </w:rPr>
        <w:t>fracture</w:t>
      </w:r>
      <w:r>
        <w:rPr>
          <w:spacing w:val="-1"/>
          <w:vertAlign w:val="baseline"/>
        </w:rPr>
        <w:t> </w:t>
      </w:r>
      <w:r>
        <w:rPr>
          <w:vertAlign w:val="baseline"/>
        </w:rPr>
        <w:t>risk,</w:t>
      </w:r>
      <w:r>
        <w:rPr>
          <w:spacing w:val="-1"/>
          <w:vertAlign w:val="baseline"/>
        </w:rPr>
        <w:t> </w:t>
      </w:r>
      <w:r>
        <w:rPr>
          <w:vertAlign w:val="baseline"/>
        </w:rPr>
        <w:t>which may prove to be safer alternatives to HT in the older adults. The primary and secondary prevention trials reviewed in this chapter have strongly indicated that estrogen administered to women with established atherosclerosis is associated with an increased risk of arterial thrombosis. The mechanism, as reviewed in earlier in this chapter, is presumed to be the creation of a prothrombotic environment by the stimulation of metalloproteinase enzyme activity in unstable atherosclerotic plaques. This effect is enhanced by the production of 27-hydroxycholesterol in atherosclerotic sites, a cholesterol metabolite that competitively inhibits estrogen’s</w:t>
      </w:r>
      <w:r>
        <w:rPr>
          <w:spacing w:val="-5"/>
          <w:vertAlign w:val="baseline"/>
        </w:rPr>
        <w:t> </w:t>
      </w:r>
      <w:r>
        <w:rPr>
          <w:vertAlign w:val="baseline"/>
        </w:rPr>
        <w:t>beneficial</w:t>
      </w:r>
      <w:r>
        <w:rPr>
          <w:spacing w:val="-5"/>
          <w:vertAlign w:val="baseline"/>
        </w:rPr>
        <w:t> </w:t>
      </w:r>
      <w:r>
        <w:rPr>
          <w:vertAlign w:val="baseline"/>
        </w:rPr>
        <w:t>actions</w:t>
      </w:r>
      <w:r>
        <w:rPr>
          <w:spacing w:val="-5"/>
          <w:vertAlign w:val="baseline"/>
        </w:rPr>
        <w:t> </w:t>
      </w:r>
      <w:r>
        <w:rPr>
          <w:vertAlign w:val="baseline"/>
        </w:rPr>
        <w:t>within</w:t>
      </w:r>
      <w:r>
        <w:rPr>
          <w:spacing w:val="-5"/>
          <w:vertAlign w:val="baseline"/>
        </w:rPr>
        <w:t> </w:t>
      </w:r>
      <w:r>
        <w:rPr>
          <w:vertAlign w:val="baseline"/>
        </w:rPr>
        <w:t>blood</w:t>
      </w:r>
      <w:r>
        <w:rPr>
          <w:spacing w:val="-5"/>
          <w:vertAlign w:val="baseline"/>
        </w:rPr>
        <w:t> </w:t>
      </w:r>
      <w:r>
        <w:rPr>
          <w:vertAlign w:val="baseline"/>
        </w:rPr>
        <w:t>vessels.</w:t>
      </w:r>
      <w:r>
        <w:rPr>
          <w:spacing w:val="-6"/>
          <w:vertAlign w:val="baseline"/>
        </w:rPr>
        <w:t> </w:t>
      </w:r>
      <w:r>
        <w:rPr>
          <w:vertAlign w:val="baseline"/>
        </w:rPr>
        <w:t>Statin</w:t>
      </w:r>
      <w:r>
        <w:rPr>
          <w:spacing w:val="-5"/>
          <w:vertAlign w:val="baseline"/>
        </w:rPr>
        <w:t> </w:t>
      </w:r>
      <w:r>
        <w:rPr>
          <w:vertAlign w:val="baseline"/>
        </w:rPr>
        <w:t>treatment</w:t>
      </w:r>
      <w:r>
        <w:rPr>
          <w:spacing w:val="-5"/>
          <w:vertAlign w:val="baseline"/>
        </w:rPr>
        <w:t> </w:t>
      </w:r>
      <w:r>
        <w:rPr>
          <w:vertAlign w:val="baseline"/>
        </w:rPr>
        <w:t>is</w:t>
      </w:r>
      <w:r>
        <w:rPr>
          <w:spacing w:val="-5"/>
          <w:vertAlign w:val="baseline"/>
        </w:rPr>
        <w:t> </w:t>
      </w:r>
      <w:r>
        <w:rPr>
          <w:vertAlign w:val="baseline"/>
        </w:rPr>
        <w:t>known to stabilize atherosclerotic plaques rapidly, within 3 months. Although</w:t>
      </w:r>
      <w:r>
        <w:rPr>
          <w:spacing w:val="-5"/>
          <w:vertAlign w:val="baseline"/>
        </w:rPr>
        <w:t> </w:t>
      </w:r>
      <w:r>
        <w:rPr>
          <w:vertAlign w:val="baseline"/>
        </w:rPr>
        <w:t>there are no studies to support this recommendation, it seems reasonable to consider initiating statin treatment for several months before starting ET in older women; such a consideration requires a thorough discussion on alternative options and on the net balance of risks versus benefits of HT remote from menopause onset, toward shared decision-making. In 2017,</w:t>
      </w:r>
      <w:r>
        <w:rPr>
          <w:vertAlign w:val="superscript"/>
        </w:rPr>
        <w:t>1328</w:t>
      </w:r>
      <w:r>
        <w:rPr>
          <w:vertAlign w:val="baseline"/>
        </w:rPr>
        <w:t> after</w:t>
      </w:r>
      <w:r>
        <w:rPr>
          <w:spacing w:val="58"/>
          <w:vertAlign w:val="baseline"/>
        </w:rPr>
        <w:t> </w:t>
      </w:r>
      <w:r>
        <w:rPr>
          <w:vertAlign w:val="baseline"/>
        </w:rPr>
        <w:t>review</w:t>
      </w:r>
      <w:r>
        <w:rPr>
          <w:spacing w:val="58"/>
          <w:vertAlign w:val="baseline"/>
        </w:rPr>
        <w:t> </w:t>
      </w:r>
      <w:r>
        <w:rPr>
          <w:vertAlign w:val="baseline"/>
        </w:rPr>
        <w:t>of</w:t>
      </w:r>
      <w:r>
        <w:rPr>
          <w:spacing w:val="58"/>
          <w:vertAlign w:val="baseline"/>
        </w:rPr>
        <w:t> </w:t>
      </w:r>
      <w:r>
        <w:rPr>
          <w:vertAlign w:val="baseline"/>
        </w:rPr>
        <w:t>existing</w:t>
      </w:r>
      <w:r>
        <w:rPr>
          <w:spacing w:val="58"/>
          <w:vertAlign w:val="baseline"/>
        </w:rPr>
        <w:t> </w:t>
      </w:r>
      <w:r>
        <w:rPr>
          <w:vertAlign w:val="baseline"/>
        </w:rPr>
        <w:t>data</w:t>
      </w:r>
      <w:r>
        <w:rPr>
          <w:spacing w:val="58"/>
          <w:vertAlign w:val="baseline"/>
        </w:rPr>
        <w:t> </w:t>
      </w:r>
      <w:r>
        <w:rPr>
          <w:vertAlign w:val="baseline"/>
        </w:rPr>
        <w:t>on</w:t>
      </w:r>
      <w:r>
        <w:rPr>
          <w:spacing w:val="58"/>
          <w:vertAlign w:val="baseline"/>
        </w:rPr>
        <w:t> </w:t>
      </w:r>
      <w:r>
        <w:rPr>
          <w:vertAlign w:val="baseline"/>
        </w:rPr>
        <w:t>benefits</w:t>
      </w:r>
      <w:r>
        <w:rPr>
          <w:spacing w:val="58"/>
          <w:vertAlign w:val="baseline"/>
        </w:rPr>
        <w:t> </w:t>
      </w:r>
      <w:r>
        <w:rPr>
          <w:vertAlign w:val="baseline"/>
        </w:rPr>
        <w:t>versus</w:t>
      </w:r>
      <w:r>
        <w:rPr>
          <w:spacing w:val="58"/>
          <w:vertAlign w:val="baseline"/>
        </w:rPr>
        <w:t> </w:t>
      </w:r>
      <w:r>
        <w:rPr>
          <w:vertAlign w:val="baseline"/>
        </w:rPr>
        <w:t>risks</w:t>
      </w:r>
      <w:r>
        <w:rPr>
          <w:spacing w:val="58"/>
          <w:vertAlign w:val="baseline"/>
        </w:rPr>
        <w:t> </w:t>
      </w:r>
      <w:r>
        <w:rPr>
          <w:vertAlign w:val="baseline"/>
        </w:rPr>
        <w:t>of</w:t>
      </w:r>
      <w:r>
        <w:rPr>
          <w:spacing w:val="58"/>
          <w:vertAlign w:val="baseline"/>
        </w:rPr>
        <w:t> </w:t>
      </w:r>
      <w:r>
        <w:rPr>
          <w:vertAlign w:val="baseline"/>
        </w:rPr>
        <w:t>HT,</w:t>
      </w:r>
      <w:r>
        <w:rPr>
          <w:spacing w:val="58"/>
          <w:vertAlign w:val="baseline"/>
        </w:rPr>
        <w:t> </w:t>
      </w:r>
      <w:r>
        <w:rPr>
          <w:vertAlign w:val="baseline"/>
        </w:rPr>
        <w:t>the</w:t>
      </w:r>
      <w:r>
        <w:rPr>
          <w:spacing w:val="59"/>
          <w:vertAlign w:val="baseline"/>
        </w:rPr>
        <w:t> </w:t>
      </w:r>
      <w:r>
        <w:rPr>
          <w:spacing w:val="-2"/>
          <w:vertAlign w:val="baseline"/>
        </w:rPr>
        <w:t>United</w:t>
      </w:r>
    </w:p>
    <w:p>
      <w:pPr>
        <w:pStyle w:val="BodyText"/>
        <w:spacing w:after="0" w:line="249" w:lineRule="auto"/>
        <w:sectPr>
          <w:pgSz w:w="12240" w:h="15840"/>
          <w:pgMar w:top="1440" w:bottom="280" w:left="1440" w:right="1440"/>
        </w:sectPr>
      </w:pPr>
    </w:p>
    <w:p>
      <w:pPr>
        <w:spacing w:line="249" w:lineRule="auto" w:before="65"/>
        <w:ind w:left="99" w:right="101" w:firstLine="0"/>
        <w:jc w:val="both"/>
        <w:rPr>
          <w:sz w:val="30"/>
        </w:rPr>
      </w:pPr>
      <w:r>
        <w:rPr>
          <w:sz w:val="30"/>
        </w:rPr>
        <w:t>States Preventive Services Task Force (USPSTF) recommended </w:t>
      </w:r>
      <w:r>
        <w:rPr>
          <w:sz w:val="30"/>
        </w:rPr>
        <w:t>against postmenopausal women taking HT (combined E+P or E alone) for the sole purpose</w:t>
      </w:r>
      <w:r>
        <w:rPr>
          <w:spacing w:val="-3"/>
          <w:sz w:val="30"/>
        </w:rPr>
        <w:t> </w:t>
      </w:r>
      <w:r>
        <w:rPr>
          <w:sz w:val="30"/>
        </w:rPr>
        <w:t>of</w:t>
      </w:r>
      <w:r>
        <w:rPr>
          <w:spacing w:val="-3"/>
          <w:sz w:val="30"/>
        </w:rPr>
        <w:t> </w:t>
      </w:r>
      <w:r>
        <w:rPr>
          <w:sz w:val="30"/>
        </w:rPr>
        <w:t>preventing</w:t>
      </w:r>
      <w:r>
        <w:rPr>
          <w:spacing w:val="-3"/>
          <w:sz w:val="30"/>
        </w:rPr>
        <w:t> </w:t>
      </w:r>
      <w:r>
        <w:rPr>
          <w:sz w:val="30"/>
        </w:rPr>
        <w:t>chronic</w:t>
      </w:r>
      <w:r>
        <w:rPr>
          <w:spacing w:val="-3"/>
          <w:sz w:val="30"/>
        </w:rPr>
        <w:t> </w:t>
      </w:r>
      <w:r>
        <w:rPr>
          <w:sz w:val="30"/>
        </w:rPr>
        <w:t>conditions.</w:t>
      </w:r>
      <w:r>
        <w:rPr>
          <w:spacing w:val="-4"/>
          <w:sz w:val="30"/>
        </w:rPr>
        <w:t> </w:t>
      </w:r>
      <w:r>
        <w:rPr>
          <w:b/>
          <w:sz w:val="30"/>
        </w:rPr>
        <w:t>The USPSTF recommendations were</w:t>
      </w:r>
      <w:r>
        <w:rPr>
          <w:b/>
          <w:spacing w:val="-5"/>
          <w:sz w:val="30"/>
        </w:rPr>
        <w:t> </w:t>
      </w:r>
      <w:r>
        <w:rPr>
          <w:b/>
          <w:sz w:val="30"/>
        </w:rPr>
        <w:t>revised</w:t>
      </w:r>
      <w:r>
        <w:rPr>
          <w:b/>
          <w:spacing w:val="-5"/>
          <w:sz w:val="30"/>
        </w:rPr>
        <w:t> </w:t>
      </w:r>
      <w:r>
        <w:rPr>
          <w:b/>
          <w:sz w:val="30"/>
        </w:rPr>
        <w:t>in</w:t>
      </w:r>
      <w:r>
        <w:rPr>
          <w:b/>
          <w:spacing w:val="-5"/>
          <w:sz w:val="30"/>
        </w:rPr>
        <w:t> </w:t>
      </w:r>
      <w:r>
        <w:rPr>
          <w:b/>
          <w:sz w:val="30"/>
        </w:rPr>
        <w:t>2022</w:t>
      </w:r>
      <w:r>
        <w:rPr>
          <w:b/>
          <w:spacing w:val="-5"/>
          <w:sz w:val="30"/>
        </w:rPr>
        <w:t> </w:t>
      </w:r>
      <w:r>
        <w:rPr>
          <w:b/>
          <w:sz w:val="30"/>
        </w:rPr>
        <w:t>and</w:t>
      </w:r>
      <w:r>
        <w:rPr>
          <w:b/>
          <w:spacing w:val="-5"/>
          <w:sz w:val="30"/>
        </w:rPr>
        <w:t> </w:t>
      </w:r>
      <w:r>
        <w:rPr>
          <w:b/>
          <w:sz w:val="30"/>
        </w:rPr>
        <w:t>stood</w:t>
      </w:r>
      <w:r>
        <w:rPr>
          <w:b/>
          <w:spacing w:val="-5"/>
          <w:sz w:val="30"/>
        </w:rPr>
        <w:t> </w:t>
      </w:r>
      <w:r>
        <w:rPr>
          <w:b/>
          <w:sz w:val="30"/>
        </w:rPr>
        <w:t>firm</w:t>
      </w:r>
      <w:r>
        <w:rPr>
          <w:b/>
          <w:spacing w:val="-5"/>
          <w:sz w:val="30"/>
        </w:rPr>
        <w:t> </w:t>
      </w:r>
      <w:r>
        <w:rPr>
          <w:b/>
          <w:sz w:val="30"/>
        </w:rPr>
        <w:t>in</w:t>
      </w:r>
      <w:r>
        <w:rPr>
          <w:b/>
          <w:spacing w:val="-5"/>
          <w:sz w:val="30"/>
        </w:rPr>
        <w:t> </w:t>
      </w:r>
      <w:r>
        <w:rPr>
          <w:b/>
          <w:sz w:val="30"/>
        </w:rPr>
        <w:t>advising</w:t>
      </w:r>
      <w:r>
        <w:rPr>
          <w:b/>
          <w:spacing w:val="-5"/>
          <w:sz w:val="30"/>
        </w:rPr>
        <w:t> </w:t>
      </w:r>
      <w:r>
        <w:rPr>
          <w:b/>
          <w:sz w:val="30"/>
        </w:rPr>
        <w:t>against</w:t>
      </w:r>
      <w:r>
        <w:rPr>
          <w:b/>
          <w:spacing w:val="-5"/>
          <w:sz w:val="30"/>
        </w:rPr>
        <w:t> </w:t>
      </w:r>
      <w:r>
        <w:rPr>
          <w:b/>
          <w:sz w:val="30"/>
        </w:rPr>
        <w:t>postmenopausal women taking combined HT for the sole purpose of preventing chronic </w:t>
      </w:r>
      <w:r>
        <w:rPr>
          <w:b/>
          <w:spacing w:val="-2"/>
          <w:sz w:val="30"/>
        </w:rPr>
        <w:t>conditions</w:t>
      </w:r>
      <w:r>
        <w:rPr>
          <w:spacing w:val="-2"/>
          <w:sz w:val="30"/>
        </w:rPr>
        <w:t>.</w:t>
      </w:r>
      <w:r>
        <w:rPr>
          <w:spacing w:val="-2"/>
          <w:sz w:val="30"/>
          <w:vertAlign w:val="superscript"/>
        </w:rPr>
        <w:t>1329</w:t>
      </w:r>
    </w:p>
    <w:p>
      <w:pPr>
        <w:pStyle w:val="BodyText"/>
        <w:spacing w:line="249" w:lineRule="auto" w:before="7"/>
        <w:ind w:right="97" w:firstLine="450"/>
      </w:pPr>
      <w:r>
        <w:rPr/>
        <w:t>Older women who have been deficient in estrogen for many years </w:t>
      </w:r>
      <w:r>
        <w:rPr/>
        <w:t>often experience side effects when standard doses of estrogen are initiated.</w:t>
      </w:r>
      <w:r>
        <w:rPr>
          <w:spacing w:val="-1"/>
        </w:rPr>
        <w:t> </w:t>
      </w:r>
      <w:r>
        <w:rPr/>
        <w:t>Breast tenderness can be especially disturbing. Because of these side effects and the experience in the WHI with its older population, it is better to start older women with lower doses, and transdermal products that deliver low amounts of estrogen must be considered preferentially. The benefits from initiating HT in aging women must be balanced against risks for harm, and</w:t>
      </w:r>
      <w:r>
        <w:rPr>
          <w:spacing w:val="40"/>
        </w:rPr>
        <w:t> </w:t>
      </w:r>
      <w:r>
        <w:rPr/>
        <w:t>a thorough clinician-patient dialogue must place existing data in perspective, including findings from the WHI hormone trials.</w:t>
      </w:r>
    </w:p>
    <w:p>
      <w:pPr>
        <w:pStyle w:val="BodyText"/>
        <w:spacing w:before="0"/>
        <w:ind w:left="0"/>
        <w:jc w:val="left"/>
        <w:rPr>
          <w:sz w:val="20"/>
        </w:rPr>
      </w:pPr>
    </w:p>
    <w:p>
      <w:pPr>
        <w:pStyle w:val="BodyText"/>
        <w:spacing w:before="122"/>
        <w:ind w:left="0"/>
        <w:jc w:val="left"/>
        <w:rPr>
          <w:sz w:val="20"/>
        </w:rPr>
      </w:pPr>
      <w:r>
        <w:rPr>
          <w:sz w:val="20"/>
        </w:rPr>
        <mc:AlternateContent>
          <mc:Choice Requires="wps">
            <w:drawing>
              <wp:anchor distT="0" distB="0" distL="0" distR="0" allowOverlap="1" layoutInCell="1" locked="0" behindDoc="1" simplePos="0" relativeHeight="487681536">
                <wp:simplePos x="0" y="0"/>
                <wp:positionH relativeFrom="page">
                  <wp:posOffset>981075</wp:posOffset>
                </wp:positionH>
                <wp:positionV relativeFrom="paragraph">
                  <wp:posOffset>239156</wp:posOffset>
                </wp:positionV>
                <wp:extent cx="285750" cy="5715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285750" cy="57150"/>
                        </a:xfrm>
                        <a:custGeom>
                          <a:avLst/>
                          <a:gdLst/>
                          <a:ahLst/>
                          <a:cxnLst/>
                          <a:rect l="l" t="t" r="r" b="b"/>
                          <a:pathLst>
                            <a:path w="285750" h="57150">
                              <a:moveTo>
                                <a:pt x="28575" y="57149"/>
                              </a:moveTo>
                              <a:lnTo>
                                <a:pt x="0" y="32299"/>
                              </a:lnTo>
                              <a:lnTo>
                                <a:pt x="0" y="24850"/>
                              </a:lnTo>
                              <a:lnTo>
                                <a:pt x="24785" y="0"/>
                              </a:lnTo>
                              <a:lnTo>
                                <a:pt x="32364" y="0"/>
                              </a:lnTo>
                              <a:lnTo>
                                <a:pt x="57149" y="24850"/>
                              </a:lnTo>
                              <a:lnTo>
                                <a:pt x="57149" y="32299"/>
                              </a:lnTo>
                              <a:lnTo>
                                <a:pt x="28575" y="57149"/>
                              </a:lnTo>
                              <a:close/>
                            </a:path>
                            <a:path w="285750" h="57150">
                              <a:moveTo>
                                <a:pt x="142779" y="57149"/>
                              </a:moveTo>
                              <a:lnTo>
                                <a:pt x="114204" y="32299"/>
                              </a:lnTo>
                              <a:lnTo>
                                <a:pt x="114204" y="24850"/>
                              </a:lnTo>
                              <a:lnTo>
                                <a:pt x="138990" y="0"/>
                              </a:lnTo>
                              <a:lnTo>
                                <a:pt x="146569" y="0"/>
                              </a:lnTo>
                              <a:lnTo>
                                <a:pt x="171354" y="24850"/>
                              </a:lnTo>
                              <a:lnTo>
                                <a:pt x="171354" y="32299"/>
                              </a:lnTo>
                              <a:lnTo>
                                <a:pt x="142779" y="57149"/>
                              </a:lnTo>
                              <a:close/>
                            </a:path>
                            <a:path w="285750" h="57150">
                              <a:moveTo>
                                <a:pt x="256984" y="57149"/>
                              </a:moveTo>
                              <a:lnTo>
                                <a:pt x="228409" y="32299"/>
                              </a:lnTo>
                              <a:lnTo>
                                <a:pt x="228409" y="24850"/>
                              </a:lnTo>
                              <a:lnTo>
                                <a:pt x="253195" y="0"/>
                              </a:lnTo>
                              <a:lnTo>
                                <a:pt x="260773" y="0"/>
                              </a:lnTo>
                              <a:lnTo>
                                <a:pt x="285559" y="24850"/>
                              </a:lnTo>
                              <a:lnTo>
                                <a:pt x="285559" y="32299"/>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831247pt;width:22.5pt;height:4.5pt;mso-position-horizontal-relative:page;mso-position-vertical-relative:paragraph;z-index:-15634944;mso-wrap-distance-left:0;mso-wrap-distance-right:0" id="docshape315" coordorigin="1545,377" coordsize="450,90" path="m1590,467l1584,466,1578,465,1573,463,1567,461,1562,457,1558,453,1554,449,1551,444,1548,439,1546,433,1545,427,1545,416,1546,410,1548,404,1551,399,1554,394,1562,386,1567,382,1573,380,1578,378,1584,377,1596,377,1602,378,1607,380,1613,382,1618,386,1626,394,1629,399,1632,404,1634,410,1635,416,1635,427,1634,433,1632,439,1629,444,1626,449,1622,453,1618,457,1613,461,1607,463,1602,465,1596,466,1590,467xm1770,467l1764,466,1758,465,1753,463,1747,461,1742,457,1738,453,1734,449,1731,444,1728,439,1726,433,1725,427,1725,416,1726,410,1728,404,1731,399,1734,394,1742,386,1747,382,1753,380,1758,378,1764,377,1776,377,1782,378,1787,380,1793,382,1797,386,1806,394,1809,399,1811,404,1814,410,1815,416,1815,427,1814,433,1811,439,1809,444,1806,449,1802,453,1797,457,1793,461,1787,463,1782,465,1776,466,1770,467xm1950,467l1944,466,1938,465,1932,463,1927,461,1922,457,1918,453,1914,449,1910,444,1908,439,1906,433,1905,427,1905,416,1906,410,1908,404,1910,399,1914,394,1922,386,1927,382,1932,380,1938,378,1944,377,1956,377,1961,378,1967,380,1972,382,1977,386,1986,394,1989,399,1991,404,1994,410,1995,416,1995,427,1994,433,1991,439,1989,444,1986,449,1982,453,1977,457,1972,461,1967,463,1961,465,1956,466,1950,467xe" filled="true" fillcolor="#bdb4d4" stroked="false">
                <v:path arrowok="t"/>
                <v:fill type="solid"/>
                <w10:wrap type="topAndBottom"/>
              </v:shape>
            </w:pict>
          </mc:Fallback>
        </mc:AlternateContent>
      </w:r>
    </w:p>
    <w:p>
      <w:pPr>
        <w:pStyle w:val="Heading3"/>
        <w:spacing w:line="249" w:lineRule="auto" w:after="59"/>
        <w:ind w:right="255"/>
      </w:pPr>
      <w:r>
        <w:rPr>
          <w:color w:val="534089"/>
        </w:rPr>
        <w:t>CAN</w:t>
      </w:r>
      <w:r>
        <w:rPr>
          <w:color w:val="534089"/>
          <w:spacing w:val="-14"/>
        </w:rPr>
        <w:t> </w:t>
      </w:r>
      <w:r>
        <w:rPr>
          <w:color w:val="534089"/>
        </w:rPr>
        <w:t>THE</w:t>
      </w:r>
      <w:r>
        <w:rPr>
          <w:color w:val="534089"/>
          <w:spacing w:val="-14"/>
        </w:rPr>
        <w:t> </w:t>
      </w:r>
      <w:r>
        <w:rPr>
          <w:color w:val="534089"/>
        </w:rPr>
        <w:t>DIET</w:t>
      </w:r>
      <w:r>
        <w:rPr>
          <w:color w:val="534089"/>
          <w:spacing w:val="-14"/>
        </w:rPr>
        <w:t> </w:t>
      </w:r>
      <w:r>
        <w:rPr>
          <w:color w:val="534089"/>
        </w:rPr>
        <w:t>PRODUCE</w:t>
      </w:r>
      <w:r>
        <w:rPr>
          <w:color w:val="534089"/>
          <w:spacing w:val="-14"/>
        </w:rPr>
        <w:t> </w:t>
      </w:r>
      <w:r>
        <w:rPr>
          <w:color w:val="534089"/>
        </w:rPr>
        <w:t>VARIATIONS</w:t>
      </w:r>
      <w:r>
        <w:rPr>
          <w:color w:val="534089"/>
          <w:spacing w:val="-14"/>
        </w:rPr>
        <w:t> </w:t>
      </w:r>
      <w:r>
        <w:rPr>
          <w:color w:val="534089"/>
        </w:rPr>
        <w:t>IN</w:t>
      </w:r>
      <w:r>
        <w:rPr>
          <w:color w:val="534089"/>
          <w:spacing w:val="-14"/>
        </w:rPr>
        <w:t> </w:t>
      </w:r>
      <w:r>
        <w:rPr>
          <w:color w:val="534089"/>
        </w:rPr>
        <w:t>SYSTEMIC ESTROGEN LEVELS?</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5810250" cy="19050"/>
                          <a:chExt cx="5810250" cy="19050"/>
                        </a:xfrm>
                      </wpg:grpSpPr>
                      <wps:wsp>
                        <wps:cNvPr id="340" name="Graphic 340"/>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16" coordorigin="0,0" coordsize="9150,30">
                <v:rect style="position:absolute;left:0;top:0;width:9150;height:30" id="docshape317" filled="true" fillcolor="#534089" stroked="false">
                  <v:fill type="solid"/>
                </v:rect>
              </v:group>
            </w:pict>
          </mc:Fallback>
        </mc:AlternateContent>
      </w:r>
      <w:r>
        <w:rPr>
          <w:rFonts w:ascii="Arial"/>
          <w:position w:val="0"/>
          <w:sz w:val="2"/>
        </w:rPr>
      </w:r>
    </w:p>
    <w:p>
      <w:pPr>
        <w:pStyle w:val="BodyText"/>
        <w:spacing w:line="249" w:lineRule="auto" w:before="215"/>
        <w:ind w:right="98"/>
      </w:pPr>
      <w:r>
        <w:rPr/>
        <w:t>Oral estrogens have an extensive first-pass metabolism, both in </w:t>
      </w:r>
      <w:r>
        <w:rPr/>
        <w:t>the gastrointestinal tract and the liver. This metabolism consists chiefly of sulfation and hydroxylation. The cytochrome P-450 system catalyzes the hydroxylation of estrogen, and antioxidants can inhibit this action. Flavonoids</w:t>
      </w:r>
      <w:r>
        <w:rPr>
          <w:spacing w:val="-3"/>
        </w:rPr>
        <w:t> </w:t>
      </w:r>
      <w:r>
        <w:rPr/>
        <w:t>(eg,</w:t>
      </w:r>
      <w:r>
        <w:rPr>
          <w:spacing w:val="-3"/>
        </w:rPr>
        <w:t> </w:t>
      </w:r>
      <w:r>
        <w:rPr/>
        <w:t>naringenin</w:t>
      </w:r>
      <w:r>
        <w:rPr>
          <w:spacing w:val="-3"/>
        </w:rPr>
        <w:t> </w:t>
      </w:r>
      <w:r>
        <w:rPr/>
        <w:t>and</w:t>
      </w:r>
      <w:r>
        <w:rPr>
          <w:spacing w:val="-3"/>
        </w:rPr>
        <w:t> </w:t>
      </w:r>
      <w:r>
        <w:rPr/>
        <w:t>quercetin)</w:t>
      </w:r>
      <w:r>
        <w:rPr>
          <w:spacing w:val="-3"/>
        </w:rPr>
        <w:t> </w:t>
      </w:r>
      <w:r>
        <w:rPr/>
        <w:t>are</w:t>
      </w:r>
      <w:r>
        <w:rPr>
          <w:spacing w:val="-3"/>
        </w:rPr>
        <w:t> </w:t>
      </w:r>
      <w:r>
        <w:rPr/>
        <w:t>present</w:t>
      </w:r>
      <w:r>
        <w:rPr>
          <w:spacing w:val="-3"/>
        </w:rPr>
        <w:t> </w:t>
      </w:r>
      <w:r>
        <w:rPr/>
        <w:t>in</w:t>
      </w:r>
      <w:r>
        <w:rPr>
          <w:spacing w:val="-3"/>
        </w:rPr>
        <w:t> </w:t>
      </w:r>
      <w:r>
        <w:rPr/>
        <w:t>high</w:t>
      </w:r>
      <w:r>
        <w:rPr>
          <w:spacing w:val="-3"/>
        </w:rPr>
        <w:t> </w:t>
      </w:r>
      <w:r>
        <w:rPr/>
        <w:t>concentrations in fruits and vegetables, and grapefruit juice inhibits estrogen metabolism, producing an increase in bioavailability that is consistent with an inhibition of hydroxylation.</w:t>
      </w:r>
      <w:r>
        <w:rPr>
          <w:vertAlign w:val="superscript"/>
        </w:rPr>
        <w:t>1330,1331</w:t>
      </w:r>
      <w:r>
        <w:rPr>
          <w:vertAlign w:val="baseline"/>
        </w:rPr>
        <w:t> This raises the possibility that dietary interactions with food products could produce a clinical impact. There is great variability within individuals and between individuals in the pharmacokinetics of exogenously administered estrogen. It is possible that this variability partially reflects the dietary habits of individuals and not intrinsic metabolism.</w:t>
      </w:r>
    </w:p>
    <w:p>
      <w:pPr>
        <w:pStyle w:val="BodyText"/>
        <w:spacing w:line="249" w:lineRule="auto" w:before="16"/>
        <w:ind w:right="100" w:firstLine="450"/>
      </w:pPr>
      <w:r>
        <w:rPr/>
        <w:t>An effect of alcohol ingestion by premenopausal women was not demonstrated on circulating levels of estrone, estradiol, DHEA-S, or </w:t>
      </w:r>
      <w:r>
        <w:rPr/>
        <w:t>SHBG in</w:t>
      </w:r>
      <w:r>
        <w:rPr>
          <w:spacing w:val="2"/>
        </w:rPr>
        <w:t> </w:t>
      </w:r>
      <w:r>
        <w:rPr/>
        <w:t>a</w:t>
      </w:r>
      <w:r>
        <w:rPr>
          <w:spacing w:val="2"/>
        </w:rPr>
        <w:t> </w:t>
      </w:r>
      <w:r>
        <w:rPr/>
        <w:t>cross-sectional</w:t>
      </w:r>
      <w:r>
        <w:rPr>
          <w:spacing w:val="2"/>
        </w:rPr>
        <w:t> </w:t>
      </w:r>
      <w:r>
        <w:rPr/>
        <w:t>study</w:t>
      </w:r>
      <w:r>
        <w:rPr>
          <w:spacing w:val="2"/>
        </w:rPr>
        <w:t> </w:t>
      </w:r>
      <w:r>
        <w:rPr/>
        <w:t>that</w:t>
      </w:r>
      <w:r>
        <w:rPr>
          <w:spacing w:val="2"/>
        </w:rPr>
        <w:t> </w:t>
      </w:r>
      <w:r>
        <w:rPr/>
        <w:t>depended</w:t>
      </w:r>
      <w:r>
        <w:rPr>
          <w:spacing w:val="2"/>
        </w:rPr>
        <w:t> </w:t>
      </w:r>
      <w:r>
        <w:rPr/>
        <w:t>on</w:t>
      </w:r>
      <w:r>
        <w:rPr>
          <w:spacing w:val="2"/>
        </w:rPr>
        <w:t> </w:t>
      </w:r>
      <w:r>
        <w:rPr/>
        <w:t>a</w:t>
      </w:r>
      <w:r>
        <w:rPr>
          <w:spacing w:val="2"/>
        </w:rPr>
        <w:t> </w:t>
      </w:r>
      <w:r>
        <w:rPr/>
        <w:t>questionnaire</w:t>
      </w:r>
      <w:r>
        <w:rPr>
          <w:spacing w:val="2"/>
        </w:rPr>
        <w:t> </w:t>
      </w:r>
      <w:r>
        <w:rPr/>
        <w:t>to</w:t>
      </w:r>
      <w:r>
        <w:rPr>
          <w:spacing w:val="2"/>
        </w:rPr>
        <w:t> </w:t>
      </w:r>
      <w:r>
        <w:rPr/>
        <w:t>assess</w:t>
      </w:r>
      <w:r>
        <w:rPr>
          <w:spacing w:val="2"/>
        </w:rPr>
        <w:t> </w:t>
      </w:r>
      <w:r>
        <w:rPr>
          <w:spacing w:val="-2"/>
        </w:rPr>
        <w:t>alcohol</w:t>
      </w:r>
    </w:p>
    <w:p>
      <w:pPr>
        <w:pStyle w:val="BodyText"/>
        <w:spacing w:after="0" w:line="249" w:lineRule="auto"/>
        <w:sectPr>
          <w:pgSz w:w="12240" w:h="15840"/>
          <w:pgMar w:top="1380" w:bottom="280" w:left="1440" w:right="1440"/>
        </w:sectPr>
      </w:pPr>
    </w:p>
    <w:p>
      <w:pPr>
        <w:pStyle w:val="BodyText"/>
        <w:spacing w:line="249" w:lineRule="auto"/>
        <w:ind w:right="99"/>
      </w:pPr>
      <w:r>
        <w:rPr/>
        <w:t>intake.</w:t>
      </w:r>
      <w:r>
        <w:rPr>
          <w:vertAlign w:val="superscript"/>
        </w:rPr>
        <w:t>1332</w:t>
      </w:r>
      <w:r>
        <w:rPr>
          <w:vertAlign w:val="baseline"/>
        </w:rPr>
        <w:t> However, when alcohol is administered under </w:t>
      </w:r>
      <w:r>
        <w:rPr>
          <w:vertAlign w:val="baseline"/>
        </w:rPr>
        <w:t>experimental conditions, circulating estrogen concentrations are raised to high levels.</w:t>
      </w:r>
      <w:r>
        <w:rPr>
          <w:vertAlign w:val="superscript"/>
        </w:rPr>
        <w:t>1333,1334</w:t>
      </w:r>
      <w:r>
        <w:rPr>
          <w:vertAlign w:val="baseline"/>
        </w:rPr>
        <w:t> In a prospective cohort study of premenopausal women in Italy, higher estradiol levels were correlated with an increased alcohol intake over a 1-year period of time.</w:t>
      </w:r>
      <w:r>
        <w:rPr>
          <w:vertAlign w:val="superscript"/>
        </w:rPr>
        <w:t>1335</w:t>
      </w:r>
      <w:r>
        <w:rPr>
          <w:vertAlign w:val="baseline"/>
        </w:rPr>
        <w:t> In the past decade, the gut microbiome has emerged as an important variable capable of influencing estrogen metabolism, the metabolic and carcinogenic milieu, as well as modifying interactions between dietary factors and hormones.</w:t>
      </w:r>
      <w:r>
        <w:rPr>
          <w:vertAlign w:val="superscript"/>
        </w:rPr>
        <w:t>1336</w:t>
      </w:r>
    </w:p>
    <w:p>
      <w:pPr>
        <w:pStyle w:val="BodyText"/>
        <w:spacing w:before="0"/>
        <w:ind w:left="0"/>
        <w:jc w:val="left"/>
        <w:rPr>
          <w:sz w:val="20"/>
        </w:rPr>
      </w:pPr>
    </w:p>
    <w:p>
      <w:pPr>
        <w:pStyle w:val="BodyText"/>
        <w:spacing w:before="121"/>
        <w:ind w:left="0"/>
        <w:jc w:val="left"/>
        <w:rPr>
          <w:sz w:val="20"/>
        </w:rPr>
      </w:pPr>
      <w:r>
        <w:rPr>
          <w:sz w:val="20"/>
        </w:rPr>
        <mc:AlternateContent>
          <mc:Choice Requires="wps">
            <w:drawing>
              <wp:anchor distT="0" distB="0" distL="0" distR="0" allowOverlap="1" layoutInCell="1" locked="0" behindDoc="1" simplePos="0" relativeHeight="487682560">
                <wp:simplePos x="0" y="0"/>
                <wp:positionH relativeFrom="page">
                  <wp:posOffset>981075</wp:posOffset>
                </wp:positionH>
                <wp:positionV relativeFrom="paragraph">
                  <wp:posOffset>238132</wp:posOffset>
                </wp:positionV>
                <wp:extent cx="285750" cy="5715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285750" cy="57150"/>
                        </a:xfrm>
                        <a:custGeom>
                          <a:avLst/>
                          <a:gdLst/>
                          <a:ahLst/>
                          <a:cxnLst/>
                          <a:rect l="l" t="t" r="r" b="b"/>
                          <a:pathLst>
                            <a:path w="285750" h="57150">
                              <a:moveTo>
                                <a:pt x="28575" y="57149"/>
                              </a:moveTo>
                              <a:lnTo>
                                <a:pt x="0" y="32299"/>
                              </a:lnTo>
                              <a:lnTo>
                                <a:pt x="0" y="24707"/>
                              </a:lnTo>
                              <a:lnTo>
                                <a:pt x="725" y="20983"/>
                              </a:lnTo>
                              <a:lnTo>
                                <a:pt x="2175" y="17564"/>
                              </a:lnTo>
                              <a:lnTo>
                                <a:pt x="3625" y="13992"/>
                              </a:lnTo>
                              <a:lnTo>
                                <a:pt x="24785" y="0"/>
                              </a:lnTo>
                              <a:lnTo>
                                <a:pt x="32364" y="0"/>
                              </a:lnTo>
                              <a:lnTo>
                                <a:pt x="54974" y="17564"/>
                              </a:lnTo>
                              <a:lnTo>
                                <a:pt x="56424" y="20983"/>
                              </a:lnTo>
                              <a:lnTo>
                                <a:pt x="57149" y="24707"/>
                              </a:lnTo>
                              <a:lnTo>
                                <a:pt x="57149" y="32299"/>
                              </a:lnTo>
                              <a:lnTo>
                                <a:pt x="32364" y="56997"/>
                              </a:lnTo>
                              <a:lnTo>
                                <a:pt x="28575" y="57149"/>
                              </a:lnTo>
                              <a:close/>
                            </a:path>
                            <a:path w="285750" h="57150">
                              <a:moveTo>
                                <a:pt x="142779" y="57149"/>
                              </a:moveTo>
                              <a:lnTo>
                                <a:pt x="114204" y="32299"/>
                              </a:lnTo>
                              <a:lnTo>
                                <a:pt x="114204" y="24707"/>
                              </a:lnTo>
                              <a:lnTo>
                                <a:pt x="114929" y="20983"/>
                              </a:lnTo>
                              <a:lnTo>
                                <a:pt x="116379" y="17564"/>
                              </a:lnTo>
                              <a:lnTo>
                                <a:pt x="117829" y="13992"/>
                              </a:lnTo>
                              <a:lnTo>
                                <a:pt x="138990" y="0"/>
                              </a:lnTo>
                              <a:lnTo>
                                <a:pt x="146569" y="0"/>
                              </a:lnTo>
                              <a:lnTo>
                                <a:pt x="169179" y="17564"/>
                              </a:lnTo>
                              <a:lnTo>
                                <a:pt x="170629" y="20983"/>
                              </a:lnTo>
                              <a:lnTo>
                                <a:pt x="171354" y="24707"/>
                              </a:lnTo>
                              <a:lnTo>
                                <a:pt x="171354" y="32299"/>
                              </a:lnTo>
                              <a:lnTo>
                                <a:pt x="146569" y="56997"/>
                              </a:lnTo>
                              <a:lnTo>
                                <a:pt x="142779" y="57149"/>
                              </a:lnTo>
                              <a:close/>
                            </a:path>
                            <a:path w="285750" h="57150">
                              <a:moveTo>
                                <a:pt x="256984" y="57149"/>
                              </a:moveTo>
                              <a:lnTo>
                                <a:pt x="228409" y="32299"/>
                              </a:lnTo>
                              <a:lnTo>
                                <a:pt x="228409" y="24707"/>
                              </a:lnTo>
                              <a:lnTo>
                                <a:pt x="229134" y="20983"/>
                              </a:lnTo>
                              <a:lnTo>
                                <a:pt x="230584" y="17564"/>
                              </a:lnTo>
                              <a:lnTo>
                                <a:pt x="232034" y="13992"/>
                              </a:lnTo>
                              <a:lnTo>
                                <a:pt x="253195" y="0"/>
                              </a:lnTo>
                              <a:lnTo>
                                <a:pt x="260773" y="0"/>
                              </a:lnTo>
                              <a:lnTo>
                                <a:pt x="283384" y="17564"/>
                              </a:lnTo>
                              <a:lnTo>
                                <a:pt x="284834" y="20983"/>
                              </a:lnTo>
                              <a:lnTo>
                                <a:pt x="285559" y="24707"/>
                              </a:lnTo>
                              <a:lnTo>
                                <a:pt x="285559" y="32299"/>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8.750589pt;width:22.5pt;height:4.5pt;mso-position-horizontal-relative:page;mso-position-vertical-relative:paragraph;z-index:-15633920;mso-wrap-distance-left:0;mso-wrap-distance-right:0" id="docshape318" coordorigin="1545,375" coordsize="450,90" path="m1590,465l1584,465,1578,464,1573,461,1567,459,1562,456,1558,452,1554,447,1551,442,1546,432,1545,426,1545,414,1546,408,1548,403,1551,397,1554,392,1562,384,1567,380,1578,376,1584,375,1596,375,1602,376,1613,380,1618,384,1626,392,1629,397,1632,403,1634,408,1635,414,1635,426,1634,432,1629,442,1626,447,1622,452,1618,456,1613,459,1607,461,1602,464,1596,465,1590,465xm1770,465l1764,465,1758,464,1753,461,1747,459,1742,456,1738,452,1734,447,1731,442,1726,432,1725,426,1725,414,1726,408,1728,403,1731,397,1734,392,1742,384,1747,380,1758,376,1764,375,1776,375,1782,376,1793,380,1797,384,1806,392,1809,397,1811,403,1814,408,1815,414,1815,426,1814,432,1809,442,1806,447,1802,452,1797,456,1793,459,1787,461,1782,464,1776,465,1770,465xm1950,465l1944,465,1938,464,1932,461,1927,459,1922,456,1918,452,1914,447,1910,442,1906,432,1905,426,1905,414,1906,408,1908,403,1910,397,1914,392,1922,384,1927,380,1938,376,1944,375,1956,375,1961,376,1972,380,1977,384,1986,392,1989,397,1991,403,1994,408,1995,414,1995,426,1994,432,1989,442,1986,447,1982,452,1977,456,1972,459,1967,461,1961,464,1956,465,1950,465xe" filled="true" fillcolor="#bdb4d4" stroked="false">
                <v:path arrowok="t"/>
                <v:fill type="solid"/>
                <w10:wrap type="topAndBottom"/>
              </v:shape>
            </w:pict>
          </mc:Fallback>
        </mc:AlternateContent>
      </w:r>
    </w:p>
    <w:p>
      <w:pPr>
        <w:pStyle w:val="Heading3"/>
        <w:spacing w:line="249" w:lineRule="auto" w:after="59"/>
        <w:ind w:right="255"/>
      </w:pPr>
      <w:r>
        <w:rPr>
          <w:color w:val="534089"/>
        </w:rPr>
        <w:t>CLINICAL</w:t>
      </w:r>
      <w:r>
        <w:rPr>
          <w:color w:val="534089"/>
          <w:spacing w:val="-17"/>
        </w:rPr>
        <w:t> </w:t>
      </w:r>
      <w:r>
        <w:rPr>
          <w:color w:val="534089"/>
        </w:rPr>
        <w:t>APPROACH</w:t>
      </w:r>
      <w:r>
        <w:rPr>
          <w:color w:val="534089"/>
          <w:spacing w:val="-17"/>
        </w:rPr>
        <w:t> </w:t>
      </w:r>
      <w:r>
        <w:rPr>
          <w:color w:val="534089"/>
        </w:rPr>
        <w:t>TO</w:t>
      </w:r>
      <w:r>
        <w:rPr>
          <w:color w:val="534089"/>
          <w:spacing w:val="-17"/>
        </w:rPr>
        <w:t> </w:t>
      </w:r>
      <w:r>
        <w:rPr>
          <w:color w:val="534089"/>
        </w:rPr>
        <w:t>POSTMENOPAUSAL</w:t>
      </w:r>
      <w:r>
        <w:rPr>
          <w:color w:val="534089"/>
          <w:spacing w:val="-17"/>
        </w:rPr>
        <w:t> </w:t>
      </w:r>
      <w:r>
        <w:rPr>
          <w:color w:val="534089"/>
        </w:rPr>
        <w:t>HORMONE </w:t>
      </w:r>
      <w:r>
        <w:rPr>
          <w:color w:val="534089"/>
          <w:spacing w:val="-2"/>
        </w:rPr>
        <w:t>THERAPY</w:t>
      </w:r>
    </w:p>
    <w:p>
      <w:pPr>
        <w:spacing w:line="30" w:lineRule="exact"/>
        <w:ind w:left="105" w:right="0" w:firstLine="0"/>
        <w:rPr>
          <w:rFonts w:ascii="Arial"/>
          <w:position w:val="0"/>
          <w:sz w:val="2"/>
        </w:rPr>
      </w:pPr>
      <w:r>
        <w:rPr>
          <w:rFonts w:ascii="Arial"/>
          <w:position w:val="0"/>
          <w:sz w:val="2"/>
        </w:rPr>
        <mc:AlternateContent>
          <mc:Choice Requires="wps">
            <w:drawing>
              <wp:inline distT="0" distB="0" distL="0" distR="0">
                <wp:extent cx="5810250" cy="19050"/>
                <wp:effectExtent l="0" t="0" r="0" b="0"/>
                <wp:docPr id="342" name="Group 342"/>
                <wp:cNvGraphicFramePr>
                  <a:graphicFrameLocks/>
                </wp:cNvGraphicFramePr>
                <a:graphic>
                  <a:graphicData uri="http://schemas.microsoft.com/office/word/2010/wordprocessingGroup">
                    <wpg:wgp>
                      <wpg:cNvPr id="342" name="Group 342"/>
                      <wpg:cNvGrpSpPr/>
                      <wpg:grpSpPr>
                        <a:xfrm>
                          <a:off x="0" y="0"/>
                          <a:ext cx="5810250" cy="19050"/>
                          <a:chExt cx="5810250" cy="19050"/>
                        </a:xfrm>
                      </wpg:grpSpPr>
                      <wps:wsp>
                        <wps:cNvPr id="343" name="Graphic 343"/>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wpg:wgp>
                  </a:graphicData>
                </a:graphic>
              </wp:inline>
            </w:drawing>
          </mc:Choice>
          <mc:Fallback>
            <w:pict>
              <v:group style="width:457.5pt;height:1.5pt;mso-position-horizontal-relative:char;mso-position-vertical-relative:line" id="docshapegroup319" coordorigin="0,0" coordsize="9150,30">
                <v:rect style="position:absolute;left:0;top:0;width:9150;height:30" id="docshape320" filled="true" fillcolor="#534089" stroked="false">
                  <v:fill type="solid"/>
                </v:rect>
              </v:group>
            </w:pict>
          </mc:Fallback>
        </mc:AlternateContent>
      </w:r>
      <w:r>
        <w:rPr>
          <w:rFonts w:ascii="Arial"/>
          <w:position w:val="0"/>
          <w:sz w:val="2"/>
        </w:rPr>
      </w:r>
    </w:p>
    <w:p>
      <w:pPr>
        <w:pStyle w:val="BodyText"/>
        <w:spacing w:line="249" w:lineRule="auto" w:before="215"/>
        <w:ind w:right="97"/>
      </w:pPr>
      <w:r>
        <w:rPr/>
        <w:t>We hope that the readers can appreciate that menopause is a normal life event, which, just like puberty, may be challenging for some, and that for many</w:t>
      </w:r>
      <w:r>
        <w:rPr>
          <w:spacing w:val="-6"/>
        </w:rPr>
        <w:t> </w:t>
      </w:r>
      <w:r>
        <w:rPr/>
        <w:t>women</w:t>
      </w:r>
      <w:r>
        <w:rPr>
          <w:spacing w:val="-6"/>
        </w:rPr>
        <w:t> </w:t>
      </w:r>
      <w:r>
        <w:rPr/>
        <w:t>who</w:t>
      </w:r>
      <w:r>
        <w:rPr>
          <w:spacing w:val="-6"/>
        </w:rPr>
        <w:t> </w:t>
      </w:r>
      <w:r>
        <w:rPr/>
        <w:t>are</w:t>
      </w:r>
      <w:r>
        <w:rPr>
          <w:spacing w:val="-6"/>
        </w:rPr>
        <w:t> </w:t>
      </w:r>
      <w:r>
        <w:rPr/>
        <w:t>challenged</w:t>
      </w:r>
      <w:r>
        <w:rPr>
          <w:spacing w:val="-6"/>
        </w:rPr>
        <w:t> </w:t>
      </w:r>
      <w:r>
        <w:rPr/>
        <w:t>by</w:t>
      </w:r>
      <w:r>
        <w:rPr>
          <w:spacing w:val="-6"/>
        </w:rPr>
        <w:t> </w:t>
      </w:r>
      <w:r>
        <w:rPr/>
        <w:t>menopause-related</w:t>
      </w:r>
      <w:r>
        <w:rPr>
          <w:spacing w:val="-6"/>
        </w:rPr>
        <w:t> </w:t>
      </w:r>
      <w:r>
        <w:rPr/>
        <w:t>bother,</w:t>
      </w:r>
      <w:r>
        <w:rPr>
          <w:spacing w:val="-6"/>
        </w:rPr>
        <w:t> </w:t>
      </w:r>
      <w:r>
        <w:rPr/>
        <w:t>menopausal HT can bring about marked improvement in quality of life. Furthermore, with long-term use, menopausal HT may offer health benefits that extend beyond symptom control. Menopausal HT should be considered for symptomatic women traversing the menopause transition and early menopause as they consider their paths for successful aging; the decision to initiate HT should be made after weighing individualized risks against patient’s symptom burden and indicated benefits. </w:t>
      </w:r>
      <w:r>
        <w:rPr>
          <w:b/>
        </w:rPr>
        <w:t>It is important to appreciate that the attitude and beliefs of the clinician have a major influence on the treatment-related decisions made by patients. </w:t>
      </w:r>
      <w:r>
        <w:rPr/>
        <w:t>As beneficial as the impact of HT may be, we must also emphasize the large improvement in health to be gained by lifestyle changes that include cessation of smoking, attention to diet and exercise, control of body weight, and attention to stress reduction.</w:t>
      </w:r>
    </w:p>
    <w:p>
      <w:pPr>
        <w:pStyle w:val="BodyText"/>
        <w:spacing w:line="249" w:lineRule="auto" w:before="19"/>
        <w:ind w:right="101" w:firstLine="450"/>
      </w:pPr>
      <w:r>
        <w:rPr/>
        <w:t>It is the task of an epidemiologist to derive study conclusions based on research data. It is the obligation of a clinician to make a judgment whether the epidemiologist’s conclusions have clinical meaning. For example, an epidemiologist may conclude that estrogen reduces coronary artery calcification and point out that a randomized clinical trial has not </w:t>
      </w:r>
      <w:r>
        <w:rPr/>
        <w:t>proved that such a reduction lowers the risk of CHD. However, it is appropriate for a</w:t>
      </w:r>
      <w:r>
        <w:rPr>
          <w:spacing w:val="43"/>
        </w:rPr>
        <w:t> </w:t>
      </w:r>
      <w:r>
        <w:rPr/>
        <w:t>clinician,</w:t>
      </w:r>
      <w:r>
        <w:rPr>
          <w:spacing w:val="43"/>
        </w:rPr>
        <w:t> </w:t>
      </w:r>
      <w:r>
        <w:rPr/>
        <w:t>knowing</w:t>
      </w:r>
      <w:r>
        <w:rPr>
          <w:spacing w:val="43"/>
        </w:rPr>
        <w:t> </w:t>
      </w:r>
      <w:r>
        <w:rPr/>
        <w:t>the</w:t>
      </w:r>
      <w:r>
        <w:rPr>
          <w:spacing w:val="43"/>
        </w:rPr>
        <w:t> </w:t>
      </w:r>
      <w:r>
        <w:rPr/>
        <w:t>correlation</w:t>
      </w:r>
      <w:r>
        <w:rPr>
          <w:spacing w:val="43"/>
        </w:rPr>
        <w:t> </w:t>
      </w:r>
      <w:r>
        <w:rPr/>
        <w:t>between</w:t>
      </w:r>
      <w:r>
        <w:rPr>
          <w:spacing w:val="43"/>
        </w:rPr>
        <w:t> </w:t>
      </w:r>
      <w:r>
        <w:rPr/>
        <w:t>coronary</w:t>
      </w:r>
      <w:r>
        <w:rPr>
          <w:spacing w:val="43"/>
        </w:rPr>
        <w:t> </w:t>
      </w:r>
      <w:r>
        <w:rPr/>
        <w:t>artery</w:t>
      </w:r>
      <w:r>
        <w:rPr>
          <w:spacing w:val="43"/>
        </w:rPr>
        <w:t> </w:t>
      </w:r>
      <w:r>
        <w:rPr>
          <w:spacing w:val="-2"/>
        </w:rPr>
        <w:t>calcification</w:t>
      </w:r>
    </w:p>
    <w:p>
      <w:pPr>
        <w:pStyle w:val="BodyText"/>
        <w:spacing w:after="0" w:line="249" w:lineRule="auto"/>
        <w:sectPr>
          <w:pgSz w:w="12240" w:h="15840"/>
          <w:pgMar w:top="1380" w:bottom="280" w:left="1440" w:right="1440"/>
        </w:sectPr>
      </w:pPr>
    </w:p>
    <w:p>
      <w:pPr>
        <w:spacing w:line="249" w:lineRule="auto" w:before="65"/>
        <w:ind w:left="99" w:right="98" w:firstLine="0"/>
        <w:jc w:val="both"/>
        <w:rPr>
          <w:b/>
          <w:sz w:val="30"/>
        </w:rPr>
      </w:pPr>
      <w:r>
        <w:rPr>
          <w:sz w:val="30"/>
        </w:rPr>
        <w:t>and CHD, to conclude that estrogen reduction of coronary calcification will translate into less CHD. </w:t>
      </w:r>
      <w:r>
        <w:rPr>
          <w:b/>
          <w:sz w:val="30"/>
        </w:rPr>
        <w:t>Medical judgments require more than </w:t>
      </w:r>
      <w:r>
        <w:rPr>
          <w:b/>
          <w:sz w:val="30"/>
        </w:rPr>
        <w:t>absolute evidence from randomized trials, and medical judgments frequently do not have the luxury of postponing clinically meaningful decisions until data are conclusive.</w:t>
      </w:r>
    </w:p>
    <w:p>
      <w:pPr>
        <w:pStyle w:val="BodyText"/>
        <w:spacing w:line="249" w:lineRule="auto" w:before="6"/>
        <w:ind w:right="97" w:firstLine="450"/>
      </w:pPr>
      <w:r>
        <w:rPr/>
        <w:t>Long-term use of menopausal HT is not precluded by the results reported by the WHI. Protection against osteoporotic fractures, reduction in incidence of colorectal cancers and possibly new-onset diabetes mellitus, and a possibility of primary prevention of CHD are some of the long-term benefits,</w:t>
      </w:r>
      <w:r>
        <w:rPr>
          <w:spacing w:val="-2"/>
        </w:rPr>
        <w:t> </w:t>
      </w:r>
      <w:r>
        <w:rPr/>
        <w:t>provided</w:t>
      </w:r>
      <w:r>
        <w:rPr>
          <w:spacing w:val="-2"/>
        </w:rPr>
        <w:t> </w:t>
      </w:r>
      <w:r>
        <w:rPr/>
        <w:t>HT</w:t>
      </w:r>
      <w:r>
        <w:rPr>
          <w:spacing w:val="-2"/>
        </w:rPr>
        <w:t> </w:t>
      </w:r>
      <w:r>
        <w:rPr/>
        <w:t>is</w:t>
      </w:r>
      <w:r>
        <w:rPr>
          <w:spacing w:val="-2"/>
        </w:rPr>
        <w:t> </w:t>
      </w:r>
      <w:r>
        <w:rPr/>
        <w:t>initiated</w:t>
      </w:r>
      <w:r>
        <w:rPr>
          <w:spacing w:val="-2"/>
        </w:rPr>
        <w:t> </w:t>
      </w:r>
      <w:r>
        <w:rPr/>
        <w:t>for</w:t>
      </w:r>
      <w:r>
        <w:rPr>
          <w:spacing w:val="-2"/>
        </w:rPr>
        <w:t> </w:t>
      </w:r>
      <w:r>
        <w:rPr/>
        <w:t>the</w:t>
      </w:r>
      <w:r>
        <w:rPr>
          <w:spacing w:val="-2"/>
        </w:rPr>
        <w:t> </w:t>
      </w:r>
      <w:r>
        <w:rPr/>
        <w:t>right</w:t>
      </w:r>
      <w:r>
        <w:rPr>
          <w:spacing w:val="-2"/>
        </w:rPr>
        <w:t> </w:t>
      </w:r>
      <w:r>
        <w:rPr/>
        <w:t>patient</w:t>
      </w:r>
      <w:r>
        <w:rPr>
          <w:spacing w:val="-2"/>
        </w:rPr>
        <w:t> </w:t>
      </w:r>
      <w:r>
        <w:rPr/>
        <w:t>at</w:t>
      </w:r>
      <w:r>
        <w:rPr>
          <w:spacing w:val="-2"/>
        </w:rPr>
        <w:t> </w:t>
      </w:r>
      <w:r>
        <w:rPr/>
        <w:t>the</w:t>
      </w:r>
      <w:r>
        <w:rPr>
          <w:spacing w:val="-2"/>
        </w:rPr>
        <w:t> </w:t>
      </w:r>
      <w:r>
        <w:rPr/>
        <w:t>right</w:t>
      </w:r>
      <w:r>
        <w:rPr>
          <w:spacing w:val="-2"/>
        </w:rPr>
        <w:t> </w:t>
      </w:r>
      <w:r>
        <w:rPr/>
        <w:t>time.</w:t>
      </w:r>
      <w:r>
        <w:rPr>
          <w:spacing w:val="-2"/>
        </w:rPr>
        <w:t> </w:t>
      </w:r>
      <w:r>
        <w:rPr/>
        <w:t>Once HT is initiated, it is incumbent that prescribers remain attentive to interval changes in the user’s health profile and periodically weigh hormone use-related benefits against the known hormone-related risks of VTE, stroke, and breast cancer (from estrogen and progestin use). Prescribers should additionally remain receptive to alternative proven therapies </w:t>
      </w:r>
      <w:r>
        <w:rPr/>
        <w:t>(eg, nonhormonal formulations such as Brisdelle and fezolinetant for vasomotor control, and statins and incretins for metabolic benefit) and to support beneficial lifestyle modifications. It remains the clinician’s responsibility to weigh any purported benefit against HT-related risks for each patient such that potential for benefit from HT outweighs any risk for harm for each and every patient at all time.</w:t>
      </w:r>
    </w:p>
    <w:p>
      <w:pPr>
        <w:spacing w:before="20"/>
        <w:ind w:left="99" w:right="0" w:firstLine="0"/>
        <w:jc w:val="both"/>
        <w:rPr>
          <w:b/>
          <w:sz w:val="30"/>
        </w:rPr>
      </w:pPr>
      <w:r>
        <w:rPr>
          <w:b/>
          <w:sz w:val="30"/>
        </w:rPr>
        <w:t>The</w:t>
      </w:r>
      <w:r>
        <w:rPr>
          <w:b/>
          <w:spacing w:val="-1"/>
          <w:sz w:val="30"/>
        </w:rPr>
        <w:t> </w:t>
      </w:r>
      <w:r>
        <w:rPr>
          <w:b/>
          <w:sz w:val="30"/>
        </w:rPr>
        <w:t>WHI</w:t>
      </w:r>
      <w:r>
        <w:rPr>
          <w:b/>
          <w:spacing w:val="-1"/>
          <w:sz w:val="30"/>
        </w:rPr>
        <w:t> </w:t>
      </w:r>
      <w:r>
        <w:rPr>
          <w:b/>
          <w:sz w:val="30"/>
        </w:rPr>
        <w:t>agrees</w:t>
      </w:r>
      <w:r>
        <w:rPr>
          <w:b/>
          <w:spacing w:val="-1"/>
          <w:sz w:val="30"/>
        </w:rPr>
        <w:t> </w:t>
      </w:r>
      <w:r>
        <w:rPr>
          <w:b/>
          <w:sz w:val="30"/>
        </w:rPr>
        <w:t>with</w:t>
      </w:r>
      <w:r>
        <w:rPr>
          <w:b/>
          <w:spacing w:val="-1"/>
          <w:sz w:val="30"/>
        </w:rPr>
        <w:t> </w:t>
      </w:r>
      <w:r>
        <w:rPr>
          <w:b/>
          <w:sz w:val="30"/>
        </w:rPr>
        <w:t>30+</w:t>
      </w:r>
      <w:r>
        <w:rPr>
          <w:b/>
          <w:spacing w:val="-1"/>
          <w:sz w:val="30"/>
        </w:rPr>
        <w:t> </w:t>
      </w:r>
      <w:r>
        <w:rPr>
          <w:b/>
          <w:sz w:val="30"/>
        </w:rPr>
        <w:t>years</w:t>
      </w:r>
      <w:r>
        <w:rPr>
          <w:b/>
          <w:spacing w:val="-1"/>
          <w:sz w:val="30"/>
        </w:rPr>
        <w:t> </w:t>
      </w:r>
      <w:r>
        <w:rPr>
          <w:b/>
          <w:sz w:val="30"/>
        </w:rPr>
        <w:t>of </w:t>
      </w:r>
      <w:r>
        <w:rPr>
          <w:b/>
          <w:spacing w:val="-2"/>
          <w:sz w:val="30"/>
        </w:rPr>
        <w:t>research</w:t>
      </w:r>
    </w:p>
    <w:p>
      <w:pPr>
        <w:pStyle w:val="ListParagraph"/>
        <w:numPr>
          <w:ilvl w:val="0"/>
          <w:numId w:val="18"/>
        </w:numPr>
        <w:tabs>
          <w:tab w:pos="398" w:val="left" w:leader="none"/>
        </w:tabs>
        <w:spacing w:line="240" w:lineRule="auto" w:before="270" w:after="0"/>
        <w:ind w:left="398" w:right="0" w:hanging="279"/>
        <w:jc w:val="left"/>
        <w:rPr>
          <w:sz w:val="30"/>
        </w:rPr>
      </w:pPr>
      <w:r>
        <w:rPr>
          <w:sz w:val="30"/>
        </w:rPr>
        <w:t>CHD: potential for protection in young postmenopausal </w:t>
      </w:r>
      <w:r>
        <w:rPr>
          <w:spacing w:val="-2"/>
          <w:sz w:val="30"/>
        </w:rPr>
        <w:t>women</w:t>
      </w:r>
    </w:p>
    <w:p>
      <w:pPr>
        <w:pStyle w:val="ListParagraph"/>
        <w:numPr>
          <w:ilvl w:val="0"/>
          <w:numId w:val="18"/>
        </w:numPr>
        <w:tabs>
          <w:tab w:pos="398" w:val="left" w:leader="none"/>
        </w:tabs>
        <w:spacing w:line="240" w:lineRule="auto" w:before="105" w:after="0"/>
        <w:ind w:left="398" w:right="0" w:hanging="279"/>
        <w:jc w:val="left"/>
        <w:rPr>
          <w:sz w:val="30"/>
        </w:rPr>
      </w:pPr>
      <w:r>
        <w:rPr>
          <w:sz w:val="30"/>
        </w:rPr>
        <w:t>Stroke: no increase in early postmenopausal, healthy </w:t>
      </w:r>
      <w:r>
        <w:rPr>
          <w:spacing w:val="-2"/>
          <w:sz w:val="30"/>
        </w:rPr>
        <w:t>women</w:t>
      </w:r>
    </w:p>
    <w:p>
      <w:pPr>
        <w:pStyle w:val="ListParagraph"/>
        <w:numPr>
          <w:ilvl w:val="0"/>
          <w:numId w:val="18"/>
        </w:numPr>
        <w:tabs>
          <w:tab w:pos="399" w:val="left" w:leader="none"/>
        </w:tabs>
        <w:spacing w:line="280" w:lineRule="auto" w:before="105" w:after="0"/>
        <w:ind w:left="399" w:right="107" w:hanging="280"/>
        <w:jc w:val="left"/>
        <w:rPr>
          <w:sz w:val="30"/>
        </w:rPr>
      </w:pPr>
      <w:r>
        <w:rPr>
          <w:sz w:val="30"/>
        </w:rPr>
        <w:t>VTE: 2-fold increase in the first years of use, concentrated in those </w:t>
      </w:r>
      <w:r>
        <w:rPr>
          <w:sz w:val="30"/>
        </w:rPr>
        <w:t>with preexisting risk factors</w:t>
      </w:r>
    </w:p>
    <w:p>
      <w:pPr>
        <w:pStyle w:val="ListParagraph"/>
        <w:numPr>
          <w:ilvl w:val="0"/>
          <w:numId w:val="18"/>
        </w:numPr>
        <w:tabs>
          <w:tab w:pos="399" w:val="left" w:leader="none"/>
        </w:tabs>
        <w:spacing w:line="280" w:lineRule="auto" w:before="2" w:after="0"/>
        <w:ind w:left="399" w:right="110" w:hanging="280"/>
        <w:jc w:val="left"/>
        <w:rPr>
          <w:sz w:val="30"/>
        </w:rPr>
      </w:pPr>
      <w:r>
        <w:rPr>
          <w:sz w:val="30"/>
        </w:rPr>
        <w:t>Cancer:</w:t>
      </w:r>
      <w:r>
        <w:rPr>
          <w:spacing w:val="-3"/>
          <w:sz w:val="30"/>
        </w:rPr>
        <w:t> </w:t>
      </w:r>
      <w:r>
        <w:rPr>
          <w:sz w:val="30"/>
        </w:rPr>
        <w:t>slightly</w:t>
      </w:r>
      <w:r>
        <w:rPr>
          <w:spacing w:val="-3"/>
          <w:sz w:val="30"/>
        </w:rPr>
        <w:t> </w:t>
      </w:r>
      <w:r>
        <w:rPr>
          <w:sz w:val="30"/>
        </w:rPr>
        <w:t>increased</w:t>
      </w:r>
      <w:r>
        <w:rPr>
          <w:spacing w:val="-3"/>
          <w:sz w:val="30"/>
        </w:rPr>
        <w:t> </w:t>
      </w:r>
      <w:r>
        <w:rPr>
          <w:sz w:val="30"/>
        </w:rPr>
        <w:t>risk</w:t>
      </w:r>
      <w:r>
        <w:rPr>
          <w:spacing w:val="-3"/>
          <w:sz w:val="30"/>
        </w:rPr>
        <w:t> </w:t>
      </w:r>
      <w:r>
        <w:rPr>
          <w:sz w:val="30"/>
        </w:rPr>
        <w:t>of</w:t>
      </w:r>
      <w:r>
        <w:rPr>
          <w:spacing w:val="-3"/>
          <w:sz w:val="30"/>
        </w:rPr>
        <w:t> </w:t>
      </w:r>
      <w:r>
        <w:rPr>
          <w:sz w:val="30"/>
        </w:rPr>
        <w:t>breast</w:t>
      </w:r>
      <w:r>
        <w:rPr>
          <w:spacing w:val="-3"/>
          <w:sz w:val="30"/>
        </w:rPr>
        <w:t> </w:t>
      </w:r>
      <w:r>
        <w:rPr>
          <w:sz w:val="30"/>
        </w:rPr>
        <w:t>cancer</w:t>
      </w:r>
      <w:r>
        <w:rPr>
          <w:spacing w:val="-3"/>
          <w:sz w:val="30"/>
        </w:rPr>
        <w:t> </w:t>
      </w:r>
      <w:r>
        <w:rPr>
          <w:sz w:val="30"/>
        </w:rPr>
        <w:t>or</w:t>
      </w:r>
      <w:r>
        <w:rPr>
          <w:spacing w:val="-3"/>
          <w:sz w:val="30"/>
        </w:rPr>
        <w:t> </w:t>
      </w:r>
      <w:r>
        <w:rPr>
          <w:sz w:val="30"/>
        </w:rPr>
        <w:t>an</w:t>
      </w:r>
      <w:r>
        <w:rPr>
          <w:spacing w:val="-3"/>
          <w:sz w:val="30"/>
        </w:rPr>
        <w:t> </w:t>
      </w:r>
      <w:r>
        <w:rPr>
          <w:sz w:val="30"/>
        </w:rPr>
        <w:t>effect</w:t>
      </w:r>
      <w:r>
        <w:rPr>
          <w:spacing w:val="-3"/>
          <w:sz w:val="30"/>
        </w:rPr>
        <w:t> </w:t>
      </w:r>
      <w:r>
        <w:rPr>
          <w:sz w:val="30"/>
        </w:rPr>
        <w:t>on</w:t>
      </w:r>
      <w:r>
        <w:rPr>
          <w:spacing w:val="-3"/>
          <w:sz w:val="30"/>
        </w:rPr>
        <w:t> </w:t>
      </w:r>
      <w:r>
        <w:rPr>
          <w:sz w:val="30"/>
        </w:rPr>
        <w:t>preexisting tumors; reduction in colorectal cancer</w:t>
      </w:r>
    </w:p>
    <w:p>
      <w:pPr>
        <w:pStyle w:val="ListParagraph"/>
        <w:numPr>
          <w:ilvl w:val="0"/>
          <w:numId w:val="18"/>
        </w:numPr>
        <w:tabs>
          <w:tab w:pos="398" w:val="left" w:leader="none"/>
        </w:tabs>
        <w:spacing w:line="240" w:lineRule="auto" w:before="3" w:after="0"/>
        <w:ind w:left="398" w:right="0" w:hanging="279"/>
        <w:jc w:val="left"/>
        <w:rPr>
          <w:sz w:val="30"/>
        </w:rPr>
      </w:pPr>
      <w:r>
        <w:rPr>
          <w:sz w:val="30"/>
        </w:rPr>
        <w:t>Osteoporosis: reduction in vertebral and nonvertebral </w:t>
      </w:r>
      <w:r>
        <w:rPr>
          <w:spacing w:val="-2"/>
          <w:sz w:val="30"/>
        </w:rPr>
        <w:t>fractures</w:t>
      </w:r>
    </w:p>
    <w:p>
      <w:pPr>
        <w:pStyle w:val="ListParagraph"/>
        <w:numPr>
          <w:ilvl w:val="0"/>
          <w:numId w:val="18"/>
        </w:numPr>
        <w:tabs>
          <w:tab w:pos="398" w:val="left" w:leader="none"/>
        </w:tabs>
        <w:spacing w:line="240" w:lineRule="auto" w:before="105" w:after="0"/>
        <w:ind w:left="398" w:right="0" w:hanging="279"/>
        <w:jc w:val="left"/>
        <w:rPr>
          <w:sz w:val="30"/>
        </w:rPr>
      </w:pPr>
      <w:r>
        <w:rPr>
          <w:sz w:val="30"/>
        </w:rPr>
        <w:t>Diabetes mellitus: reduction in new-onset </w:t>
      </w:r>
      <w:r>
        <w:rPr>
          <w:spacing w:val="-2"/>
          <w:sz w:val="30"/>
        </w:rPr>
        <w:t>diabetes</w:t>
      </w:r>
    </w:p>
    <w:p>
      <w:pPr>
        <w:pStyle w:val="BodyText"/>
        <w:spacing w:line="249" w:lineRule="auto" w:before="270"/>
        <w:ind w:right="102" w:firstLine="450"/>
      </w:pPr>
      <w:r>
        <w:rPr/>
        <w:t>A theme has emerged from the epidemiologic confusion of the past few decades. It takes healthy tissue to allow effective response to estrogen and maintenance</w:t>
      </w:r>
      <w:r>
        <w:rPr>
          <w:spacing w:val="45"/>
        </w:rPr>
        <w:t> </w:t>
      </w:r>
      <w:r>
        <w:rPr/>
        <w:t>of</w:t>
      </w:r>
      <w:r>
        <w:rPr>
          <w:spacing w:val="45"/>
        </w:rPr>
        <w:t> </w:t>
      </w:r>
      <w:r>
        <w:rPr/>
        <w:t>health.</w:t>
      </w:r>
      <w:r>
        <w:rPr>
          <w:spacing w:val="44"/>
        </w:rPr>
        <w:t> </w:t>
      </w:r>
      <w:r>
        <w:rPr/>
        <w:t>Experimental</w:t>
      </w:r>
      <w:r>
        <w:rPr>
          <w:spacing w:val="45"/>
        </w:rPr>
        <w:t> </w:t>
      </w:r>
      <w:r>
        <w:rPr/>
        <w:t>evidence</w:t>
      </w:r>
      <w:r>
        <w:rPr>
          <w:spacing w:val="45"/>
        </w:rPr>
        <w:t> </w:t>
      </w:r>
      <w:r>
        <w:rPr/>
        <w:t>in</w:t>
      </w:r>
      <w:r>
        <w:rPr>
          <w:spacing w:val="45"/>
        </w:rPr>
        <w:t> </w:t>
      </w:r>
      <w:r>
        <w:rPr/>
        <w:t>primates</w:t>
      </w:r>
      <w:r>
        <w:rPr>
          <w:spacing w:val="45"/>
        </w:rPr>
        <w:t> </w:t>
      </w:r>
      <w:r>
        <w:rPr/>
        <w:t>and</w:t>
      </w:r>
      <w:r>
        <w:rPr>
          <w:spacing w:val="45"/>
        </w:rPr>
        <w:t> </w:t>
      </w:r>
      <w:r>
        <w:rPr/>
        <w:t>in</w:t>
      </w:r>
      <w:r>
        <w:rPr>
          <w:spacing w:val="45"/>
        </w:rPr>
        <w:t> </w:t>
      </w:r>
      <w:r>
        <w:rPr>
          <w:spacing w:val="-2"/>
        </w:rPr>
        <w:t>women</w:t>
      </w:r>
    </w:p>
    <w:p>
      <w:pPr>
        <w:pStyle w:val="BodyText"/>
        <w:spacing w:after="0" w:line="249" w:lineRule="auto"/>
        <w:sectPr>
          <w:pgSz w:w="12240" w:h="15840"/>
          <w:pgMar w:top="1380" w:bottom="280" w:left="1440" w:right="1440"/>
        </w:sectPr>
      </w:pPr>
    </w:p>
    <w:p>
      <w:pPr>
        <w:pStyle w:val="BodyText"/>
        <w:spacing w:line="249" w:lineRule="auto"/>
        <w:ind w:right="103"/>
      </w:pPr>
      <w:r>
        <w:rPr/>
        <w:t>indicates that as cells (endothelial, neurons) age and as atherosclerosis sets in, the potential for net benefit from menopause HT lessens and net risk increases.</w:t>
      </w:r>
      <w:r>
        <w:rPr>
          <w:vertAlign w:val="superscript"/>
        </w:rPr>
        <w:t>463,809,1252</w:t>
      </w:r>
      <w:r>
        <w:rPr>
          <w:vertAlign w:val="baseline"/>
        </w:rPr>
        <w:t> Toward maximizing benefit, therefore, initiation </w:t>
      </w:r>
      <w:r>
        <w:rPr>
          <w:vertAlign w:val="baseline"/>
        </w:rPr>
        <w:t>of indicated HT should begin closer to the onset of menopause.</w:t>
      </w:r>
    </w:p>
    <w:p>
      <w:pPr>
        <w:spacing w:line="249" w:lineRule="auto" w:before="5"/>
        <w:ind w:left="99" w:right="98" w:firstLine="450"/>
        <w:jc w:val="both"/>
        <w:rPr>
          <w:b/>
          <w:sz w:val="30"/>
        </w:rPr>
      </w:pPr>
      <w:r>
        <w:rPr>
          <w:sz w:val="30"/>
        </w:rPr>
        <w:t>The most effective and appropriate method to help in decision-making</w:t>
      </w:r>
      <w:r>
        <w:rPr>
          <w:spacing w:val="40"/>
          <w:sz w:val="30"/>
        </w:rPr>
        <w:t> </w:t>
      </w:r>
      <w:r>
        <w:rPr>
          <w:sz w:val="30"/>
        </w:rPr>
        <w:t>is to identify the specific goals and objectives of the individual patient—</w:t>
      </w:r>
      <w:r>
        <w:rPr>
          <w:i/>
          <w:sz w:val="30"/>
        </w:rPr>
        <w:t>let</w:t>
      </w:r>
      <w:r>
        <w:rPr>
          <w:i/>
          <w:sz w:val="30"/>
        </w:rPr>
        <w:t> your patient be your guide</w:t>
      </w:r>
      <w:r>
        <w:rPr>
          <w:sz w:val="30"/>
        </w:rPr>
        <w:t>. Once an individual’s objectives are identified, choices from multiple treatment options can be reviewed. Postmenopausal health and HT are subjects receiving enormous attention and research; therefore, decision-making should be at least an annual event, incorporating new knowledge as it appears. Approached in this manner, the terms “short term” and “long term” and the imposition of time limits for therapy become meaningless. Clinician and patient together make an annual clinical judgment that is appropriately directed to accomplishing the individual patient’s goals. </w:t>
      </w:r>
      <w:r>
        <w:rPr>
          <w:b/>
          <w:sz w:val="30"/>
        </w:rPr>
        <w:t>The guiding principle is the </w:t>
      </w:r>
      <w:r>
        <w:rPr>
          <w:b/>
          <w:i/>
          <w:sz w:val="30"/>
        </w:rPr>
        <w:t>right </w:t>
      </w:r>
      <w:r>
        <w:rPr>
          <w:b/>
          <w:sz w:val="30"/>
        </w:rPr>
        <w:t>drug in the </w:t>
      </w:r>
      <w:r>
        <w:rPr>
          <w:b/>
          <w:i/>
          <w:sz w:val="30"/>
        </w:rPr>
        <w:t>right </w:t>
      </w:r>
      <w:r>
        <w:rPr>
          <w:b/>
          <w:sz w:val="30"/>
        </w:rPr>
        <w:t>dose for the </w:t>
      </w:r>
      <w:r>
        <w:rPr>
          <w:b/>
          <w:i/>
          <w:sz w:val="30"/>
        </w:rPr>
        <w:t>right </w:t>
      </w:r>
      <w:r>
        <w:rPr>
          <w:b/>
          <w:sz w:val="30"/>
        </w:rPr>
        <w:t>patient at the </w:t>
      </w:r>
      <w:r>
        <w:rPr>
          <w:b/>
          <w:i/>
          <w:sz w:val="30"/>
        </w:rPr>
        <w:t>right </w:t>
      </w:r>
      <w:r>
        <w:rPr>
          <w:b/>
          <w:sz w:val="30"/>
        </w:rPr>
        <w:t>time, and for the appropriate duration according to an individual patient’s needs and tailored to the individual’s unique risk profile.</w:t>
      </w:r>
    </w:p>
    <w:p>
      <w:pPr>
        <w:pStyle w:val="BodyText"/>
        <w:spacing w:before="0"/>
        <w:ind w:left="0"/>
        <w:jc w:val="left"/>
        <w:rPr>
          <w:b/>
          <w:sz w:val="20"/>
        </w:rPr>
      </w:pPr>
    </w:p>
    <w:p>
      <w:pPr>
        <w:pStyle w:val="BodyText"/>
        <w:spacing w:before="128"/>
        <w:ind w:left="0"/>
        <w:jc w:val="left"/>
        <w:rPr>
          <w:b/>
          <w:sz w:val="20"/>
        </w:rPr>
      </w:pPr>
      <w:r>
        <w:rPr>
          <w:b/>
          <w:sz w:val="20"/>
        </w:rPr>
        <mc:AlternateContent>
          <mc:Choice Requires="wps">
            <w:drawing>
              <wp:anchor distT="0" distB="0" distL="0" distR="0" allowOverlap="1" layoutInCell="1" locked="0" behindDoc="1" simplePos="0" relativeHeight="487683584">
                <wp:simplePos x="0" y="0"/>
                <wp:positionH relativeFrom="page">
                  <wp:posOffset>981075</wp:posOffset>
                </wp:positionH>
                <wp:positionV relativeFrom="paragraph">
                  <wp:posOffset>242770</wp:posOffset>
                </wp:positionV>
                <wp:extent cx="285750" cy="57150"/>
                <wp:effectExtent l="0" t="0" r="0" b="0"/>
                <wp:wrapTopAndBottom/>
                <wp:docPr id="344" name="Graphic 344"/>
                <wp:cNvGraphicFramePr>
                  <a:graphicFrameLocks/>
                </wp:cNvGraphicFramePr>
                <a:graphic>
                  <a:graphicData uri="http://schemas.microsoft.com/office/word/2010/wordprocessingShape">
                    <wps:wsp>
                      <wps:cNvPr id="344" name="Graphic 344"/>
                      <wps:cNvSpPr/>
                      <wps:spPr>
                        <a:xfrm>
                          <a:off x="0" y="0"/>
                          <a:ext cx="285750" cy="57150"/>
                        </a:xfrm>
                        <a:custGeom>
                          <a:avLst/>
                          <a:gdLst/>
                          <a:ahLst/>
                          <a:cxnLst/>
                          <a:rect l="l" t="t" r="r" b="b"/>
                          <a:pathLst>
                            <a:path w="285750" h="57150">
                              <a:moveTo>
                                <a:pt x="28575" y="57149"/>
                              </a:moveTo>
                              <a:lnTo>
                                <a:pt x="0" y="32146"/>
                              </a:lnTo>
                              <a:lnTo>
                                <a:pt x="0" y="24707"/>
                              </a:lnTo>
                              <a:lnTo>
                                <a:pt x="8369" y="8334"/>
                              </a:lnTo>
                              <a:lnTo>
                                <a:pt x="11048" y="5505"/>
                              </a:lnTo>
                              <a:lnTo>
                                <a:pt x="14138" y="3419"/>
                              </a:lnTo>
                              <a:lnTo>
                                <a:pt x="17639" y="1933"/>
                              </a:lnTo>
                              <a:lnTo>
                                <a:pt x="21140" y="600"/>
                              </a:lnTo>
                              <a:lnTo>
                                <a:pt x="24785" y="0"/>
                              </a:lnTo>
                              <a:lnTo>
                                <a:pt x="32364" y="0"/>
                              </a:lnTo>
                              <a:lnTo>
                                <a:pt x="48780" y="8334"/>
                              </a:lnTo>
                              <a:lnTo>
                                <a:pt x="51459" y="10868"/>
                              </a:lnTo>
                              <a:lnTo>
                                <a:pt x="53524" y="13992"/>
                              </a:lnTo>
                              <a:lnTo>
                                <a:pt x="54974" y="17411"/>
                              </a:lnTo>
                              <a:lnTo>
                                <a:pt x="56424" y="20983"/>
                              </a:lnTo>
                              <a:lnTo>
                                <a:pt x="57149" y="24707"/>
                              </a:lnTo>
                              <a:lnTo>
                                <a:pt x="57149" y="32146"/>
                              </a:lnTo>
                              <a:lnTo>
                                <a:pt x="32364" y="56997"/>
                              </a:lnTo>
                              <a:lnTo>
                                <a:pt x="28575" y="57149"/>
                              </a:lnTo>
                              <a:close/>
                            </a:path>
                            <a:path w="285750" h="57150">
                              <a:moveTo>
                                <a:pt x="142779" y="57149"/>
                              </a:moveTo>
                              <a:lnTo>
                                <a:pt x="114204" y="32146"/>
                              </a:lnTo>
                              <a:lnTo>
                                <a:pt x="114204" y="24707"/>
                              </a:lnTo>
                              <a:lnTo>
                                <a:pt x="122574" y="8334"/>
                              </a:lnTo>
                              <a:lnTo>
                                <a:pt x="125253" y="5505"/>
                              </a:lnTo>
                              <a:lnTo>
                                <a:pt x="128343" y="3419"/>
                              </a:lnTo>
                              <a:lnTo>
                                <a:pt x="131844" y="1933"/>
                              </a:lnTo>
                              <a:lnTo>
                                <a:pt x="135345" y="600"/>
                              </a:lnTo>
                              <a:lnTo>
                                <a:pt x="138990" y="0"/>
                              </a:lnTo>
                              <a:lnTo>
                                <a:pt x="146569" y="0"/>
                              </a:lnTo>
                              <a:lnTo>
                                <a:pt x="162985" y="8334"/>
                              </a:lnTo>
                              <a:lnTo>
                                <a:pt x="165664" y="10868"/>
                              </a:lnTo>
                              <a:lnTo>
                                <a:pt x="167729" y="13992"/>
                              </a:lnTo>
                              <a:lnTo>
                                <a:pt x="169179" y="17411"/>
                              </a:lnTo>
                              <a:lnTo>
                                <a:pt x="170629" y="20983"/>
                              </a:lnTo>
                              <a:lnTo>
                                <a:pt x="171354" y="24707"/>
                              </a:lnTo>
                              <a:lnTo>
                                <a:pt x="171354" y="32146"/>
                              </a:lnTo>
                              <a:lnTo>
                                <a:pt x="146569" y="56997"/>
                              </a:lnTo>
                              <a:lnTo>
                                <a:pt x="142779" y="57149"/>
                              </a:lnTo>
                              <a:close/>
                            </a:path>
                            <a:path w="285750" h="57150">
                              <a:moveTo>
                                <a:pt x="256984" y="57149"/>
                              </a:moveTo>
                              <a:lnTo>
                                <a:pt x="228409" y="32146"/>
                              </a:lnTo>
                              <a:lnTo>
                                <a:pt x="228409" y="24707"/>
                              </a:lnTo>
                              <a:lnTo>
                                <a:pt x="236778" y="8334"/>
                              </a:lnTo>
                              <a:lnTo>
                                <a:pt x="239458" y="5505"/>
                              </a:lnTo>
                              <a:lnTo>
                                <a:pt x="242548" y="3419"/>
                              </a:lnTo>
                              <a:lnTo>
                                <a:pt x="246049" y="1933"/>
                              </a:lnTo>
                              <a:lnTo>
                                <a:pt x="249550" y="600"/>
                              </a:lnTo>
                              <a:lnTo>
                                <a:pt x="253195" y="0"/>
                              </a:lnTo>
                              <a:lnTo>
                                <a:pt x="260773" y="0"/>
                              </a:lnTo>
                              <a:lnTo>
                                <a:pt x="277190" y="8334"/>
                              </a:lnTo>
                              <a:lnTo>
                                <a:pt x="279869" y="10868"/>
                              </a:lnTo>
                              <a:lnTo>
                                <a:pt x="281934" y="13992"/>
                              </a:lnTo>
                              <a:lnTo>
                                <a:pt x="283384" y="17411"/>
                              </a:lnTo>
                              <a:lnTo>
                                <a:pt x="284834" y="20983"/>
                              </a:lnTo>
                              <a:lnTo>
                                <a:pt x="285559" y="24707"/>
                              </a:lnTo>
                              <a:lnTo>
                                <a:pt x="285559" y="32146"/>
                              </a:lnTo>
                              <a:lnTo>
                                <a:pt x="260773" y="56997"/>
                              </a:lnTo>
                              <a:lnTo>
                                <a:pt x="256984" y="57149"/>
                              </a:lnTo>
                              <a:close/>
                            </a:path>
                          </a:pathLst>
                        </a:custGeom>
                        <a:solidFill>
                          <a:srgbClr val="BDB4D4"/>
                        </a:solidFill>
                      </wps:spPr>
                      <wps:bodyPr wrap="square" lIns="0" tIns="0" rIns="0" bIns="0" rtlCol="0">
                        <a:prstTxWarp prst="textNoShape">
                          <a:avLst/>
                        </a:prstTxWarp>
                        <a:noAutofit/>
                      </wps:bodyPr>
                    </wps:wsp>
                  </a:graphicData>
                </a:graphic>
              </wp:anchor>
            </w:drawing>
          </mc:Choice>
          <mc:Fallback>
            <w:pict>
              <v:shape style="position:absolute;margin-left:77.25pt;margin-top:19.11582pt;width:22.5pt;height:4.5pt;mso-position-horizontal-relative:page;mso-position-vertical-relative:paragraph;z-index:-15632896;mso-wrap-distance-left:0;mso-wrap-distance-right:0" id="docshape321" coordorigin="1545,382" coordsize="450,90" path="m1590,472l1584,472,1578,471,1573,469,1567,466,1562,463,1558,459,1554,454,1551,449,1546,439,1545,433,1545,421,1546,415,1548,410,1551,404,1554,399,1558,395,1562,391,1567,388,1573,385,1578,383,1584,382,1596,382,1602,383,1607,385,1613,388,1618,391,1622,395,1626,399,1629,404,1632,410,1634,415,1635,421,1635,433,1634,439,1629,449,1626,454,1622,459,1618,463,1613,466,1607,469,1602,471,1596,472,1590,472xm1770,472l1764,472,1758,471,1753,469,1747,466,1742,463,1738,459,1734,454,1731,449,1726,439,1725,433,1725,421,1726,415,1728,410,1731,404,1734,399,1738,395,1742,391,1747,388,1753,385,1758,383,1764,382,1776,382,1782,383,1787,385,1793,388,1797,391,1802,395,1806,399,1809,404,1811,410,1814,415,1815,421,1815,433,1814,439,1809,449,1806,454,1802,459,1797,463,1793,466,1787,469,1782,471,1776,472,1770,472xm1950,472l1944,472,1938,471,1932,469,1927,466,1922,463,1918,459,1914,454,1910,449,1906,439,1905,433,1905,421,1906,415,1908,410,1910,404,1914,399,1918,395,1922,391,1927,388,1932,385,1938,383,1944,382,1956,382,1961,383,1967,385,1972,388,1977,391,1982,395,1986,399,1989,404,1991,410,1994,415,1995,421,1995,433,1994,439,1989,449,1986,454,1982,459,1977,463,1972,466,1967,469,1961,471,1956,472,1950,472xe" filled="true" fillcolor="#bdb4d4" stroked="false">
                <v:path arrowok="t"/>
                <v:fill type="solid"/>
                <w10:wrap type="topAndBottom"/>
              </v:shape>
            </w:pict>
          </mc:Fallback>
        </mc:AlternateContent>
      </w:r>
    </w:p>
    <w:p>
      <w:pPr>
        <w:pStyle w:val="Heading1"/>
      </w:pPr>
      <w:r>
        <w:rPr>
          <w:color w:val="534089"/>
          <w:spacing w:val="-2"/>
        </w:rPr>
        <w:t>REFERENCES</w:t>
      </w:r>
    </w:p>
    <w:p>
      <w:pPr>
        <w:pStyle w:val="BodyText"/>
        <w:spacing w:before="4"/>
        <w:ind w:left="0"/>
        <w:jc w:val="left"/>
        <w:rPr>
          <w:rFonts w:ascii="Arial"/>
          <w:b/>
          <w:sz w:val="11"/>
        </w:rPr>
      </w:pPr>
      <w:r>
        <w:rPr>
          <w:rFonts w:ascii="Arial"/>
          <w:b/>
          <w:sz w:val="11"/>
        </w:rPr>
        <mc:AlternateContent>
          <mc:Choice Requires="wps">
            <w:drawing>
              <wp:anchor distT="0" distB="0" distL="0" distR="0" allowOverlap="1" layoutInCell="1" locked="0" behindDoc="1" simplePos="0" relativeHeight="487684096">
                <wp:simplePos x="0" y="0"/>
                <wp:positionH relativeFrom="page">
                  <wp:posOffset>981075</wp:posOffset>
                </wp:positionH>
                <wp:positionV relativeFrom="paragraph">
                  <wp:posOffset>98700</wp:posOffset>
                </wp:positionV>
                <wp:extent cx="5810250" cy="1905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5810250" cy="19050"/>
                        </a:xfrm>
                        <a:custGeom>
                          <a:avLst/>
                          <a:gdLst/>
                          <a:ahLst/>
                          <a:cxnLst/>
                          <a:rect l="l" t="t" r="r" b="b"/>
                          <a:pathLst>
                            <a:path w="5810250" h="19050">
                              <a:moveTo>
                                <a:pt x="5810249" y="19049"/>
                              </a:moveTo>
                              <a:lnTo>
                                <a:pt x="0" y="19049"/>
                              </a:lnTo>
                              <a:lnTo>
                                <a:pt x="0" y="0"/>
                              </a:lnTo>
                              <a:lnTo>
                                <a:pt x="5810249" y="0"/>
                              </a:lnTo>
                              <a:lnTo>
                                <a:pt x="5810249" y="19049"/>
                              </a:lnTo>
                              <a:close/>
                            </a:path>
                          </a:pathLst>
                        </a:custGeom>
                        <a:solidFill>
                          <a:srgbClr val="534089"/>
                        </a:solidFill>
                      </wps:spPr>
                      <wps:bodyPr wrap="square" lIns="0" tIns="0" rIns="0" bIns="0" rtlCol="0">
                        <a:prstTxWarp prst="textNoShape">
                          <a:avLst/>
                        </a:prstTxWarp>
                        <a:noAutofit/>
                      </wps:bodyPr>
                    </wps:wsp>
                  </a:graphicData>
                </a:graphic>
              </wp:anchor>
            </w:drawing>
          </mc:Choice>
          <mc:Fallback>
            <w:pict>
              <v:rect style="position:absolute;margin-left:77.25pt;margin-top:7.771702pt;width:457.499964pt;height:1.5pt;mso-position-horizontal-relative:page;mso-position-vertical-relative:paragraph;z-index:-15632384;mso-wrap-distance-left:0;mso-wrap-distance-right:0" id="docshape322" filled="true" fillcolor="#534089" stroked="false">
                <v:fill type="solid"/>
                <w10:wrap type="topAndBottom"/>
              </v:rect>
            </w:pict>
          </mc:Fallback>
        </mc:AlternateContent>
      </w:r>
    </w:p>
    <w:p>
      <w:pPr>
        <w:pStyle w:val="ListParagraph"/>
        <w:numPr>
          <w:ilvl w:val="0"/>
          <w:numId w:val="19"/>
        </w:numPr>
        <w:tabs>
          <w:tab w:pos="699" w:val="left" w:leader="none"/>
        </w:tabs>
        <w:spacing w:line="240" w:lineRule="auto" w:before="184" w:after="0"/>
        <w:ind w:left="699" w:right="0" w:hanging="273"/>
        <w:jc w:val="left"/>
        <w:rPr>
          <w:sz w:val="22"/>
        </w:rPr>
      </w:pPr>
      <w:r>
        <w:rPr>
          <w:sz w:val="22"/>
        </w:rPr>
        <w:t>Medvei</w:t>
      </w:r>
      <w:r>
        <w:rPr>
          <w:spacing w:val="12"/>
          <w:sz w:val="22"/>
        </w:rPr>
        <w:t> </w:t>
      </w:r>
      <w:r>
        <w:rPr>
          <w:sz w:val="22"/>
        </w:rPr>
        <w:t>VC.</w:t>
      </w:r>
      <w:r>
        <w:rPr>
          <w:spacing w:val="13"/>
          <w:sz w:val="22"/>
        </w:rPr>
        <w:t> </w:t>
      </w:r>
      <w:r>
        <w:rPr>
          <w:sz w:val="22"/>
        </w:rPr>
        <w:t>The</w:t>
      </w:r>
      <w:r>
        <w:rPr>
          <w:spacing w:val="12"/>
          <w:sz w:val="22"/>
        </w:rPr>
        <w:t> </w:t>
      </w:r>
      <w:r>
        <w:rPr>
          <w:sz w:val="22"/>
        </w:rPr>
        <w:t>History</w:t>
      </w:r>
      <w:r>
        <w:rPr>
          <w:spacing w:val="13"/>
          <w:sz w:val="22"/>
        </w:rPr>
        <w:t> </w:t>
      </w:r>
      <w:r>
        <w:rPr>
          <w:sz w:val="22"/>
        </w:rPr>
        <w:t>of</w:t>
      </w:r>
      <w:r>
        <w:rPr>
          <w:spacing w:val="12"/>
          <w:sz w:val="22"/>
        </w:rPr>
        <w:t> </w:t>
      </w:r>
      <w:r>
        <w:rPr>
          <w:sz w:val="22"/>
        </w:rPr>
        <w:t>Clinical</w:t>
      </w:r>
      <w:r>
        <w:rPr>
          <w:spacing w:val="13"/>
          <w:sz w:val="22"/>
        </w:rPr>
        <w:t> </w:t>
      </w:r>
      <w:r>
        <w:rPr>
          <w:sz w:val="22"/>
        </w:rPr>
        <w:t>Endocrinology.</w:t>
      </w:r>
      <w:r>
        <w:rPr>
          <w:spacing w:val="12"/>
          <w:sz w:val="22"/>
        </w:rPr>
        <w:t> </w:t>
      </w:r>
      <w:r>
        <w:rPr>
          <w:sz w:val="22"/>
        </w:rPr>
        <w:t>The</w:t>
      </w:r>
      <w:r>
        <w:rPr>
          <w:spacing w:val="13"/>
          <w:sz w:val="22"/>
        </w:rPr>
        <w:t> </w:t>
      </w:r>
      <w:r>
        <w:rPr>
          <w:sz w:val="22"/>
        </w:rPr>
        <w:t>Parthenon</w:t>
      </w:r>
      <w:r>
        <w:rPr>
          <w:spacing w:val="12"/>
          <w:sz w:val="22"/>
        </w:rPr>
        <w:t> </w:t>
      </w:r>
      <w:r>
        <w:rPr>
          <w:sz w:val="22"/>
        </w:rPr>
        <w:t>Publishing</w:t>
      </w:r>
      <w:r>
        <w:rPr>
          <w:spacing w:val="13"/>
          <w:sz w:val="22"/>
        </w:rPr>
        <w:t> </w:t>
      </w:r>
      <w:r>
        <w:rPr>
          <w:sz w:val="22"/>
        </w:rPr>
        <w:t>Group;</w:t>
      </w:r>
      <w:r>
        <w:rPr>
          <w:spacing w:val="12"/>
          <w:sz w:val="22"/>
        </w:rPr>
        <w:t> </w:t>
      </w:r>
      <w:r>
        <w:rPr>
          <w:spacing w:val="-2"/>
          <w:sz w:val="22"/>
        </w:rPr>
        <w:t>1993.</w:t>
      </w:r>
    </w:p>
    <w:p>
      <w:pPr>
        <w:pStyle w:val="ListParagraph"/>
        <w:numPr>
          <w:ilvl w:val="0"/>
          <w:numId w:val="19"/>
        </w:numPr>
        <w:tabs>
          <w:tab w:pos="698" w:val="left" w:leader="none"/>
          <w:tab w:pos="718" w:val="left" w:leader="none"/>
        </w:tabs>
        <w:spacing w:line="256" w:lineRule="auto" w:before="17" w:after="0"/>
        <w:ind w:left="718" w:right="104" w:hanging="293"/>
        <w:jc w:val="left"/>
        <w:rPr>
          <w:sz w:val="22"/>
        </w:rPr>
      </w:pPr>
      <w:r>
        <w:rPr>
          <w:sz w:val="22"/>
        </w:rPr>
        <w:t>O’Dowd</w:t>
      </w:r>
      <w:r>
        <w:rPr>
          <w:spacing w:val="80"/>
          <w:sz w:val="22"/>
        </w:rPr>
        <w:t> </w:t>
      </w:r>
      <w:r>
        <w:rPr>
          <w:sz w:val="22"/>
        </w:rPr>
        <w:t>MJ,</w:t>
      </w:r>
      <w:r>
        <w:rPr>
          <w:spacing w:val="80"/>
          <w:sz w:val="22"/>
        </w:rPr>
        <w:t> </w:t>
      </w:r>
      <w:r>
        <w:rPr>
          <w:sz w:val="22"/>
        </w:rPr>
        <w:t>Philipp</w:t>
      </w:r>
      <w:r>
        <w:rPr>
          <w:spacing w:val="80"/>
          <w:sz w:val="22"/>
        </w:rPr>
        <w:t> </w:t>
      </w:r>
      <w:r>
        <w:rPr>
          <w:sz w:val="22"/>
        </w:rPr>
        <w:t>EE.</w:t>
      </w:r>
      <w:r>
        <w:rPr>
          <w:spacing w:val="80"/>
          <w:sz w:val="22"/>
        </w:rPr>
        <w:t> </w:t>
      </w:r>
      <w:r>
        <w:rPr>
          <w:sz w:val="22"/>
        </w:rPr>
        <w:t>The</w:t>
      </w:r>
      <w:r>
        <w:rPr>
          <w:spacing w:val="80"/>
          <w:sz w:val="22"/>
        </w:rPr>
        <w:t> </w:t>
      </w:r>
      <w:r>
        <w:rPr>
          <w:sz w:val="22"/>
        </w:rPr>
        <w:t>History</w:t>
      </w:r>
      <w:r>
        <w:rPr>
          <w:spacing w:val="80"/>
          <w:sz w:val="22"/>
        </w:rPr>
        <w:t> </w:t>
      </w:r>
      <w:r>
        <w:rPr>
          <w:sz w:val="22"/>
        </w:rPr>
        <w:t>of</w:t>
      </w:r>
      <w:r>
        <w:rPr>
          <w:spacing w:val="80"/>
          <w:sz w:val="22"/>
        </w:rPr>
        <w:t> </w:t>
      </w:r>
      <w:r>
        <w:rPr>
          <w:sz w:val="22"/>
        </w:rPr>
        <w:t>Obstetrics</w:t>
      </w:r>
      <w:r>
        <w:rPr>
          <w:spacing w:val="80"/>
          <w:sz w:val="22"/>
        </w:rPr>
        <w:t> </w:t>
      </w:r>
      <w:r>
        <w:rPr>
          <w:sz w:val="22"/>
        </w:rPr>
        <w:t>and</w:t>
      </w:r>
      <w:r>
        <w:rPr>
          <w:spacing w:val="80"/>
          <w:sz w:val="22"/>
        </w:rPr>
        <w:t> </w:t>
      </w:r>
      <w:r>
        <w:rPr>
          <w:sz w:val="22"/>
        </w:rPr>
        <w:t>Gynaecology.</w:t>
      </w:r>
      <w:r>
        <w:rPr>
          <w:spacing w:val="80"/>
          <w:sz w:val="22"/>
        </w:rPr>
        <w:t> </w:t>
      </w:r>
      <w:r>
        <w:rPr>
          <w:sz w:val="22"/>
        </w:rPr>
        <w:t>The</w:t>
      </w:r>
      <w:r>
        <w:rPr>
          <w:spacing w:val="80"/>
          <w:sz w:val="22"/>
        </w:rPr>
        <w:t> </w:t>
      </w:r>
      <w:r>
        <w:rPr>
          <w:sz w:val="22"/>
        </w:rPr>
        <w:t>Parthenon Publishing Group; 1994.</w:t>
      </w:r>
    </w:p>
    <w:p>
      <w:pPr>
        <w:pStyle w:val="ListParagraph"/>
        <w:numPr>
          <w:ilvl w:val="0"/>
          <w:numId w:val="19"/>
        </w:numPr>
        <w:tabs>
          <w:tab w:pos="698" w:val="left" w:leader="none"/>
          <w:tab w:pos="718" w:val="left" w:leader="none"/>
        </w:tabs>
        <w:spacing w:line="256" w:lineRule="auto" w:before="0" w:after="0"/>
        <w:ind w:left="718" w:right="109" w:hanging="293"/>
        <w:jc w:val="left"/>
        <w:rPr>
          <w:sz w:val="22"/>
        </w:rPr>
      </w:pPr>
      <w:r>
        <w:rPr>
          <w:sz w:val="22"/>
        </w:rPr>
        <w:t>Speert</w:t>
      </w:r>
      <w:r>
        <w:rPr>
          <w:spacing w:val="36"/>
          <w:sz w:val="22"/>
        </w:rPr>
        <w:t> </w:t>
      </w:r>
      <w:r>
        <w:rPr>
          <w:sz w:val="22"/>
        </w:rPr>
        <w:t>H.</w:t>
      </w:r>
      <w:r>
        <w:rPr>
          <w:spacing w:val="36"/>
          <w:sz w:val="22"/>
        </w:rPr>
        <w:t> </w:t>
      </w:r>
      <w:r>
        <w:rPr>
          <w:sz w:val="22"/>
        </w:rPr>
        <w:t>Obstetric</w:t>
      </w:r>
      <w:r>
        <w:rPr>
          <w:spacing w:val="39"/>
          <w:sz w:val="22"/>
        </w:rPr>
        <w:t> </w:t>
      </w:r>
      <w:r>
        <w:rPr>
          <w:sz w:val="22"/>
        </w:rPr>
        <w:t>&amp;</w:t>
      </w:r>
      <w:r>
        <w:rPr>
          <w:spacing w:val="39"/>
          <w:sz w:val="22"/>
        </w:rPr>
        <w:t> </w:t>
      </w:r>
      <w:r>
        <w:rPr>
          <w:sz w:val="22"/>
        </w:rPr>
        <w:t>Gynecologic</w:t>
      </w:r>
      <w:r>
        <w:rPr>
          <w:spacing w:val="39"/>
          <w:sz w:val="22"/>
        </w:rPr>
        <w:t> </w:t>
      </w:r>
      <w:r>
        <w:rPr>
          <w:sz w:val="22"/>
        </w:rPr>
        <w:t>Milestones</w:t>
      </w:r>
      <w:r>
        <w:rPr>
          <w:spacing w:val="39"/>
          <w:sz w:val="22"/>
        </w:rPr>
        <w:t> </w:t>
      </w:r>
      <w:r>
        <w:rPr>
          <w:sz w:val="22"/>
        </w:rPr>
        <w:t>Illustrated.</w:t>
      </w:r>
      <w:r>
        <w:rPr>
          <w:spacing w:val="39"/>
          <w:sz w:val="22"/>
        </w:rPr>
        <w:t> </w:t>
      </w:r>
      <w:r>
        <w:rPr>
          <w:sz w:val="22"/>
        </w:rPr>
        <w:t>The</w:t>
      </w:r>
      <w:r>
        <w:rPr>
          <w:spacing w:val="34"/>
          <w:sz w:val="22"/>
        </w:rPr>
        <w:t> </w:t>
      </w:r>
      <w:r>
        <w:rPr>
          <w:sz w:val="22"/>
        </w:rPr>
        <w:t>Parthenon</w:t>
      </w:r>
      <w:r>
        <w:rPr>
          <w:spacing w:val="34"/>
          <w:sz w:val="22"/>
        </w:rPr>
        <w:t> </w:t>
      </w:r>
      <w:r>
        <w:rPr>
          <w:sz w:val="22"/>
        </w:rPr>
        <w:t>Publishing</w:t>
      </w:r>
      <w:r>
        <w:rPr>
          <w:spacing w:val="34"/>
          <w:sz w:val="22"/>
        </w:rPr>
        <w:t> </w:t>
      </w:r>
      <w:r>
        <w:rPr>
          <w:sz w:val="22"/>
        </w:rPr>
        <w:t>Group; </w:t>
      </w:r>
      <w:r>
        <w:rPr>
          <w:spacing w:val="-2"/>
          <w:sz w:val="22"/>
        </w:rPr>
        <w:t>1996.</w:t>
      </w:r>
    </w:p>
    <w:p>
      <w:pPr>
        <w:pStyle w:val="ListParagraph"/>
        <w:numPr>
          <w:ilvl w:val="0"/>
          <w:numId w:val="19"/>
        </w:numPr>
        <w:tabs>
          <w:tab w:pos="699" w:val="left" w:leader="none"/>
        </w:tabs>
        <w:spacing w:line="252" w:lineRule="exact" w:before="0" w:after="0"/>
        <w:ind w:left="699" w:right="0" w:hanging="273"/>
        <w:jc w:val="left"/>
        <w:rPr>
          <w:sz w:val="22"/>
        </w:rPr>
      </w:pPr>
      <w:r>
        <w:rPr>
          <w:sz w:val="22"/>
        </w:rPr>
        <w:t>Sneader</w:t>
      </w:r>
      <w:r>
        <w:rPr>
          <w:spacing w:val="9"/>
          <w:sz w:val="22"/>
        </w:rPr>
        <w:t> </w:t>
      </w:r>
      <w:r>
        <w:rPr>
          <w:sz w:val="22"/>
        </w:rPr>
        <w:t>W.</w:t>
      </w:r>
      <w:r>
        <w:rPr>
          <w:spacing w:val="10"/>
          <w:sz w:val="22"/>
        </w:rPr>
        <w:t> </w:t>
      </w:r>
      <w:r>
        <w:rPr>
          <w:sz w:val="22"/>
        </w:rPr>
        <w:t>The</w:t>
      </w:r>
      <w:r>
        <w:rPr>
          <w:spacing w:val="10"/>
          <w:sz w:val="22"/>
        </w:rPr>
        <w:t> </w:t>
      </w:r>
      <w:r>
        <w:rPr>
          <w:sz w:val="22"/>
        </w:rPr>
        <w:t>discovery</w:t>
      </w:r>
      <w:r>
        <w:rPr>
          <w:spacing w:val="10"/>
          <w:sz w:val="22"/>
        </w:rPr>
        <w:t> </w:t>
      </w:r>
      <w:r>
        <w:rPr>
          <w:sz w:val="22"/>
        </w:rPr>
        <w:t>of</w:t>
      </w:r>
      <w:r>
        <w:rPr>
          <w:spacing w:val="10"/>
          <w:sz w:val="22"/>
        </w:rPr>
        <w:t> </w:t>
      </w:r>
      <w:r>
        <w:rPr>
          <w:sz w:val="22"/>
        </w:rPr>
        <w:t>oestrogenic</w:t>
      </w:r>
      <w:r>
        <w:rPr>
          <w:spacing w:val="10"/>
          <w:sz w:val="22"/>
        </w:rPr>
        <w:t> </w:t>
      </w:r>
      <w:r>
        <w:rPr>
          <w:sz w:val="22"/>
        </w:rPr>
        <w:t>hormones.</w:t>
      </w:r>
      <w:r>
        <w:rPr>
          <w:spacing w:val="10"/>
          <w:sz w:val="22"/>
        </w:rPr>
        <w:t> </w:t>
      </w:r>
      <w:r>
        <w:rPr>
          <w:i/>
          <w:sz w:val="22"/>
        </w:rPr>
        <w:t>Br</w:t>
      </w:r>
      <w:r>
        <w:rPr>
          <w:i/>
          <w:spacing w:val="10"/>
          <w:sz w:val="22"/>
        </w:rPr>
        <w:t> </w:t>
      </w:r>
      <w:r>
        <w:rPr>
          <w:i/>
          <w:sz w:val="22"/>
        </w:rPr>
        <w:t>Menopause</w:t>
      </w:r>
      <w:r>
        <w:rPr>
          <w:i/>
          <w:spacing w:val="10"/>
          <w:sz w:val="22"/>
        </w:rPr>
        <w:t> </w:t>
      </w:r>
      <w:r>
        <w:rPr>
          <w:i/>
          <w:sz w:val="22"/>
        </w:rPr>
        <w:t>Soc</w:t>
      </w:r>
      <w:r>
        <w:rPr>
          <w:i/>
          <w:spacing w:val="9"/>
          <w:sz w:val="22"/>
        </w:rPr>
        <w:t> </w:t>
      </w:r>
      <w:r>
        <w:rPr>
          <w:i/>
          <w:sz w:val="22"/>
        </w:rPr>
        <w:t>J</w:t>
      </w:r>
      <w:r>
        <w:rPr>
          <w:sz w:val="22"/>
        </w:rPr>
        <w:t>.</w:t>
      </w:r>
      <w:r>
        <w:rPr>
          <w:spacing w:val="10"/>
          <w:sz w:val="22"/>
        </w:rPr>
        <w:t> </w:t>
      </w:r>
      <w:r>
        <w:rPr>
          <w:spacing w:val="-2"/>
          <w:sz w:val="22"/>
        </w:rPr>
        <w:t>2000;6:129.</w:t>
      </w:r>
    </w:p>
    <w:p>
      <w:pPr>
        <w:pStyle w:val="ListParagraph"/>
        <w:numPr>
          <w:ilvl w:val="0"/>
          <w:numId w:val="19"/>
        </w:numPr>
        <w:tabs>
          <w:tab w:pos="698" w:val="left" w:leader="none"/>
          <w:tab w:pos="718" w:val="left" w:leader="none"/>
        </w:tabs>
        <w:spacing w:line="256" w:lineRule="auto" w:before="16" w:after="0"/>
        <w:ind w:left="718" w:right="100" w:hanging="293"/>
        <w:jc w:val="left"/>
        <w:rPr>
          <w:sz w:val="22"/>
        </w:rPr>
      </w:pPr>
      <w:r>
        <w:rPr>
          <w:sz w:val="22"/>
        </w:rPr>
        <w:t>Fosbery WHS. Severe climacteric flushings successfully treated by ovarian extract. </w:t>
      </w:r>
      <w:r>
        <w:rPr>
          <w:i/>
          <w:sz w:val="22"/>
        </w:rPr>
        <w:t>Br</w:t>
      </w:r>
      <w:r>
        <w:rPr>
          <w:i/>
          <w:spacing w:val="29"/>
          <w:sz w:val="22"/>
        </w:rPr>
        <w:t> </w:t>
      </w:r>
      <w:r>
        <w:rPr>
          <w:i/>
          <w:sz w:val="22"/>
        </w:rPr>
        <w:t>Med</w:t>
      </w:r>
      <w:r>
        <w:rPr>
          <w:i/>
          <w:spacing w:val="29"/>
          <w:sz w:val="22"/>
        </w:rPr>
        <w:t> </w:t>
      </w:r>
      <w:r>
        <w:rPr>
          <w:i/>
          <w:sz w:val="22"/>
        </w:rPr>
        <w:t>J</w:t>
      </w:r>
      <w:r>
        <w:rPr>
          <w:sz w:val="22"/>
        </w:rPr>
        <w:t>.</w:t>
      </w:r>
      <w:r>
        <w:rPr>
          <w:spacing w:val="40"/>
          <w:sz w:val="22"/>
        </w:rPr>
        <w:t> </w:t>
      </w:r>
      <w:r>
        <w:rPr>
          <w:spacing w:val="-2"/>
          <w:sz w:val="22"/>
        </w:rPr>
        <w:t>1897;1:1039.</w:t>
      </w:r>
    </w:p>
    <w:p>
      <w:pPr>
        <w:pStyle w:val="ListParagraph"/>
        <w:numPr>
          <w:ilvl w:val="0"/>
          <w:numId w:val="19"/>
        </w:numPr>
        <w:tabs>
          <w:tab w:pos="699" w:val="left" w:leader="none"/>
        </w:tabs>
        <w:spacing w:line="252" w:lineRule="exact" w:before="0" w:after="0"/>
        <w:ind w:left="699" w:right="0" w:hanging="273"/>
        <w:jc w:val="left"/>
        <w:rPr>
          <w:sz w:val="22"/>
        </w:rPr>
      </w:pPr>
      <w:r>
        <w:rPr>
          <w:sz w:val="22"/>
        </w:rPr>
        <w:t>Servinghaus</w:t>
      </w:r>
      <w:r>
        <w:rPr>
          <w:spacing w:val="30"/>
          <w:sz w:val="22"/>
        </w:rPr>
        <w:t> </w:t>
      </w:r>
      <w:r>
        <w:rPr>
          <w:sz w:val="22"/>
        </w:rPr>
        <w:t>EL,</w:t>
      </w:r>
      <w:r>
        <w:rPr>
          <w:spacing w:val="30"/>
          <w:sz w:val="22"/>
        </w:rPr>
        <w:t> </w:t>
      </w:r>
      <w:r>
        <w:rPr>
          <w:sz w:val="22"/>
        </w:rPr>
        <w:t>Evans</w:t>
      </w:r>
      <w:r>
        <w:rPr>
          <w:spacing w:val="30"/>
          <w:sz w:val="22"/>
        </w:rPr>
        <w:t> </w:t>
      </w:r>
      <w:r>
        <w:rPr>
          <w:sz w:val="22"/>
        </w:rPr>
        <w:t>J.</w:t>
      </w:r>
      <w:r>
        <w:rPr>
          <w:spacing w:val="29"/>
          <w:sz w:val="22"/>
        </w:rPr>
        <w:t> </w:t>
      </w:r>
      <w:r>
        <w:rPr>
          <w:sz w:val="22"/>
        </w:rPr>
        <w:t>Clinical</w:t>
      </w:r>
      <w:r>
        <w:rPr>
          <w:spacing w:val="29"/>
          <w:sz w:val="22"/>
        </w:rPr>
        <w:t> </w:t>
      </w:r>
      <w:r>
        <w:rPr>
          <w:sz w:val="22"/>
        </w:rPr>
        <w:t>observations</w:t>
      </w:r>
      <w:r>
        <w:rPr>
          <w:spacing w:val="29"/>
          <w:sz w:val="22"/>
        </w:rPr>
        <w:t> </w:t>
      </w:r>
      <w:r>
        <w:rPr>
          <w:sz w:val="22"/>
        </w:rPr>
        <w:t>on</w:t>
      </w:r>
      <w:r>
        <w:rPr>
          <w:spacing w:val="29"/>
          <w:sz w:val="22"/>
        </w:rPr>
        <w:t> </w:t>
      </w:r>
      <w:r>
        <w:rPr>
          <w:sz w:val="22"/>
        </w:rPr>
        <w:t>the</w:t>
      </w:r>
      <w:r>
        <w:rPr>
          <w:spacing w:val="30"/>
          <w:sz w:val="22"/>
        </w:rPr>
        <w:t> </w:t>
      </w:r>
      <w:r>
        <w:rPr>
          <w:sz w:val="22"/>
        </w:rPr>
        <w:t>use</w:t>
      </w:r>
      <w:r>
        <w:rPr>
          <w:spacing w:val="29"/>
          <w:sz w:val="22"/>
        </w:rPr>
        <w:t> </w:t>
      </w:r>
      <w:r>
        <w:rPr>
          <w:sz w:val="22"/>
        </w:rPr>
        <w:t>of</w:t>
      </w:r>
      <w:r>
        <w:rPr>
          <w:spacing w:val="29"/>
          <w:sz w:val="22"/>
        </w:rPr>
        <w:t> </w:t>
      </w:r>
      <w:r>
        <w:rPr>
          <w:sz w:val="22"/>
        </w:rPr>
        <w:t>an</w:t>
      </w:r>
      <w:r>
        <w:rPr>
          <w:spacing w:val="29"/>
          <w:sz w:val="22"/>
        </w:rPr>
        <w:t> </w:t>
      </w:r>
      <w:r>
        <w:rPr>
          <w:sz w:val="22"/>
        </w:rPr>
        <w:t>ovarian</w:t>
      </w:r>
      <w:r>
        <w:rPr>
          <w:spacing w:val="29"/>
          <w:sz w:val="22"/>
        </w:rPr>
        <w:t> </w:t>
      </w:r>
      <w:r>
        <w:rPr>
          <w:sz w:val="22"/>
        </w:rPr>
        <w:t>hormone:</w:t>
      </w:r>
      <w:r>
        <w:rPr>
          <w:spacing w:val="29"/>
          <w:sz w:val="22"/>
        </w:rPr>
        <w:t> </w:t>
      </w:r>
      <w:r>
        <w:rPr>
          <w:spacing w:val="-2"/>
          <w:sz w:val="22"/>
        </w:rPr>
        <w:t>amniotin.</w:t>
      </w:r>
    </w:p>
    <w:p>
      <w:pPr>
        <w:spacing w:before="17"/>
        <w:ind w:left="718" w:right="0" w:firstLine="0"/>
        <w:jc w:val="left"/>
        <w:rPr>
          <w:sz w:val="22"/>
        </w:rPr>
      </w:pPr>
      <w:r>
        <w:rPr>
          <w:i/>
          <w:sz w:val="22"/>
        </w:rPr>
        <w:t>Am</w:t>
      </w:r>
      <w:r>
        <w:rPr>
          <w:i/>
          <w:spacing w:val="5"/>
          <w:sz w:val="22"/>
        </w:rPr>
        <w:t> </w:t>
      </w:r>
      <w:r>
        <w:rPr>
          <w:i/>
          <w:sz w:val="22"/>
        </w:rPr>
        <w:t>J</w:t>
      </w:r>
      <w:r>
        <w:rPr>
          <w:i/>
          <w:spacing w:val="5"/>
          <w:sz w:val="22"/>
        </w:rPr>
        <w:t> </w:t>
      </w:r>
      <w:r>
        <w:rPr>
          <w:i/>
          <w:sz w:val="22"/>
        </w:rPr>
        <w:t>Sci</w:t>
      </w:r>
      <w:r>
        <w:rPr>
          <w:sz w:val="22"/>
        </w:rPr>
        <w:t>.</w:t>
      </w:r>
      <w:r>
        <w:rPr>
          <w:spacing w:val="6"/>
          <w:sz w:val="22"/>
        </w:rPr>
        <w:t> </w:t>
      </w:r>
      <w:r>
        <w:rPr>
          <w:spacing w:val="-2"/>
          <w:sz w:val="22"/>
        </w:rPr>
        <w:t>1929;178:638.</w:t>
      </w:r>
    </w:p>
    <w:p>
      <w:pPr>
        <w:pStyle w:val="ListParagraph"/>
        <w:numPr>
          <w:ilvl w:val="0"/>
          <w:numId w:val="19"/>
        </w:numPr>
        <w:tabs>
          <w:tab w:pos="699" w:val="left" w:leader="none"/>
        </w:tabs>
        <w:spacing w:line="240" w:lineRule="auto" w:before="17" w:after="0"/>
        <w:ind w:left="699" w:right="0" w:hanging="273"/>
        <w:jc w:val="left"/>
        <w:rPr>
          <w:sz w:val="22"/>
        </w:rPr>
      </w:pPr>
      <w:r>
        <w:rPr>
          <w:sz w:val="22"/>
        </w:rPr>
        <w:t>Parkes</w:t>
      </w:r>
      <w:r>
        <w:rPr>
          <w:spacing w:val="15"/>
          <w:sz w:val="22"/>
        </w:rPr>
        <w:t> </w:t>
      </w:r>
      <w:r>
        <w:rPr>
          <w:sz w:val="22"/>
        </w:rPr>
        <w:t>AS.</w:t>
      </w:r>
      <w:r>
        <w:rPr>
          <w:spacing w:val="15"/>
          <w:sz w:val="22"/>
        </w:rPr>
        <w:t> </w:t>
      </w:r>
      <w:r>
        <w:rPr>
          <w:sz w:val="22"/>
        </w:rPr>
        <w:t>The</w:t>
      </w:r>
      <w:r>
        <w:rPr>
          <w:spacing w:val="15"/>
          <w:sz w:val="22"/>
        </w:rPr>
        <w:t> </w:t>
      </w:r>
      <w:r>
        <w:rPr>
          <w:sz w:val="22"/>
        </w:rPr>
        <w:t>rise</w:t>
      </w:r>
      <w:r>
        <w:rPr>
          <w:spacing w:val="15"/>
          <w:sz w:val="22"/>
        </w:rPr>
        <w:t> </w:t>
      </w:r>
      <w:r>
        <w:rPr>
          <w:sz w:val="22"/>
        </w:rPr>
        <w:t>of</w:t>
      </w:r>
      <w:r>
        <w:rPr>
          <w:spacing w:val="15"/>
          <w:sz w:val="22"/>
        </w:rPr>
        <w:t> </w:t>
      </w:r>
      <w:r>
        <w:rPr>
          <w:sz w:val="22"/>
        </w:rPr>
        <w:t>reproductive</w:t>
      </w:r>
      <w:r>
        <w:rPr>
          <w:spacing w:val="15"/>
          <w:sz w:val="22"/>
        </w:rPr>
        <w:t> </w:t>
      </w:r>
      <w:r>
        <w:rPr>
          <w:sz w:val="22"/>
        </w:rPr>
        <w:t>endocrinology,</w:t>
      </w:r>
      <w:r>
        <w:rPr>
          <w:spacing w:val="15"/>
          <w:sz w:val="22"/>
        </w:rPr>
        <w:t> </w:t>
      </w:r>
      <w:r>
        <w:rPr>
          <w:sz w:val="22"/>
        </w:rPr>
        <w:t>1926-1940.</w:t>
      </w:r>
      <w:r>
        <w:rPr>
          <w:spacing w:val="16"/>
          <w:sz w:val="22"/>
        </w:rPr>
        <w:t> </w:t>
      </w:r>
      <w:r>
        <w:rPr>
          <w:i/>
          <w:sz w:val="22"/>
        </w:rPr>
        <w:t>J</w:t>
      </w:r>
      <w:r>
        <w:rPr>
          <w:i/>
          <w:spacing w:val="15"/>
          <w:sz w:val="22"/>
        </w:rPr>
        <w:t> </w:t>
      </w:r>
      <w:r>
        <w:rPr>
          <w:i/>
          <w:sz w:val="22"/>
        </w:rPr>
        <w:t>Endocrinol</w:t>
      </w:r>
      <w:r>
        <w:rPr>
          <w:sz w:val="22"/>
        </w:rPr>
        <w:t>.</w:t>
      </w:r>
      <w:r>
        <w:rPr>
          <w:spacing w:val="15"/>
          <w:sz w:val="22"/>
        </w:rPr>
        <w:t> </w:t>
      </w:r>
      <w:r>
        <w:rPr>
          <w:spacing w:val="-2"/>
          <w:sz w:val="22"/>
        </w:rPr>
        <w:t>1966;34:20.</w:t>
      </w:r>
    </w:p>
    <w:p>
      <w:pPr>
        <w:pStyle w:val="ListParagraph"/>
        <w:numPr>
          <w:ilvl w:val="0"/>
          <w:numId w:val="19"/>
        </w:numPr>
        <w:tabs>
          <w:tab w:pos="699" w:val="left" w:leader="none"/>
        </w:tabs>
        <w:spacing w:line="240" w:lineRule="auto" w:before="17" w:after="0"/>
        <w:ind w:left="699" w:right="0" w:hanging="273"/>
        <w:jc w:val="left"/>
        <w:rPr>
          <w:sz w:val="22"/>
        </w:rPr>
      </w:pPr>
      <w:r>
        <w:rPr>
          <w:sz w:val="22"/>
        </w:rPr>
        <w:t>Maisel</w:t>
      </w:r>
      <w:r>
        <w:rPr>
          <w:spacing w:val="12"/>
          <w:sz w:val="22"/>
        </w:rPr>
        <w:t> </w:t>
      </w:r>
      <w:r>
        <w:rPr>
          <w:sz w:val="22"/>
        </w:rPr>
        <w:t>AQ.</w:t>
      </w:r>
      <w:r>
        <w:rPr>
          <w:spacing w:val="13"/>
          <w:sz w:val="22"/>
        </w:rPr>
        <w:t> </w:t>
      </w:r>
      <w:r>
        <w:rPr>
          <w:sz w:val="22"/>
        </w:rPr>
        <w:t>The</w:t>
      </w:r>
      <w:r>
        <w:rPr>
          <w:spacing w:val="12"/>
          <w:sz w:val="22"/>
        </w:rPr>
        <w:t> </w:t>
      </w:r>
      <w:r>
        <w:rPr>
          <w:sz w:val="22"/>
        </w:rPr>
        <w:t>Hormone</w:t>
      </w:r>
      <w:r>
        <w:rPr>
          <w:spacing w:val="13"/>
          <w:sz w:val="22"/>
        </w:rPr>
        <w:t> </w:t>
      </w:r>
      <w:r>
        <w:rPr>
          <w:sz w:val="22"/>
        </w:rPr>
        <w:t>Quest.</w:t>
      </w:r>
      <w:r>
        <w:rPr>
          <w:spacing w:val="13"/>
          <w:sz w:val="22"/>
        </w:rPr>
        <w:t> </w:t>
      </w:r>
      <w:r>
        <w:rPr>
          <w:sz w:val="22"/>
        </w:rPr>
        <w:t>Random</w:t>
      </w:r>
      <w:r>
        <w:rPr>
          <w:spacing w:val="12"/>
          <w:sz w:val="22"/>
        </w:rPr>
        <w:t> </w:t>
      </w:r>
      <w:r>
        <w:rPr>
          <w:sz w:val="22"/>
        </w:rPr>
        <w:t>House;</w:t>
      </w:r>
      <w:r>
        <w:rPr>
          <w:spacing w:val="13"/>
          <w:sz w:val="22"/>
        </w:rPr>
        <w:t> </w:t>
      </w:r>
      <w:r>
        <w:rPr>
          <w:spacing w:val="-2"/>
          <w:sz w:val="22"/>
        </w:rPr>
        <w:t>1965:44.</w:t>
      </w:r>
    </w:p>
    <w:p>
      <w:pPr>
        <w:pStyle w:val="ListParagraph"/>
        <w:numPr>
          <w:ilvl w:val="0"/>
          <w:numId w:val="19"/>
        </w:numPr>
        <w:tabs>
          <w:tab w:pos="699" w:val="left" w:leader="none"/>
        </w:tabs>
        <w:spacing w:line="240" w:lineRule="auto" w:before="17" w:after="0"/>
        <w:ind w:left="699" w:right="0" w:hanging="273"/>
        <w:jc w:val="left"/>
        <w:rPr>
          <w:sz w:val="22"/>
        </w:rPr>
      </w:pPr>
      <w:r>
        <w:rPr>
          <w:sz w:val="22"/>
        </w:rPr>
        <w:t>Harding</w:t>
      </w:r>
      <w:r>
        <w:rPr>
          <w:spacing w:val="59"/>
          <w:sz w:val="22"/>
        </w:rPr>
        <w:t> </w:t>
      </w:r>
      <w:r>
        <w:rPr>
          <w:sz w:val="22"/>
        </w:rPr>
        <w:t>FE.</w:t>
      </w:r>
      <w:r>
        <w:rPr>
          <w:spacing w:val="59"/>
          <w:sz w:val="22"/>
        </w:rPr>
        <w:t> </w:t>
      </w:r>
      <w:r>
        <w:rPr>
          <w:sz w:val="22"/>
        </w:rPr>
        <w:t>The</w:t>
      </w:r>
      <w:r>
        <w:rPr>
          <w:spacing w:val="61"/>
          <w:sz w:val="22"/>
        </w:rPr>
        <w:t> </w:t>
      </w:r>
      <w:r>
        <w:rPr>
          <w:sz w:val="22"/>
        </w:rPr>
        <w:t>oral</w:t>
      </w:r>
      <w:r>
        <w:rPr>
          <w:spacing w:val="62"/>
          <w:sz w:val="22"/>
        </w:rPr>
        <w:t> </w:t>
      </w:r>
      <w:r>
        <w:rPr>
          <w:sz w:val="22"/>
        </w:rPr>
        <w:t>treatment</w:t>
      </w:r>
      <w:r>
        <w:rPr>
          <w:spacing w:val="61"/>
          <w:sz w:val="22"/>
        </w:rPr>
        <w:t> </w:t>
      </w:r>
      <w:r>
        <w:rPr>
          <w:sz w:val="22"/>
        </w:rPr>
        <w:t>of</w:t>
      </w:r>
      <w:r>
        <w:rPr>
          <w:spacing w:val="62"/>
          <w:sz w:val="22"/>
        </w:rPr>
        <w:t> </w:t>
      </w:r>
      <w:r>
        <w:rPr>
          <w:sz w:val="22"/>
        </w:rPr>
        <w:t>ovarian</w:t>
      </w:r>
      <w:r>
        <w:rPr>
          <w:spacing w:val="61"/>
          <w:sz w:val="22"/>
        </w:rPr>
        <w:t> </w:t>
      </w:r>
      <w:r>
        <w:rPr>
          <w:sz w:val="22"/>
        </w:rPr>
        <w:t>deficiency</w:t>
      </w:r>
      <w:r>
        <w:rPr>
          <w:spacing w:val="62"/>
          <w:sz w:val="22"/>
        </w:rPr>
        <w:t> </w:t>
      </w:r>
      <w:r>
        <w:rPr>
          <w:sz w:val="22"/>
        </w:rPr>
        <w:t>with</w:t>
      </w:r>
      <w:r>
        <w:rPr>
          <w:spacing w:val="61"/>
          <w:sz w:val="22"/>
        </w:rPr>
        <w:t> </w:t>
      </w:r>
      <w:r>
        <w:rPr>
          <w:sz w:val="22"/>
        </w:rPr>
        <w:t>conjugated</w:t>
      </w:r>
      <w:r>
        <w:rPr>
          <w:spacing w:val="62"/>
          <w:sz w:val="22"/>
        </w:rPr>
        <w:t> </w:t>
      </w:r>
      <w:r>
        <w:rPr>
          <w:sz w:val="22"/>
        </w:rPr>
        <w:t>estrogens—</w:t>
      </w:r>
      <w:r>
        <w:rPr>
          <w:spacing w:val="-2"/>
          <w:sz w:val="22"/>
        </w:rPr>
        <w:t>equine.</w:t>
      </w:r>
    </w:p>
    <w:p>
      <w:pPr>
        <w:spacing w:before="17"/>
        <w:ind w:left="718" w:right="0" w:firstLine="0"/>
        <w:jc w:val="left"/>
        <w:rPr>
          <w:sz w:val="22"/>
        </w:rPr>
      </w:pPr>
      <w:r>
        <w:rPr>
          <w:i/>
          <w:sz w:val="22"/>
        </w:rPr>
        <w:t>West</w:t>
      </w:r>
      <w:r>
        <w:rPr>
          <w:i/>
          <w:spacing w:val="4"/>
          <w:sz w:val="22"/>
        </w:rPr>
        <w:t> </w:t>
      </w:r>
      <w:r>
        <w:rPr>
          <w:i/>
          <w:sz w:val="22"/>
        </w:rPr>
        <w:t>J</w:t>
      </w:r>
      <w:r>
        <w:rPr>
          <w:i/>
          <w:spacing w:val="4"/>
          <w:sz w:val="22"/>
        </w:rPr>
        <w:t> </w:t>
      </w:r>
      <w:r>
        <w:rPr>
          <w:i/>
          <w:sz w:val="22"/>
        </w:rPr>
        <w:t>Surg</w:t>
      </w:r>
      <w:r>
        <w:rPr>
          <w:i/>
          <w:spacing w:val="4"/>
          <w:sz w:val="22"/>
        </w:rPr>
        <w:t> </w:t>
      </w:r>
      <w:r>
        <w:rPr>
          <w:i/>
          <w:sz w:val="22"/>
        </w:rPr>
        <w:t>Obstet</w:t>
      </w:r>
      <w:r>
        <w:rPr>
          <w:i/>
          <w:spacing w:val="4"/>
          <w:sz w:val="22"/>
        </w:rPr>
        <w:t> </w:t>
      </w:r>
      <w:r>
        <w:rPr>
          <w:i/>
          <w:sz w:val="22"/>
        </w:rPr>
        <w:t>Gynecol</w:t>
      </w:r>
      <w:r>
        <w:rPr>
          <w:sz w:val="22"/>
        </w:rPr>
        <w:t>.</w:t>
      </w:r>
      <w:r>
        <w:rPr>
          <w:spacing w:val="4"/>
          <w:sz w:val="22"/>
        </w:rPr>
        <w:t> </w:t>
      </w:r>
      <w:r>
        <w:rPr>
          <w:spacing w:val="-2"/>
          <w:sz w:val="22"/>
        </w:rPr>
        <w:t>1944;52:31.</w:t>
      </w:r>
    </w:p>
    <w:p>
      <w:pPr>
        <w:pStyle w:val="ListParagraph"/>
        <w:numPr>
          <w:ilvl w:val="0"/>
          <w:numId w:val="19"/>
        </w:numPr>
        <w:tabs>
          <w:tab w:pos="699" w:val="left" w:leader="none"/>
          <w:tab w:pos="718" w:val="left" w:leader="none"/>
        </w:tabs>
        <w:spacing w:line="256" w:lineRule="auto" w:before="17" w:after="0"/>
        <w:ind w:left="718" w:right="109" w:hanging="405"/>
        <w:jc w:val="left"/>
        <w:rPr>
          <w:sz w:val="22"/>
        </w:rPr>
      </w:pPr>
      <w:r>
        <w:rPr>
          <w:sz w:val="22"/>
        </w:rPr>
        <w:t>Goebelsmann</w:t>
      </w:r>
      <w:r>
        <w:rPr>
          <w:spacing w:val="40"/>
          <w:sz w:val="22"/>
        </w:rPr>
        <w:t> </w:t>
      </w:r>
      <w:r>
        <w:rPr>
          <w:sz w:val="22"/>
        </w:rPr>
        <w:t>U,</w:t>
      </w:r>
      <w:r>
        <w:rPr>
          <w:spacing w:val="40"/>
          <w:sz w:val="22"/>
        </w:rPr>
        <w:t> </w:t>
      </w:r>
      <w:r>
        <w:rPr>
          <w:sz w:val="22"/>
        </w:rPr>
        <w:t>Mashchak</w:t>
      </w:r>
      <w:r>
        <w:rPr>
          <w:spacing w:val="40"/>
          <w:sz w:val="22"/>
        </w:rPr>
        <w:t> </w:t>
      </w:r>
      <w:r>
        <w:rPr>
          <w:sz w:val="22"/>
        </w:rPr>
        <w:t>CA,</w:t>
      </w:r>
      <w:r>
        <w:rPr>
          <w:spacing w:val="40"/>
          <w:sz w:val="22"/>
        </w:rPr>
        <w:t> </w:t>
      </w:r>
      <w:r>
        <w:rPr>
          <w:sz w:val="22"/>
        </w:rPr>
        <w:t>Mishell</w:t>
      </w:r>
      <w:r>
        <w:rPr>
          <w:spacing w:val="40"/>
          <w:sz w:val="22"/>
        </w:rPr>
        <w:t> </w:t>
      </w:r>
      <w:r>
        <w:rPr>
          <w:sz w:val="22"/>
        </w:rPr>
        <w:t>DR</w:t>
      </w:r>
      <w:r>
        <w:rPr>
          <w:spacing w:val="40"/>
          <w:sz w:val="22"/>
        </w:rPr>
        <w:t> </w:t>
      </w:r>
      <w:r>
        <w:rPr>
          <w:sz w:val="22"/>
        </w:rPr>
        <w:t>Jr.</w:t>
      </w:r>
      <w:r>
        <w:rPr>
          <w:spacing w:val="40"/>
          <w:sz w:val="22"/>
        </w:rPr>
        <w:t> </w:t>
      </w:r>
      <w:r>
        <w:rPr>
          <w:sz w:val="22"/>
        </w:rPr>
        <w:t>Comparison</w:t>
      </w:r>
      <w:r>
        <w:rPr>
          <w:spacing w:val="40"/>
          <w:sz w:val="22"/>
        </w:rPr>
        <w:t> </w:t>
      </w:r>
      <w:r>
        <w:rPr>
          <w:sz w:val="22"/>
        </w:rPr>
        <w:t>of</w:t>
      </w:r>
      <w:r>
        <w:rPr>
          <w:spacing w:val="40"/>
          <w:sz w:val="22"/>
        </w:rPr>
        <w:t> </w:t>
      </w:r>
      <w:r>
        <w:rPr>
          <w:sz w:val="22"/>
        </w:rPr>
        <w:t>hepatic</w:t>
      </w:r>
      <w:r>
        <w:rPr>
          <w:spacing w:val="40"/>
          <w:sz w:val="22"/>
        </w:rPr>
        <w:t> </w:t>
      </w:r>
      <w:r>
        <w:rPr>
          <w:sz w:val="22"/>
        </w:rPr>
        <w:t>impact</w:t>
      </w:r>
      <w:r>
        <w:rPr>
          <w:spacing w:val="40"/>
          <w:sz w:val="22"/>
        </w:rPr>
        <w:t> </w:t>
      </w:r>
      <w:r>
        <w:rPr>
          <w:sz w:val="22"/>
        </w:rPr>
        <w:t>of</w:t>
      </w:r>
      <w:r>
        <w:rPr>
          <w:spacing w:val="40"/>
          <w:sz w:val="22"/>
        </w:rPr>
        <w:t> </w:t>
      </w:r>
      <w:r>
        <w:rPr>
          <w:sz w:val="22"/>
        </w:rPr>
        <w:t>oral</w:t>
      </w:r>
      <w:r>
        <w:rPr>
          <w:spacing w:val="40"/>
          <w:sz w:val="22"/>
        </w:rPr>
        <w:t> </w:t>
      </w:r>
      <w:r>
        <w:rPr>
          <w:sz w:val="22"/>
        </w:rPr>
        <w:t>and vaginal administration of ethinyl estradiol. </w:t>
      </w:r>
      <w:r>
        <w:rPr>
          <w:i/>
          <w:sz w:val="22"/>
        </w:rPr>
        <w:t>Am J Obstet Gynecol</w:t>
      </w:r>
      <w:r>
        <w:rPr>
          <w:sz w:val="22"/>
        </w:rPr>
        <w:t>. 1985;151:868.</w:t>
      </w:r>
    </w:p>
    <w:p>
      <w:pPr>
        <w:pStyle w:val="ListParagraph"/>
        <w:spacing w:after="0" w:line="256" w:lineRule="auto"/>
        <w:jc w:val="left"/>
        <w:rPr>
          <w:sz w:val="22"/>
        </w:rPr>
        <w:sectPr>
          <w:pgSz w:w="12240" w:h="15840"/>
          <w:pgMar w:top="1380" w:bottom="280" w:left="1440" w:right="1440"/>
        </w:sectPr>
      </w:pPr>
    </w:p>
    <w:p>
      <w:pPr>
        <w:pStyle w:val="ListParagraph"/>
        <w:numPr>
          <w:ilvl w:val="0"/>
          <w:numId w:val="19"/>
        </w:numPr>
        <w:tabs>
          <w:tab w:pos="689" w:val="left" w:leader="none"/>
          <w:tab w:pos="718" w:val="left" w:leader="none"/>
        </w:tabs>
        <w:spacing w:line="256" w:lineRule="auto" w:before="84" w:after="0"/>
        <w:ind w:left="718" w:right="111" w:hanging="405"/>
        <w:jc w:val="both"/>
        <w:rPr>
          <w:sz w:val="22"/>
        </w:rPr>
      </w:pPr>
      <w:r>
        <w:rPr>
          <w:sz w:val="22"/>
        </w:rPr>
        <w:t>Katzenellenbogen</w:t>
      </w:r>
      <w:r>
        <w:rPr>
          <w:spacing w:val="40"/>
          <w:sz w:val="22"/>
        </w:rPr>
        <w:t> </w:t>
      </w:r>
      <w:r>
        <w:rPr>
          <w:sz w:val="22"/>
        </w:rPr>
        <w:t>BS.</w:t>
      </w:r>
      <w:r>
        <w:rPr>
          <w:spacing w:val="40"/>
          <w:sz w:val="22"/>
        </w:rPr>
        <w:t> </w:t>
      </w:r>
      <w:r>
        <w:rPr>
          <w:sz w:val="22"/>
        </w:rPr>
        <w:t>Biology</w:t>
      </w:r>
      <w:r>
        <w:rPr>
          <w:spacing w:val="40"/>
          <w:sz w:val="22"/>
        </w:rPr>
        <w:t> </w:t>
      </w:r>
      <w:r>
        <w:rPr>
          <w:sz w:val="22"/>
        </w:rPr>
        <w:t>and</w:t>
      </w:r>
      <w:r>
        <w:rPr>
          <w:spacing w:val="40"/>
          <w:sz w:val="22"/>
        </w:rPr>
        <w:t> </w:t>
      </w:r>
      <w:r>
        <w:rPr>
          <w:sz w:val="22"/>
        </w:rPr>
        <w:t>receptor</w:t>
      </w:r>
      <w:r>
        <w:rPr>
          <w:spacing w:val="40"/>
          <w:sz w:val="22"/>
        </w:rPr>
        <w:t> </w:t>
      </w:r>
      <w:r>
        <w:rPr>
          <w:sz w:val="22"/>
        </w:rPr>
        <w:t>interactions</w:t>
      </w:r>
      <w:r>
        <w:rPr>
          <w:spacing w:val="40"/>
          <w:sz w:val="22"/>
        </w:rPr>
        <w:t> </w:t>
      </w:r>
      <w:r>
        <w:rPr>
          <w:sz w:val="22"/>
        </w:rPr>
        <w:t>of</w:t>
      </w:r>
      <w:r>
        <w:rPr>
          <w:spacing w:val="40"/>
          <w:sz w:val="22"/>
        </w:rPr>
        <w:t> </w:t>
      </w:r>
      <w:r>
        <w:rPr>
          <w:sz w:val="22"/>
        </w:rPr>
        <w:t>estriol</w:t>
      </w:r>
      <w:r>
        <w:rPr>
          <w:spacing w:val="40"/>
          <w:sz w:val="22"/>
        </w:rPr>
        <w:t> </w:t>
      </w:r>
      <w:r>
        <w:rPr>
          <w:sz w:val="22"/>
        </w:rPr>
        <w:t>and</w:t>
      </w:r>
      <w:r>
        <w:rPr>
          <w:spacing w:val="40"/>
          <w:sz w:val="22"/>
        </w:rPr>
        <w:t> </w:t>
      </w:r>
      <w:r>
        <w:rPr>
          <w:sz w:val="22"/>
        </w:rPr>
        <w:t>estriol</w:t>
      </w:r>
      <w:r>
        <w:rPr>
          <w:spacing w:val="40"/>
          <w:sz w:val="22"/>
        </w:rPr>
        <w:t> </w:t>
      </w:r>
      <w:r>
        <w:rPr>
          <w:sz w:val="22"/>
        </w:rPr>
        <w:t>derivatives</w:t>
      </w:r>
      <w:r>
        <w:rPr>
          <w:spacing w:val="40"/>
          <w:sz w:val="22"/>
        </w:rPr>
        <w:t> </w:t>
      </w:r>
      <w:r>
        <w:rPr>
          <w:sz w:val="22"/>
        </w:rPr>
        <w:t>in vitro and in vivo. </w:t>
      </w:r>
      <w:r>
        <w:rPr>
          <w:i/>
          <w:sz w:val="22"/>
        </w:rPr>
        <w:t>J Steroid Biochem</w:t>
      </w:r>
      <w:r>
        <w:rPr>
          <w:sz w:val="22"/>
        </w:rPr>
        <w:t>. 1984;20:1033.</w:t>
      </w:r>
    </w:p>
    <w:p>
      <w:pPr>
        <w:pStyle w:val="ListParagraph"/>
        <w:numPr>
          <w:ilvl w:val="0"/>
          <w:numId w:val="19"/>
        </w:numPr>
        <w:tabs>
          <w:tab w:pos="699" w:val="left" w:leader="none"/>
          <w:tab w:pos="718" w:val="left" w:leader="none"/>
        </w:tabs>
        <w:spacing w:line="256" w:lineRule="auto" w:before="0" w:after="0"/>
        <w:ind w:left="718" w:right="104" w:hanging="405"/>
        <w:jc w:val="both"/>
        <w:rPr>
          <w:sz w:val="22"/>
        </w:rPr>
      </w:pPr>
      <w:r>
        <w:rPr>
          <w:sz w:val="22"/>
        </w:rPr>
        <w:t>Lindsay R, Hart DM, MacLean A, Garwood J, Clarkel AC, Kraszewski A. Bone loss during oestriol therapy in postmenopausal women. </w:t>
      </w:r>
      <w:r>
        <w:rPr>
          <w:i/>
          <w:sz w:val="22"/>
        </w:rPr>
        <w:t>Maturitas</w:t>
      </w:r>
      <w:r>
        <w:rPr>
          <w:sz w:val="22"/>
        </w:rPr>
        <w:t>. 1979;1:279.</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Devogelaer JP, Lecart C, Dupret P, De Nayer P, Nagant De Deuxchaisnes C. Long-term effects of percutaneous estradiol on bone loss and bone metabolism in </w:t>
      </w:r>
      <w:r>
        <w:rPr>
          <w:sz w:val="22"/>
        </w:rPr>
        <w:t>postmenopausal</w:t>
      </w:r>
      <w:r>
        <w:rPr>
          <w:spacing w:val="80"/>
          <w:w w:val="150"/>
          <w:sz w:val="22"/>
        </w:rPr>
        <w:t> </w:t>
      </w:r>
      <w:r>
        <w:rPr>
          <w:sz w:val="22"/>
        </w:rPr>
        <w:t>hysterectomized women. </w:t>
      </w:r>
      <w:r>
        <w:rPr>
          <w:i/>
          <w:sz w:val="22"/>
        </w:rPr>
        <w:t>Maturitas</w:t>
      </w:r>
      <w:r>
        <w:rPr>
          <w:sz w:val="22"/>
        </w:rPr>
        <w:t>. 1998;28:243.</w:t>
      </w:r>
    </w:p>
    <w:p>
      <w:pPr>
        <w:pStyle w:val="ListParagraph"/>
        <w:numPr>
          <w:ilvl w:val="0"/>
          <w:numId w:val="19"/>
        </w:numPr>
        <w:tabs>
          <w:tab w:pos="699" w:val="left" w:leader="none"/>
          <w:tab w:pos="718" w:val="left" w:leader="none"/>
        </w:tabs>
        <w:spacing w:line="256" w:lineRule="auto" w:before="0" w:after="0"/>
        <w:ind w:left="718" w:right="111" w:hanging="405"/>
        <w:jc w:val="both"/>
        <w:rPr>
          <w:sz w:val="22"/>
        </w:rPr>
      </w:pPr>
      <w:r>
        <w:rPr>
          <w:sz w:val="22"/>
        </w:rPr>
        <w:t>Lemon HM. Estriol prevention of mammary carcinoma induced by 7.12-dimethylbenz(a)anthracene. </w:t>
      </w:r>
      <w:r>
        <w:rPr>
          <w:i/>
          <w:sz w:val="22"/>
        </w:rPr>
        <w:t>Cancer Res</w:t>
      </w:r>
      <w:r>
        <w:rPr>
          <w:sz w:val="22"/>
        </w:rPr>
        <w:t>. 1975;35:1341.</w:t>
      </w:r>
    </w:p>
    <w:p>
      <w:pPr>
        <w:pStyle w:val="ListParagraph"/>
        <w:numPr>
          <w:ilvl w:val="0"/>
          <w:numId w:val="19"/>
        </w:numPr>
        <w:tabs>
          <w:tab w:pos="699" w:val="left" w:leader="none"/>
          <w:tab w:pos="718" w:val="left" w:leader="none"/>
        </w:tabs>
        <w:spacing w:line="256" w:lineRule="auto" w:before="0" w:after="0"/>
        <w:ind w:left="718" w:right="109" w:hanging="405"/>
        <w:jc w:val="both"/>
        <w:rPr>
          <w:sz w:val="22"/>
        </w:rPr>
      </w:pPr>
      <w:r>
        <w:rPr>
          <w:sz w:val="22"/>
        </w:rPr>
        <w:t>Melamed M, Castraño E, Notides AC, Sasson S. Molecular and kinetic basis for the mixed agonist/antagonist activity of estriol. </w:t>
      </w:r>
      <w:r>
        <w:rPr>
          <w:i/>
          <w:sz w:val="22"/>
        </w:rPr>
        <w:t>Mol Endocrinol</w:t>
      </w:r>
      <w:r>
        <w:rPr>
          <w:sz w:val="22"/>
        </w:rPr>
        <w:t>. 1868;11:1997.</w:t>
      </w:r>
    </w:p>
    <w:p>
      <w:pPr>
        <w:pStyle w:val="ListParagraph"/>
        <w:numPr>
          <w:ilvl w:val="0"/>
          <w:numId w:val="19"/>
        </w:numPr>
        <w:tabs>
          <w:tab w:pos="699" w:val="left" w:leader="none"/>
          <w:tab w:pos="718" w:val="left" w:leader="none"/>
        </w:tabs>
        <w:spacing w:line="256" w:lineRule="auto" w:before="0" w:after="0"/>
        <w:ind w:left="718" w:right="111" w:hanging="405"/>
        <w:jc w:val="both"/>
        <w:rPr>
          <w:sz w:val="22"/>
        </w:rPr>
      </w:pPr>
      <w:r>
        <w:rPr>
          <w:sz w:val="22"/>
        </w:rPr>
        <w:t>Fugh-Berman</w:t>
      </w:r>
      <w:r>
        <w:rPr>
          <w:spacing w:val="40"/>
          <w:sz w:val="22"/>
        </w:rPr>
        <w:t> </w:t>
      </w:r>
      <w:r>
        <w:rPr>
          <w:sz w:val="22"/>
        </w:rPr>
        <w:t>A,</w:t>
      </w:r>
      <w:r>
        <w:rPr>
          <w:spacing w:val="40"/>
          <w:sz w:val="22"/>
        </w:rPr>
        <w:t> </w:t>
      </w:r>
      <w:r>
        <w:rPr>
          <w:sz w:val="22"/>
        </w:rPr>
        <w:t>Bythrow</w:t>
      </w:r>
      <w:r>
        <w:rPr>
          <w:spacing w:val="40"/>
          <w:sz w:val="22"/>
        </w:rPr>
        <w:t> </w:t>
      </w:r>
      <w:r>
        <w:rPr>
          <w:sz w:val="22"/>
        </w:rPr>
        <w:t>J.</w:t>
      </w:r>
      <w:r>
        <w:rPr>
          <w:spacing w:val="40"/>
          <w:sz w:val="22"/>
        </w:rPr>
        <w:t> </w:t>
      </w:r>
      <w:r>
        <w:rPr>
          <w:sz w:val="22"/>
        </w:rPr>
        <w:t>Bioidentical</w:t>
      </w:r>
      <w:r>
        <w:rPr>
          <w:spacing w:val="40"/>
          <w:sz w:val="22"/>
        </w:rPr>
        <w:t> </w:t>
      </w:r>
      <w:r>
        <w:rPr>
          <w:sz w:val="22"/>
        </w:rPr>
        <w:t>hormones</w:t>
      </w:r>
      <w:r>
        <w:rPr>
          <w:spacing w:val="40"/>
          <w:sz w:val="22"/>
        </w:rPr>
        <w:t> </w:t>
      </w:r>
      <w:r>
        <w:rPr>
          <w:sz w:val="22"/>
        </w:rPr>
        <w:t>for</w:t>
      </w:r>
      <w:r>
        <w:rPr>
          <w:spacing w:val="40"/>
          <w:sz w:val="22"/>
        </w:rPr>
        <w:t> </w:t>
      </w:r>
      <w:r>
        <w:rPr>
          <w:sz w:val="22"/>
        </w:rPr>
        <w:t>menopausal</w:t>
      </w:r>
      <w:r>
        <w:rPr>
          <w:spacing w:val="40"/>
          <w:sz w:val="22"/>
        </w:rPr>
        <w:t> </w:t>
      </w:r>
      <w:r>
        <w:rPr>
          <w:sz w:val="22"/>
        </w:rPr>
        <w:t>hormone</w:t>
      </w:r>
      <w:r>
        <w:rPr>
          <w:spacing w:val="40"/>
          <w:sz w:val="22"/>
        </w:rPr>
        <w:t> </w:t>
      </w:r>
      <w:r>
        <w:rPr>
          <w:sz w:val="22"/>
        </w:rPr>
        <w:t>therapy: variation on a theme. </w:t>
      </w:r>
      <w:r>
        <w:rPr>
          <w:i/>
          <w:sz w:val="22"/>
        </w:rPr>
        <w:t>J Gen Intern Med</w:t>
      </w:r>
      <w:r>
        <w:rPr>
          <w:sz w:val="22"/>
        </w:rPr>
        <w:t>. 2007;22(7):1030.</w:t>
      </w:r>
    </w:p>
    <w:p>
      <w:pPr>
        <w:pStyle w:val="ListParagraph"/>
        <w:numPr>
          <w:ilvl w:val="0"/>
          <w:numId w:val="19"/>
        </w:numPr>
        <w:tabs>
          <w:tab w:pos="699" w:val="left" w:leader="none"/>
          <w:tab w:pos="718" w:val="left" w:leader="none"/>
        </w:tabs>
        <w:spacing w:line="256" w:lineRule="auto" w:before="0" w:after="0"/>
        <w:ind w:left="718" w:right="101" w:hanging="405"/>
        <w:jc w:val="both"/>
        <w:rPr>
          <w:sz w:val="22"/>
        </w:rPr>
      </w:pPr>
      <w:r>
        <w:rPr>
          <w:sz w:val="22"/>
        </w:rPr>
        <w:t>Gavaler JS. Thoughts on individualizing hormone replacement therapy based on </w:t>
      </w:r>
      <w:r>
        <w:rPr>
          <w:sz w:val="22"/>
        </w:rPr>
        <w:t>the postmenopausal health disparities study data. </w:t>
      </w:r>
      <w:r>
        <w:rPr>
          <w:i/>
          <w:sz w:val="22"/>
        </w:rPr>
        <w:t>J Womens Health</w:t>
      </w:r>
      <w:r>
        <w:rPr>
          <w:sz w:val="22"/>
        </w:rPr>
        <w:t>. 2003;12:757.</w:t>
      </w:r>
    </w:p>
    <w:p>
      <w:pPr>
        <w:pStyle w:val="ListParagraph"/>
        <w:numPr>
          <w:ilvl w:val="0"/>
          <w:numId w:val="19"/>
        </w:numPr>
        <w:tabs>
          <w:tab w:pos="699" w:val="left" w:leader="none"/>
          <w:tab w:pos="718" w:val="left" w:leader="none"/>
        </w:tabs>
        <w:spacing w:line="256" w:lineRule="auto" w:before="0" w:after="0"/>
        <w:ind w:left="718" w:right="99" w:hanging="405"/>
        <w:jc w:val="both"/>
        <w:rPr>
          <w:sz w:val="22"/>
        </w:rPr>
      </w:pPr>
      <w:r>
        <w:rPr>
          <w:sz w:val="22"/>
        </w:rPr>
        <w:t>Haverinen AH, Luiro KM, Szanto T, et al. Combined oral contraceptives containing </w:t>
      </w:r>
      <w:r>
        <w:rPr>
          <w:sz w:val="22"/>
        </w:rPr>
        <w:t>estradiol valerate vs ethinylestradiol on coagulation: a randomized clinical trial. </w:t>
      </w:r>
      <w:r>
        <w:rPr>
          <w:i/>
          <w:sz w:val="22"/>
        </w:rPr>
        <w:t>Acta Obstet Gynecol</w:t>
      </w:r>
      <w:r>
        <w:rPr>
          <w:i/>
          <w:sz w:val="22"/>
        </w:rPr>
        <w:t> Scand</w:t>
      </w:r>
      <w:r>
        <w:rPr>
          <w:sz w:val="22"/>
        </w:rPr>
        <w:t>. 2022;101(10):1102-1111.</w:t>
      </w:r>
    </w:p>
    <w:p>
      <w:pPr>
        <w:pStyle w:val="ListParagraph"/>
        <w:numPr>
          <w:ilvl w:val="0"/>
          <w:numId w:val="19"/>
        </w:numPr>
        <w:tabs>
          <w:tab w:pos="699" w:val="left" w:leader="none"/>
          <w:tab w:pos="718" w:val="left" w:leader="none"/>
        </w:tabs>
        <w:spacing w:line="256" w:lineRule="auto" w:before="0" w:after="0"/>
        <w:ind w:left="718" w:right="108" w:hanging="405"/>
        <w:jc w:val="both"/>
        <w:rPr>
          <w:sz w:val="22"/>
        </w:rPr>
      </w:pPr>
      <w:r>
        <w:rPr>
          <w:w w:val="105"/>
          <w:sz w:val="22"/>
        </w:rPr>
        <w:t>Holinka</w:t>
      </w:r>
      <w:r>
        <w:rPr>
          <w:w w:val="105"/>
          <w:sz w:val="22"/>
        </w:rPr>
        <w:t> CF,</w:t>
      </w:r>
      <w:r>
        <w:rPr>
          <w:w w:val="105"/>
          <w:sz w:val="22"/>
        </w:rPr>
        <w:t> Diczfalusy</w:t>
      </w:r>
      <w:r>
        <w:rPr>
          <w:w w:val="105"/>
          <w:sz w:val="22"/>
        </w:rPr>
        <w:t> E,</w:t>
      </w:r>
      <w:r>
        <w:rPr>
          <w:w w:val="105"/>
          <w:sz w:val="22"/>
        </w:rPr>
        <w:t> Coelingh</w:t>
      </w:r>
      <w:r>
        <w:rPr>
          <w:w w:val="105"/>
          <w:sz w:val="22"/>
        </w:rPr>
        <w:t> Bennink</w:t>
      </w:r>
      <w:r>
        <w:rPr>
          <w:w w:val="105"/>
          <w:sz w:val="22"/>
        </w:rPr>
        <w:t> HJ.</w:t>
      </w:r>
      <w:r>
        <w:rPr>
          <w:w w:val="105"/>
          <w:sz w:val="22"/>
        </w:rPr>
        <w:t> Estetrol:</w:t>
      </w:r>
      <w:r>
        <w:rPr>
          <w:w w:val="105"/>
          <w:sz w:val="22"/>
        </w:rPr>
        <w:t> a</w:t>
      </w:r>
      <w:r>
        <w:rPr>
          <w:w w:val="105"/>
          <w:sz w:val="22"/>
        </w:rPr>
        <w:t> unique</w:t>
      </w:r>
      <w:r>
        <w:rPr>
          <w:w w:val="105"/>
          <w:sz w:val="22"/>
        </w:rPr>
        <w:t> steroid</w:t>
      </w:r>
      <w:r>
        <w:rPr>
          <w:w w:val="105"/>
          <w:sz w:val="22"/>
        </w:rPr>
        <w:t> in</w:t>
      </w:r>
      <w:r>
        <w:rPr>
          <w:w w:val="105"/>
          <w:sz w:val="22"/>
        </w:rPr>
        <w:t> </w:t>
      </w:r>
      <w:r>
        <w:rPr>
          <w:w w:val="105"/>
          <w:sz w:val="22"/>
        </w:rPr>
        <w:t>human pregnancy. </w:t>
      </w:r>
      <w:r>
        <w:rPr>
          <w:i/>
          <w:w w:val="105"/>
          <w:sz w:val="22"/>
        </w:rPr>
        <w:t>J Steroid Biochem Mol Biol</w:t>
      </w:r>
      <w:r>
        <w:rPr>
          <w:w w:val="105"/>
          <w:sz w:val="22"/>
        </w:rPr>
        <w:t>. 2008;110(1-2):138-143.</w:t>
      </w:r>
    </w:p>
    <w:p>
      <w:pPr>
        <w:pStyle w:val="ListParagraph"/>
        <w:numPr>
          <w:ilvl w:val="0"/>
          <w:numId w:val="19"/>
        </w:numPr>
        <w:tabs>
          <w:tab w:pos="699" w:val="left" w:leader="none"/>
          <w:tab w:pos="718" w:val="left" w:leader="none"/>
        </w:tabs>
        <w:spacing w:line="256" w:lineRule="auto" w:before="0" w:after="0"/>
        <w:ind w:left="718" w:right="104" w:hanging="405"/>
        <w:jc w:val="both"/>
        <w:rPr>
          <w:sz w:val="22"/>
        </w:rPr>
      </w:pPr>
      <w:r>
        <w:rPr>
          <w:sz w:val="22"/>
        </w:rPr>
        <w:t>Coelingh Bennink HJ, Holinka CF, Diczfalusy E. Estetrol review: profile and potential </w:t>
      </w:r>
      <w:r>
        <w:rPr>
          <w:sz w:val="22"/>
        </w:rPr>
        <w:t>clinical applications. </w:t>
      </w:r>
      <w:r>
        <w:rPr>
          <w:i/>
          <w:sz w:val="22"/>
        </w:rPr>
        <w:t>Climacteric</w:t>
      </w:r>
      <w:r>
        <w:rPr>
          <w:sz w:val="22"/>
        </w:rPr>
        <w:t>. 2008;11(suppl 1):47-58.</w:t>
      </w:r>
    </w:p>
    <w:p>
      <w:pPr>
        <w:pStyle w:val="ListParagraph"/>
        <w:numPr>
          <w:ilvl w:val="0"/>
          <w:numId w:val="19"/>
        </w:numPr>
        <w:tabs>
          <w:tab w:pos="699" w:val="left" w:leader="none"/>
          <w:tab w:pos="718" w:val="left" w:leader="none"/>
        </w:tabs>
        <w:spacing w:line="256" w:lineRule="auto" w:before="0" w:after="0"/>
        <w:ind w:left="718" w:right="97" w:hanging="405"/>
        <w:jc w:val="both"/>
        <w:rPr>
          <w:sz w:val="22"/>
        </w:rPr>
      </w:pPr>
      <w:r>
        <w:rPr>
          <w:sz w:val="22"/>
        </w:rPr>
        <w:t>Fruzzetti F, Fidecicchi T, Montt Guevara MM, Simoncini T. Estetrol: a new choice </w:t>
      </w:r>
      <w:r>
        <w:rPr>
          <w:sz w:val="22"/>
        </w:rPr>
        <w:t>for contraception. </w:t>
      </w:r>
      <w:r>
        <w:rPr>
          <w:i/>
          <w:sz w:val="22"/>
        </w:rPr>
        <w:t>J Clin Med</w:t>
      </w:r>
      <w:r>
        <w:rPr>
          <w:sz w:val="22"/>
        </w:rPr>
        <w:t>. 2021;10(23):5625.</w:t>
      </w:r>
    </w:p>
    <w:p>
      <w:pPr>
        <w:pStyle w:val="ListParagraph"/>
        <w:numPr>
          <w:ilvl w:val="0"/>
          <w:numId w:val="19"/>
        </w:numPr>
        <w:tabs>
          <w:tab w:pos="699" w:val="left" w:leader="none"/>
          <w:tab w:pos="718" w:val="left" w:leader="none"/>
        </w:tabs>
        <w:spacing w:line="256" w:lineRule="auto" w:before="0" w:after="0"/>
        <w:ind w:left="718" w:right="111" w:hanging="405"/>
        <w:jc w:val="both"/>
        <w:rPr>
          <w:sz w:val="22"/>
        </w:rPr>
      </w:pPr>
      <w:r>
        <w:rPr>
          <w:sz w:val="22"/>
        </w:rPr>
        <w:t>Ross</w:t>
      </w:r>
      <w:r>
        <w:rPr>
          <w:spacing w:val="30"/>
          <w:sz w:val="22"/>
        </w:rPr>
        <w:t> </w:t>
      </w:r>
      <w:r>
        <w:rPr>
          <w:sz w:val="22"/>
        </w:rPr>
        <w:t>D,</w:t>
      </w:r>
      <w:r>
        <w:rPr>
          <w:spacing w:val="30"/>
          <w:sz w:val="22"/>
        </w:rPr>
        <w:t> </w:t>
      </w:r>
      <w:r>
        <w:rPr>
          <w:sz w:val="22"/>
        </w:rPr>
        <w:t>Rees</w:t>
      </w:r>
      <w:r>
        <w:rPr>
          <w:spacing w:val="30"/>
          <w:sz w:val="22"/>
        </w:rPr>
        <w:t> </w:t>
      </w:r>
      <w:r>
        <w:rPr>
          <w:sz w:val="22"/>
        </w:rPr>
        <w:t>M,</w:t>
      </w:r>
      <w:r>
        <w:rPr>
          <w:spacing w:val="30"/>
          <w:sz w:val="22"/>
        </w:rPr>
        <w:t> </w:t>
      </w:r>
      <w:r>
        <w:rPr>
          <w:sz w:val="22"/>
        </w:rPr>
        <w:t>Godfree</w:t>
      </w:r>
      <w:r>
        <w:rPr>
          <w:spacing w:val="30"/>
          <w:sz w:val="22"/>
        </w:rPr>
        <w:t> </w:t>
      </w:r>
      <w:r>
        <w:rPr>
          <w:sz w:val="22"/>
        </w:rPr>
        <w:t>V,</w:t>
      </w:r>
      <w:r>
        <w:rPr>
          <w:spacing w:val="30"/>
          <w:sz w:val="22"/>
        </w:rPr>
        <w:t> </w:t>
      </w:r>
      <w:r>
        <w:rPr>
          <w:sz w:val="22"/>
        </w:rPr>
        <w:t>et</w:t>
      </w:r>
      <w:r>
        <w:rPr>
          <w:spacing w:val="30"/>
          <w:sz w:val="22"/>
        </w:rPr>
        <w:t> </w:t>
      </w:r>
      <w:r>
        <w:rPr>
          <w:sz w:val="22"/>
        </w:rPr>
        <w:t>al.</w:t>
      </w:r>
      <w:r>
        <w:rPr>
          <w:spacing w:val="30"/>
          <w:sz w:val="22"/>
        </w:rPr>
        <w:t> </w:t>
      </w:r>
      <w:r>
        <w:rPr>
          <w:sz w:val="22"/>
        </w:rPr>
        <w:t>Randomised</w:t>
      </w:r>
      <w:r>
        <w:rPr>
          <w:spacing w:val="30"/>
          <w:sz w:val="22"/>
        </w:rPr>
        <w:t> </w:t>
      </w:r>
      <w:r>
        <w:rPr>
          <w:sz w:val="22"/>
        </w:rPr>
        <w:t>crossover</w:t>
      </w:r>
      <w:r>
        <w:rPr>
          <w:spacing w:val="30"/>
          <w:sz w:val="22"/>
        </w:rPr>
        <w:t> </w:t>
      </w:r>
      <w:r>
        <w:rPr>
          <w:sz w:val="22"/>
        </w:rPr>
        <w:t>comparison</w:t>
      </w:r>
      <w:r>
        <w:rPr>
          <w:spacing w:val="30"/>
          <w:sz w:val="22"/>
        </w:rPr>
        <w:t> </w:t>
      </w:r>
      <w:r>
        <w:rPr>
          <w:sz w:val="22"/>
        </w:rPr>
        <w:t>of</w:t>
      </w:r>
      <w:r>
        <w:rPr>
          <w:spacing w:val="30"/>
          <w:sz w:val="22"/>
        </w:rPr>
        <w:t> </w:t>
      </w:r>
      <w:r>
        <w:rPr>
          <w:sz w:val="22"/>
        </w:rPr>
        <w:t>skin</w:t>
      </w:r>
      <w:r>
        <w:rPr>
          <w:spacing w:val="30"/>
          <w:sz w:val="22"/>
        </w:rPr>
        <w:t> </w:t>
      </w:r>
      <w:r>
        <w:rPr>
          <w:sz w:val="22"/>
        </w:rPr>
        <w:t>irritation</w:t>
      </w:r>
      <w:r>
        <w:rPr>
          <w:spacing w:val="30"/>
          <w:sz w:val="22"/>
        </w:rPr>
        <w:t> </w:t>
      </w:r>
      <w:r>
        <w:rPr>
          <w:sz w:val="22"/>
        </w:rPr>
        <w:t>with two transdermal oestradiol patches. </w:t>
      </w:r>
      <w:r>
        <w:rPr>
          <w:i/>
          <w:sz w:val="22"/>
        </w:rPr>
        <w:t>Br Med J</w:t>
      </w:r>
      <w:r>
        <w:rPr>
          <w:sz w:val="22"/>
        </w:rPr>
        <w:t>. 1997;315:288.</w:t>
      </w:r>
    </w:p>
    <w:p>
      <w:pPr>
        <w:pStyle w:val="ListParagraph"/>
        <w:numPr>
          <w:ilvl w:val="0"/>
          <w:numId w:val="19"/>
        </w:numPr>
        <w:tabs>
          <w:tab w:pos="699" w:val="left" w:leader="none"/>
          <w:tab w:pos="718" w:val="left" w:leader="none"/>
        </w:tabs>
        <w:spacing w:line="256" w:lineRule="auto" w:before="0" w:after="0"/>
        <w:ind w:left="718" w:right="97" w:hanging="405"/>
        <w:jc w:val="both"/>
        <w:rPr>
          <w:sz w:val="22"/>
        </w:rPr>
      </w:pPr>
      <w:r>
        <w:rPr>
          <w:sz w:val="22"/>
        </w:rPr>
        <w:t>Bhathena</w:t>
      </w:r>
      <w:r>
        <w:rPr>
          <w:spacing w:val="25"/>
          <w:sz w:val="22"/>
        </w:rPr>
        <w:t> </w:t>
      </w:r>
      <w:r>
        <w:rPr>
          <w:sz w:val="22"/>
        </w:rPr>
        <w:t>RK,</w:t>
      </w:r>
      <w:r>
        <w:rPr>
          <w:spacing w:val="25"/>
          <w:sz w:val="22"/>
        </w:rPr>
        <w:t> </w:t>
      </w:r>
      <w:r>
        <w:rPr>
          <w:sz w:val="22"/>
        </w:rPr>
        <w:t>Anklesaria</w:t>
      </w:r>
      <w:r>
        <w:rPr>
          <w:spacing w:val="25"/>
          <w:sz w:val="22"/>
        </w:rPr>
        <w:t> </w:t>
      </w:r>
      <w:r>
        <w:rPr>
          <w:sz w:val="22"/>
        </w:rPr>
        <w:t>BS,</w:t>
      </w:r>
      <w:r>
        <w:rPr>
          <w:spacing w:val="25"/>
          <w:sz w:val="22"/>
        </w:rPr>
        <w:t> </w:t>
      </w:r>
      <w:r>
        <w:rPr>
          <w:sz w:val="22"/>
        </w:rPr>
        <w:t>Ganatra</w:t>
      </w:r>
      <w:r>
        <w:rPr>
          <w:spacing w:val="25"/>
          <w:sz w:val="22"/>
        </w:rPr>
        <w:t> </w:t>
      </w:r>
      <w:r>
        <w:rPr>
          <w:sz w:val="22"/>
        </w:rPr>
        <w:t>AM.</w:t>
      </w:r>
      <w:r>
        <w:rPr>
          <w:spacing w:val="25"/>
          <w:sz w:val="22"/>
        </w:rPr>
        <w:t> </w:t>
      </w:r>
      <w:r>
        <w:rPr>
          <w:sz w:val="22"/>
        </w:rPr>
        <w:t>Skin</w:t>
      </w:r>
      <w:r>
        <w:rPr>
          <w:spacing w:val="29"/>
          <w:sz w:val="22"/>
        </w:rPr>
        <w:t> </w:t>
      </w:r>
      <w:r>
        <w:rPr>
          <w:sz w:val="22"/>
        </w:rPr>
        <w:t>reactions</w:t>
      </w:r>
      <w:r>
        <w:rPr>
          <w:spacing w:val="29"/>
          <w:sz w:val="22"/>
        </w:rPr>
        <w:t> </w:t>
      </w:r>
      <w:r>
        <w:rPr>
          <w:sz w:val="22"/>
        </w:rPr>
        <w:t>with</w:t>
      </w:r>
      <w:r>
        <w:rPr>
          <w:spacing w:val="29"/>
          <w:sz w:val="22"/>
        </w:rPr>
        <w:t> </w:t>
      </w:r>
      <w:r>
        <w:rPr>
          <w:sz w:val="22"/>
        </w:rPr>
        <w:t>transdermal</w:t>
      </w:r>
      <w:r>
        <w:rPr>
          <w:spacing w:val="29"/>
          <w:sz w:val="22"/>
        </w:rPr>
        <w:t> </w:t>
      </w:r>
      <w:r>
        <w:rPr>
          <w:sz w:val="22"/>
        </w:rPr>
        <w:t>estradiol</w:t>
      </w:r>
      <w:r>
        <w:rPr>
          <w:spacing w:val="29"/>
          <w:sz w:val="22"/>
        </w:rPr>
        <w:t> </w:t>
      </w:r>
      <w:r>
        <w:rPr>
          <w:sz w:val="22"/>
        </w:rPr>
        <w:t>therapy in a tropical environment. </w:t>
      </w:r>
      <w:r>
        <w:rPr>
          <w:i/>
          <w:sz w:val="22"/>
        </w:rPr>
        <w:t>Int J Gynecol Obstet</w:t>
      </w:r>
      <w:r>
        <w:rPr>
          <w:sz w:val="22"/>
        </w:rPr>
        <w:t>. 1998;60:177.</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Archer DF, EstroGel Study Group. Percutaneous 17 β-estradiol gel for the treatment </w:t>
      </w:r>
      <w:r>
        <w:rPr>
          <w:sz w:val="22"/>
        </w:rPr>
        <w:t>of vasomotor symptoms in postmenopausal women. </w:t>
      </w:r>
      <w:r>
        <w:rPr>
          <w:i/>
          <w:sz w:val="22"/>
        </w:rPr>
        <w:t>Menopause</w:t>
      </w:r>
      <w:r>
        <w:rPr>
          <w:sz w:val="22"/>
        </w:rPr>
        <w:t>. 2003;10:516.</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Hedrick RE, Ackerman RT, Koltun WD, Halvorsen MB, Lambrecht LJ. Transdermal </w:t>
      </w:r>
      <w:r>
        <w:rPr>
          <w:sz w:val="22"/>
        </w:rPr>
        <w:t>estradiol gel 0.1% for the treatment of vasomotor symptoms in postmenopausal women. </w:t>
      </w:r>
      <w:r>
        <w:rPr>
          <w:i/>
          <w:sz w:val="22"/>
        </w:rPr>
        <w:t>Menopause</w:t>
      </w:r>
      <w:r>
        <w:rPr>
          <w:sz w:val="22"/>
        </w:rPr>
        <w:t>. </w:t>
      </w:r>
      <w:r>
        <w:rPr>
          <w:spacing w:val="-2"/>
          <w:sz w:val="22"/>
        </w:rPr>
        <w:t>2009;16:132.</w:t>
      </w:r>
    </w:p>
    <w:p>
      <w:pPr>
        <w:pStyle w:val="ListParagraph"/>
        <w:numPr>
          <w:ilvl w:val="0"/>
          <w:numId w:val="19"/>
        </w:numPr>
        <w:tabs>
          <w:tab w:pos="699" w:val="left" w:leader="none"/>
          <w:tab w:pos="718" w:val="left" w:leader="none"/>
        </w:tabs>
        <w:spacing w:line="256" w:lineRule="auto" w:before="0" w:after="0"/>
        <w:ind w:left="718" w:right="104" w:hanging="405"/>
        <w:jc w:val="both"/>
        <w:rPr>
          <w:sz w:val="22"/>
        </w:rPr>
      </w:pPr>
      <w:r>
        <w:rPr>
          <w:sz w:val="22"/>
        </w:rPr>
        <w:t>Buster JE, Koltun WD, Pascual MLG, Day WW, Peterson C. Low-dose estradiol spray to </w:t>
      </w:r>
      <w:r>
        <w:rPr>
          <w:sz w:val="22"/>
        </w:rPr>
        <w:t>treat vasomotor symptoms: a randomized controlled trial. </w:t>
      </w:r>
      <w:r>
        <w:rPr>
          <w:i/>
          <w:sz w:val="22"/>
        </w:rPr>
        <w:t>Obstet Gynecol</w:t>
      </w:r>
      <w:r>
        <w:rPr>
          <w:sz w:val="22"/>
        </w:rPr>
        <w:t>. 2008;111:1343.</w:t>
      </w:r>
    </w:p>
    <w:p>
      <w:pPr>
        <w:pStyle w:val="ListParagraph"/>
        <w:numPr>
          <w:ilvl w:val="0"/>
          <w:numId w:val="19"/>
        </w:numPr>
        <w:tabs>
          <w:tab w:pos="699" w:val="left" w:leader="none"/>
          <w:tab w:pos="718" w:val="left" w:leader="none"/>
        </w:tabs>
        <w:spacing w:line="256" w:lineRule="auto" w:before="0" w:after="0"/>
        <w:ind w:left="718" w:right="100" w:hanging="405"/>
        <w:jc w:val="both"/>
        <w:rPr>
          <w:sz w:val="22"/>
        </w:rPr>
      </w:pPr>
      <w:r>
        <w:rPr>
          <w:sz w:val="22"/>
        </w:rPr>
        <w:t>Jung-Hoffman C, Kuhl H. Intra- and interindividual variations in contraceptive steroid </w:t>
      </w:r>
      <w:r>
        <w:rPr>
          <w:sz w:val="22"/>
        </w:rPr>
        <w:t>levels during 12 treatment cycles: no relation to irregular bleedings. </w:t>
      </w:r>
      <w:r>
        <w:rPr>
          <w:i/>
          <w:sz w:val="22"/>
        </w:rPr>
        <w:t>Contraception</w:t>
      </w:r>
      <w:r>
        <w:rPr>
          <w:sz w:val="22"/>
        </w:rPr>
        <w:t>. 1990;42:423.</w:t>
      </w:r>
    </w:p>
    <w:p>
      <w:pPr>
        <w:pStyle w:val="ListParagraph"/>
        <w:numPr>
          <w:ilvl w:val="0"/>
          <w:numId w:val="19"/>
        </w:numPr>
        <w:tabs>
          <w:tab w:pos="699" w:val="left" w:leader="none"/>
          <w:tab w:pos="718" w:val="left" w:leader="none"/>
        </w:tabs>
        <w:spacing w:line="256" w:lineRule="auto" w:before="0" w:after="0"/>
        <w:ind w:left="718" w:right="99" w:hanging="405"/>
        <w:jc w:val="both"/>
        <w:rPr>
          <w:sz w:val="22"/>
        </w:rPr>
      </w:pPr>
      <w:r>
        <w:rPr>
          <w:sz w:val="22"/>
        </w:rPr>
        <w:t>Colvin PL Jr, Auerbach BJ, Koritnik DR, Hazzard WR, Applebaum-Bowden D. Differential effects of oral estrogen versus 17β-estradiol on lipoproteins in postmenopausal women. </w:t>
      </w:r>
      <w:r>
        <w:rPr>
          <w:i/>
          <w:sz w:val="22"/>
        </w:rPr>
        <w:t>J Clin</w:t>
      </w:r>
      <w:r>
        <w:rPr>
          <w:i/>
          <w:sz w:val="22"/>
        </w:rPr>
        <w:t> Endocrinol Metab</w:t>
      </w:r>
      <w:r>
        <w:rPr>
          <w:sz w:val="22"/>
        </w:rPr>
        <w:t>. 1990;70:1568.</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Walsh BW, Li H, Sacks FM. Effects of postmenopausal hormone replacement with oral and transdermal estrogen on high density lipoprotein metabolism. </w:t>
      </w:r>
      <w:r>
        <w:rPr>
          <w:i/>
          <w:sz w:val="22"/>
        </w:rPr>
        <w:t>J Lipid Res</w:t>
      </w:r>
      <w:r>
        <w:rPr>
          <w:sz w:val="22"/>
        </w:rPr>
        <w:t>. 1994;35:2083.</w:t>
      </w:r>
    </w:p>
    <w:p>
      <w:pPr>
        <w:pStyle w:val="ListParagraph"/>
        <w:numPr>
          <w:ilvl w:val="0"/>
          <w:numId w:val="19"/>
        </w:numPr>
        <w:tabs>
          <w:tab w:pos="699" w:val="left" w:leader="none"/>
          <w:tab w:pos="718" w:val="left" w:leader="none"/>
        </w:tabs>
        <w:spacing w:line="256" w:lineRule="auto" w:before="0" w:after="0"/>
        <w:ind w:left="718" w:right="99" w:hanging="405"/>
        <w:jc w:val="both"/>
        <w:rPr>
          <w:sz w:val="22"/>
        </w:rPr>
      </w:pPr>
      <w:r>
        <w:rPr>
          <w:sz w:val="22"/>
        </w:rPr>
        <w:t>Hillard TC, Whicroft SJ, Marsh MS, et al. Long-term effects of transdermal and oral hormone replacement therapy on postmenopausal bone loss. </w:t>
      </w:r>
      <w:r>
        <w:rPr>
          <w:i/>
          <w:sz w:val="22"/>
        </w:rPr>
        <w:t>Osteoporos Int</w:t>
      </w:r>
      <w:r>
        <w:rPr>
          <w:sz w:val="22"/>
        </w:rPr>
        <w:t>. 1994;4:341.</w:t>
      </w:r>
    </w:p>
    <w:p>
      <w:pPr>
        <w:pStyle w:val="ListParagraph"/>
        <w:numPr>
          <w:ilvl w:val="0"/>
          <w:numId w:val="19"/>
        </w:numPr>
        <w:tabs>
          <w:tab w:pos="699" w:val="left" w:leader="none"/>
          <w:tab w:pos="718" w:val="left" w:leader="none"/>
        </w:tabs>
        <w:spacing w:line="256" w:lineRule="auto" w:before="0" w:after="0"/>
        <w:ind w:left="718" w:right="104" w:hanging="405"/>
        <w:jc w:val="both"/>
        <w:rPr>
          <w:sz w:val="22"/>
        </w:rPr>
      </w:pPr>
      <w:r>
        <w:rPr>
          <w:sz w:val="22"/>
        </w:rPr>
        <w:t>Michaëlsson K, Baron JA, Farahmand BY, et al. Hormone replacement therapy and risk of </w:t>
      </w:r>
      <w:r>
        <w:rPr>
          <w:sz w:val="22"/>
        </w:rPr>
        <w:t>hip fracture: population based case-control study. </w:t>
      </w:r>
      <w:r>
        <w:rPr>
          <w:i/>
          <w:sz w:val="22"/>
        </w:rPr>
        <w:t>Br Med J</w:t>
      </w:r>
      <w:r>
        <w:rPr>
          <w:sz w:val="22"/>
        </w:rPr>
        <w:t>. 1998;316:1858.</w:t>
      </w:r>
    </w:p>
    <w:p>
      <w:pPr>
        <w:pStyle w:val="ListParagraph"/>
        <w:numPr>
          <w:ilvl w:val="0"/>
          <w:numId w:val="19"/>
        </w:numPr>
        <w:tabs>
          <w:tab w:pos="699" w:val="left" w:leader="none"/>
          <w:tab w:pos="718" w:val="left" w:leader="none"/>
        </w:tabs>
        <w:spacing w:line="256" w:lineRule="auto" w:before="0" w:after="0"/>
        <w:ind w:left="718" w:right="100" w:hanging="405"/>
        <w:jc w:val="both"/>
        <w:rPr>
          <w:sz w:val="22"/>
        </w:rPr>
      </w:pPr>
      <w:r>
        <w:rPr>
          <w:sz w:val="22"/>
        </w:rPr>
        <w:t>Utian WH, Burry KA, Archer DF, et al; The Esclim Study Group. Efficacy and safety of low, standard,</w:t>
      </w:r>
      <w:r>
        <w:rPr>
          <w:spacing w:val="79"/>
          <w:sz w:val="22"/>
        </w:rPr>
        <w:t> </w:t>
      </w:r>
      <w:r>
        <w:rPr>
          <w:sz w:val="22"/>
        </w:rPr>
        <w:t>and</w:t>
      </w:r>
      <w:r>
        <w:rPr>
          <w:spacing w:val="79"/>
          <w:sz w:val="22"/>
        </w:rPr>
        <w:t> </w:t>
      </w:r>
      <w:r>
        <w:rPr>
          <w:sz w:val="22"/>
        </w:rPr>
        <w:t>high</w:t>
      </w:r>
      <w:r>
        <w:rPr>
          <w:spacing w:val="79"/>
          <w:sz w:val="22"/>
        </w:rPr>
        <w:t> </w:t>
      </w:r>
      <w:r>
        <w:rPr>
          <w:sz w:val="22"/>
        </w:rPr>
        <w:t>dosages</w:t>
      </w:r>
      <w:r>
        <w:rPr>
          <w:spacing w:val="79"/>
          <w:sz w:val="22"/>
        </w:rPr>
        <w:t> </w:t>
      </w:r>
      <w:r>
        <w:rPr>
          <w:sz w:val="22"/>
        </w:rPr>
        <w:t>of</w:t>
      </w:r>
      <w:r>
        <w:rPr>
          <w:spacing w:val="79"/>
          <w:sz w:val="22"/>
        </w:rPr>
        <w:t> </w:t>
      </w:r>
      <w:r>
        <w:rPr>
          <w:sz w:val="22"/>
        </w:rPr>
        <w:t>an</w:t>
      </w:r>
      <w:r>
        <w:rPr>
          <w:spacing w:val="79"/>
          <w:sz w:val="22"/>
        </w:rPr>
        <w:t> </w:t>
      </w:r>
      <w:r>
        <w:rPr>
          <w:sz w:val="22"/>
        </w:rPr>
        <w:t>estradiol</w:t>
      </w:r>
      <w:r>
        <w:rPr>
          <w:spacing w:val="79"/>
          <w:sz w:val="22"/>
        </w:rPr>
        <w:t> </w:t>
      </w:r>
      <w:r>
        <w:rPr>
          <w:sz w:val="22"/>
        </w:rPr>
        <w:t>transdermal</w:t>
      </w:r>
      <w:r>
        <w:rPr>
          <w:spacing w:val="79"/>
          <w:sz w:val="22"/>
        </w:rPr>
        <w:t> </w:t>
      </w:r>
      <w:r>
        <w:rPr>
          <w:sz w:val="22"/>
        </w:rPr>
        <w:t>system</w:t>
      </w:r>
      <w:r>
        <w:rPr>
          <w:spacing w:val="79"/>
          <w:sz w:val="22"/>
        </w:rPr>
        <w:t> </w:t>
      </w:r>
      <w:r>
        <w:rPr>
          <w:sz w:val="22"/>
        </w:rPr>
        <w:t>(Esclim)</w:t>
      </w:r>
      <w:r>
        <w:rPr>
          <w:spacing w:val="79"/>
          <w:sz w:val="22"/>
        </w:rPr>
        <w:t> </w:t>
      </w:r>
      <w:r>
        <w:rPr>
          <w:sz w:val="22"/>
        </w:rPr>
        <w:t>compared</w:t>
      </w:r>
      <w:r>
        <w:rPr>
          <w:spacing w:val="79"/>
          <w:sz w:val="22"/>
        </w:rPr>
        <w:t> </w:t>
      </w:r>
      <w:r>
        <w:rPr>
          <w:sz w:val="22"/>
        </w:rPr>
        <w:t>with</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100" w:firstLine="0"/>
        <w:jc w:val="both"/>
        <w:rPr>
          <w:sz w:val="22"/>
        </w:rPr>
      </w:pPr>
      <w:r>
        <w:rPr>
          <w:sz w:val="22"/>
        </w:rPr>
        <w:t>placebo on vasomotor symptoms in highly symptomatic menopausal patients. </w:t>
      </w:r>
      <w:r>
        <w:rPr>
          <w:i/>
          <w:sz w:val="22"/>
        </w:rPr>
        <w:t>Am J </w:t>
      </w:r>
      <w:r>
        <w:rPr>
          <w:i/>
          <w:sz w:val="22"/>
        </w:rPr>
        <w:t>Obstet</w:t>
      </w:r>
      <w:r>
        <w:rPr>
          <w:i/>
          <w:sz w:val="22"/>
        </w:rPr>
        <w:t> Gynecol</w:t>
      </w:r>
      <w:r>
        <w:rPr>
          <w:sz w:val="22"/>
        </w:rPr>
        <w:t>. 1999;181:71.</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Shifren</w:t>
      </w:r>
      <w:r>
        <w:rPr>
          <w:spacing w:val="40"/>
          <w:sz w:val="22"/>
        </w:rPr>
        <w:t> </w:t>
      </w:r>
      <w:r>
        <w:rPr>
          <w:sz w:val="22"/>
        </w:rPr>
        <w:t>JL,</w:t>
      </w:r>
      <w:r>
        <w:rPr>
          <w:spacing w:val="40"/>
          <w:sz w:val="22"/>
        </w:rPr>
        <w:t> </w:t>
      </w:r>
      <w:r>
        <w:rPr>
          <w:sz w:val="22"/>
        </w:rPr>
        <w:t>Desindes</w:t>
      </w:r>
      <w:r>
        <w:rPr>
          <w:spacing w:val="40"/>
          <w:sz w:val="22"/>
        </w:rPr>
        <w:t> </w:t>
      </w:r>
      <w:r>
        <w:rPr>
          <w:sz w:val="22"/>
        </w:rPr>
        <w:t>S,</w:t>
      </w:r>
      <w:r>
        <w:rPr>
          <w:spacing w:val="40"/>
          <w:sz w:val="22"/>
        </w:rPr>
        <w:t> </w:t>
      </w:r>
      <w:r>
        <w:rPr>
          <w:sz w:val="22"/>
        </w:rPr>
        <w:t>McIlwain</w:t>
      </w:r>
      <w:r>
        <w:rPr>
          <w:spacing w:val="40"/>
          <w:sz w:val="22"/>
        </w:rPr>
        <w:t> </w:t>
      </w:r>
      <w:r>
        <w:rPr>
          <w:sz w:val="22"/>
        </w:rPr>
        <w:t>M,</w:t>
      </w:r>
      <w:r>
        <w:rPr>
          <w:spacing w:val="40"/>
          <w:sz w:val="22"/>
        </w:rPr>
        <w:t> </w:t>
      </w:r>
      <w:r>
        <w:rPr>
          <w:sz w:val="22"/>
        </w:rPr>
        <w:t>Doros</w:t>
      </w:r>
      <w:r>
        <w:rPr>
          <w:spacing w:val="40"/>
          <w:sz w:val="22"/>
        </w:rPr>
        <w:t> </w:t>
      </w:r>
      <w:r>
        <w:rPr>
          <w:sz w:val="22"/>
        </w:rPr>
        <w:t>G,</w:t>
      </w:r>
      <w:r>
        <w:rPr>
          <w:spacing w:val="40"/>
          <w:sz w:val="22"/>
        </w:rPr>
        <w:t> </w:t>
      </w:r>
      <w:r>
        <w:rPr>
          <w:sz w:val="22"/>
        </w:rPr>
        <w:t>Mazer</w:t>
      </w:r>
      <w:r>
        <w:rPr>
          <w:spacing w:val="40"/>
          <w:sz w:val="22"/>
        </w:rPr>
        <w:t> </w:t>
      </w:r>
      <w:r>
        <w:rPr>
          <w:sz w:val="22"/>
        </w:rPr>
        <w:t>NA.</w:t>
      </w:r>
      <w:r>
        <w:rPr>
          <w:spacing w:val="40"/>
          <w:sz w:val="22"/>
        </w:rPr>
        <w:t> </w:t>
      </w:r>
      <w:r>
        <w:rPr>
          <w:sz w:val="22"/>
        </w:rPr>
        <w:t>A randomized, open-label, crossover study comparing the effects of oral versus transdermal estrogen therapy on </w:t>
      </w:r>
      <w:r>
        <w:rPr>
          <w:sz w:val="22"/>
        </w:rPr>
        <w:t>serum androgens, thyroid hormones, and adrenal hormones in naturally menopausal women. </w:t>
      </w:r>
      <w:r>
        <w:rPr>
          <w:i/>
          <w:sz w:val="22"/>
        </w:rPr>
        <w:t>Menopause</w:t>
      </w:r>
      <w:r>
        <w:rPr>
          <w:sz w:val="22"/>
        </w:rPr>
        <w:t>. 2007;14:985.</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Kraemer GR, Kraemer RR, Ogden BW, Kilpatrick RE, Gimpel TL, Castracane VD. Variability of serum estrogens among postmenopausal women treated with the same transdermal estrogen therapy and the effect on androgens and sex hormone binding globulin. </w:t>
      </w:r>
      <w:r>
        <w:rPr>
          <w:i/>
          <w:sz w:val="22"/>
        </w:rPr>
        <w:t>Fertil </w:t>
      </w:r>
      <w:r>
        <w:rPr>
          <w:i/>
          <w:sz w:val="22"/>
        </w:rPr>
        <w:t>Steril</w:t>
      </w:r>
      <w:r>
        <w:rPr>
          <w:sz w:val="22"/>
        </w:rPr>
        <w:t>. </w:t>
      </w:r>
      <w:r>
        <w:rPr>
          <w:spacing w:val="-2"/>
          <w:sz w:val="22"/>
        </w:rPr>
        <w:t>2003;79:534.</w:t>
      </w:r>
    </w:p>
    <w:p>
      <w:pPr>
        <w:pStyle w:val="ListParagraph"/>
        <w:numPr>
          <w:ilvl w:val="0"/>
          <w:numId w:val="19"/>
        </w:numPr>
        <w:tabs>
          <w:tab w:pos="699" w:val="left" w:leader="none"/>
          <w:tab w:pos="718" w:val="left" w:leader="none"/>
        </w:tabs>
        <w:spacing w:line="256" w:lineRule="auto" w:before="0" w:after="0"/>
        <w:ind w:left="718" w:right="101" w:hanging="405"/>
        <w:jc w:val="both"/>
        <w:rPr>
          <w:sz w:val="22"/>
        </w:rPr>
      </w:pPr>
      <w:r>
        <w:rPr>
          <w:sz w:val="22"/>
        </w:rPr>
        <w:t>Chen F-P, Lee N, Soong Y-K, Huang K-E. Comparison of transdermal and oral </w:t>
      </w:r>
      <w:r>
        <w:rPr>
          <w:sz w:val="22"/>
        </w:rPr>
        <w:t>estrogen-progestin replacement therapy: effects on cardiovascular risk factors. </w:t>
      </w:r>
      <w:r>
        <w:rPr>
          <w:i/>
          <w:sz w:val="22"/>
        </w:rPr>
        <w:t>Menopause</w:t>
      </w:r>
      <w:r>
        <w:rPr>
          <w:sz w:val="22"/>
        </w:rPr>
        <w:t>. 2001;8:347.</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Vehkavaara S, Silveira A, Hakala-Ala-Pietila T, et al. Effects of oral and transdermal estrogen replacement</w:t>
      </w:r>
      <w:r>
        <w:rPr>
          <w:spacing w:val="40"/>
          <w:sz w:val="22"/>
        </w:rPr>
        <w:t> </w:t>
      </w:r>
      <w:r>
        <w:rPr>
          <w:sz w:val="22"/>
        </w:rPr>
        <w:t>therapy</w:t>
      </w:r>
      <w:r>
        <w:rPr>
          <w:spacing w:val="40"/>
          <w:sz w:val="22"/>
        </w:rPr>
        <w:t> </w:t>
      </w:r>
      <w:r>
        <w:rPr>
          <w:sz w:val="22"/>
        </w:rPr>
        <w:t>on</w:t>
      </w:r>
      <w:r>
        <w:rPr>
          <w:spacing w:val="40"/>
          <w:sz w:val="22"/>
        </w:rPr>
        <w:t> </w:t>
      </w:r>
      <w:r>
        <w:rPr>
          <w:sz w:val="22"/>
        </w:rPr>
        <w:t>markers</w:t>
      </w:r>
      <w:r>
        <w:rPr>
          <w:spacing w:val="40"/>
          <w:sz w:val="22"/>
        </w:rPr>
        <w:t> </w:t>
      </w:r>
      <w:r>
        <w:rPr>
          <w:sz w:val="22"/>
        </w:rPr>
        <w:t>of</w:t>
      </w:r>
      <w:r>
        <w:rPr>
          <w:spacing w:val="40"/>
          <w:sz w:val="22"/>
        </w:rPr>
        <w:t> </w:t>
      </w:r>
      <w:r>
        <w:rPr>
          <w:sz w:val="22"/>
        </w:rPr>
        <w:t>coagulation,</w:t>
      </w:r>
      <w:r>
        <w:rPr>
          <w:spacing w:val="40"/>
          <w:sz w:val="22"/>
        </w:rPr>
        <w:t> </w:t>
      </w:r>
      <w:r>
        <w:rPr>
          <w:sz w:val="22"/>
        </w:rPr>
        <w:t>fibrinolysis,</w:t>
      </w:r>
      <w:r>
        <w:rPr>
          <w:spacing w:val="40"/>
          <w:sz w:val="22"/>
        </w:rPr>
        <w:t> </w:t>
      </w:r>
      <w:r>
        <w:rPr>
          <w:sz w:val="22"/>
        </w:rPr>
        <w:t>inflammation</w:t>
      </w:r>
      <w:r>
        <w:rPr>
          <w:spacing w:val="40"/>
          <w:sz w:val="22"/>
        </w:rPr>
        <w:t> </w:t>
      </w:r>
      <w:r>
        <w:rPr>
          <w:sz w:val="22"/>
        </w:rPr>
        <w:t>and</w:t>
      </w:r>
      <w:r>
        <w:rPr>
          <w:spacing w:val="40"/>
          <w:sz w:val="22"/>
        </w:rPr>
        <w:t> </w:t>
      </w:r>
      <w:r>
        <w:rPr>
          <w:sz w:val="22"/>
        </w:rPr>
        <w:t>serum</w:t>
      </w:r>
      <w:r>
        <w:rPr>
          <w:spacing w:val="40"/>
          <w:sz w:val="22"/>
        </w:rPr>
        <w:t> </w:t>
      </w:r>
      <w:r>
        <w:rPr>
          <w:sz w:val="22"/>
        </w:rPr>
        <w:t>lipids and lipoproteins in postmenopausal women. </w:t>
      </w:r>
      <w:r>
        <w:rPr>
          <w:i/>
          <w:sz w:val="22"/>
        </w:rPr>
        <w:t>Thromb Haemost</w:t>
      </w:r>
      <w:r>
        <w:rPr>
          <w:sz w:val="22"/>
        </w:rPr>
        <w:t>. 2001;85:619.</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Brynhildsen J, Hammar M. Lipids and clotting factors during low dose </w:t>
      </w:r>
      <w:r>
        <w:rPr>
          <w:sz w:val="22"/>
        </w:rPr>
        <w:t>transdermal estradiol/norethisterone use. </w:t>
      </w:r>
      <w:r>
        <w:rPr>
          <w:i/>
          <w:sz w:val="22"/>
        </w:rPr>
        <w:t>Maturitas</w:t>
      </w:r>
      <w:r>
        <w:rPr>
          <w:sz w:val="22"/>
        </w:rPr>
        <w:t>. 2005;50:344.</w:t>
      </w:r>
    </w:p>
    <w:p>
      <w:pPr>
        <w:pStyle w:val="ListParagraph"/>
        <w:numPr>
          <w:ilvl w:val="0"/>
          <w:numId w:val="19"/>
        </w:numPr>
        <w:tabs>
          <w:tab w:pos="699" w:val="left" w:leader="none"/>
          <w:tab w:pos="718" w:val="left" w:leader="none"/>
        </w:tabs>
        <w:spacing w:line="256" w:lineRule="auto" w:before="0" w:after="0"/>
        <w:ind w:left="718" w:right="100" w:hanging="405"/>
        <w:jc w:val="both"/>
        <w:rPr>
          <w:sz w:val="22"/>
        </w:rPr>
      </w:pPr>
      <w:r>
        <w:rPr>
          <w:sz w:val="22"/>
        </w:rPr>
        <w:t>Taner MZ, Ozpolat E, Taskiran C, et al. Effects of four different regimens of hormone replacement therapy on hemostatic parameters: a prospective randomized study. </w:t>
      </w:r>
      <w:r>
        <w:rPr>
          <w:i/>
          <w:sz w:val="22"/>
        </w:rPr>
        <w:t>Maturitas</w:t>
      </w:r>
      <w:r>
        <w:rPr>
          <w:sz w:val="22"/>
        </w:rPr>
        <w:t>. </w:t>
      </w:r>
      <w:r>
        <w:rPr>
          <w:spacing w:val="-2"/>
          <w:sz w:val="22"/>
        </w:rPr>
        <w:t>2006;53:267.</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Lewandoski KC, Komorowski J, Mikhalidis DP, et al. Effects of hormone replacement therapy type</w:t>
      </w:r>
      <w:r>
        <w:rPr>
          <w:spacing w:val="40"/>
          <w:sz w:val="22"/>
        </w:rPr>
        <w:t> </w:t>
      </w:r>
      <w:r>
        <w:rPr>
          <w:sz w:val="22"/>
        </w:rPr>
        <w:t>and</w:t>
      </w:r>
      <w:r>
        <w:rPr>
          <w:spacing w:val="40"/>
          <w:sz w:val="22"/>
        </w:rPr>
        <w:t> </w:t>
      </w:r>
      <w:r>
        <w:rPr>
          <w:sz w:val="22"/>
        </w:rPr>
        <w:t>route</w:t>
      </w:r>
      <w:r>
        <w:rPr>
          <w:spacing w:val="40"/>
          <w:sz w:val="22"/>
        </w:rPr>
        <w:t> </w:t>
      </w:r>
      <w:r>
        <w:rPr>
          <w:sz w:val="22"/>
        </w:rPr>
        <w:t>of</w:t>
      </w:r>
      <w:r>
        <w:rPr>
          <w:spacing w:val="40"/>
          <w:sz w:val="22"/>
        </w:rPr>
        <w:t> </w:t>
      </w:r>
      <w:r>
        <w:rPr>
          <w:sz w:val="22"/>
        </w:rPr>
        <w:t>administration</w:t>
      </w:r>
      <w:r>
        <w:rPr>
          <w:spacing w:val="40"/>
          <w:sz w:val="22"/>
        </w:rPr>
        <w:t> </w:t>
      </w:r>
      <w:r>
        <w:rPr>
          <w:sz w:val="22"/>
        </w:rPr>
        <w:t>on</w:t>
      </w:r>
      <w:r>
        <w:rPr>
          <w:spacing w:val="40"/>
          <w:sz w:val="22"/>
        </w:rPr>
        <w:t> </w:t>
      </w:r>
      <w:r>
        <w:rPr>
          <w:sz w:val="22"/>
        </w:rPr>
        <w:t>plasma</w:t>
      </w:r>
      <w:r>
        <w:rPr>
          <w:spacing w:val="40"/>
          <w:sz w:val="22"/>
        </w:rPr>
        <w:t> </w:t>
      </w:r>
      <w:r>
        <w:rPr>
          <w:sz w:val="22"/>
        </w:rPr>
        <w:t>matrix</w:t>
      </w:r>
      <w:r>
        <w:rPr>
          <w:spacing w:val="40"/>
          <w:sz w:val="22"/>
        </w:rPr>
        <w:t> </w:t>
      </w:r>
      <w:r>
        <w:rPr>
          <w:sz w:val="22"/>
        </w:rPr>
        <w:t>metalloproteinases</w:t>
      </w:r>
      <w:r>
        <w:rPr>
          <w:spacing w:val="40"/>
          <w:sz w:val="22"/>
        </w:rPr>
        <w:t> </w:t>
      </w:r>
      <w:r>
        <w:rPr>
          <w:sz w:val="22"/>
        </w:rPr>
        <w:t>and</w:t>
      </w:r>
      <w:r>
        <w:rPr>
          <w:spacing w:val="40"/>
          <w:sz w:val="22"/>
        </w:rPr>
        <w:t> </w:t>
      </w:r>
      <w:r>
        <w:rPr>
          <w:sz w:val="22"/>
        </w:rPr>
        <w:t>their</w:t>
      </w:r>
      <w:r>
        <w:rPr>
          <w:spacing w:val="40"/>
          <w:sz w:val="22"/>
        </w:rPr>
        <w:t> </w:t>
      </w:r>
      <w:r>
        <w:rPr>
          <w:sz w:val="22"/>
        </w:rPr>
        <w:t>tissue inhibitors in postmenopausal women. </w:t>
      </w:r>
      <w:r>
        <w:rPr>
          <w:i/>
          <w:sz w:val="22"/>
        </w:rPr>
        <w:t>J Clin Endocrinol Metab</w:t>
      </w:r>
      <w:r>
        <w:rPr>
          <w:sz w:val="22"/>
        </w:rPr>
        <w:t>. 2006;91:3123.</w:t>
      </w:r>
    </w:p>
    <w:p>
      <w:pPr>
        <w:pStyle w:val="ListParagraph"/>
        <w:numPr>
          <w:ilvl w:val="0"/>
          <w:numId w:val="19"/>
        </w:numPr>
        <w:tabs>
          <w:tab w:pos="699" w:val="left" w:leader="none"/>
          <w:tab w:pos="718" w:val="left" w:leader="none"/>
        </w:tabs>
        <w:spacing w:line="256" w:lineRule="auto" w:before="0" w:after="0"/>
        <w:ind w:left="718" w:right="97" w:hanging="405"/>
        <w:jc w:val="both"/>
        <w:rPr>
          <w:sz w:val="22"/>
        </w:rPr>
      </w:pPr>
      <w:r>
        <w:rPr>
          <w:sz w:val="22"/>
        </w:rPr>
        <w:t>Post MS, Christella M, Thomassen LG, et al. Effect of oral and transdermal estrogen</w:t>
      </w:r>
      <w:r>
        <w:rPr>
          <w:spacing w:val="40"/>
          <w:sz w:val="22"/>
        </w:rPr>
        <w:t> </w:t>
      </w:r>
      <w:r>
        <w:rPr>
          <w:sz w:val="22"/>
        </w:rPr>
        <w:t>replacement</w:t>
      </w:r>
      <w:r>
        <w:rPr>
          <w:spacing w:val="40"/>
          <w:sz w:val="22"/>
        </w:rPr>
        <w:t> </w:t>
      </w:r>
      <w:r>
        <w:rPr>
          <w:sz w:val="22"/>
        </w:rPr>
        <w:t>therapy</w:t>
      </w:r>
      <w:r>
        <w:rPr>
          <w:spacing w:val="40"/>
          <w:sz w:val="22"/>
        </w:rPr>
        <w:t> </w:t>
      </w:r>
      <w:r>
        <w:rPr>
          <w:sz w:val="22"/>
        </w:rPr>
        <w:t>on</w:t>
      </w:r>
      <w:r>
        <w:rPr>
          <w:spacing w:val="40"/>
          <w:sz w:val="22"/>
        </w:rPr>
        <w:t> </w:t>
      </w:r>
      <w:r>
        <w:rPr>
          <w:sz w:val="22"/>
        </w:rPr>
        <w:t>hemostatic</w:t>
      </w:r>
      <w:r>
        <w:rPr>
          <w:spacing w:val="40"/>
          <w:sz w:val="22"/>
        </w:rPr>
        <w:t> </w:t>
      </w:r>
      <w:r>
        <w:rPr>
          <w:sz w:val="22"/>
        </w:rPr>
        <w:t>variables</w:t>
      </w:r>
      <w:r>
        <w:rPr>
          <w:spacing w:val="40"/>
          <w:sz w:val="22"/>
        </w:rPr>
        <w:t> </w:t>
      </w:r>
      <w:r>
        <w:rPr>
          <w:sz w:val="22"/>
        </w:rPr>
        <w:t>associated</w:t>
      </w:r>
      <w:r>
        <w:rPr>
          <w:spacing w:val="40"/>
          <w:sz w:val="22"/>
        </w:rPr>
        <w:t> </w:t>
      </w:r>
      <w:r>
        <w:rPr>
          <w:sz w:val="22"/>
        </w:rPr>
        <w:t>with</w:t>
      </w:r>
      <w:r>
        <w:rPr>
          <w:spacing w:val="40"/>
          <w:sz w:val="22"/>
        </w:rPr>
        <w:t> </w:t>
      </w:r>
      <w:r>
        <w:rPr>
          <w:sz w:val="22"/>
        </w:rPr>
        <w:t>venous</w:t>
      </w:r>
      <w:r>
        <w:rPr>
          <w:spacing w:val="40"/>
          <w:sz w:val="22"/>
        </w:rPr>
        <w:t> </w:t>
      </w:r>
      <w:r>
        <w:rPr>
          <w:sz w:val="22"/>
        </w:rPr>
        <w:t>thrombosis:</w:t>
      </w:r>
      <w:r>
        <w:rPr>
          <w:spacing w:val="40"/>
          <w:sz w:val="22"/>
        </w:rPr>
        <w:t> </w:t>
      </w:r>
      <w:r>
        <w:rPr>
          <w:sz w:val="22"/>
        </w:rPr>
        <w:t>a randomized, placebo-controlled study in postmenopausal women. </w:t>
      </w:r>
      <w:r>
        <w:rPr>
          <w:i/>
          <w:sz w:val="22"/>
        </w:rPr>
        <w:t>Arterioscler Thromb Vasc</w:t>
      </w:r>
      <w:r>
        <w:rPr>
          <w:i/>
          <w:sz w:val="22"/>
        </w:rPr>
        <w:t> Biol</w:t>
      </w:r>
      <w:r>
        <w:rPr>
          <w:sz w:val="22"/>
        </w:rPr>
        <w:t>. 2003;23:1116.</w:t>
      </w:r>
    </w:p>
    <w:p>
      <w:pPr>
        <w:pStyle w:val="ListParagraph"/>
        <w:numPr>
          <w:ilvl w:val="0"/>
          <w:numId w:val="19"/>
        </w:numPr>
        <w:tabs>
          <w:tab w:pos="699" w:val="left" w:leader="none"/>
          <w:tab w:pos="718" w:val="left" w:leader="none"/>
        </w:tabs>
        <w:spacing w:line="256" w:lineRule="auto" w:before="0" w:after="0"/>
        <w:ind w:left="718" w:right="108" w:hanging="405"/>
        <w:jc w:val="both"/>
        <w:rPr>
          <w:sz w:val="22"/>
        </w:rPr>
      </w:pPr>
      <w:r>
        <w:rPr>
          <w:sz w:val="22"/>
        </w:rPr>
        <w:t>Oger E, Alhenc-Gelas M, Lacut K, et al. Differential effects of oral and </w:t>
      </w:r>
      <w:r>
        <w:rPr>
          <w:sz w:val="22"/>
        </w:rPr>
        <w:t>transdermal estrogen/progesterone regimens on sensitivity to activated protein C among postmenopausal women: a randomized trial. </w:t>
      </w:r>
      <w:r>
        <w:rPr>
          <w:i/>
          <w:sz w:val="22"/>
        </w:rPr>
        <w:t>Arterioscler Thromb Vasc Biol</w:t>
      </w:r>
      <w:r>
        <w:rPr>
          <w:sz w:val="22"/>
        </w:rPr>
        <w:t>. 2003;23:1671.</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Scarabin</w:t>
      </w:r>
      <w:r>
        <w:rPr>
          <w:spacing w:val="40"/>
          <w:sz w:val="22"/>
        </w:rPr>
        <w:t> </w:t>
      </w:r>
      <w:r>
        <w:rPr>
          <w:sz w:val="22"/>
        </w:rPr>
        <w:t>PY,</w:t>
      </w:r>
      <w:r>
        <w:rPr>
          <w:spacing w:val="40"/>
          <w:sz w:val="22"/>
        </w:rPr>
        <w:t> </w:t>
      </w:r>
      <w:r>
        <w:rPr>
          <w:sz w:val="22"/>
        </w:rPr>
        <w:t>Oger</w:t>
      </w:r>
      <w:r>
        <w:rPr>
          <w:spacing w:val="40"/>
          <w:sz w:val="22"/>
        </w:rPr>
        <w:t> </w:t>
      </w:r>
      <w:r>
        <w:rPr>
          <w:sz w:val="22"/>
        </w:rPr>
        <w:t>E,</w:t>
      </w:r>
      <w:r>
        <w:rPr>
          <w:spacing w:val="40"/>
          <w:sz w:val="22"/>
        </w:rPr>
        <w:t> </w:t>
      </w:r>
      <w:r>
        <w:rPr>
          <w:sz w:val="22"/>
        </w:rPr>
        <w:t>Plu-Bureau</w:t>
      </w:r>
      <w:r>
        <w:rPr>
          <w:spacing w:val="40"/>
          <w:sz w:val="22"/>
        </w:rPr>
        <w:t> </w:t>
      </w:r>
      <w:r>
        <w:rPr>
          <w:sz w:val="22"/>
        </w:rPr>
        <w:t>G.</w:t>
      </w:r>
      <w:r>
        <w:rPr>
          <w:spacing w:val="40"/>
          <w:sz w:val="22"/>
        </w:rPr>
        <w:t> </w:t>
      </w:r>
      <w:r>
        <w:rPr>
          <w:sz w:val="22"/>
        </w:rPr>
        <w:t>Differential</w:t>
      </w:r>
      <w:r>
        <w:rPr>
          <w:spacing w:val="40"/>
          <w:sz w:val="22"/>
        </w:rPr>
        <w:t> </w:t>
      </w:r>
      <w:r>
        <w:rPr>
          <w:sz w:val="22"/>
        </w:rPr>
        <w:t>association</w:t>
      </w:r>
      <w:r>
        <w:rPr>
          <w:spacing w:val="40"/>
          <w:sz w:val="22"/>
        </w:rPr>
        <w:t> </w:t>
      </w:r>
      <w:r>
        <w:rPr>
          <w:sz w:val="22"/>
        </w:rPr>
        <w:t>of</w:t>
      </w:r>
      <w:r>
        <w:rPr>
          <w:spacing w:val="40"/>
          <w:sz w:val="22"/>
        </w:rPr>
        <w:t> </w:t>
      </w:r>
      <w:r>
        <w:rPr>
          <w:sz w:val="22"/>
        </w:rPr>
        <w:t>oral</w:t>
      </w:r>
      <w:r>
        <w:rPr>
          <w:spacing w:val="40"/>
          <w:sz w:val="22"/>
        </w:rPr>
        <w:t> </w:t>
      </w:r>
      <w:r>
        <w:rPr>
          <w:sz w:val="22"/>
        </w:rPr>
        <w:t>and</w:t>
      </w:r>
      <w:r>
        <w:rPr>
          <w:spacing w:val="40"/>
          <w:sz w:val="22"/>
        </w:rPr>
        <w:t> </w:t>
      </w:r>
      <w:r>
        <w:rPr>
          <w:sz w:val="22"/>
        </w:rPr>
        <w:t>transdermal oestrogen-replacement therapy with venous thromboembolism risk. </w:t>
      </w:r>
      <w:r>
        <w:rPr>
          <w:i/>
          <w:sz w:val="22"/>
        </w:rPr>
        <w:t>Lancet</w:t>
      </w:r>
      <w:r>
        <w:rPr>
          <w:sz w:val="22"/>
        </w:rPr>
        <w:t>. 2003;362:428.</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Straczek</w:t>
      </w:r>
      <w:r>
        <w:rPr>
          <w:spacing w:val="40"/>
          <w:sz w:val="22"/>
        </w:rPr>
        <w:t> </w:t>
      </w:r>
      <w:r>
        <w:rPr>
          <w:sz w:val="22"/>
        </w:rPr>
        <w:t>C,</w:t>
      </w:r>
      <w:r>
        <w:rPr>
          <w:spacing w:val="40"/>
          <w:sz w:val="22"/>
        </w:rPr>
        <w:t> </w:t>
      </w:r>
      <w:r>
        <w:rPr>
          <w:sz w:val="22"/>
        </w:rPr>
        <w:t>Oger</w:t>
      </w:r>
      <w:r>
        <w:rPr>
          <w:spacing w:val="40"/>
          <w:sz w:val="22"/>
        </w:rPr>
        <w:t> </w:t>
      </w:r>
      <w:r>
        <w:rPr>
          <w:sz w:val="22"/>
        </w:rPr>
        <w:t>E,</w:t>
      </w:r>
      <w:r>
        <w:rPr>
          <w:spacing w:val="40"/>
          <w:sz w:val="22"/>
        </w:rPr>
        <w:t> </w:t>
      </w:r>
      <w:r>
        <w:rPr>
          <w:sz w:val="22"/>
        </w:rPr>
        <w:t>Beau</w:t>
      </w:r>
      <w:r>
        <w:rPr>
          <w:spacing w:val="40"/>
          <w:sz w:val="22"/>
        </w:rPr>
        <w:t> </w:t>
      </w:r>
      <w:r>
        <w:rPr>
          <w:sz w:val="22"/>
        </w:rPr>
        <w:t>Yon</w:t>
      </w:r>
      <w:r>
        <w:rPr>
          <w:spacing w:val="40"/>
          <w:sz w:val="22"/>
        </w:rPr>
        <w:t> </w:t>
      </w:r>
      <w:r>
        <w:rPr>
          <w:sz w:val="22"/>
        </w:rPr>
        <w:t>de</w:t>
      </w:r>
      <w:r>
        <w:rPr>
          <w:spacing w:val="40"/>
          <w:sz w:val="22"/>
        </w:rPr>
        <w:t> </w:t>
      </w:r>
      <w:r>
        <w:rPr>
          <w:sz w:val="22"/>
        </w:rPr>
        <w:t>Jonage-Canonico</w:t>
      </w:r>
      <w:r>
        <w:rPr>
          <w:spacing w:val="40"/>
          <w:sz w:val="22"/>
        </w:rPr>
        <w:t> </w:t>
      </w:r>
      <w:r>
        <w:rPr>
          <w:sz w:val="22"/>
        </w:rPr>
        <w:t>M,</w:t>
      </w:r>
      <w:r>
        <w:rPr>
          <w:spacing w:val="40"/>
          <w:sz w:val="22"/>
        </w:rPr>
        <w:t> </w:t>
      </w:r>
      <w:r>
        <w:rPr>
          <w:sz w:val="22"/>
        </w:rPr>
        <w:t>et</w:t>
      </w:r>
      <w:r>
        <w:rPr>
          <w:spacing w:val="40"/>
          <w:sz w:val="22"/>
        </w:rPr>
        <w:t> </w:t>
      </w:r>
      <w:r>
        <w:rPr>
          <w:sz w:val="22"/>
        </w:rPr>
        <w:t>al.</w:t>
      </w:r>
      <w:r>
        <w:rPr>
          <w:spacing w:val="40"/>
          <w:sz w:val="22"/>
        </w:rPr>
        <w:t> </w:t>
      </w:r>
      <w:r>
        <w:rPr>
          <w:sz w:val="22"/>
        </w:rPr>
        <w:t>Prothrombotic</w:t>
      </w:r>
      <w:r>
        <w:rPr>
          <w:spacing w:val="40"/>
          <w:sz w:val="22"/>
        </w:rPr>
        <w:t> </w:t>
      </w:r>
      <w:r>
        <w:rPr>
          <w:sz w:val="22"/>
        </w:rPr>
        <w:t>mutations, hormone</w:t>
      </w:r>
      <w:r>
        <w:rPr>
          <w:spacing w:val="40"/>
          <w:sz w:val="22"/>
        </w:rPr>
        <w:t> </w:t>
      </w:r>
      <w:r>
        <w:rPr>
          <w:sz w:val="22"/>
        </w:rPr>
        <w:t>therapy,</w:t>
      </w:r>
      <w:r>
        <w:rPr>
          <w:spacing w:val="40"/>
          <w:sz w:val="22"/>
        </w:rPr>
        <w:t> </w:t>
      </w:r>
      <w:r>
        <w:rPr>
          <w:sz w:val="22"/>
        </w:rPr>
        <w:t>and</w:t>
      </w:r>
      <w:r>
        <w:rPr>
          <w:spacing w:val="40"/>
          <w:sz w:val="22"/>
        </w:rPr>
        <w:t> </w:t>
      </w:r>
      <w:r>
        <w:rPr>
          <w:sz w:val="22"/>
        </w:rPr>
        <w:t>venous</w:t>
      </w:r>
      <w:r>
        <w:rPr>
          <w:spacing w:val="40"/>
          <w:sz w:val="22"/>
        </w:rPr>
        <w:t> </w:t>
      </w:r>
      <w:r>
        <w:rPr>
          <w:sz w:val="22"/>
        </w:rPr>
        <w:t>thromboembolism</w:t>
      </w:r>
      <w:r>
        <w:rPr>
          <w:spacing w:val="40"/>
          <w:sz w:val="22"/>
        </w:rPr>
        <w:t> </w:t>
      </w:r>
      <w:r>
        <w:rPr>
          <w:sz w:val="22"/>
        </w:rPr>
        <w:t>among</w:t>
      </w:r>
      <w:r>
        <w:rPr>
          <w:spacing w:val="40"/>
          <w:sz w:val="22"/>
        </w:rPr>
        <w:t> </w:t>
      </w:r>
      <w:r>
        <w:rPr>
          <w:sz w:val="22"/>
        </w:rPr>
        <w:t>postmenopausal</w:t>
      </w:r>
      <w:r>
        <w:rPr>
          <w:spacing w:val="40"/>
          <w:sz w:val="22"/>
        </w:rPr>
        <w:t> </w:t>
      </w:r>
      <w:r>
        <w:rPr>
          <w:sz w:val="22"/>
        </w:rPr>
        <w:t>women:</w:t>
      </w:r>
      <w:r>
        <w:rPr>
          <w:spacing w:val="40"/>
          <w:sz w:val="22"/>
        </w:rPr>
        <w:t> </w:t>
      </w:r>
      <w:r>
        <w:rPr>
          <w:sz w:val="22"/>
        </w:rPr>
        <w:t>impact</w:t>
      </w:r>
      <w:r>
        <w:rPr>
          <w:spacing w:val="40"/>
          <w:sz w:val="22"/>
        </w:rPr>
        <w:t> </w:t>
      </w:r>
      <w:r>
        <w:rPr>
          <w:sz w:val="22"/>
        </w:rPr>
        <w:t>of the route of estrogen administration. </w:t>
      </w:r>
      <w:r>
        <w:rPr>
          <w:i/>
          <w:sz w:val="22"/>
        </w:rPr>
        <w:t>Circulation</w:t>
      </w:r>
      <w:r>
        <w:rPr>
          <w:sz w:val="22"/>
        </w:rPr>
        <w:t>. 2005;112:3495.</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Gaspard</w:t>
      </w:r>
      <w:r>
        <w:rPr>
          <w:spacing w:val="40"/>
          <w:sz w:val="22"/>
        </w:rPr>
        <w:t> </w:t>
      </w:r>
      <w:r>
        <w:rPr>
          <w:sz w:val="22"/>
        </w:rPr>
        <w:t>U,</w:t>
      </w:r>
      <w:r>
        <w:rPr>
          <w:spacing w:val="40"/>
          <w:sz w:val="22"/>
        </w:rPr>
        <w:t> </w:t>
      </w:r>
      <w:r>
        <w:rPr>
          <w:sz w:val="22"/>
        </w:rPr>
        <w:t>Taziaux</w:t>
      </w:r>
      <w:r>
        <w:rPr>
          <w:spacing w:val="40"/>
          <w:sz w:val="22"/>
        </w:rPr>
        <w:t> </w:t>
      </w:r>
      <w:r>
        <w:rPr>
          <w:sz w:val="22"/>
        </w:rPr>
        <w:t>M,</w:t>
      </w:r>
      <w:r>
        <w:rPr>
          <w:spacing w:val="40"/>
          <w:sz w:val="22"/>
        </w:rPr>
        <w:t> </w:t>
      </w:r>
      <w:r>
        <w:rPr>
          <w:sz w:val="22"/>
        </w:rPr>
        <w:t>Mawet</w:t>
      </w:r>
      <w:r>
        <w:rPr>
          <w:spacing w:val="40"/>
          <w:sz w:val="22"/>
        </w:rPr>
        <w:t> </w:t>
      </w:r>
      <w:r>
        <w:rPr>
          <w:sz w:val="22"/>
        </w:rPr>
        <w:t>M,</w:t>
      </w:r>
      <w:r>
        <w:rPr>
          <w:spacing w:val="40"/>
          <w:sz w:val="22"/>
        </w:rPr>
        <w:t> </w:t>
      </w:r>
      <w:r>
        <w:rPr>
          <w:sz w:val="22"/>
        </w:rPr>
        <w:t>et</w:t>
      </w:r>
      <w:r>
        <w:rPr>
          <w:spacing w:val="40"/>
          <w:sz w:val="22"/>
        </w:rPr>
        <w:t> </w:t>
      </w:r>
      <w:r>
        <w:rPr>
          <w:sz w:val="22"/>
        </w:rPr>
        <w:t>al.</w:t>
      </w:r>
      <w:r>
        <w:rPr>
          <w:spacing w:val="40"/>
          <w:sz w:val="22"/>
        </w:rPr>
        <w:t> </w:t>
      </w:r>
      <w:r>
        <w:rPr>
          <w:sz w:val="22"/>
        </w:rPr>
        <w:t>A</w:t>
      </w:r>
      <w:r>
        <w:rPr>
          <w:spacing w:val="40"/>
          <w:sz w:val="22"/>
        </w:rPr>
        <w:t> </w:t>
      </w:r>
      <w:r>
        <w:rPr>
          <w:sz w:val="22"/>
        </w:rPr>
        <w:t>multicenter,</w:t>
      </w:r>
      <w:r>
        <w:rPr>
          <w:spacing w:val="40"/>
          <w:sz w:val="22"/>
        </w:rPr>
        <w:t> </w:t>
      </w:r>
      <w:r>
        <w:rPr>
          <w:sz w:val="22"/>
        </w:rPr>
        <w:t>randomized</w:t>
      </w:r>
      <w:r>
        <w:rPr>
          <w:spacing w:val="40"/>
          <w:sz w:val="22"/>
        </w:rPr>
        <w:t> </w:t>
      </w:r>
      <w:r>
        <w:rPr>
          <w:sz w:val="22"/>
        </w:rPr>
        <w:t>study</w:t>
      </w:r>
      <w:r>
        <w:rPr>
          <w:spacing w:val="40"/>
          <w:sz w:val="22"/>
        </w:rPr>
        <w:t> </w:t>
      </w:r>
      <w:r>
        <w:rPr>
          <w:sz w:val="22"/>
        </w:rPr>
        <w:t>to</w:t>
      </w:r>
      <w:r>
        <w:rPr>
          <w:spacing w:val="40"/>
          <w:sz w:val="22"/>
        </w:rPr>
        <w:t> </w:t>
      </w:r>
      <w:r>
        <w:rPr>
          <w:sz w:val="22"/>
        </w:rPr>
        <w:t>select</w:t>
      </w:r>
      <w:r>
        <w:rPr>
          <w:spacing w:val="40"/>
          <w:sz w:val="22"/>
        </w:rPr>
        <w:t> </w:t>
      </w:r>
      <w:r>
        <w:rPr>
          <w:sz w:val="22"/>
        </w:rPr>
        <w:t>the minimum effective dose of estetrol (E4) in postmenopausal women (E4Relief): part 1. Vasomotor symptoms and overall safety. </w:t>
      </w:r>
      <w:r>
        <w:rPr>
          <w:i/>
          <w:sz w:val="22"/>
        </w:rPr>
        <w:t>Menopause</w:t>
      </w:r>
      <w:r>
        <w:rPr>
          <w:sz w:val="22"/>
        </w:rPr>
        <w:t>. 2020;27(8):848-857.</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Canonico M, Oger E, Plu-Bureau G, et al. Hormone therapy and venous </w:t>
      </w:r>
      <w:r>
        <w:rPr>
          <w:sz w:val="22"/>
        </w:rPr>
        <w:t>thromboembolism among postmenopausal women: impact of the route of estrogen administration and</w:t>
      </w:r>
      <w:r>
        <w:rPr>
          <w:spacing w:val="40"/>
          <w:sz w:val="22"/>
        </w:rPr>
        <w:t> </w:t>
      </w:r>
      <w:r>
        <w:rPr>
          <w:sz w:val="22"/>
        </w:rPr>
        <w:t>progestogens: the ESTHER study. </w:t>
      </w:r>
      <w:r>
        <w:rPr>
          <w:i/>
          <w:sz w:val="22"/>
        </w:rPr>
        <w:t>Circulation</w:t>
      </w:r>
      <w:r>
        <w:rPr>
          <w:sz w:val="22"/>
        </w:rPr>
        <w:t>. 2007;115:840.</w:t>
      </w:r>
    </w:p>
    <w:p>
      <w:pPr>
        <w:pStyle w:val="ListParagraph"/>
        <w:numPr>
          <w:ilvl w:val="0"/>
          <w:numId w:val="19"/>
        </w:numPr>
        <w:tabs>
          <w:tab w:pos="699" w:val="left" w:leader="none"/>
          <w:tab w:pos="718" w:val="left" w:leader="none"/>
        </w:tabs>
        <w:spacing w:line="256" w:lineRule="auto" w:before="0" w:after="0"/>
        <w:ind w:left="718" w:right="99" w:hanging="405"/>
        <w:jc w:val="both"/>
        <w:rPr>
          <w:sz w:val="22"/>
        </w:rPr>
      </w:pPr>
      <w:r>
        <w:rPr>
          <w:sz w:val="22"/>
        </w:rPr>
        <w:t>Canonico M, Fourier A, Carcaillon L, et al. Postmenopausal hormone therapy and risk of idiopathic venous thromboembolism: results from the E3N cohort study. </w:t>
      </w:r>
      <w:r>
        <w:rPr>
          <w:i/>
          <w:sz w:val="22"/>
        </w:rPr>
        <w:t>Arterioscler Thromb</w:t>
      </w:r>
      <w:r>
        <w:rPr>
          <w:i/>
          <w:sz w:val="22"/>
        </w:rPr>
        <w:t> Vasc Biol</w:t>
      </w:r>
      <w:r>
        <w:rPr>
          <w:sz w:val="22"/>
        </w:rPr>
        <w:t>. 2010;30(2):340.</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Rossouw JE, Johnson KC, Pettinger M, et al. Tissue factor pathway inhibitor, activated protein</w:t>
      </w:r>
      <w:r>
        <w:rPr>
          <w:spacing w:val="40"/>
          <w:sz w:val="22"/>
        </w:rPr>
        <w:t> </w:t>
      </w:r>
      <w:r>
        <w:rPr>
          <w:sz w:val="22"/>
        </w:rPr>
        <w:t>C resistance, and risk of ischemic stroke due to postmenopausal hormone therapy. </w:t>
      </w:r>
      <w:r>
        <w:rPr>
          <w:i/>
          <w:sz w:val="22"/>
        </w:rPr>
        <w:t>Stroke</w:t>
      </w:r>
      <w:r>
        <w:rPr>
          <w:sz w:val="22"/>
        </w:rPr>
        <w:t>. </w:t>
      </w:r>
      <w:r>
        <w:rPr>
          <w:spacing w:val="-2"/>
          <w:sz w:val="22"/>
        </w:rPr>
        <w:t>2012;43(4):952.</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699" w:val="left" w:leader="none"/>
          <w:tab w:pos="718" w:val="left" w:leader="none"/>
        </w:tabs>
        <w:spacing w:line="256" w:lineRule="auto" w:before="84" w:after="0"/>
        <w:ind w:left="718" w:right="102" w:hanging="405"/>
        <w:jc w:val="both"/>
        <w:rPr>
          <w:sz w:val="22"/>
        </w:rPr>
      </w:pPr>
      <w:r>
        <w:rPr>
          <w:sz w:val="22"/>
        </w:rPr>
        <w:t>Pradhan AD, Manson JE, Rossouw JE, et al. Inflammatory biomarkers, hormone </w:t>
      </w:r>
      <w:r>
        <w:rPr>
          <w:sz w:val="22"/>
        </w:rPr>
        <w:t>replacement therapy, and incident coronary heart disease: prospective analysis from the Women’s Health Initiative Observational Study. </w:t>
      </w:r>
      <w:r>
        <w:rPr>
          <w:i/>
          <w:sz w:val="22"/>
        </w:rPr>
        <w:t>JAMA</w:t>
      </w:r>
      <w:r>
        <w:rPr>
          <w:sz w:val="22"/>
        </w:rPr>
        <w:t>. 2002;288(8):980.</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Sendag F, Karadadas N, Ozsener S, Bilgin O. Effects of sequential combined transdermal and oral</w:t>
      </w:r>
      <w:r>
        <w:rPr>
          <w:spacing w:val="40"/>
          <w:sz w:val="22"/>
        </w:rPr>
        <w:t> </w:t>
      </w:r>
      <w:r>
        <w:rPr>
          <w:sz w:val="22"/>
        </w:rPr>
        <w:t>hormone</w:t>
      </w:r>
      <w:r>
        <w:rPr>
          <w:spacing w:val="40"/>
          <w:sz w:val="22"/>
        </w:rPr>
        <w:t> </w:t>
      </w:r>
      <w:r>
        <w:rPr>
          <w:sz w:val="22"/>
        </w:rPr>
        <w:t>replacement</w:t>
      </w:r>
      <w:r>
        <w:rPr>
          <w:spacing w:val="40"/>
          <w:sz w:val="22"/>
        </w:rPr>
        <w:t> </w:t>
      </w:r>
      <w:r>
        <w:rPr>
          <w:sz w:val="22"/>
        </w:rPr>
        <w:t>therapies</w:t>
      </w:r>
      <w:r>
        <w:rPr>
          <w:spacing w:val="40"/>
          <w:sz w:val="22"/>
        </w:rPr>
        <w:t> </w:t>
      </w:r>
      <w:r>
        <w:rPr>
          <w:sz w:val="22"/>
        </w:rPr>
        <w:t>on</w:t>
      </w:r>
      <w:r>
        <w:rPr>
          <w:spacing w:val="40"/>
          <w:sz w:val="22"/>
        </w:rPr>
        <w:t> </w:t>
      </w:r>
      <w:r>
        <w:rPr>
          <w:sz w:val="22"/>
        </w:rPr>
        <w:t>serum</w:t>
      </w:r>
      <w:r>
        <w:rPr>
          <w:spacing w:val="40"/>
          <w:sz w:val="22"/>
        </w:rPr>
        <w:t> </w:t>
      </w:r>
      <w:r>
        <w:rPr>
          <w:sz w:val="22"/>
        </w:rPr>
        <w:t>lipid</w:t>
      </w:r>
      <w:r>
        <w:rPr>
          <w:spacing w:val="40"/>
          <w:sz w:val="22"/>
        </w:rPr>
        <w:t> </w:t>
      </w:r>
      <w:r>
        <w:rPr>
          <w:sz w:val="22"/>
        </w:rPr>
        <w:t>and</w:t>
      </w:r>
      <w:r>
        <w:rPr>
          <w:spacing w:val="40"/>
          <w:sz w:val="22"/>
        </w:rPr>
        <w:t> </w:t>
      </w:r>
      <w:r>
        <w:rPr>
          <w:sz w:val="22"/>
        </w:rPr>
        <w:t>lipoproteins</w:t>
      </w:r>
      <w:r>
        <w:rPr>
          <w:spacing w:val="40"/>
          <w:sz w:val="22"/>
        </w:rPr>
        <w:t> </w:t>
      </w:r>
      <w:r>
        <w:rPr>
          <w:sz w:val="22"/>
        </w:rPr>
        <w:t>in</w:t>
      </w:r>
      <w:r>
        <w:rPr>
          <w:spacing w:val="40"/>
          <w:sz w:val="22"/>
        </w:rPr>
        <w:t> </w:t>
      </w:r>
      <w:r>
        <w:rPr>
          <w:sz w:val="22"/>
        </w:rPr>
        <w:t>postmenopausal women. </w:t>
      </w:r>
      <w:r>
        <w:rPr>
          <w:i/>
          <w:sz w:val="22"/>
        </w:rPr>
        <w:t>Arch Gynecol Obstet</w:t>
      </w:r>
      <w:r>
        <w:rPr>
          <w:sz w:val="22"/>
        </w:rPr>
        <w:t>. 2002;266:38.</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Dansuk R, Unal O, Karageyim Y, Esim E, Turan C. Evaluation of the effect of tibolone and transdermal estradiol on triglyceride level in hypertriglyceridemic and normotriglyceridemic postmenopausal women. </w:t>
      </w:r>
      <w:r>
        <w:rPr>
          <w:i/>
          <w:sz w:val="22"/>
        </w:rPr>
        <w:t>Gynecol Endocrinol</w:t>
      </w:r>
      <w:r>
        <w:rPr>
          <w:sz w:val="22"/>
        </w:rPr>
        <w:t>. 2004;18:233.</w:t>
      </w:r>
    </w:p>
    <w:p>
      <w:pPr>
        <w:pStyle w:val="ListParagraph"/>
        <w:numPr>
          <w:ilvl w:val="0"/>
          <w:numId w:val="19"/>
        </w:numPr>
        <w:tabs>
          <w:tab w:pos="699" w:val="left" w:leader="none"/>
          <w:tab w:pos="718" w:val="left" w:leader="none"/>
        </w:tabs>
        <w:spacing w:line="256" w:lineRule="auto" w:before="0" w:after="0"/>
        <w:ind w:left="718" w:right="97" w:hanging="405"/>
        <w:jc w:val="both"/>
        <w:rPr>
          <w:sz w:val="22"/>
        </w:rPr>
      </w:pPr>
      <w:r>
        <w:rPr>
          <w:sz w:val="22"/>
        </w:rPr>
        <w:t>Bukowska H, Stanosz S, Zochowska E, et al. Does the type of hormone replacement </w:t>
      </w:r>
      <w:r>
        <w:rPr>
          <w:sz w:val="22"/>
        </w:rPr>
        <w:t>therapy affect lipoprotein (a), homocysteine, and C-reactive protein levels in postmenopausal women? </w:t>
      </w:r>
      <w:r>
        <w:rPr>
          <w:i/>
          <w:sz w:val="22"/>
        </w:rPr>
        <w:t>Metabolism</w:t>
      </w:r>
      <w:r>
        <w:rPr>
          <w:sz w:val="22"/>
        </w:rPr>
        <w:t>. 2005;54:72.</w:t>
      </w:r>
    </w:p>
    <w:p>
      <w:pPr>
        <w:pStyle w:val="ListParagraph"/>
        <w:numPr>
          <w:ilvl w:val="0"/>
          <w:numId w:val="19"/>
        </w:numPr>
        <w:tabs>
          <w:tab w:pos="699" w:val="left" w:leader="none"/>
          <w:tab w:pos="718" w:val="left" w:leader="none"/>
        </w:tabs>
        <w:spacing w:line="256" w:lineRule="auto" w:before="0" w:after="0"/>
        <w:ind w:left="718" w:right="100" w:hanging="405"/>
        <w:jc w:val="both"/>
        <w:rPr>
          <w:sz w:val="22"/>
        </w:rPr>
      </w:pPr>
      <w:r>
        <w:rPr>
          <w:sz w:val="22"/>
        </w:rPr>
        <w:t>Sanada M, Tsuda M, Kodama I, Sakashita T, Nakagawa H, Ohama K. Substitution of transdermal</w:t>
      </w:r>
      <w:r>
        <w:rPr>
          <w:spacing w:val="40"/>
          <w:sz w:val="22"/>
        </w:rPr>
        <w:t> </w:t>
      </w:r>
      <w:r>
        <w:rPr>
          <w:sz w:val="22"/>
        </w:rPr>
        <w:t>estradiol</w:t>
      </w:r>
      <w:r>
        <w:rPr>
          <w:spacing w:val="40"/>
          <w:sz w:val="22"/>
        </w:rPr>
        <w:t> </w:t>
      </w:r>
      <w:r>
        <w:rPr>
          <w:sz w:val="22"/>
        </w:rPr>
        <w:t>during</w:t>
      </w:r>
      <w:r>
        <w:rPr>
          <w:spacing w:val="40"/>
          <w:sz w:val="22"/>
        </w:rPr>
        <w:t> </w:t>
      </w:r>
      <w:r>
        <w:rPr>
          <w:sz w:val="22"/>
        </w:rPr>
        <w:t>oral</w:t>
      </w:r>
      <w:r>
        <w:rPr>
          <w:spacing w:val="40"/>
          <w:sz w:val="22"/>
        </w:rPr>
        <w:t> </w:t>
      </w:r>
      <w:r>
        <w:rPr>
          <w:sz w:val="22"/>
        </w:rPr>
        <w:t>estrogen-progestin</w:t>
      </w:r>
      <w:r>
        <w:rPr>
          <w:spacing w:val="40"/>
          <w:sz w:val="22"/>
        </w:rPr>
        <w:t> </w:t>
      </w:r>
      <w:r>
        <w:rPr>
          <w:sz w:val="22"/>
        </w:rPr>
        <w:t>therapy</w:t>
      </w:r>
      <w:r>
        <w:rPr>
          <w:spacing w:val="40"/>
          <w:sz w:val="22"/>
        </w:rPr>
        <w:t> </w:t>
      </w:r>
      <w:r>
        <w:rPr>
          <w:sz w:val="22"/>
        </w:rPr>
        <w:t>in</w:t>
      </w:r>
      <w:r>
        <w:rPr>
          <w:spacing w:val="40"/>
          <w:sz w:val="22"/>
        </w:rPr>
        <w:t> </w:t>
      </w:r>
      <w:r>
        <w:rPr>
          <w:sz w:val="22"/>
        </w:rPr>
        <w:t>postmenopausal</w:t>
      </w:r>
      <w:r>
        <w:rPr>
          <w:spacing w:val="40"/>
          <w:sz w:val="22"/>
        </w:rPr>
        <w:t> </w:t>
      </w:r>
      <w:r>
        <w:rPr>
          <w:sz w:val="22"/>
        </w:rPr>
        <w:t>women: effects on hypertriglyceridemia. </w:t>
      </w:r>
      <w:r>
        <w:rPr>
          <w:i/>
          <w:sz w:val="22"/>
        </w:rPr>
        <w:t>Menopause</w:t>
      </w:r>
      <w:r>
        <w:rPr>
          <w:sz w:val="22"/>
        </w:rPr>
        <w:t>. 2004;11:331.</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Koh KK, Ahn JY, Jin DK, et al. Effects of continuous combined hormone replacement </w:t>
      </w:r>
      <w:r>
        <w:rPr>
          <w:sz w:val="22"/>
        </w:rPr>
        <w:t>therapy on inflammation in hypertensive and/or overweight postmenopausal women. </w:t>
      </w:r>
      <w:r>
        <w:rPr>
          <w:i/>
          <w:sz w:val="22"/>
        </w:rPr>
        <w:t>Arterioscler</w:t>
      </w:r>
      <w:r>
        <w:rPr>
          <w:i/>
          <w:sz w:val="22"/>
        </w:rPr>
        <w:t> Thromb Vasc Biol</w:t>
      </w:r>
      <w:r>
        <w:rPr>
          <w:sz w:val="22"/>
        </w:rPr>
        <w:t>. 2002;22:1459.</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Silvestri A, Gebara O, Vitale C, et al. Increased levels of C-reactive protein after oral </w:t>
      </w:r>
      <w:r>
        <w:rPr>
          <w:sz w:val="22"/>
        </w:rPr>
        <w:t>hormone replacement therapy may not be related to an increased inflammatory response. </w:t>
      </w:r>
      <w:r>
        <w:rPr>
          <w:i/>
          <w:sz w:val="22"/>
        </w:rPr>
        <w:t>Circulation</w:t>
      </w:r>
      <w:r>
        <w:rPr>
          <w:sz w:val="22"/>
        </w:rPr>
        <w:t>. </w:t>
      </w:r>
      <w:r>
        <w:rPr>
          <w:spacing w:val="-2"/>
          <w:sz w:val="22"/>
        </w:rPr>
        <w:t>2003;107:3165.</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Simonsen MH, Erichsen R, Froslev T, Rungby J, Sorensen HT. Postmenopausal estrogen</w:t>
      </w:r>
      <w:r>
        <w:rPr>
          <w:spacing w:val="40"/>
          <w:sz w:val="22"/>
        </w:rPr>
        <w:t> </w:t>
      </w:r>
      <w:r>
        <w:rPr>
          <w:sz w:val="22"/>
        </w:rPr>
        <w:t>therapy and risk of gallstone disease: a population-based case-control study. </w:t>
      </w:r>
      <w:r>
        <w:rPr>
          <w:i/>
          <w:sz w:val="22"/>
        </w:rPr>
        <w:t>Drug Saf</w:t>
      </w:r>
      <w:r>
        <w:rPr>
          <w:sz w:val="22"/>
        </w:rPr>
        <w:t>. </w:t>
      </w:r>
      <w:r>
        <w:rPr>
          <w:spacing w:val="-2"/>
          <w:sz w:val="22"/>
        </w:rPr>
        <w:t>2013;36(12):1189.</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Vitale C, Gebara O, Mercuro G, et al. Value of C-reactive protein levels and IL-6 in </w:t>
      </w:r>
      <w:r>
        <w:rPr>
          <w:sz w:val="22"/>
        </w:rPr>
        <w:t>predicting events in women at increased cardiovascular risk. </w:t>
      </w:r>
      <w:r>
        <w:rPr>
          <w:i/>
          <w:sz w:val="22"/>
        </w:rPr>
        <w:t>Maturitas</w:t>
      </w:r>
      <w:r>
        <w:rPr>
          <w:sz w:val="22"/>
        </w:rPr>
        <w:t>. 2005;50:239.</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Lakoski SG, Brosnihan B, Herrington DM. Hormone therapy, C-reactive protein, </w:t>
      </w:r>
      <w:r>
        <w:rPr>
          <w:sz w:val="22"/>
        </w:rPr>
        <w:t>and progression</w:t>
      </w:r>
      <w:r>
        <w:rPr>
          <w:spacing w:val="40"/>
          <w:sz w:val="22"/>
        </w:rPr>
        <w:t> </w:t>
      </w:r>
      <w:r>
        <w:rPr>
          <w:sz w:val="22"/>
        </w:rPr>
        <w:t>of</w:t>
      </w:r>
      <w:r>
        <w:rPr>
          <w:spacing w:val="40"/>
          <w:sz w:val="22"/>
        </w:rPr>
        <w:t> </w:t>
      </w:r>
      <w:r>
        <w:rPr>
          <w:sz w:val="22"/>
        </w:rPr>
        <w:t>atherosclerosis:</w:t>
      </w:r>
      <w:r>
        <w:rPr>
          <w:spacing w:val="40"/>
          <w:sz w:val="22"/>
        </w:rPr>
        <w:t> </w:t>
      </w:r>
      <w:r>
        <w:rPr>
          <w:sz w:val="22"/>
        </w:rPr>
        <w:t>data</w:t>
      </w:r>
      <w:r>
        <w:rPr>
          <w:spacing w:val="40"/>
          <w:sz w:val="22"/>
        </w:rPr>
        <w:t> </w:t>
      </w:r>
      <w:r>
        <w:rPr>
          <w:sz w:val="22"/>
        </w:rPr>
        <w:t>from</w:t>
      </w:r>
      <w:r>
        <w:rPr>
          <w:spacing w:val="40"/>
          <w:sz w:val="22"/>
        </w:rPr>
        <w:t> </w:t>
      </w:r>
      <w:r>
        <w:rPr>
          <w:sz w:val="22"/>
        </w:rPr>
        <w:t>the</w:t>
      </w:r>
      <w:r>
        <w:rPr>
          <w:spacing w:val="40"/>
          <w:sz w:val="22"/>
        </w:rPr>
        <w:t> </w:t>
      </w:r>
      <w:r>
        <w:rPr>
          <w:sz w:val="22"/>
        </w:rPr>
        <w:t>Estrogen</w:t>
      </w:r>
      <w:r>
        <w:rPr>
          <w:spacing w:val="40"/>
          <w:sz w:val="22"/>
        </w:rPr>
        <w:t> </w:t>
      </w:r>
      <w:r>
        <w:rPr>
          <w:sz w:val="22"/>
        </w:rPr>
        <w:t>Replacement</w:t>
      </w:r>
      <w:r>
        <w:rPr>
          <w:spacing w:val="40"/>
          <w:sz w:val="22"/>
        </w:rPr>
        <w:t> </w:t>
      </w:r>
      <w:r>
        <w:rPr>
          <w:sz w:val="22"/>
        </w:rPr>
        <w:t>on</w:t>
      </w:r>
      <w:r>
        <w:rPr>
          <w:spacing w:val="40"/>
          <w:sz w:val="22"/>
        </w:rPr>
        <w:t> </w:t>
      </w:r>
      <w:r>
        <w:rPr>
          <w:sz w:val="22"/>
        </w:rPr>
        <w:t>Progression</w:t>
      </w:r>
      <w:r>
        <w:rPr>
          <w:spacing w:val="40"/>
          <w:sz w:val="22"/>
        </w:rPr>
        <w:t> </w:t>
      </w:r>
      <w:r>
        <w:rPr>
          <w:sz w:val="22"/>
        </w:rPr>
        <w:t>of Coronary Artery Atherosclerosis (ERA) trial. </w:t>
      </w:r>
      <w:r>
        <w:rPr>
          <w:i/>
          <w:sz w:val="22"/>
        </w:rPr>
        <w:t>Am Heart J</w:t>
      </w:r>
      <w:r>
        <w:rPr>
          <w:sz w:val="22"/>
        </w:rPr>
        <w:t>. 2005;150:907.</w:t>
      </w:r>
    </w:p>
    <w:p>
      <w:pPr>
        <w:pStyle w:val="ListParagraph"/>
        <w:numPr>
          <w:ilvl w:val="0"/>
          <w:numId w:val="19"/>
        </w:numPr>
        <w:tabs>
          <w:tab w:pos="699" w:val="left" w:leader="none"/>
          <w:tab w:pos="718" w:val="left" w:leader="none"/>
        </w:tabs>
        <w:spacing w:line="256" w:lineRule="auto" w:before="0" w:after="0"/>
        <w:ind w:left="718" w:right="99" w:hanging="405"/>
        <w:jc w:val="both"/>
        <w:rPr>
          <w:sz w:val="22"/>
        </w:rPr>
      </w:pPr>
      <w:r>
        <w:rPr>
          <w:sz w:val="22"/>
        </w:rPr>
        <w:t>Riggs BL, Seeman E, Hodgson SF, Taves DR, O’Fallon WM. Effect of the </w:t>
      </w:r>
      <w:r>
        <w:rPr>
          <w:sz w:val="22"/>
        </w:rPr>
        <w:t>fluoride/calcium regimen on vertebral fracture occurrence in postmenopausal osteoporosis. </w:t>
      </w:r>
      <w:r>
        <w:rPr>
          <w:i/>
          <w:sz w:val="22"/>
        </w:rPr>
        <w:t>N Engl J Med</w:t>
      </w:r>
      <w:r>
        <w:rPr>
          <w:sz w:val="22"/>
        </w:rPr>
        <w:t>. </w:t>
      </w:r>
      <w:r>
        <w:rPr>
          <w:spacing w:val="-2"/>
          <w:sz w:val="22"/>
        </w:rPr>
        <w:t>1982;306:446.</w:t>
      </w:r>
    </w:p>
    <w:p>
      <w:pPr>
        <w:pStyle w:val="ListParagraph"/>
        <w:numPr>
          <w:ilvl w:val="0"/>
          <w:numId w:val="19"/>
        </w:numPr>
        <w:tabs>
          <w:tab w:pos="699" w:val="left" w:leader="none"/>
          <w:tab w:pos="718" w:val="left" w:leader="none"/>
        </w:tabs>
        <w:spacing w:line="256" w:lineRule="auto" w:before="0" w:after="0"/>
        <w:ind w:left="718" w:right="101" w:hanging="405"/>
        <w:jc w:val="both"/>
        <w:rPr>
          <w:sz w:val="22"/>
        </w:rPr>
      </w:pPr>
      <w:r>
        <w:rPr>
          <w:sz w:val="22"/>
        </w:rPr>
        <w:t>DeVries CS, Bromley SE, Farmer RD. Myocardial infarction risk and hormone </w:t>
      </w:r>
      <w:r>
        <w:rPr>
          <w:sz w:val="22"/>
        </w:rPr>
        <w:t>replacement: differences between products. </w:t>
      </w:r>
      <w:r>
        <w:rPr>
          <w:i/>
          <w:sz w:val="22"/>
        </w:rPr>
        <w:t>Maturitas</w:t>
      </w:r>
      <w:r>
        <w:rPr>
          <w:sz w:val="22"/>
        </w:rPr>
        <w:t>. 2006;53:343.</w:t>
      </w:r>
    </w:p>
    <w:p>
      <w:pPr>
        <w:pStyle w:val="ListParagraph"/>
        <w:numPr>
          <w:ilvl w:val="0"/>
          <w:numId w:val="19"/>
        </w:numPr>
        <w:tabs>
          <w:tab w:pos="699" w:val="left" w:leader="none"/>
          <w:tab w:pos="718" w:val="left" w:leader="none"/>
        </w:tabs>
        <w:spacing w:line="256" w:lineRule="auto" w:before="0" w:after="0"/>
        <w:ind w:left="718" w:right="104" w:hanging="405"/>
        <w:jc w:val="both"/>
        <w:rPr>
          <w:sz w:val="22"/>
        </w:rPr>
      </w:pPr>
      <w:r>
        <w:rPr>
          <w:sz w:val="22"/>
        </w:rPr>
        <w:t>Lovre</w:t>
      </w:r>
      <w:r>
        <w:rPr>
          <w:spacing w:val="40"/>
          <w:sz w:val="22"/>
        </w:rPr>
        <w:t> </w:t>
      </w:r>
      <w:r>
        <w:rPr>
          <w:sz w:val="22"/>
        </w:rPr>
        <w:t>D,</w:t>
      </w:r>
      <w:r>
        <w:rPr>
          <w:spacing w:val="40"/>
          <w:sz w:val="22"/>
        </w:rPr>
        <w:t> </w:t>
      </w:r>
      <w:r>
        <w:rPr>
          <w:sz w:val="22"/>
        </w:rPr>
        <w:t>Lindsey</w:t>
      </w:r>
      <w:r>
        <w:rPr>
          <w:spacing w:val="40"/>
          <w:sz w:val="22"/>
        </w:rPr>
        <w:t> </w:t>
      </w:r>
      <w:r>
        <w:rPr>
          <w:sz w:val="22"/>
        </w:rPr>
        <w:t>SH,</w:t>
      </w:r>
      <w:r>
        <w:rPr>
          <w:spacing w:val="40"/>
          <w:sz w:val="22"/>
        </w:rPr>
        <w:t> </w:t>
      </w:r>
      <w:r>
        <w:rPr>
          <w:sz w:val="22"/>
        </w:rPr>
        <w:t>Mauvais-Jarvis</w:t>
      </w:r>
      <w:r>
        <w:rPr>
          <w:spacing w:val="40"/>
          <w:sz w:val="22"/>
        </w:rPr>
        <w:t> </w:t>
      </w:r>
      <w:r>
        <w:rPr>
          <w:sz w:val="22"/>
        </w:rPr>
        <w:t>F.</w:t>
      </w:r>
      <w:r>
        <w:rPr>
          <w:spacing w:val="40"/>
          <w:sz w:val="22"/>
        </w:rPr>
        <w:t> </w:t>
      </w:r>
      <w:r>
        <w:rPr>
          <w:sz w:val="22"/>
        </w:rPr>
        <w:t>Effect</w:t>
      </w:r>
      <w:r>
        <w:rPr>
          <w:spacing w:val="40"/>
          <w:sz w:val="22"/>
        </w:rPr>
        <w:t> </w:t>
      </w:r>
      <w:r>
        <w:rPr>
          <w:sz w:val="22"/>
        </w:rPr>
        <w:t>of</w:t>
      </w:r>
      <w:r>
        <w:rPr>
          <w:spacing w:val="40"/>
          <w:sz w:val="22"/>
        </w:rPr>
        <w:t> </w:t>
      </w:r>
      <w:r>
        <w:rPr>
          <w:sz w:val="22"/>
        </w:rPr>
        <w:t>menopausal</w:t>
      </w:r>
      <w:r>
        <w:rPr>
          <w:spacing w:val="40"/>
          <w:sz w:val="22"/>
        </w:rPr>
        <w:t> </w:t>
      </w:r>
      <w:r>
        <w:rPr>
          <w:sz w:val="22"/>
        </w:rPr>
        <w:t>hormone</w:t>
      </w:r>
      <w:r>
        <w:rPr>
          <w:spacing w:val="40"/>
          <w:sz w:val="22"/>
        </w:rPr>
        <w:t> </w:t>
      </w:r>
      <w:r>
        <w:rPr>
          <w:sz w:val="22"/>
        </w:rPr>
        <w:t>therapy</w:t>
      </w:r>
      <w:r>
        <w:rPr>
          <w:spacing w:val="40"/>
          <w:sz w:val="22"/>
        </w:rPr>
        <w:t> </w:t>
      </w:r>
      <w:r>
        <w:rPr>
          <w:sz w:val="22"/>
        </w:rPr>
        <w:t>on components of the metabolic syndrome. </w:t>
      </w:r>
      <w:r>
        <w:rPr>
          <w:i/>
          <w:sz w:val="22"/>
        </w:rPr>
        <w:t>Ther Adv Cardiovasc Dis</w:t>
      </w:r>
      <w:r>
        <w:rPr>
          <w:sz w:val="22"/>
        </w:rPr>
        <w:t>. 2016;11(1):33.</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Wild</w:t>
      </w:r>
      <w:r>
        <w:rPr>
          <w:spacing w:val="40"/>
          <w:sz w:val="22"/>
        </w:rPr>
        <w:t> </w:t>
      </w:r>
      <w:r>
        <w:rPr>
          <w:sz w:val="22"/>
        </w:rPr>
        <w:t>RA,</w:t>
      </w:r>
      <w:r>
        <w:rPr>
          <w:spacing w:val="40"/>
          <w:sz w:val="22"/>
        </w:rPr>
        <w:t> </w:t>
      </w:r>
      <w:r>
        <w:rPr>
          <w:sz w:val="22"/>
        </w:rPr>
        <w:t>Wu</w:t>
      </w:r>
      <w:r>
        <w:rPr>
          <w:spacing w:val="40"/>
          <w:sz w:val="22"/>
        </w:rPr>
        <w:t> </w:t>
      </w:r>
      <w:r>
        <w:rPr>
          <w:sz w:val="22"/>
        </w:rPr>
        <w:t>C,</w:t>
      </w:r>
      <w:r>
        <w:rPr>
          <w:spacing w:val="40"/>
          <w:sz w:val="22"/>
        </w:rPr>
        <w:t> </w:t>
      </w:r>
      <w:r>
        <w:rPr>
          <w:sz w:val="22"/>
        </w:rPr>
        <w:t>Curb</w:t>
      </w:r>
      <w:r>
        <w:rPr>
          <w:spacing w:val="40"/>
          <w:sz w:val="22"/>
        </w:rPr>
        <w:t> </w:t>
      </w:r>
      <w:r>
        <w:rPr>
          <w:sz w:val="22"/>
        </w:rPr>
        <w:t>JD,</w:t>
      </w:r>
      <w:r>
        <w:rPr>
          <w:spacing w:val="40"/>
          <w:sz w:val="22"/>
        </w:rPr>
        <w:t> </w:t>
      </w:r>
      <w:r>
        <w:rPr>
          <w:sz w:val="22"/>
        </w:rPr>
        <w:t>et</w:t>
      </w:r>
      <w:r>
        <w:rPr>
          <w:spacing w:val="40"/>
          <w:sz w:val="22"/>
        </w:rPr>
        <w:t> </w:t>
      </w:r>
      <w:r>
        <w:rPr>
          <w:sz w:val="22"/>
        </w:rPr>
        <w:t>al.</w:t>
      </w:r>
      <w:r>
        <w:rPr>
          <w:spacing w:val="40"/>
          <w:sz w:val="22"/>
        </w:rPr>
        <w:t> </w:t>
      </w:r>
      <w:r>
        <w:rPr>
          <w:sz w:val="22"/>
        </w:rPr>
        <w:t>Coronary</w:t>
      </w:r>
      <w:r>
        <w:rPr>
          <w:spacing w:val="40"/>
          <w:sz w:val="22"/>
        </w:rPr>
        <w:t> </w:t>
      </w:r>
      <w:r>
        <w:rPr>
          <w:sz w:val="22"/>
        </w:rPr>
        <w:t>heart</w:t>
      </w:r>
      <w:r>
        <w:rPr>
          <w:spacing w:val="40"/>
          <w:sz w:val="22"/>
        </w:rPr>
        <w:t> </w:t>
      </w:r>
      <w:r>
        <w:rPr>
          <w:sz w:val="22"/>
        </w:rPr>
        <w:t>disease</w:t>
      </w:r>
      <w:r>
        <w:rPr>
          <w:spacing w:val="40"/>
          <w:sz w:val="22"/>
        </w:rPr>
        <w:t> </w:t>
      </w:r>
      <w:r>
        <w:rPr>
          <w:sz w:val="22"/>
        </w:rPr>
        <w:t>events</w:t>
      </w:r>
      <w:r>
        <w:rPr>
          <w:spacing w:val="40"/>
          <w:sz w:val="22"/>
        </w:rPr>
        <w:t> </w:t>
      </w:r>
      <w:r>
        <w:rPr>
          <w:sz w:val="22"/>
        </w:rPr>
        <w:t>in</w:t>
      </w:r>
      <w:r>
        <w:rPr>
          <w:spacing w:val="40"/>
          <w:sz w:val="22"/>
        </w:rPr>
        <w:t> </w:t>
      </w:r>
      <w:r>
        <w:rPr>
          <w:sz w:val="22"/>
        </w:rPr>
        <w:t>the</w:t>
      </w:r>
      <w:r>
        <w:rPr>
          <w:spacing w:val="40"/>
          <w:sz w:val="22"/>
        </w:rPr>
        <w:t> </w:t>
      </w:r>
      <w:r>
        <w:rPr>
          <w:sz w:val="22"/>
        </w:rPr>
        <w:t>Women’s</w:t>
      </w:r>
      <w:r>
        <w:rPr>
          <w:spacing w:val="40"/>
          <w:sz w:val="22"/>
        </w:rPr>
        <w:t> </w:t>
      </w:r>
      <w:r>
        <w:rPr>
          <w:sz w:val="22"/>
        </w:rPr>
        <w:t>Health Initiative hormone trials: effect modification by metabolic syndrome: a nested case-</w:t>
      </w:r>
      <w:r>
        <w:rPr>
          <w:sz w:val="22"/>
        </w:rPr>
        <w:t>control</w:t>
      </w:r>
      <w:r>
        <w:rPr>
          <w:spacing w:val="80"/>
          <w:sz w:val="22"/>
        </w:rPr>
        <w:t> </w:t>
      </w:r>
      <w:r>
        <w:rPr>
          <w:sz w:val="22"/>
        </w:rPr>
        <w:t>study within the Women’s Health Initiative randomized clinical trials. </w:t>
      </w:r>
      <w:r>
        <w:rPr>
          <w:i/>
          <w:sz w:val="22"/>
        </w:rPr>
        <w:t>Menopause</w:t>
      </w:r>
      <w:r>
        <w:rPr>
          <w:sz w:val="22"/>
        </w:rPr>
        <w:t>. </w:t>
      </w:r>
      <w:r>
        <w:rPr>
          <w:spacing w:val="-2"/>
          <w:sz w:val="22"/>
        </w:rPr>
        <w:t>2013;20(3):254.</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Vinogradova</w:t>
      </w:r>
      <w:r>
        <w:rPr>
          <w:spacing w:val="26"/>
          <w:sz w:val="22"/>
        </w:rPr>
        <w:t> </w:t>
      </w:r>
      <w:r>
        <w:rPr>
          <w:sz w:val="22"/>
        </w:rPr>
        <w:t>Y,</w:t>
      </w:r>
      <w:r>
        <w:rPr>
          <w:spacing w:val="26"/>
          <w:sz w:val="22"/>
        </w:rPr>
        <w:t> </w:t>
      </w:r>
      <w:r>
        <w:rPr>
          <w:sz w:val="22"/>
        </w:rPr>
        <w:t>Coupland</w:t>
      </w:r>
      <w:r>
        <w:rPr>
          <w:spacing w:val="26"/>
          <w:sz w:val="22"/>
        </w:rPr>
        <w:t> </w:t>
      </w:r>
      <w:r>
        <w:rPr>
          <w:sz w:val="22"/>
        </w:rPr>
        <w:t>C,</w:t>
      </w:r>
      <w:r>
        <w:rPr>
          <w:spacing w:val="26"/>
          <w:sz w:val="22"/>
        </w:rPr>
        <w:t> </w:t>
      </w:r>
      <w:r>
        <w:rPr>
          <w:sz w:val="22"/>
        </w:rPr>
        <w:t>Hippisley-Cox</w:t>
      </w:r>
      <w:r>
        <w:rPr>
          <w:spacing w:val="26"/>
          <w:sz w:val="22"/>
        </w:rPr>
        <w:t> </w:t>
      </w:r>
      <w:r>
        <w:rPr>
          <w:sz w:val="22"/>
        </w:rPr>
        <w:t>J.</w:t>
      </w:r>
      <w:r>
        <w:rPr>
          <w:spacing w:val="26"/>
          <w:sz w:val="22"/>
        </w:rPr>
        <w:t> </w:t>
      </w:r>
      <w:r>
        <w:rPr>
          <w:sz w:val="22"/>
        </w:rPr>
        <w:t>Use</w:t>
      </w:r>
      <w:r>
        <w:rPr>
          <w:spacing w:val="26"/>
          <w:sz w:val="22"/>
        </w:rPr>
        <w:t> </w:t>
      </w:r>
      <w:r>
        <w:rPr>
          <w:sz w:val="22"/>
        </w:rPr>
        <w:t>of</w:t>
      </w:r>
      <w:r>
        <w:rPr>
          <w:spacing w:val="26"/>
          <w:sz w:val="22"/>
        </w:rPr>
        <w:t> </w:t>
      </w:r>
      <w:r>
        <w:rPr>
          <w:sz w:val="22"/>
        </w:rPr>
        <w:t>hormone</w:t>
      </w:r>
      <w:r>
        <w:rPr>
          <w:spacing w:val="26"/>
          <w:sz w:val="22"/>
        </w:rPr>
        <w:t> </w:t>
      </w:r>
      <w:r>
        <w:rPr>
          <w:sz w:val="22"/>
        </w:rPr>
        <w:t>replacement</w:t>
      </w:r>
      <w:r>
        <w:rPr>
          <w:spacing w:val="26"/>
          <w:sz w:val="22"/>
        </w:rPr>
        <w:t> </w:t>
      </w:r>
      <w:r>
        <w:rPr>
          <w:sz w:val="22"/>
        </w:rPr>
        <w:t>therapy</w:t>
      </w:r>
      <w:r>
        <w:rPr>
          <w:spacing w:val="26"/>
          <w:sz w:val="22"/>
        </w:rPr>
        <w:t> </w:t>
      </w:r>
      <w:r>
        <w:rPr>
          <w:sz w:val="22"/>
        </w:rPr>
        <w:t>and</w:t>
      </w:r>
      <w:r>
        <w:rPr>
          <w:spacing w:val="26"/>
          <w:sz w:val="22"/>
        </w:rPr>
        <w:t> </w:t>
      </w:r>
      <w:r>
        <w:rPr>
          <w:sz w:val="22"/>
        </w:rPr>
        <w:t>risk of venous thromboembolism: nested case-control studies using the QResearch and </w:t>
      </w:r>
      <w:r>
        <w:rPr>
          <w:sz w:val="22"/>
        </w:rPr>
        <w:t>CPRD databases [published correction appears in </w:t>
      </w:r>
      <w:r>
        <w:rPr>
          <w:i/>
          <w:sz w:val="22"/>
        </w:rPr>
        <w:t>BMJ</w:t>
      </w:r>
      <w:r>
        <w:rPr>
          <w:sz w:val="22"/>
        </w:rPr>
        <w:t>. 2019;364:l162]. </w:t>
      </w:r>
      <w:r>
        <w:rPr>
          <w:i/>
          <w:sz w:val="22"/>
        </w:rPr>
        <w:t>BMJ</w:t>
      </w:r>
      <w:r>
        <w:rPr>
          <w:sz w:val="22"/>
        </w:rPr>
        <w:t>. 2019;364:k4810.</w:t>
      </w:r>
    </w:p>
    <w:p>
      <w:pPr>
        <w:pStyle w:val="ListParagraph"/>
        <w:numPr>
          <w:ilvl w:val="0"/>
          <w:numId w:val="19"/>
        </w:numPr>
        <w:tabs>
          <w:tab w:pos="699" w:val="left" w:leader="none"/>
          <w:tab w:pos="718" w:val="left" w:leader="none"/>
        </w:tabs>
        <w:spacing w:line="256" w:lineRule="auto" w:before="0" w:after="0"/>
        <w:ind w:left="718" w:right="99" w:hanging="405"/>
        <w:jc w:val="both"/>
        <w:rPr>
          <w:sz w:val="22"/>
        </w:rPr>
      </w:pPr>
      <w:r>
        <w:rPr>
          <w:sz w:val="22"/>
        </w:rPr>
        <w:t>Gordon JL, Rubinow DR, Watkins L, Hinderliter AL, Caughey MC, Girdler SS. The effect of perimenopausal transdermal estradiol and micronized progesterone on markers of risk </w:t>
      </w:r>
      <w:r>
        <w:rPr>
          <w:sz w:val="22"/>
        </w:rPr>
        <w:t>for</w:t>
      </w:r>
      <w:r>
        <w:rPr>
          <w:spacing w:val="40"/>
          <w:sz w:val="22"/>
        </w:rPr>
        <w:t> </w:t>
      </w:r>
      <w:r>
        <w:rPr>
          <w:sz w:val="22"/>
        </w:rPr>
        <w:t>arterial disease. </w:t>
      </w:r>
      <w:r>
        <w:rPr>
          <w:i/>
          <w:sz w:val="22"/>
        </w:rPr>
        <w:t>J Clin Endocrinol Metab</w:t>
      </w:r>
      <w:r>
        <w:rPr>
          <w:sz w:val="22"/>
        </w:rPr>
        <w:t>. 2020;105(5):e2050-e2060.</w:t>
      </w:r>
    </w:p>
    <w:p>
      <w:pPr>
        <w:pStyle w:val="ListParagraph"/>
        <w:numPr>
          <w:ilvl w:val="0"/>
          <w:numId w:val="19"/>
        </w:numPr>
        <w:tabs>
          <w:tab w:pos="699" w:val="left" w:leader="none"/>
          <w:tab w:pos="718" w:val="left" w:leader="none"/>
        </w:tabs>
        <w:spacing w:line="256" w:lineRule="auto" w:before="0" w:after="0"/>
        <w:ind w:left="718" w:right="101" w:hanging="405"/>
        <w:jc w:val="both"/>
        <w:rPr>
          <w:sz w:val="22"/>
        </w:rPr>
      </w:pPr>
      <w:r>
        <w:rPr>
          <w:sz w:val="22"/>
        </w:rPr>
        <w:t>Chu MC, Cosper P, Nakhuda GS, Lobo RA. A comparison of oral and transdermal short-term estrogen</w:t>
      </w:r>
      <w:r>
        <w:rPr>
          <w:spacing w:val="35"/>
          <w:sz w:val="22"/>
        </w:rPr>
        <w:t>  </w:t>
      </w:r>
      <w:r>
        <w:rPr>
          <w:sz w:val="22"/>
        </w:rPr>
        <w:t>therapy</w:t>
      </w:r>
      <w:r>
        <w:rPr>
          <w:spacing w:val="35"/>
          <w:sz w:val="22"/>
        </w:rPr>
        <w:t>  </w:t>
      </w:r>
      <w:r>
        <w:rPr>
          <w:sz w:val="22"/>
        </w:rPr>
        <w:t>in</w:t>
      </w:r>
      <w:r>
        <w:rPr>
          <w:spacing w:val="35"/>
          <w:sz w:val="22"/>
        </w:rPr>
        <w:t>  </w:t>
      </w:r>
      <w:r>
        <w:rPr>
          <w:sz w:val="22"/>
        </w:rPr>
        <w:t>postmenopausal</w:t>
      </w:r>
      <w:r>
        <w:rPr>
          <w:spacing w:val="35"/>
          <w:sz w:val="22"/>
        </w:rPr>
        <w:t>  </w:t>
      </w:r>
      <w:r>
        <w:rPr>
          <w:sz w:val="22"/>
        </w:rPr>
        <w:t>women</w:t>
      </w:r>
      <w:r>
        <w:rPr>
          <w:spacing w:val="35"/>
          <w:sz w:val="22"/>
        </w:rPr>
        <w:t>  </w:t>
      </w:r>
      <w:r>
        <w:rPr>
          <w:sz w:val="22"/>
        </w:rPr>
        <w:t>with</w:t>
      </w:r>
      <w:r>
        <w:rPr>
          <w:spacing w:val="35"/>
          <w:sz w:val="22"/>
        </w:rPr>
        <w:t>  </w:t>
      </w:r>
      <w:r>
        <w:rPr>
          <w:sz w:val="22"/>
        </w:rPr>
        <w:t>metabolic</w:t>
      </w:r>
      <w:r>
        <w:rPr>
          <w:spacing w:val="35"/>
          <w:sz w:val="22"/>
        </w:rPr>
        <w:t>  </w:t>
      </w:r>
      <w:r>
        <w:rPr>
          <w:sz w:val="22"/>
        </w:rPr>
        <w:t>syndrome.</w:t>
      </w:r>
      <w:r>
        <w:rPr>
          <w:spacing w:val="35"/>
          <w:sz w:val="22"/>
        </w:rPr>
        <w:t>  </w:t>
      </w:r>
      <w:r>
        <w:rPr>
          <w:i/>
          <w:sz w:val="22"/>
        </w:rPr>
        <w:t>Fertil</w:t>
      </w:r>
      <w:r>
        <w:rPr>
          <w:i/>
          <w:spacing w:val="40"/>
          <w:sz w:val="22"/>
        </w:rPr>
        <w:t>  </w:t>
      </w:r>
      <w:r>
        <w:rPr>
          <w:i/>
          <w:sz w:val="22"/>
        </w:rPr>
        <w:t>Steril</w:t>
      </w:r>
      <w:r>
        <w:rPr>
          <w:sz w:val="22"/>
        </w:rPr>
        <w:t>.</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left"/>
        <w:rPr>
          <w:sz w:val="22"/>
        </w:rPr>
      </w:pPr>
      <w:r>
        <w:rPr>
          <w:spacing w:val="-2"/>
          <w:sz w:val="22"/>
        </w:rPr>
        <w:t>2006;86:1669.</w:t>
      </w:r>
    </w:p>
    <w:p>
      <w:pPr>
        <w:pStyle w:val="ListParagraph"/>
        <w:numPr>
          <w:ilvl w:val="0"/>
          <w:numId w:val="19"/>
        </w:numPr>
        <w:tabs>
          <w:tab w:pos="699" w:val="left" w:leader="none"/>
          <w:tab w:pos="718" w:val="left" w:leader="none"/>
        </w:tabs>
        <w:spacing w:line="256" w:lineRule="auto" w:before="17" w:after="0"/>
        <w:ind w:left="718" w:right="105" w:hanging="405"/>
        <w:jc w:val="both"/>
        <w:rPr>
          <w:sz w:val="22"/>
        </w:rPr>
      </w:pPr>
      <w:r>
        <w:rPr>
          <w:sz w:val="22"/>
        </w:rPr>
        <w:t>Girdler SS, Hinderliter AL, Wells EC, Sherwood A, Grewen KM, Light KC. </w:t>
      </w:r>
      <w:r>
        <w:rPr>
          <w:sz w:val="22"/>
        </w:rPr>
        <w:t>Transdermal</w:t>
      </w:r>
      <w:r>
        <w:rPr>
          <w:spacing w:val="80"/>
          <w:sz w:val="22"/>
        </w:rPr>
        <w:t> </w:t>
      </w:r>
      <w:r>
        <w:rPr>
          <w:sz w:val="22"/>
        </w:rPr>
        <w:t>versus</w:t>
      </w:r>
      <w:r>
        <w:rPr>
          <w:spacing w:val="40"/>
          <w:sz w:val="22"/>
        </w:rPr>
        <w:t> </w:t>
      </w:r>
      <w:r>
        <w:rPr>
          <w:sz w:val="22"/>
        </w:rPr>
        <w:t>oral</w:t>
      </w:r>
      <w:r>
        <w:rPr>
          <w:spacing w:val="40"/>
          <w:sz w:val="22"/>
        </w:rPr>
        <w:t> </w:t>
      </w:r>
      <w:r>
        <w:rPr>
          <w:sz w:val="22"/>
        </w:rPr>
        <w:t>estrogen</w:t>
      </w:r>
      <w:r>
        <w:rPr>
          <w:spacing w:val="40"/>
          <w:sz w:val="22"/>
        </w:rPr>
        <w:t> </w:t>
      </w:r>
      <w:r>
        <w:rPr>
          <w:sz w:val="22"/>
        </w:rPr>
        <w:t>therapy</w:t>
      </w:r>
      <w:r>
        <w:rPr>
          <w:spacing w:val="40"/>
          <w:sz w:val="22"/>
        </w:rPr>
        <w:t> </w:t>
      </w:r>
      <w:r>
        <w:rPr>
          <w:sz w:val="22"/>
        </w:rPr>
        <w:t>in</w:t>
      </w:r>
      <w:r>
        <w:rPr>
          <w:spacing w:val="40"/>
          <w:sz w:val="22"/>
        </w:rPr>
        <w:t> </w:t>
      </w:r>
      <w:r>
        <w:rPr>
          <w:sz w:val="22"/>
        </w:rPr>
        <w:t>postmenopausal</w:t>
      </w:r>
      <w:r>
        <w:rPr>
          <w:spacing w:val="40"/>
          <w:sz w:val="22"/>
        </w:rPr>
        <w:t> </w:t>
      </w:r>
      <w:r>
        <w:rPr>
          <w:sz w:val="22"/>
        </w:rPr>
        <w:t>smokers:</w:t>
      </w:r>
      <w:r>
        <w:rPr>
          <w:spacing w:val="40"/>
          <w:sz w:val="22"/>
        </w:rPr>
        <w:t> </w:t>
      </w:r>
      <w:r>
        <w:rPr>
          <w:sz w:val="22"/>
        </w:rPr>
        <w:t>hemodynamic</w:t>
      </w:r>
      <w:r>
        <w:rPr>
          <w:spacing w:val="40"/>
          <w:sz w:val="22"/>
        </w:rPr>
        <w:t> </w:t>
      </w:r>
      <w:r>
        <w:rPr>
          <w:sz w:val="22"/>
        </w:rPr>
        <w:t>and</w:t>
      </w:r>
      <w:r>
        <w:rPr>
          <w:spacing w:val="40"/>
          <w:sz w:val="22"/>
        </w:rPr>
        <w:t> </w:t>
      </w:r>
      <w:r>
        <w:rPr>
          <w:sz w:val="22"/>
        </w:rPr>
        <w:t>endothelial effects. </w:t>
      </w:r>
      <w:r>
        <w:rPr>
          <w:i/>
          <w:sz w:val="22"/>
        </w:rPr>
        <w:t>Obstet Gynecol</w:t>
      </w:r>
      <w:r>
        <w:rPr>
          <w:sz w:val="22"/>
        </w:rPr>
        <w:t>. 2004;103:169.</w:t>
      </w:r>
    </w:p>
    <w:p>
      <w:pPr>
        <w:pStyle w:val="ListParagraph"/>
        <w:numPr>
          <w:ilvl w:val="0"/>
          <w:numId w:val="19"/>
        </w:numPr>
        <w:tabs>
          <w:tab w:pos="699" w:val="left" w:leader="none"/>
          <w:tab w:pos="718" w:val="left" w:leader="none"/>
        </w:tabs>
        <w:spacing w:line="256" w:lineRule="auto" w:before="0" w:after="0"/>
        <w:ind w:left="718" w:right="100" w:hanging="405"/>
        <w:jc w:val="both"/>
        <w:rPr>
          <w:sz w:val="22"/>
        </w:rPr>
      </w:pPr>
      <w:r>
        <w:rPr>
          <w:sz w:val="22"/>
        </w:rPr>
        <w:t>Mancini F, Persico N, Genazzani AD, Volpe A, Battaglia C, De Aloysio D. Effects of hormone replacement</w:t>
      </w:r>
      <w:r>
        <w:rPr>
          <w:spacing w:val="40"/>
          <w:sz w:val="22"/>
        </w:rPr>
        <w:t> </w:t>
      </w:r>
      <w:r>
        <w:rPr>
          <w:sz w:val="22"/>
        </w:rPr>
        <w:t>therapy</w:t>
      </w:r>
      <w:r>
        <w:rPr>
          <w:spacing w:val="40"/>
          <w:sz w:val="22"/>
        </w:rPr>
        <w:t> </w:t>
      </w:r>
      <w:r>
        <w:rPr>
          <w:sz w:val="22"/>
        </w:rPr>
        <w:t>on</w:t>
      </w:r>
      <w:r>
        <w:rPr>
          <w:spacing w:val="40"/>
          <w:sz w:val="22"/>
        </w:rPr>
        <w:t> </w:t>
      </w:r>
      <w:r>
        <w:rPr>
          <w:sz w:val="22"/>
        </w:rPr>
        <w:t>plasma</w:t>
      </w:r>
      <w:r>
        <w:rPr>
          <w:spacing w:val="40"/>
          <w:sz w:val="22"/>
        </w:rPr>
        <w:t> </w:t>
      </w:r>
      <w:r>
        <w:rPr>
          <w:sz w:val="22"/>
        </w:rPr>
        <w:t>viscosity</w:t>
      </w:r>
      <w:r>
        <w:rPr>
          <w:spacing w:val="40"/>
          <w:sz w:val="22"/>
        </w:rPr>
        <w:t> </w:t>
      </w:r>
      <w:r>
        <w:rPr>
          <w:sz w:val="22"/>
        </w:rPr>
        <w:t>and</w:t>
      </w:r>
      <w:r>
        <w:rPr>
          <w:spacing w:val="40"/>
          <w:sz w:val="22"/>
        </w:rPr>
        <w:t> </w:t>
      </w:r>
      <w:r>
        <w:rPr>
          <w:sz w:val="22"/>
        </w:rPr>
        <w:t>Doppler</w:t>
      </w:r>
      <w:r>
        <w:rPr>
          <w:spacing w:val="40"/>
          <w:sz w:val="22"/>
        </w:rPr>
        <w:t> </w:t>
      </w:r>
      <w:r>
        <w:rPr>
          <w:sz w:val="22"/>
        </w:rPr>
        <w:t>variations</w:t>
      </w:r>
      <w:r>
        <w:rPr>
          <w:spacing w:val="40"/>
          <w:sz w:val="22"/>
        </w:rPr>
        <w:t> </w:t>
      </w:r>
      <w:r>
        <w:rPr>
          <w:sz w:val="22"/>
        </w:rPr>
        <w:t>in</w:t>
      </w:r>
      <w:r>
        <w:rPr>
          <w:spacing w:val="40"/>
          <w:sz w:val="22"/>
        </w:rPr>
        <w:t> </w:t>
      </w:r>
      <w:r>
        <w:rPr>
          <w:sz w:val="22"/>
        </w:rPr>
        <w:t>postmenopausal</w:t>
      </w:r>
      <w:r>
        <w:rPr>
          <w:spacing w:val="40"/>
          <w:sz w:val="22"/>
        </w:rPr>
        <w:t> </w:t>
      </w:r>
      <w:r>
        <w:rPr>
          <w:sz w:val="22"/>
        </w:rPr>
        <w:t>non-smokers and heavy smokers. </w:t>
      </w:r>
      <w:r>
        <w:rPr>
          <w:i/>
          <w:sz w:val="22"/>
        </w:rPr>
        <w:t>Gynecol Endocrinol</w:t>
      </w:r>
      <w:r>
        <w:rPr>
          <w:sz w:val="22"/>
        </w:rPr>
        <w:t>. 2005;20:221.</w:t>
      </w:r>
    </w:p>
    <w:p>
      <w:pPr>
        <w:pStyle w:val="ListParagraph"/>
        <w:numPr>
          <w:ilvl w:val="0"/>
          <w:numId w:val="19"/>
        </w:numPr>
        <w:tabs>
          <w:tab w:pos="699" w:val="left" w:leader="none"/>
          <w:tab w:pos="718" w:val="left" w:leader="none"/>
        </w:tabs>
        <w:spacing w:line="256" w:lineRule="auto" w:before="0" w:after="0"/>
        <w:ind w:left="718" w:right="108" w:hanging="405"/>
        <w:jc w:val="both"/>
        <w:rPr>
          <w:sz w:val="22"/>
        </w:rPr>
      </w:pPr>
      <w:r>
        <w:rPr>
          <w:sz w:val="22"/>
        </w:rPr>
        <w:t>Araujo DA, Farias ML, Andrade AT. Effects of transdermal and oral estrogen replacement on lipids and glucose metabolism in postmenopausal women with type 2 diabetes mellitus. </w:t>
      </w:r>
      <w:r>
        <w:rPr>
          <w:i/>
          <w:sz w:val="22"/>
        </w:rPr>
        <w:t>Climacteric</w:t>
      </w:r>
      <w:r>
        <w:rPr>
          <w:sz w:val="22"/>
        </w:rPr>
        <w:t>. 2002;5:286.</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Sztefko K, Rogatko I, Milewicz T, Jozef K, Tomasik PJ, Szafran Z. Effect of hormone </w:t>
      </w:r>
      <w:r>
        <w:rPr>
          <w:sz w:val="22"/>
        </w:rPr>
        <w:t>therapy on the enteroinsular axis. </w:t>
      </w:r>
      <w:r>
        <w:rPr>
          <w:i/>
          <w:sz w:val="22"/>
        </w:rPr>
        <w:t>Menopause</w:t>
      </w:r>
      <w:r>
        <w:rPr>
          <w:sz w:val="22"/>
        </w:rPr>
        <w:t>. 2005;12:630.</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Margolis KL, Bonds DE, Roadabough RJ, et al. Effect of oestrogen plus progestin on the incidence of diabetes in postmenopausal women: results from the Women’s Health Initiative hormone trial. </w:t>
      </w:r>
      <w:r>
        <w:rPr>
          <w:i/>
          <w:sz w:val="22"/>
        </w:rPr>
        <w:t>Diabetologia</w:t>
      </w:r>
      <w:r>
        <w:rPr>
          <w:sz w:val="22"/>
        </w:rPr>
        <w:t>. 2004;47:1175.</w:t>
      </w:r>
    </w:p>
    <w:p>
      <w:pPr>
        <w:pStyle w:val="ListParagraph"/>
        <w:numPr>
          <w:ilvl w:val="0"/>
          <w:numId w:val="19"/>
        </w:numPr>
        <w:tabs>
          <w:tab w:pos="699" w:val="left" w:leader="none"/>
          <w:tab w:pos="718" w:val="left" w:leader="none"/>
        </w:tabs>
        <w:spacing w:line="256" w:lineRule="auto" w:before="0" w:after="0"/>
        <w:ind w:left="718" w:right="105" w:hanging="405"/>
        <w:jc w:val="both"/>
        <w:rPr>
          <w:sz w:val="22"/>
        </w:rPr>
      </w:pPr>
      <w:r>
        <w:rPr>
          <w:sz w:val="22"/>
        </w:rPr>
        <w:t>Yüksel H, Odabasi AR, Demircan S, Köseoglu K, Kizilkaya K, Onur E. Effects of postmenopausal hormone replacement therapy on body fat composition. </w:t>
      </w:r>
      <w:r>
        <w:rPr>
          <w:i/>
          <w:sz w:val="22"/>
        </w:rPr>
        <w:t>Gynecol </w:t>
      </w:r>
      <w:r>
        <w:rPr>
          <w:i/>
          <w:sz w:val="22"/>
        </w:rPr>
        <w:t>Endocrinol</w:t>
      </w:r>
      <w:r>
        <w:rPr>
          <w:sz w:val="22"/>
        </w:rPr>
        <w:t>. </w:t>
      </w:r>
      <w:r>
        <w:rPr>
          <w:spacing w:val="-2"/>
          <w:sz w:val="22"/>
        </w:rPr>
        <w:t>2007;23:99.</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Saucedo R, Basurto L, Zarate A, Martínez C, Hernandez M, Galvan R. Effect of estrogen</w:t>
      </w:r>
      <w:r>
        <w:rPr>
          <w:spacing w:val="40"/>
          <w:sz w:val="22"/>
        </w:rPr>
        <w:t> </w:t>
      </w:r>
      <w:r>
        <w:rPr>
          <w:sz w:val="22"/>
        </w:rPr>
        <w:t>therapy on insulin resistance and plasminogen activator inhibitor type 1 concentrations </w:t>
      </w:r>
      <w:r>
        <w:rPr>
          <w:sz w:val="22"/>
        </w:rPr>
        <w:t>in postmenopausal women. </w:t>
      </w:r>
      <w:r>
        <w:rPr>
          <w:i/>
          <w:sz w:val="22"/>
        </w:rPr>
        <w:t>Gynecol Obstet Invest</w:t>
      </w:r>
      <w:r>
        <w:rPr>
          <w:sz w:val="22"/>
        </w:rPr>
        <w:t>. 2007;64:61.</w:t>
      </w:r>
    </w:p>
    <w:p>
      <w:pPr>
        <w:pStyle w:val="ListParagraph"/>
        <w:numPr>
          <w:ilvl w:val="0"/>
          <w:numId w:val="19"/>
        </w:numPr>
        <w:tabs>
          <w:tab w:pos="699" w:val="left" w:leader="none"/>
          <w:tab w:pos="718" w:val="left" w:leader="none"/>
        </w:tabs>
        <w:spacing w:line="256" w:lineRule="auto" w:before="0" w:after="0"/>
        <w:ind w:left="718" w:right="101" w:hanging="405"/>
        <w:jc w:val="both"/>
        <w:rPr>
          <w:sz w:val="22"/>
        </w:rPr>
      </w:pPr>
      <w:r>
        <w:rPr>
          <w:sz w:val="22"/>
        </w:rPr>
        <w:t>Lobo R, March CM, Goebelsmann U, Krauss RM, Mishell DR Jr. Subdermal estradiol </w:t>
      </w:r>
      <w:r>
        <w:rPr>
          <w:sz w:val="22"/>
        </w:rPr>
        <w:t>pellets following hysterectomy and oophorectomy. </w:t>
      </w:r>
      <w:r>
        <w:rPr>
          <w:i/>
          <w:sz w:val="22"/>
        </w:rPr>
        <w:t>Am J Obstet Gynecol</w:t>
      </w:r>
      <w:r>
        <w:rPr>
          <w:sz w:val="22"/>
        </w:rPr>
        <w:t>. 1980;138:714.</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Caillouette JC, Sharp CF, Zimmerman GJ, Roy S. Vaginal pH as a marker for bacterial pathogens and menopausal status. </w:t>
      </w:r>
      <w:r>
        <w:rPr>
          <w:i/>
          <w:sz w:val="22"/>
        </w:rPr>
        <w:t>Am J Obstet Gynecol</w:t>
      </w:r>
      <w:r>
        <w:rPr>
          <w:sz w:val="22"/>
        </w:rPr>
        <w:t>. 1997;176:1270.</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Roy</w:t>
      </w:r>
      <w:r>
        <w:rPr>
          <w:spacing w:val="40"/>
          <w:sz w:val="22"/>
        </w:rPr>
        <w:t> </w:t>
      </w:r>
      <w:r>
        <w:rPr>
          <w:sz w:val="22"/>
        </w:rPr>
        <w:t>S,</w:t>
      </w:r>
      <w:r>
        <w:rPr>
          <w:spacing w:val="40"/>
          <w:sz w:val="22"/>
        </w:rPr>
        <w:t> </w:t>
      </w:r>
      <w:r>
        <w:rPr>
          <w:sz w:val="22"/>
        </w:rPr>
        <w:t>Caillouette</w:t>
      </w:r>
      <w:r>
        <w:rPr>
          <w:spacing w:val="40"/>
          <w:sz w:val="22"/>
        </w:rPr>
        <w:t> </w:t>
      </w:r>
      <w:r>
        <w:rPr>
          <w:sz w:val="22"/>
        </w:rPr>
        <w:t>JC,</w:t>
      </w:r>
      <w:r>
        <w:rPr>
          <w:spacing w:val="40"/>
          <w:sz w:val="22"/>
        </w:rPr>
        <w:t> </w:t>
      </w:r>
      <w:r>
        <w:rPr>
          <w:sz w:val="22"/>
        </w:rPr>
        <w:t>Roy</w:t>
      </w:r>
      <w:r>
        <w:rPr>
          <w:spacing w:val="40"/>
          <w:sz w:val="22"/>
        </w:rPr>
        <w:t> </w:t>
      </w:r>
      <w:r>
        <w:rPr>
          <w:sz w:val="22"/>
        </w:rPr>
        <w:t>T,</w:t>
      </w:r>
      <w:r>
        <w:rPr>
          <w:spacing w:val="40"/>
          <w:sz w:val="22"/>
        </w:rPr>
        <w:t> </w:t>
      </w:r>
      <w:r>
        <w:rPr>
          <w:sz w:val="22"/>
        </w:rPr>
        <w:t>Faden</w:t>
      </w:r>
      <w:r>
        <w:rPr>
          <w:spacing w:val="40"/>
          <w:sz w:val="22"/>
        </w:rPr>
        <w:t> </w:t>
      </w:r>
      <w:r>
        <w:rPr>
          <w:sz w:val="22"/>
        </w:rPr>
        <w:t>JS.</w:t>
      </w:r>
      <w:r>
        <w:rPr>
          <w:spacing w:val="40"/>
          <w:sz w:val="22"/>
        </w:rPr>
        <w:t> </w:t>
      </w:r>
      <w:r>
        <w:rPr>
          <w:sz w:val="22"/>
        </w:rPr>
        <w:t>Vaginal</w:t>
      </w:r>
      <w:r>
        <w:rPr>
          <w:spacing w:val="40"/>
          <w:sz w:val="22"/>
        </w:rPr>
        <w:t> </w:t>
      </w:r>
      <w:r>
        <w:rPr>
          <w:sz w:val="22"/>
        </w:rPr>
        <w:t>pH</w:t>
      </w:r>
      <w:r>
        <w:rPr>
          <w:spacing w:val="40"/>
          <w:sz w:val="22"/>
        </w:rPr>
        <w:t> </w:t>
      </w:r>
      <w:r>
        <w:rPr>
          <w:sz w:val="22"/>
        </w:rPr>
        <w:t>is</w:t>
      </w:r>
      <w:r>
        <w:rPr>
          <w:spacing w:val="40"/>
          <w:sz w:val="22"/>
        </w:rPr>
        <w:t> </w:t>
      </w:r>
      <w:r>
        <w:rPr>
          <w:sz w:val="22"/>
        </w:rPr>
        <w:t>similar</w:t>
      </w:r>
      <w:r>
        <w:rPr>
          <w:spacing w:val="40"/>
          <w:sz w:val="22"/>
        </w:rPr>
        <w:t> </w:t>
      </w:r>
      <w:r>
        <w:rPr>
          <w:sz w:val="22"/>
        </w:rPr>
        <w:t>to</w:t>
      </w:r>
      <w:r>
        <w:rPr>
          <w:spacing w:val="40"/>
          <w:sz w:val="22"/>
        </w:rPr>
        <w:t> </w:t>
      </w:r>
      <w:r>
        <w:rPr>
          <w:sz w:val="22"/>
        </w:rPr>
        <w:t>FSH</w:t>
      </w:r>
      <w:r>
        <w:rPr>
          <w:spacing w:val="40"/>
          <w:sz w:val="22"/>
        </w:rPr>
        <w:t> </w:t>
      </w:r>
      <w:r>
        <w:rPr>
          <w:sz w:val="22"/>
        </w:rPr>
        <w:t>for</w:t>
      </w:r>
      <w:r>
        <w:rPr>
          <w:spacing w:val="40"/>
          <w:sz w:val="22"/>
        </w:rPr>
        <w:t> </w:t>
      </w:r>
      <w:r>
        <w:rPr>
          <w:sz w:val="22"/>
        </w:rPr>
        <w:t>menopause diagnosis. </w:t>
      </w:r>
      <w:r>
        <w:rPr>
          <w:i/>
          <w:sz w:val="22"/>
        </w:rPr>
        <w:t>Am J Obstet Gynecol</w:t>
      </w:r>
      <w:r>
        <w:rPr>
          <w:sz w:val="22"/>
        </w:rPr>
        <w:t>. 2004;190:1272.</w:t>
      </w:r>
    </w:p>
    <w:p>
      <w:pPr>
        <w:pStyle w:val="ListParagraph"/>
        <w:numPr>
          <w:ilvl w:val="0"/>
          <w:numId w:val="19"/>
        </w:numPr>
        <w:tabs>
          <w:tab w:pos="699" w:val="left" w:leader="none"/>
          <w:tab w:pos="718" w:val="left" w:leader="none"/>
        </w:tabs>
        <w:spacing w:line="256" w:lineRule="auto" w:before="0" w:after="0"/>
        <w:ind w:left="718" w:right="100" w:hanging="405"/>
        <w:jc w:val="both"/>
        <w:rPr>
          <w:sz w:val="22"/>
        </w:rPr>
      </w:pPr>
      <w:r>
        <w:rPr>
          <w:sz w:val="22"/>
        </w:rPr>
        <w:t>Suhonen S, Sipinen S, Lahteenmaki P, Laine H, Rainio J, Arko H. Postmenopausal oestrogen replacement therapy with subcutaneous oestradiol implants. </w:t>
      </w:r>
      <w:r>
        <w:rPr>
          <w:i/>
          <w:sz w:val="22"/>
        </w:rPr>
        <w:t>Maturitas</w:t>
      </w:r>
      <w:r>
        <w:rPr>
          <w:sz w:val="22"/>
        </w:rPr>
        <w:t>. 1993;16:123.</w:t>
      </w:r>
    </w:p>
    <w:p>
      <w:pPr>
        <w:pStyle w:val="ListParagraph"/>
        <w:numPr>
          <w:ilvl w:val="0"/>
          <w:numId w:val="19"/>
        </w:numPr>
        <w:tabs>
          <w:tab w:pos="699" w:val="left" w:leader="none"/>
          <w:tab w:pos="718" w:val="left" w:leader="none"/>
        </w:tabs>
        <w:spacing w:line="256" w:lineRule="auto" w:before="0" w:after="0"/>
        <w:ind w:left="718" w:right="105" w:hanging="405"/>
        <w:jc w:val="both"/>
        <w:rPr>
          <w:sz w:val="22"/>
        </w:rPr>
      </w:pPr>
      <w:r>
        <w:rPr>
          <w:sz w:val="22"/>
        </w:rPr>
        <w:t>Notelovitz</w:t>
      </w:r>
      <w:r>
        <w:rPr>
          <w:spacing w:val="20"/>
          <w:sz w:val="22"/>
        </w:rPr>
        <w:t> </w:t>
      </w:r>
      <w:r>
        <w:rPr>
          <w:sz w:val="22"/>
        </w:rPr>
        <w:t>M.</w:t>
      </w:r>
      <w:r>
        <w:rPr>
          <w:spacing w:val="20"/>
          <w:sz w:val="22"/>
        </w:rPr>
        <w:t> </w:t>
      </w:r>
      <w:r>
        <w:rPr>
          <w:sz w:val="22"/>
        </w:rPr>
        <w:t>Estrogen</w:t>
      </w:r>
      <w:r>
        <w:rPr>
          <w:spacing w:val="23"/>
          <w:sz w:val="22"/>
        </w:rPr>
        <w:t> </w:t>
      </w:r>
      <w:r>
        <w:rPr>
          <w:sz w:val="22"/>
        </w:rPr>
        <w:t>therapy</w:t>
      </w:r>
      <w:r>
        <w:rPr>
          <w:spacing w:val="23"/>
          <w:sz w:val="22"/>
        </w:rPr>
        <w:t> </w:t>
      </w:r>
      <w:r>
        <w:rPr>
          <w:sz w:val="22"/>
        </w:rPr>
        <w:t>in</w:t>
      </w:r>
      <w:r>
        <w:rPr>
          <w:spacing w:val="23"/>
          <w:sz w:val="22"/>
        </w:rPr>
        <w:t> </w:t>
      </w:r>
      <w:r>
        <w:rPr>
          <w:sz w:val="22"/>
        </w:rPr>
        <w:t>management</w:t>
      </w:r>
      <w:r>
        <w:rPr>
          <w:spacing w:val="23"/>
          <w:sz w:val="22"/>
        </w:rPr>
        <w:t> </w:t>
      </w:r>
      <w:r>
        <w:rPr>
          <w:sz w:val="22"/>
        </w:rPr>
        <w:t>of</w:t>
      </w:r>
      <w:r>
        <w:rPr>
          <w:spacing w:val="23"/>
          <w:sz w:val="22"/>
        </w:rPr>
        <w:t> </w:t>
      </w:r>
      <w:r>
        <w:rPr>
          <w:sz w:val="22"/>
        </w:rPr>
        <w:t>problems</w:t>
      </w:r>
      <w:r>
        <w:rPr>
          <w:spacing w:val="23"/>
          <w:sz w:val="22"/>
        </w:rPr>
        <w:t> </w:t>
      </w:r>
      <w:r>
        <w:rPr>
          <w:sz w:val="22"/>
        </w:rPr>
        <w:t>associated</w:t>
      </w:r>
      <w:r>
        <w:rPr>
          <w:spacing w:val="23"/>
          <w:sz w:val="22"/>
        </w:rPr>
        <w:t> </w:t>
      </w:r>
      <w:r>
        <w:rPr>
          <w:sz w:val="22"/>
        </w:rPr>
        <w:t>with</w:t>
      </w:r>
      <w:r>
        <w:rPr>
          <w:spacing w:val="23"/>
          <w:sz w:val="22"/>
        </w:rPr>
        <w:t> </w:t>
      </w:r>
      <w:r>
        <w:rPr>
          <w:sz w:val="22"/>
        </w:rPr>
        <w:t>urogenital</w:t>
      </w:r>
      <w:r>
        <w:rPr>
          <w:spacing w:val="23"/>
          <w:sz w:val="22"/>
        </w:rPr>
        <w:t> </w:t>
      </w:r>
      <w:r>
        <w:rPr>
          <w:sz w:val="22"/>
        </w:rPr>
        <w:t>aging: a simple diagnostic test and the effect of the route of hormone administration. </w:t>
      </w:r>
      <w:r>
        <w:rPr>
          <w:i/>
          <w:sz w:val="22"/>
        </w:rPr>
        <w:t>Maturitas</w:t>
      </w:r>
      <w:r>
        <w:rPr>
          <w:sz w:val="22"/>
        </w:rPr>
        <w:t>. </w:t>
      </w:r>
      <w:r>
        <w:rPr>
          <w:spacing w:val="-2"/>
          <w:sz w:val="22"/>
        </w:rPr>
        <w:t>1995;22(suppl):S31.</w:t>
      </w:r>
    </w:p>
    <w:p>
      <w:pPr>
        <w:pStyle w:val="ListParagraph"/>
        <w:numPr>
          <w:ilvl w:val="0"/>
          <w:numId w:val="19"/>
        </w:numPr>
        <w:tabs>
          <w:tab w:pos="699" w:val="left" w:leader="none"/>
          <w:tab w:pos="718" w:val="left" w:leader="none"/>
        </w:tabs>
        <w:spacing w:line="256" w:lineRule="auto" w:before="0" w:after="0"/>
        <w:ind w:left="718" w:right="107" w:hanging="405"/>
        <w:jc w:val="both"/>
        <w:rPr>
          <w:sz w:val="22"/>
        </w:rPr>
      </w:pPr>
      <w:r>
        <w:rPr>
          <w:sz w:val="22"/>
        </w:rPr>
        <w:t>Rigg LA, Hermann H, Yen SSC. Absorption of estrogens from vaginal creams. </w:t>
      </w:r>
      <w:r>
        <w:rPr>
          <w:i/>
          <w:sz w:val="22"/>
        </w:rPr>
        <w:t>N Engl J </w:t>
      </w:r>
      <w:r>
        <w:rPr>
          <w:i/>
          <w:sz w:val="22"/>
        </w:rPr>
        <w:t>Med</w:t>
      </w:r>
      <w:r>
        <w:rPr>
          <w:sz w:val="22"/>
        </w:rPr>
        <w:t>. </w:t>
      </w:r>
      <w:r>
        <w:rPr>
          <w:spacing w:val="-2"/>
          <w:sz w:val="22"/>
        </w:rPr>
        <w:t>1978;298:195.</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Pschera</w:t>
      </w:r>
      <w:r>
        <w:rPr>
          <w:spacing w:val="30"/>
          <w:sz w:val="22"/>
        </w:rPr>
        <w:t> </w:t>
      </w:r>
      <w:r>
        <w:rPr>
          <w:sz w:val="22"/>
        </w:rPr>
        <w:t>H,</w:t>
      </w:r>
      <w:r>
        <w:rPr>
          <w:spacing w:val="30"/>
          <w:sz w:val="22"/>
        </w:rPr>
        <w:t> </w:t>
      </w:r>
      <w:r>
        <w:rPr>
          <w:sz w:val="22"/>
        </w:rPr>
        <w:t>Hjerpe</w:t>
      </w:r>
      <w:r>
        <w:rPr>
          <w:spacing w:val="30"/>
          <w:sz w:val="22"/>
        </w:rPr>
        <w:t> </w:t>
      </w:r>
      <w:r>
        <w:rPr>
          <w:sz w:val="22"/>
        </w:rPr>
        <w:t>A,</w:t>
      </w:r>
      <w:r>
        <w:rPr>
          <w:spacing w:val="30"/>
          <w:sz w:val="22"/>
        </w:rPr>
        <w:t> </w:t>
      </w:r>
      <w:r>
        <w:rPr>
          <w:sz w:val="22"/>
        </w:rPr>
        <w:t>Carlström</w:t>
      </w:r>
      <w:r>
        <w:rPr>
          <w:spacing w:val="30"/>
          <w:sz w:val="22"/>
        </w:rPr>
        <w:t> </w:t>
      </w:r>
      <w:r>
        <w:rPr>
          <w:sz w:val="22"/>
        </w:rPr>
        <w:t>K.</w:t>
      </w:r>
      <w:r>
        <w:rPr>
          <w:spacing w:val="30"/>
          <w:sz w:val="22"/>
        </w:rPr>
        <w:t> </w:t>
      </w:r>
      <w:r>
        <w:rPr>
          <w:sz w:val="22"/>
        </w:rPr>
        <w:t>Influence</w:t>
      </w:r>
      <w:r>
        <w:rPr>
          <w:spacing w:val="30"/>
          <w:sz w:val="22"/>
        </w:rPr>
        <w:t> </w:t>
      </w:r>
      <w:r>
        <w:rPr>
          <w:sz w:val="22"/>
        </w:rPr>
        <w:t>of</w:t>
      </w:r>
      <w:r>
        <w:rPr>
          <w:spacing w:val="30"/>
          <w:sz w:val="22"/>
        </w:rPr>
        <w:t> </w:t>
      </w:r>
      <w:r>
        <w:rPr>
          <w:sz w:val="22"/>
        </w:rPr>
        <w:t>the</w:t>
      </w:r>
      <w:r>
        <w:rPr>
          <w:spacing w:val="30"/>
          <w:sz w:val="22"/>
        </w:rPr>
        <w:t> </w:t>
      </w:r>
      <w:r>
        <w:rPr>
          <w:sz w:val="22"/>
        </w:rPr>
        <w:t>maturity</w:t>
      </w:r>
      <w:r>
        <w:rPr>
          <w:spacing w:val="30"/>
          <w:sz w:val="22"/>
        </w:rPr>
        <w:t> </w:t>
      </w:r>
      <w:r>
        <w:rPr>
          <w:sz w:val="22"/>
        </w:rPr>
        <w:t>of</w:t>
      </w:r>
      <w:r>
        <w:rPr>
          <w:spacing w:val="30"/>
          <w:sz w:val="22"/>
        </w:rPr>
        <w:t> </w:t>
      </w:r>
      <w:r>
        <w:rPr>
          <w:sz w:val="22"/>
        </w:rPr>
        <w:t>the</w:t>
      </w:r>
      <w:r>
        <w:rPr>
          <w:spacing w:val="30"/>
          <w:sz w:val="22"/>
        </w:rPr>
        <w:t> </w:t>
      </w:r>
      <w:r>
        <w:rPr>
          <w:sz w:val="22"/>
        </w:rPr>
        <w:t>vaginal</w:t>
      </w:r>
      <w:r>
        <w:rPr>
          <w:spacing w:val="30"/>
          <w:sz w:val="22"/>
        </w:rPr>
        <w:t> </w:t>
      </w:r>
      <w:r>
        <w:rPr>
          <w:sz w:val="22"/>
        </w:rPr>
        <w:t>epithelium</w:t>
      </w:r>
      <w:r>
        <w:rPr>
          <w:spacing w:val="30"/>
          <w:sz w:val="22"/>
        </w:rPr>
        <w:t> </w:t>
      </w:r>
      <w:r>
        <w:rPr>
          <w:sz w:val="22"/>
        </w:rPr>
        <w:t>upon the absorption of vaginally administered estradiol-17b and progesterone in </w:t>
      </w:r>
      <w:r>
        <w:rPr>
          <w:sz w:val="22"/>
        </w:rPr>
        <w:t>postmenopausal women. </w:t>
      </w:r>
      <w:r>
        <w:rPr>
          <w:i/>
          <w:sz w:val="22"/>
        </w:rPr>
        <w:t>Gynecol Obstet Invest</w:t>
      </w:r>
      <w:r>
        <w:rPr>
          <w:sz w:val="22"/>
        </w:rPr>
        <w:t>. 1989;27:204.</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Taechakraichana N, Intraragsakul A, Panyakhamlerd K, Numchaisrika P, Limpaphayom </w:t>
      </w:r>
      <w:r>
        <w:rPr>
          <w:sz w:val="22"/>
        </w:rPr>
        <w:t>K. Estradiol and follicle-stimulating hormone levels in oophorectomized women using vaginal estrogen. </w:t>
      </w:r>
      <w:r>
        <w:rPr>
          <w:i/>
          <w:sz w:val="22"/>
        </w:rPr>
        <w:t>J Med Assoc Thai</w:t>
      </w:r>
      <w:r>
        <w:rPr>
          <w:sz w:val="22"/>
        </w:rPr>
        <w:t>. 1997;80:616.</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Handa VL, Bachus KE, Johnston WW, Robboy SJ, Hammond CB. Vaginal administration of low-dose conjugated estrogens: systemic absorption and effects on the endometrium. </w:t>
      </w:r>
      <w:r>
        <w:rPr>
          <w:i/>
          <w:sz w:val="22"/>
        </w:rPr>
        <w:t>Obstet</w:t>
      </w:r>
      <w:r>
        <w:rPr>
          <w:i/>
          <w:sz w:val="22"/>
        </w:rPr>
        <w:t> Gynecol</w:t>
      </w:r>
      <w:r>
        <w:rPr>
          <w:sz w:val="22"/>
        </w:rPr>
        <w:t>. 1994;84:215.</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Holte A. Influences of natural menopause on health complaints: a prospective study of </w:t>
      </w:r>
      <w:r>
        <w:rPr>
          <w:sz w:val="22"/>
        </w:rPr>
        <w:t>healthy Norwegian women. </w:t>
      </w:r>
      <w:r>
        <w:rPr>
          <w:i/>
          <w:sz w:val="22"/>
        </w:rPr>
        <w:t>Maturitas</w:t>
      </w:r>
      <w:r>
        <w:rPr>
          <w:sz w:val="22"/>
        </w:rPr>
        <w:t>. 1992;14:127.</w:t>
      </w:r>
    </w:p>
    <w:p>
      <w:pPr>
        <w:pStyle w:val="ListParagraph"/>
        <w:numPr>
          <w:ilvl w:val="0"/>
          <w:numId w:val="19"/>
        </w:numPr>
        <w:tabs>
          <w:tab w:pos="699" w:val="left" w:leader="none"/>
          <w:tab w:pos="718" w:val="left" w:leader="none"/>
        </w:tabs>
        <w:spacing w:line="256" w:lineRule="auto" w:before="0" w:after="0"/>
        <w:ind w:left="718" w:right="110" w:hanging="405"/>
        <w:jc w:val="both"/>
        <w:rPr>
          <w:sz w:val="22"/>
        </w:rPr>
      </w:pPr>
      <w:r>
        <w:rPr>
          <w:sz w:val="22"/>
        </w:rPr>
        <w:t>Derzko CM, Röhrich S, Panay N. Does age at the start of treatment for vaginal atrophy predict response</w:t>
      </w:r>
      <w:r>
        <w:rPr>
          <w:spacing w:val="37"/>
          <w:sz w:val="22"/>
        </w:rPr>
        <w:t> </w:t>
      </w:r>
      <w:r>
        <w:rPr>
          <w:sz w:val="22"/>
        </w:rPr>
        <w:t>to</w:t>
      </w:r>
      <w:r>
        <w:rPr>
          <w:spacing w:val="37"/>
          <w:sz w:val="22"/>
        </w:rPr>
        <w:t> </w:t>
      </w:r>
      <w:r>
        <w:rPr>
          <w:sz w:val="22"/>
        </w:rPr>
        <w:t>vaginal</w:t>
      </w:r>
      <w:r>
        <w:rPr>
          <w:spacing w:val="37"/>
          <w:sz w:val="22"/>
        </w:rPr>
        <w:t> </w:t>
      </w:r>
      <w:r>
        <w:rPr>
          <w:sz w:val="22"/>
        </w:rPr>
        <w:t>estrogen</w:t>
      </w:r>
      <w:r>
        <w:rPr>
          <w:spacing w:val="37"/>
          <w:sz w:val="22"/>
        </w:rPr>
        <w:t> </w:t>
      </w:r>
      <w:r>
        <w:rPr>
          <w:sz w:val="22"/>
        </w:rPr>
        <w:t>therapy?</w:t>
      </w:r>
      <w:r>
        <w:rPr>
          <w:spacing w:val="37"/>
          <w:sz w:val="22"/>
        </w:rPr>
        <w:t> </w:t>
      </w:r>
      <w:r>
        <w:rPr>
          <w:sz w:val="22"/>
        </w:rPr>
        <w:t>Post</w:t>
      </w:r>
      <w:r>
        <w:rPr>
          <w:spacing w:val="40"/>
          <w:sz w:val="22"/>
        </w:rPr>
        <w:t> </w:t>
      </w:r>
      <w:r>
        <w:rPr>
          <w:sz w:val="22"/>
        </w:rPr>
        <w:t>hoc</w:t>
      </w:r>
      <w:r>
        <w:rPr>
          <w:spacing w:val="40"/>
          <w:sz w:val="22"/>
        </w:rPr>
        <w:t> </w:t>
      </w:r>
      <w:r>
        <w:rPr>
          <w:sz w:val="22"/>
        </w:rPr>
        <w:t>analysis</w:t>
      </w:r>
      <w:r>
        <w:rPr>
          <w:spacing w:val="40"/>
          <w:sz w:val="22"/>
        </w:rPr>
        <w:t> </w:t>
      </w:r>
      <w:r>
        <w:rPr>
          <w:sz w:val="22"/>
        </w:rPr>
        <w:t>of</w:t>
      </w:r>
      <w:r>
        <w:rPr>
          <w:spacing w:val="40"/>
          <w:sz w:val="22"/>
        </w:rPr>
        <w:t> </w:t>
      </w:r>
      <w:r>
        <w:rPr>
          <w:sz w:val="22"/>
        </w:rPr>
        <w:t>data</w:t>
      </w:r>
      <w:r>
        <w:rPr>
          <w:spacing w:val="40"/>
          <w:sz w:val="22"/>
        </w:rPr>
        <w:t> </w:t>
      </w:r>
      <w:r>
        <w:rPr>
          <w:sz w:val="22"/>
        </w:rPr>
        <w:t>from</w:t>
      </w:r>
      <w:r>
        <w:rPr>
          <w:spacing w:val="40"/>
          <w:sz w:val="22"/>
        </w:rPr>
        <w:t> </w:t>
      </w:r>
      <w:r>
        <w:rPr>
          <w:sz w:val="22"/>
        </w:rPr>
        <w:t>a</w:t>
      </w:r>
      <w:r>
        <w:rPr>
          <w:spacing w:val="40"/>
          <w:sz w:val="22"/>
        </w:rPr>
        <w:t> </w:t>
      </w:r>
      <w:r>
        <w:rPr>
          <w:sz w:val="22"/>
        </w:rPr>
        <w:t>randomized</w:t>
      </w:r>
      <w:r>
        <w:rPr>
          <w:spacing w:val="40"/>
          <w:sz w:val="22"/>
        </w:rPr>
        <w:t> </w:t>
      </w:r>
      <w:r>
        <w:rPr>
          <w:sz w:val="22"/>
        </w:rPr>
        <w:t>clinical</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101" w:firstLine="0"/>
        <w:jc w:val="both"/>
        <w:rPr>
          <w:sz w:val="22"/>
        </w:rPr>
      </w:pPr>
      <w:r>
        <w:rPr>
          <w:sz w:val="22"/>
        </w:rPr>
        <w:t>trial involving 205 women treated with 10 μg estradiol vaginal tablets. </w:t>
      </w:r>
      <w:r>
        <w:rPr>
          <w:i/>
          <w:sz w:val="22"/>
        </w:rPr>
        <w:t>Menopause</w:t>
      </w:r>
      <w:r>
        <w:rPr>
          <w:sz w:val="22"/>
        </w:rPr>
        <w:t>. </w:t>
      </w:r>
      <w:r>
        <w:rPr>
          <w:spacing w:val="-2"/>
          <w:sz w:val="22"/>
        </w:rPr>
        <w:t>2020;28(2):113-118.</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Bachmann G, Bouchard C, Hoppe D, et al. Efficacy and safety of low-dose regiments of conjugated estrogens cream administered vaginally. </w:t>
      </w:r>
      <w:r>
        <w:rPr>
          <w:i/>
          <w:sz w:val="22"/>
        </w:rPr>
        <w:t>Menopause</w:t>
      </w:r>
      <w:r>
        <w:rPr>
          <w:sz w:val="22"/>
        </w:rPr>
        <w:t>. 2009;16:719.</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w w:val="105"/>
          <w:sz w:val="22"/>
        </w:rPr>
        <w:t>Schmidt</w:t>
      </w:r>
      <w:r>
        <w:rPr>
          <w:w w:val="105"/>
          <w:sz w:val="22"/>
        </w:rPr>
        <w:t> G,</w:t>
      </w:r>
      <w:r>
        <w:rPr>
          <w:w w:val="105"/>
          <w:sz w:val="22"/>
        </w:rPr>
        <w:t> Andersson</w:t>
      </w:r>
      <w:r>
        <w:rPr>
          <w:w w:val="105"/>
          <w:sz w:val="22"/>
        </w:rPr>
        <w:t> SB,</w:t>
      </w:r>
      <w:r>
        <w:rPr>
          <w:w w:val="105"/>
          <w:sz w:val="22"/>
        </w:rPr>
        <w:t> Nordle</w:t>
      </w:r>
      <w:r>
        <w:rPr>
          <w:w w:val="105"/>
          <w:sz w:val="22"/>
        </w:rPr>
        <w:t> 0,</w:t>
      </w:r>
      <w:r>
        <w:rPr>
          <w:w w:val="105"/>
          <w:sz w:val="22"/>
        </w:rPr>
        <w:t> Johansson</w:t>
      </w:r>
      <w:r>
        <w:rPr>
          <w:w w:val="105"/>
          <w:sz w:val="22"/>
        </w:rPr>
        <w:t> CJ,</w:t>
      </w:r>
      <w:r>
        <w:rPr>
          <w:w w:val="105"/>
          <w:sz w:val="22"/>
        </w:rPr>
        <w:t> Gunnarsson</w:t>
      </w:r>
      <w:r>
        <w:rPr>
          <w:w w:val="105"/>
          <w:sz w:val="22"/>
        </w:rPr>
        <w:t> PO.</w:t>
      </w:r>
      <w:r>
        <w:rPr>
          <w:w w:val="105"/>
          <w:sz w:val="22"/>
        </w:rPr>
        <w:t> Release</w:t>
      </w:r>
      <w:r>
        <w:rPr>
          <w:w w:val="105"/>
          <w:sz w:val="22"/>
        </w:rPr>
        <w:t> of</w:t>
      </w:r>
      <w:r>
        <w:rPr>
          <w:w w:val="105"/>
          <w:sz w:val="22"/>
        </w:rPr>
        <w:t> 17-</w:t>
      </w:r>
      <w:r>
        <w:rPr>
          <w:w w:val="105"/>
          <w:sz w:val="22"/>
        </w:rPr>
        <w:t>beta-oestradiol</w:t>
      </w:r>
      <w:r>
        <w:rPr>
          <w:w w:val="105"/>
          <w:sz w:val="22"/>
        </w:rPr>
        <w:t> from</w:t>
      </w:r>
      <w:r>
        <w:rPr>
          <w:w w:val="105"/>
          <w:sz w:val="22"/>
        </w:rPr>
        <w:t> a</w:t>
      </w:r>
      <w:r>
        <w:rPr>
          <w:w w:val="105"/>
          <w:sz w:val="22"/>
        </w:rPr>
        <w:t> vaginal</w:t>
      </w:r>
      <w:r>
        <w:rPr>
          <w:w w:val="105"/>
          <w:sz w:val="22"/>
        </w:rPr>
        <w:t> ring</w:t>
      </w:r>
      <w:r>
        <w:rPr>
          <w:w w:val="105"/>
          <w:sz w:val="22"/>
        </w:rPr>
        <w:t> in</w:t>
      </w:r>
      <w:r>
        <w:rPr>
          <w:w w:val="105"/>
          <w:sz w:val="22"/>
        </w:rPr>
        <w:t> postmenopausal</w:t>
      </w:r>
      <w:r>
        <w:rPr>
          <w:w w:val="105"/>
          <w:sz w:val="22"/>
        </w:rPr>
        <w:t> women:</w:t>
      </w:r>
      <w:r>
        <w:rPr>
          <w:w w:val="105"/>
          <w:sz w:val="22"/>
        </w:rPr>
        <w:t> pharmacokinetic</w:t>
      </w:r>
      <w:r>
        <w:rPr>
          <w:w w:val="105"/>
          <w:sz w:val="22"/>
        </w:rPr>
        <w:t> evaluation. </w:t>
      </w:r>
      <w:r>
        <w:rPr>
          <w:i/>
          <w:w w:val="105"/>
          <w:sz w:val="22"/>
        </w:rPr>
        <w:t>Gynecol Obstet Invest</w:t>
      </w:r>
      <w:r>
        <w:rPr>
          <w:w w:val="105"/>
          <w:sz w:val="22"/>
        </w:rPr>
        <w:t>. 1994;38:253.</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Johnston A. Estrogens—pharmacokinetics and pharmacodynamics with special reference to vaginal administration and the new estradiol formulation—Estring®. </w:t>
      </w:r>
      <w:r>
        <w:rPr>
          <w:i/>
          <w:sz w:val="22"/>
        </w:rPr>
        <w:t>Acta Obstet </w:t>
      </w:r>
      <w:r>
        <w:rPr>
          <w:i/>
          <w:sz w:val="22"/>
        </w:rPr>
        <w:t>Gynecol</w:t>
      </w:r>
      <w:r>
        <w:rPr>
          <w:i/>
          <w:sz w:val="22"/>
        </w:rPr>
        <w:t> Scand</w:t>
      </w:r>
      <w:r>
        <w:rPr>
          <w:sz w:val="22"/>
        </w:rPr>
        <w:t>. 1996;75(suppl 163):16.</w:t>
      </w:r>
    </w:p>
    <w:p>
      <w:pPr>
        <w:pStyle w:val="ListParagraph"/>
        <w:numPr>
          <w:ilvl w:val="0"/>
          <w:numId w:val="19"/>
        </w:numPr>
        <w:tabs>
          <w:tab w:pos="699" w:val="left" w:leader="none"/>
          <w:tab w:pos="718" w:val="left" w:leader="none"/>
        </w:tabs>
        <w:spacing w:line="256" w:lineRule="auto" w:before="0" w:after="0"/>
        <w:ind w:left="718" w:right="98" w:hanging="405"/>
        <w:jc w:val="both"/>
        <w:rPr>
          <w:sz w:val="22"/>
        </w:rPr>
      </w:pPr>
      <w:r>
        <w:rPr>
          <w:sz w:val="22"/>
        </w:rPr>
        <w:t>Henriksson</w:t>
      </w:r>
      <w:r>
        <w:rPr>
          <w:spacing w:val="23"/>
          <w:sz w:val="22"/>
        </w:rPr>
        <w:t> </w:t>
      </w:r>
      <w:r>
        <w:rPr>
          <w:sz w:val="22"/>
        </w:rPr>
        <w:t>L,</w:t>
      </w:r>
      <w:r>
        <w:rPr>
          <w:spacing w:val="23"/>
          <w:sz w:val="22"/>
        </w:rPr>
        <w:t> </w:t>
      </w:r>
      <w:r>
        <w:rPr>
          <w:sz w:val="22"/>
        </w:rPr>
        <w:t>Stjernquist</w:t>
      </w:r>
      <w:r>
        <w:rPr>
          <w:spacing w:val="23"/>
          <w:sz w:val="22"/>
        </w:rPr>
        <w:t> </w:t>
      </w:r>
      <w:r>
        <w:rPr>
          <w:sz w:val="22"/>
        </w:rPr>
        <w:t>M,</w:t>
      </w:r>
      <w:r>
        <w:rPr>
          <w:spacing w:val="23"/>
          <w:sz w:val="22"/>
        </w:rPr>
        <w:t> </w:t>
      </w:r>
      <w:r>
        <w:rPr>
          <w:sz w:val="22"/>
        </w:rPr>
        <w:t>Boquist</w:t>
      </w:r>
      <w:r>
        <w:rPr>
          <w:spacing w:val="23"/>
          <w:sz w:val="22"/>
        </w:rPr>
        <w:t> </w:t>
      </w:r>
      <w:r>
        <w:rPr>
          <w:sz w:val="22"/>
        </w:rPr>
        <w:t>L,</w:t>
      </w:r>
      <w:r>
        <w:rPr>
          <w:spacing w:val="23"/>
          <w:sz w:val="22"/>
        </w:rPr>
        <w:t> </w:t>
      </w:r>
      <w:r>
        <w:rPr>
          <w:sz w:val="22"/>
        </w:rPr>
        <w:t>Cedergren</w:t>
      </w:r>
      <w:r>
        <w:rPr>
          <w:spacing w:val="23"/>
          <w:sz w:val="22"/>
        </w:rPr>
        <w:t> </w:t>
      </w:r>
      <w:r>
        <w:rPr>
          <w:sz w:val="22"/>
        </w:rPr>
        <w:t>I,</w:t>
      </w:r>
      <w:r>
        <w:rPr>
          <w:spacing w:val="23"/>
          <w:sz w:val="22"/>
        </w:rPr>
        <w:t> </w:t>
      </w:r>
      <w:r>
        <w:rPr>
          <w:sz w:val="22"/>
        </w:rPr>
        <w:t>Selinus</w:t>
      </w:r>
      <w:r>
        <w:rPr>
          <w:spacing w:val="23"/>
          <w:sz w:val="22"/>
        </w:rPr>
        <w:t> </w:t>
      </w:r>
      <w:r>
        <w:rPr>
          <w:sz w:val="22"/>
        </w:rPr>
        <w:t>I.</w:t>
      </w:r>
      <w:r>
        <w:rPr>
          <w:spacing w:val="23"/>
          <w:sz w:val="22"/>
        </w:rPr>
        <w:t> </w:t>
      </w:r>
      <w:r>
        <w:rPr>
          <w:sz w:val="22"/>
        </w:rPr>
        <w:t>A</w:t>
      </w:r>
      <w:r>
        <w:rPr>
          <w:spacing w:val="26"/>
          <w:sz w:val="22"/>
        </w:rPr>
        <w:t> </w:t>
      </w:r>
      <w:r>
        <w:rPr>
          <w:sz w:val="22"/>
        </w:rPr>
        <w:t>one-year</w:t>
      </w:r>
      <w:r>
        <w:rPr>
          <w:spacing w:val="26"/>
          <w:sz w:val="22"/>
        </w:rPr>
        <w:t> </w:t>
      </w:r>
      <w:r>
        <w:rPr>
          <w:sz w:val="22"/>
        </w:rPr>
        <w:t>multicenter</w:t>
      </w:r>
      <w:r>
        <w:rPr>
          <w:spacing w:val="26"/>
          <w:sz w:val="22"/>
        </w:rPr>
        <w:t> </w:t>
      </w:r>
      <w:r>
        <w:rPr>
          <w:sz w:val="22"/>
        </w:rPr>
        <w:t>study of efficacy and safety of a continuous, low-dose, estradiol-releasing vaginal ring (Estring) in postmenopausal women with symptoms and signs of urogenital aging. </w:t>
      </w:r>
      <w:r>
        <w:rPr>
          <w:i/>
          <w:sz w:val="22"/>
        </w:rPr>
        <w:t>Am J Obstet Gynecol</w:t>
      </w:r>
      <w:r>
        <w:rPr>
          <w:sz w:val="22"/>
        </w:rPr>
        <w:t>. </w:t>
      </w:r>
      <w:r>
        <w:rPr>
          <w:spacing w:val="-2"/>
          <w:sz w:val="22"/>
        </w:rPr>
        <w:t>1996;174:85.</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Naessen T, Rodriguez-Macias K. Endometrial thickness and uterine diameter not affected </w:t>
      </w:r>
      <w:r>
        <w:rPr>
          <w:sz w:val="22"/>
        </w:rPr>
        <w:t>by ultralow doses of 17β-estradiol in elderly women. </w:t>
      </w:r>
      <w:r>
        <w:rPr>
          <w:i/>
          <w:sz w:val="22"/>
        </w:rPr>
        <w:t>Am J Obstet Gynecol</w:t>
      </w:r>
      <w:r>
        <w:rPr>
          <w:sz w:val="22"/>
        </w:rPr>
        <w:t>. 2002;186:944.</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Rioux</w:t>
      </w:r>
      <w:r>
        <w:rPr>
          <w:spacing w:val="40"/>
          <w:sz w:val="22"/>
        </w:rPr>
        <w:t> </w:t>
      </w:r>
      <w:r>
        <w:rPr>
          <w:sz w:val="22"/>
        </w:rPr>
        <w:t>JE,</w:t>
      </w:r>
      <w:r>
        <w:rPr>
          <w:spacing w:val="40"/>
          <w:sz w:val="22"/>
        </w:rPr>
        <w:t> </w:t>
      </w:r>
      <w:r>
        <w:rPr>
          <w:sz w:val="22"/>
        </w:rPr>
        <w:t>Devlin</w:t>
      </w:r>
      <w:r>
        <w:rPr>
          <w:spacing w:val="40"/>
          <w:sz w:val="22"/>
        </w:rPr>
        <w:t> </w:t>
      </w:r>
      <w:r>
        <w:rPr>
          <w:sz w:val="22"/>
        </w:rPr>
        <w:t>C,</w:t>
      </w:r>
      <w:r>
        <w:rPr>
          <w:spacing w:val="40"/>
          <w:sz w:val="22"/>
        </w:rPr>
        <w:t> </w:t>
      </w:r>
      <w:r>
        <w:rPr>
          <w:sz w:val="22"/>
        </w:rPr>
        <w:t>Gelfand</w:t>
      </w:r>
      <w:r>
        <w:rPr>
          <w:spacing w:val="40"/>
          <w:sz w:val="22"/>
        </w:rPr>
        <w:t> </w:t>
      </w:r>
      <w:r>
        <w:rPr>
          <w:sz w:val="22"/>
        </w:rPr>
        <w:t>MM,</w:t>
      </w:r>
      <w:r>
        <w:rPr>
          <w:spacing w:val="40"/>
          <w:sz w:val="22"/>
        </w:rPr>
        <w:t> </w:t>
      </w:r>
      <w:r>
        <w:rPr>
          <w:sz w:val="22"/>
        </w:rPr>
        <w:t>Steinberg</w:t>
      </w:r>
      <w:r>
        <w:rPr>
          <w:spacing w:val="40"/>
          <w:sz w:val="22"/>
        </w:rPr>
        <w:t> </w:t>
      </w:r>
      <w:r>
        <w:rPr>
          <w:sz w:val="22"/>
        </w:rPr>
        <w:t>WM,</w:t>
      </w:r>
      <w:r>
        <w:rPr>
          <w:spacing w:val="40"/>
          <w:sz w:val="22"/>
        </w:rPr>
        <w:t> </w:t>
      </w:r>
      <w:r>
        <w:rPr>
          <w:sz w:val="22"/>
        </w:rPr>
        <w:t>Hepburn</w:t>
      </w:r>
      <w:r>
        <w:rPr>
          <w:spacing w:val="40"/>
          <w:sz w:val="22"/>
        </w:rPr>
        <w:t> </w:t>
      </w:r>
      <w:r>
        <w:rPr>
          <w:sz w:val="22"/>
        </w:rPr>
        <w:t>DS.</w:t>
      </w:r>
      <w:r>
        <w:rPr>
          <w:spacing w:val="40"/>
          <w:sz w:val="22"/>
        </w:rPr>
        <w:t> </w:t>
      </w:r>
      <w:r>
        <w:rPr>
          <w:sz w:val="22"/>
        </w:rPr>
        <w:t>17Beta-estradiol</w:t>
      </w:r>
      <w:r>
        <w:rPr>
          <w:spacing w:val="40"/>
          <w:sz w:val="22"/>
        </w:rPr>
        <w:t> </w:t>
      </w:r>
      <w:r>
        <w:rPr>
          <w:sz w:val="22"/>
        </w:rPr>
        <w:t>vaginal tablet versus conjugated equine estrogen vaginal cream to relieve menopausal atrophic</w:t>
      </w:r>
      <w:r>
        <w:rPr>
          <w:spacing w:val="80"/>
          <w:w w:val="150"/>
          <w:sz w:val="22"/>
        </w:rPr>
        <w:t> </w:t>
      </w:r>
      <w:r>
        <w:rPr>
          <w:sz w:val="22"/>
        </w:rPr>
        <w:t>vaginitis. </w:t>
      </w:r>
      <w:r>
        <w:rPr>
          <w:i/>
          <w:sz w:val="22"/>
        </w:rPr>
        <w:t>Menopause</w:t>
      </w:r>
      <w:r>
        <w:rPr>
          <w:sz w:val="22"/>
        </w:rPr>
        <w:t>. 2000;7:156.</w:t>
      </w:r>
    </w:p>
    <w:p>
      <w:pPr>
        <w:pStyle w:val="ListParagraph"/>
        <w:numPr>
          <w:ilvl w:val="0"/>
          <w:numId w:val="19"/>
        </w:numPr>
        <w:tabs>
          <w:tab w:pos="699" w:val="left" w:leader="none"/>
          <w:tab w:pos="718" w:val="left" w:leader="none"/>
        </w:tabs>
        <w:spacing w:line="256" w:lineRule="auto" w:before="0" w:after="0"/>
        <w:ind w:left="718" w:right="103" w:hanging="405"/>
        <w:jc w:val="both"/>
        <w:rPr>
          <w:sz w:val="22"/>
        </w:rPr>
      </w:pPr>
      <w:r>
        <w:rPr>
          <w:sz w:val="22"/>
        </w:rPr>
        <w:t>Dugal</w:t>
      </w:r>
      <w:r>
        <w:rPr>
          <w:spacing w:val="22"/>
          <w:sz w:val="22"/>
        </w:rPr>
        <w:t> </w:t>
      </w:r>
      <w:r>
        <w:rPr>
          <w:sz w:val="22"/>
        </w:rPr>
        <w:t>R,</w:t>
      </w:r>
      <w:r>
        <w:rPr>
          <w:spacing w:val="22"/>
          <w:sz w:val="22"/>
        </w:rPr>
        <w:t> </w:t>
      </w:r>
      <w:r>
        <w:rPr>
          <w:sz w:val="22"/>
        </w:rPr>
        <w:t>Hesla</w:t>
      </w:r>
      <w:r>
        <w:rPr>
          <w:spacing w:val="22"/>
          <w:sz w:val="22"/>
        </w:rPr>
        <w:t> </w:t>
      </w:r>
      <w:r>
        <w:rPr>
          <w:sz w:val="22"/>
        </w:rPr>
        <w:t>K,</w:t>
      </w:r>
      <w:r>
        <w:rPr>
          <w:spacing w:val="22"/>
          <w:sz w:val="22"/>
        </w:rPr>
        <w:t> </w:t>
      </w:r>
      <w:r>
        <w:rPr>
          <w:sz w:val="22"/>
        </w:rPr>
        <w:t>Sordal</w:t>
      </w:r>
      <w:r>
        <w:rPr>
          <w:spacing w:val="22"/>
          <w:sz w:val="22"/>
        </w:rPr>
        <w:t> </w:t>
      </w:r>
      <w:r>
        <w:rPr>
          <w:sz w:val="22"/>
        </w:rPr>
        <w:t>T,</w:t>
      </w:r>
      <w:r>
        <w:rPr>
          <w:spacing w:val="22"/>
          <w:sz w:val="22"/>
        </w:rPr>
        <w:t> </w:t>
      </w:r>
      <w:r>
        <w:rPr>
          <w:sz w:val="22"/>
        </w:rPr>
        <w:t>Aase</w:t>
      </w:r>
      <w:r>
        <w:rPr>
          <w:spacing w:val="22"/>
          <w:sz w:val="22"/>
        </w:rPr>
        <w:t> </w:t>
      </w:r>
      <w:r>
        <w:rPr>
          <w:sz w:val="22"/>
        </w:rPr>
        <w:t>KH,</w:t>
      </w:r>
      <w:r>
        <w:rPr>
          <w:spacing w:val="22"/>
          <w:sz w:val="22"/>
        </w:rPr>
        <w:t> </w:t>
      </w:r>
      <w:r>
        <w:rPr>
          <w:sz w:val="22"/>
        </w:rPr>
        <w:t>Lilleeidet</w:t>
      </w:r>
      <w:r>
        <w:rPr>
          <w:spacing w:val="22"/>
          <w:sz w:val="22"/>
        </w:rPr>
        <w:t> </w:t>
      </w:r>
      <w:r>
        <w:rPr>
          <w:sz w:val="22"/>
        </w:rPr>
        <w:t>O,</w:t>
      </w:r>
      <w:r>
        <w:rPr>
          <w:spacing w:val="22"/>
          <w:sz w:val="22"/>
        </w:rPr>
        <w:t> </w:t>
      </w:r>
      <w:r>
        <w:rPr>
          <w:sz w:val="22"/>
        </w:rPr>
        <w:t>Wickstrom</w:t>
      </w:r>
      <w:r>
        <w:rPr>
          <w:spacing w:val="22"/>
          <w:sz w:val="22"/>
        </w:rPr>
        <w:t> </w:t>
      </w:r>
      <w:r>
        <w:rPr>
          <w:sz w:val="22"/>
        </w:rPr>
        <w:t>E.</w:t>
      </w:r>
      <w:r>
        <w:rPr>
          <w:spacing w:val="21"/>
          <w:sz w:val="22"/>
        </w:rPr>
        <w:t> </w:t>
      </w:r>
      <w:r>
        <w:rPr>
          <w:sz w:val="22"/>
        </w:rPr>
        <w:t>Comparison</w:t>
      </w:r>
      <w:r>
        <w:rPr>
          <w:spacing w:val="23"/>
          <w:sz w:val="22"/>
        </w:rPr>
        <w:t> </w:t>
      </w:r>
      <w:r>
        <w:rPr>
          <w:sz w:val="22"/>
        </w:rPr>
        <w:t>of</w:t>
      </w:r>
      <w:r>
        <w:rPr>
          <w:spacing w:val="23"/>
          <w:sz w:val="22"/>
        </w:rPr>
        <w:t> </w:t>
      </w:r>
      <w:r>
        <w:rPr>
          <w:sz w:val="22"/>
        </w:rPr>
        <w:t>usefulness of estradiol vaginal tablets and estriol vagitories for treatment of vaginal atrophy. </w:t>
      </w:r>
      <w:r>
        <w:rPr>
          <w:i/>
          <w:sz w:val="22"/>
        </w:rPr>
        <w:t>Acta Obstet</w:t>
      </w:r>
      <w:r>
        <w:rPr>
          <w:i/>
          <w:sz w:val="22"/>
        </w:rPr>
        <w:t> Gynecol Scand</w:t>
      </w:r>
      <w:r>
        <w:rPr>
          <w:sz w:val="22"/>
        </w:rPr>
        <w:t>. 2000;79:292.</w:t>
      </w:r>
    </w:p>
    <w:p>
      <w:pPr>
        <w:pStyle w:val="ListParagraph"/>
        <w:numPr>
          <w:ilvl w:val="0"/>
          <w:numId w:val="19"/>
        </w:numPr>
        <w:tabs>
          <w:tab w:pos="699" w:val="left" w:leader="none"/>
          <w:tab w:pos="718" w:val="left" w:leader="none"/>
        </w:tabs>
        <w:spacing w:line="256" w:lineRule="auto" w:before="0" w:after="0"/>
        <w:ind w:left="718" w:right="102" w:hanging="405"/>
        <w:jc w:val="both"/>
        <w:rPr>
          <w:sz w:val="22"/>
        </w:rPr>
      </w:pPr>
      <w:r>
        <w:rPr>
          <w:sz w:val="22"/>
        </w:rPr>
        <w:t>Mattsson LA, Cullberg G, Eriksson O, Knutsson F. Vaginal administration of low-dose oestradiol—effects on the endometrium and vaginal cytology. </w:t>
      </w:r>
      <w:r>
        <w:rPr>
          <w:i/>
          <w:sz w:val="22"/>
        </w:rPr>
        <w:t>Maturitas</w:t>
      </w:r>
      <w:r>
        <w:rPr>
          <w:sz w:val="22"/>
        </w:rPr>
        <w:t>. 1989;11:217.</w:t>
      </w:r>
    </w:p>
    <w:p>
      <w:pPr>
        <w:pStyle w:val="ListParagraph"/>
        <w:numPr>
          <w:ilvl w:val="0"/>
          <w:numId w:val="19"/>
        </w:numPr>
        <w:tabs>
          <w:tab w:pos="699" w:val="left" w:leader="none"/>
          <w:tab w:pos="718" w:val="left" w:leader="none"/>
        </w:tabs>
        <w:spacing w:line="256" w:lineRule="auto" w:before="0" w:after="0"/>
        <w:ind w:left="718" w:right="107" w:hanging="405"/>
        <w:jc w:val="both"/>
        <w:rPr>
          <w:sz w:val="22"/>
        </w:rPr>
      </w:pPr>
      <w:r>
        <w:rPr>
          <w:sz w:val="22"/>
        </w:rPr>
        <w:t>Manonai J, Theppisai U, Chittacharoen A. Effect and safety of 17 beta-estradiol tablet in postmenopausal women with urogenital symptoms. </w:t>
      </w:r>
      <w:r>
        <w:rPr>
          <w:i/>
          <w:sz w:val="22"/>
        </w:rPr>
        <w:t>J Med Assoc Thai</w:t>
      </w:r>
      <w:r>
        <w:rPr>
          <w:sz w:val="22"/>
        </w:rPr>
        <w:t>. 2001;84:1015.</w:t>
      </w:r>
    </w:p>
    <w:p>
      <w:pPr>
        <w:pStyle w:val="ListParagraph"/>
        <w:numPr>
          <w:ilvl w:val="0"/>
          <w:numId w:val="19"/>
        </w:numPr>
        <w:tabs>
          <w:tab w:pos="699" w:val="left" w:leader="none"/>
          <w:tab w:pos="718" w:val="left" w:leader="none"/>
        </w:tabs>
        <w:spacing w:line="256" w:lineRule="auto" w:before="0" w:after="0"/>
        <w:ind w:left="718" w:right="101" w:hanging="405"/>
        <w:jc w:val="both"/>
        <w:rPr>
          <w:sz w:val="22"/>
        </w:rPr>
      </w:pPr>
      <w:r>
        <w:rPr>
          <w:sz w:val="22"/>
        </w:rPr>
        <w:t>Bachmann G, Lobo RA, Gut R, Nachtigall L, Notelovitz M. Efficacy of low-dose estradiol vaginal tablets in the treatment of atrophic vaginitis: a randomized controlled trial. </w:t>
      </w:r>
      <w:r>
        <w:rPr>
          <w:i/>
          <w:sz w:val="22"/>
        </w:rPr>
        <w:t>Obstet</w:t>
      </w:r>
      <w:r>
        <w:rPr>
          <w:i/>
          <w:sz w:val="22"/>
        </w:rPr>
        <w:t> Gynecol</w:t>
      </w:r>
      <w:r>
        <w:rPr>
          <w:sz w:val="22"/>
        </w:rPr>
        <w:t>. 2008;111:67.</w:t>
      </w:r>
    </w:p>
    <w:p>
      <w:pPr>
        <w:pStyle w:val="ListParagraph"/>
        <w:numPr>
          <w:ilvl w:val="0"/>
          <w:numId w:val="19"/>
        </w:numPr>
        <w:tabs>
          <w:tab w:pos="699" w:val="left" w:leader="none"/>
          <w:tab w:pos="718" w:val="left" w:leader="none"/>
        </w:tabs>
        <w:spacing w:line="256" w:lineRule="auto" w:before="0" w:after="0"/>
        <w:ind w:left="718" w:right="110" w:hanging="405"/>
        <w:jc w:val="both"/>
        <w:rPr>
          <w:sz w:val="22"/>
        </w:rPr>
      </w:pPr>
      <w:r>
        <w:rPr>
          <w:sz w:val="22"/>
        </w:rPr>
        <w:t>Holmgren PA, Lindskog M, von Schoultz B. Vaginal rings for continuous low-dose release of oestradiol in the treatment of urogenital atrophy. </w:t>
      </w:r>
      <w:r>
        <w:rPr>
          <w:i/>
          <w:sz w:val="22"/>
        </w:rPr>
        <w:t>Maturitas</w:t>
      </w:r>
      <w:r>
        <w:rPr>
          <w:sz w:val="22"/>
        </w:rPr>
        <w:t>. 1989;11:55.</w:t>
      </w:r>
    </w:p>
    <w:p>
      <w:pPr>
        <w:pStyle w:val="ListParagraph"/>
        <w:numPr>
          <w:ilvl w:val="0"/>
          <w:numId w:val="19"/>
        </w:numPr>
        <w:tabs>
          <w:tab w:pos="699" w:val="left" w:leader="none"/>
          <w:tab w:pos="718" w:val="left" w:leader="none"/>
        </w:tabs>
        <w:spacing w:line="256" w:lineRule="auto" w:before="0" w:after="0"/>
        <w:ind w:left="718" w:right="108" w:hanging="405"/>
        <w:jc w:val="both"/>
        <w:rPr>
          <w:sz w:val="22"/>
        </w:rPr>
      </w:pPr>
      <w:r>
        <w:rPr>
          <w:sz w:val="22"/>
        </w:rPr>
        <w:t>Akrivis C, Varras M, Thodos A, Hadjopoulos G, Bellou A, Antonious N. Action of 25 </w:t>
      </w:r>
      <w:r>
        <w:rPr>
          <w:sz w:val="22"/>
        </w:rPr>
        <w:t>μg 17beta-oestradiol vaginal tablets in the treatment of vaginal atrophy in Greek postmenopausal women: clinical study. </w:t>
      </w:r>
      <w:r>
        <w:rPr>
          <w:i/>
          <w:sz w:val="22"/>
        </w:rPr>
        <w:t>Clin Exp Obstet Gynecol</w:t>
      </w:r>
      <w:r>
        <w:rPr>
          <w:sz w:val="22"/>
        </w:rPr>
        <w:t>. 2003;30:229.</w:t>
      </w:r>
    </w:p>
    <w:p>
      <w:pPr>
        <w:pStyle w:val="ListParagraph"/>
        <w:numPr>
          <w:ilvl w:val="0"/>
          <w:numId w:val="19"/>
        </w:numPr>
        <w:tabs>
          <w:tab w:pos="699" w:val="left" w:leader="none"/>
          <w:tab w:pos="718" w:val="left" w:leader="none"/>
        </w:tabs>
        <w:spacing w:line="256" w:lineRule="auto" w:before="0" w:after="0"/>
        <w:ind w:left="718" w:right="108" w:hanging="405"/>
        <w:jc w:val="both"/>
        <w:rPr>
          <w:sz w:val="22"/>
        </w:rPr>
      </w:pPr>
      <w:r>
        <w:rPr>
          <w:sz w:val="22"/>
        </w:rPr>
        <w:t>Notelovitz M, Funk S, Nanavati N, Mazzeo M. Estradiol absorption from vaginal tablets </w:t>
      </w:r>
      <w:r>
        <w:rPr>
          <w:sz w:val="22"/>
        </w:rPr>
        <w:t>in postmenopausal women. </w:t>
      </w:r>
      <w:r>
        <w:rPr>
          <w:i/>
          <w:sz w:val="22"/>
        </w:rPr>
        <w:t>Obstet Gynecol</w:t>
      </w:r>
      <w:r>
        <w:rPr>
          <w:sz w:val="22"/>
        </w:rPr>
        <w:t>. 2002;99:556.</w:t>
      </w:r>
    </w:p>
    <w:p>
      <w:pPr>
        <w:pStyle w:val="ListParagraph"/>
        <w:numPr>
          <w:ilvl w:val="0"/>
          <w:numId w:val="19"/>
        </w:numPr>
        <w:tabs>
          <w:tab w:pos="699" w:val="left" w:leader="none"/>
          <w:tab w:pos="718" w:val="left" w:leader="none"/>
        </w:tabs>
        <w:spacing w:line="256" w:lineRule="auto" w:before="0" w:after="0"/>
        <w:ind w:left="718" w:right="105" w:hanging="405"/>
        <w:jc w:val="both"/>
        <w:rPr>
          <w:sz w:val="22"/>
        </w:rPr>
      </w:pPr>
      <w:r>
        <w:rPr>
          <w:sz w:val="22"/>
        </w:rPr>
        <w:t>Mitchell CM, Larson JC, Crandall CJ, et al. Association of vaginal estradiol tablet with serum estrogen</w:t>
      </w:r>
      <w:r>
        <w:rPr>
          <w:spacing w:val="40"/>
          <w:sz w:val="22"/>
        </w:rPr>
        <w:t> </w:t>
      </w:r>
      <w:r>
        <w:rPr>
          <w:sz w:val="22"/>
        </w:rPr>
        <w:t>levels</w:t>
      </w:r>
      <w:r>
        <w:rPr>
          <w:spacing w:val="40"/>
          <w:sz w:val="22"/>
        </w:rPr>
        <w:t> </w:t>
      </w:r>
      <w:r>
        <w:rPr>
          <w:sz w:val="22"/>
        </w:rPr>
        <w:t>in</w:t>
      </w:r>
      <w:r>
        <w:rPr>
          <w:spacing w:val="40"/>
          <w:sz w:val="22"/>
        </w:rPr>
        <w:t> </w:t>
      </w:r>
      <w:r>
        <w:rPr>
          <w:sz w:val="22"/>
        </w:rPr>
        <w:t>women</w:t>
      </w:r>
      <w:r>
        <w:rPr>
          <w:spacing w:val="40"/>
          <w:sz w:val="22"/>
        </w:rPr>
        <w:t> </w:t>
      </w:r>
      <w:r>
        <w:rPr>
          <w:sz w:val="22"/>
        </w:rPr>
        <w:t>who</w:t>
      </w:r>
      <w:r>
        <w:rPr>
          <w:spacing w:val="40"/>
          <w:sz w:val="22"/>
        </w:rPr>
        <w:t> </w:t>
      </w:r>
      <w:r>
        <w:rPr>
          <w:sz w:val="22"/>
        </w:rPr>
        <w:t>are</w:t>
      </w:r>
      <w:r>
        <w:rPr>
          <w:spacing w:val="40"/>
          <w:sz w:val="22"/>
        </w:rPr>
        <w:t> </w:t>
      </w:r>
      <w:r>
        <w:rPr>
          <w:sz w:val="22"/>
        </w:rPr>
        <w:t>postmenopausal:</w:t>
      </w:r>
      <w:r>
        <w:rPr>
          <w:spacing w:val="40"/>
          <w:sz w:val="22"/>
        </w:rPr>
        <w:t> </w:t>
      </w:r>
      <w:r>
        <w:rPr>
          <w:sz w:val="22"/>
        </w:rPr>
        <w:t>secondary</w:t>
      </w:r>
      <w:r>
        <w:rPr>
          <w:spacing w:val="40"/>
          <w:sz w:val="22"/>
        </w:rPr>
        <w:t> </w:t>
      </w:r>
      <w:r>
        <w:rPr>
          <w:sz w:val="22"/>
        </w:rPr>
        <w:t>analysis</w:t>
      </w:r>
      <w:r>
        <w:rPr>
          <w:spacing w:val="40"/>
          <w:sz w:val="22"/>
        </w:rPr>
        <w:t> </w:t>
      </w:r>
      <w:r>
        <w:rPr>
          <w:sz w:val="22"/>
        </w:rPr>
        <w:t>of</w:t>
      </w:r>
      <w:r>
        <w:rPr>
          <w:spacing w:val="40"/>
          <w:sz w:val="22"/>
        </w:rPr>
        <w:t> </w:t>
      </w:r>
      <w:r>
        <w:rPr>
          <w:sz w:val="22"/>
        </w:rPr>
        <w:t>a</w:t>
      </w:r>
      <w:r>
        <w:rPr>
          <w:spacing w:val="40"/>
          <w:sz w:val="22"/>
        </w:rPr>
        <w:t> </w:t>
      </w:r>
      <w:r>
        <w:rPr>
          <w:sz w:val="22"/>
        </w:rPr>
        <w:t>randomized clinical trial. </w:t>
      </w:r>
      <w:r>
        <w:rPr>
          <w:i/>
          <w:sz w:val="22"/>
        </w:rPr>
        <w:t>JAMA Netw Open</w:t>
      </w:r>
      <w:r>
        <w:rPr>
          <w:sz w:val="22"/>
        </w:rPr>
        <w:t>. 2022;5 (11):e2241743.</w:t>
      </w:r>
    </w:p>
    <w:p>
      <w:pPr>
        <w:pStyle w:val="ListParagraph"/>
        <w:numPr>
          <w:ilvl w:val="0"/>
          <w:numId w:val="19"/>
        </w:numPr>
        <w:tabs>
          <w:tab w:pos="699" w:val="left" w:leader="none"/>
          <w:tab w:pos="718" w:val="left" w:leader="none"/>
        </w:tabs>
        <w:spacing w:line="256" w:lineRule="auto" w:before="0" w:after="0"/>
        <w:ind w:left="718" w:right="110" w:hanging="405"/>
        <w:jc w:val="both"/>
        <w:rPr>
          <w:sz w:val="22"/>
        </w:rPr>
      </w:pPr>
      <w:r>
        <w:rPr>
          <w:sz w:val="22"/>
        </w:rPr>
        <w:t>Labrie F, Cusan L, Gomez J-L, et al. Effect of one-week treatment with vaginal estrogen preparations on serum estrogen levels in postmenopausal women. </w:t>
      </w:r>
      <w:r>
        <w:rPr>
          <w:i/>
          <w:sz w:val="22"/>
        </w:rPr>
        <w:t>Menopause</w:t>
      </w:r>
      <w:r>
        <w:rPr>
          <w:sz w:val="22"/>
        </w:rPr>
        <w:t>. 2009;16:30.</w:t>
      </w:r>
    </w:p>
    <w:p>
      <w:pPr>
        <w:pStyle w:val="ListParagraph"/>
        <w:numPr>
          <w:ilvl w:val="0"/>
          <w:numId w:val="19"/>
        </w:numPr>
        <w:tabs>
          <w:tab w:pos="699" w:val="left" w:leader="none"/>
          <w:tab w:pos="718" w:val="left" w:leader="none"/>
        </w:tabs>
        <w:spacing w:line="256" w:lineRule="auto" w:before="0" w:after="0"/>
        <w:ind w:left="718" w:right="106" w:hanging="405"/>
        <w:jc w:val="both"/>
        <w:rPr>
          <w:sz w:val="22"/>
        </w:rPr>
      </w:pPr>
      <w:r>
        <w:rPr>
          <w:sz w:val="22"/>
        </w:rPr>
        <w:t>Naessen</w:t>
      </w:r>
      <w:r>
        <w:rPr>
          <w:spacing w:val="21"/>
          <w:sz w:val="22"/>
        </w:rPr>
        <w:t> </w:t>
      </w:r>
      <w:r>
        <w:rPr>
          <w:sz w:val="22"/>
        </w:rPr>
        <w:t>T,</w:t>
      </w:r>
      <w:r>
        <w:rPr>
          <w:spacing w:val="21"/>
          <w:sz w:val="22"/>
        </w:rPr>
        <w:t> </w:t>
      </w:r>
      <w:r>
        <w:rPr>
          <w:sz w:val="22"/>
        </w:rPr>
        <w:t>Berglund</w:t>
      </w:r>
      <w:r>
        <w:rPr>
          <w:spacing w:val="21"/>
          <w:sz w:val="22"/>
        </w:rPr>
        <w:t> </w:t>
      </w:r>
      <w:r>
        <w:rPr>
          <w:sz w:val="22"/>
        </w:rPr>
        <w:t>L,</w:t>
      </w:r>
      <w:r>
        <w:rPr>
          <w:spacing w:val="21"/>
          <w:sz w:val="22"/>
        </w:rPr>
        <w:t> </w:t>
      </w:r>
      <w:r>
        <w:rPr>
          <w:sz w:val="22"/>
        </w:rPr>
        <w:t>Ulmsten</w:t>
      </w:r>
      <w:r>
        <w:rPr>
          <w:spacing w:val="21"/>
          <w:sz w:val="22"/>
        </w:rPr>
        <w:t> </w:t>
      </w:r>
      <w:r>
        <w:rPr>
          <w:sz w:val="22"/>
        </w:rPr>
        <w:t>U.</w:t>
      </w:r>
      <w:r>
        <w:rPr>
          <w:spacing w:val="21"/>
          <w:sz w:val="22"/>
        </w:rPr>
        <w:t> </w:t>
      </w:r>
      <w:r>
        <w:rPr>
          <w:sz w:val="22"/>
        </w:rPr>
        <w:t>Bone</w:t>
      </w:r>
      <w:r>
        <w:rPr>
          <w:spacing w:val="22"/>
          <w:sz w:val="22"/>
        </w:rPr>
        <w:t> </w:t>
      </w:r>
      <w:r>
        <w:rPr>
          <w:sz w:val="22"/>
        </w:rPr>
        <w:t>loss</w:t>
      </w:r>
      <w:r>
        <w:rPr>
          <w:spacing w:val="22"/>
          <w:sz w:val="22"/>
        </w:rPr>
        <w:t> </w:t>
      </w:r>
      <w:r>
        <w:rPr>
          <w:sz w:val="22"/>
        </w:rPr>
        <w:t>in</w:t>
      </w:r>
      <w:r>
        <w:rPr>
          <w:spacing w:val="22"/>
          <w:sz w:val="22"/>
        </w:rPr>
        <w:t> </w:t>
      </w:r>
      <w:r>
        <w:rPr>
          <w:sz w:val="22"/>
        </w:rPr>
        <w:t>elderly</w:t>
      </w:r>
      <w:r>
        <w:rPr>
          <w:spacing w:val="22"/>
          <w:sz w:val="22"/>
        </w:rPr>
        <w:t> </w:t>
      </w:r>
      <w:r>
        <w:rPr>
          <w:sz w:val="22"/>
        </w:rPr>
        <w:t>women</w:t>
      </w:r>
      <w:r>
        <w:rPr>
          <w:spacing w:val="22"/>
          <w:sz w:val="22"/>
        </w:rPr>
        <w:t> </w:t>
      </w:r>
      <w:r>
        <w:rPr>
          <w:sz w:val="22"/>
        </w:rPr>
        <w:t>prevented</w:t>
      </w:r>
      <w:r>
        <w:rPr>
          <w:spacing w:val="22"/>
          <w:sz w:val="22"/>
        </w:rPr>
        <w:t> </w:t>
      </w:r>
      <w:r>
        <w:rPr>
          <w:sz w:val="22"/>
        </w:rPr>
        <w:t>by</w:t>
      </w:r>
      <w:r>
        <w:rPr>
          <w:spacing w:val="22"/>
          <w:sz w:val="22"/>
        </w:rPr>
        <w:t> </w:t>
      </w:r>
      <w:r>
        <w:rPr>
          <w:sz w:val="22"/>
        </w:rPr>
        <w:t>ultralow</w:t>
      </w:r>
      <w:r>
        <w:rPr>
          <w:spacing w:val="22"/>
          <w:sz w:val="22"/>
        </w:rPr>
        <w:t> </w:t>
      </w:r>
      <w:r>
        <w:rPr>
          <w:sz w:val="22"/>
        </w:rPr>
        <w:t>doses of parenteral 17β-estradiol. </w:t>
      </w:r>
      <w:r>
        <w:rPr>
          <w:i/>
          <w:sz w:val="22"/>
        </w:rPr>
        <w:t>Am J Obstet Gynecol</w:t>
      </w:r>
      <w:r>
        <w:rPr>
          <w:sz w:val="22"/>
        </w:rPr>
        <w:t>. 1997;177:115.</w:t>
      </w:r>
    </w:p>
    <w:p>
      <w:pPr>
        <w:pStyle w:val="ListParagraph"/>
        <w:numPr>
          <w:ilvl w:val="0"/>
          <w:numId w:val="19"/>
        </w:numPr>
        <w:tabs>
          <w:tab w:pos="699" w:val="left" w:leader="none"/>
          <w:tab w:pos="718" w:val="left" w:leader="none"/>
        </w:tabs>
        <w:spacing w:line="256" w:lineRule="auto" w:before="0" w:after="0"/>
        <w:ind w:left="718" w:right="105" w:hanging="405"/>
        <w:jc w:val="both"/>
        <w:rPr>
          <w:sz w:val="22"/>
        </w:rPr>
      </w:pPr>
      <w:r>
        <w:rPr>
          <w:sz w:val="22"/>
        </w:rPr>
        <w:t>Naessen</w:t>
      </w:r>
      <w:r>
        <w:rPr>
          <w:spacing w:val="30"/>
          <w:sz w:val="22"/>
        </w:rPr>
        <w:t> </w:t>
      </w:r>
      <w:r>
        <w:rPr>
          <w:sz w:val="22"/>
        </w:rPr>
        <w:t>T,</w:t>
      </w:r>
      <w:r>
        <w:rPr>
          <w:spacing w:val="30"/>
          <w:sz w:val="22"/>
        </w:rPr>
        <w:t> </w:t>
      </w:r>
      <w:r>
        <w:rPr>
          <w:sz w:val="22"/>
        </w:rPr>
        <w:t>Rodriguez-Macias</w:t>
      </w:r>
      <w:r>
        <w:rPr>
          <w:spacing w:val="30"/>
          <w:sz w:val="22"/>
        </w:rPr>
        <w:t> </w:t>
      </w:r>
      <w:r>
        <w:rPr>
          <w:sz w:val="22"/>
        </w:rPr>
        <w:t>K,</w:t>
      </w:r>
      <w:r>
        <w:rPr>
          <w:spacing w:val="30"/>
          <w:sz w:val="22"/>
        </w:rPr>
        <w:t> </w:t>
      </w:r>
      <w:r>
        <w:rPr>
          <w:sz w:val="22"/>
        </w:rPr>
        <w:t>Lithell</w:t>
      </w:r>
      <w:r>
        <w:rPr>
          <w:spacing w:val="30"/>
          <w:sz w:val="22"/>
        </w:rPr>
        <w:t> </w:t>
      </w:r>
      <w:r>
        <w:rPr>
          <w:sz w:val="22"/>
        </w:rPr>
        <w:t>H.</w:t>
      </w:r>
      <w:r>
        <w:rPr>
          <w:spacing w:val="30"/>
          <w:sz w:val="22"/>
        </w:rPr>
        <w:t> </w:t>
      </w:r>
      <w:r>
        <w:rPr>
          <w:sz w:val="22"/>
        </w:rPr>
        <w:t>Serum</w:t>
      </w:r>
      <w:r>
        <w:rPr>
          <w:spacing w:val="30"/>
          <w:sz w:val="22"/>
        </w:rPr>
        <w:t> </w:t>
      </w:r>
      <w:r>
        <w:rPr>
          <w:sz w:val="22"/>
        </w:rPr>
        <w:t>lipid</w:t>
      </w:r>
      <w:r>
        <w:rPr>
          <w:spacing w:val="30"/>
          <w:sz w:val="22"/>
        </w:rPr>
        <w:t> </w:t>
      </w:r>
      <w:r>
        <w:rPr>
          <w:sz w:val="22"/>
        </w:rPr>
        <w:t>profile</w:t>
      </w:r>
      <w:r>
        <w:rPr>
          <w:spacing w:val="30"/>
          <w:sz w:val="22"/>
        </w:rPr>
        <w:t> </w:t>
      </w:r>
      <w:r>
        <w:rPr>
          <w:sz w:val="22"/>
        </w:rPr>
        <w:t>improved</w:t>
      </w:r>
      <w:r>
        <w:rPr>
          <w:spacing w:val="30"/>
          <w:sz w:val="22"/>
        </w:rPr>
        <w:t> </w:t>
      </w:r>
      <w:r>
        <w:rPr>
          <w:sz w:val="22"/>
        </w:rPr>
        <w:t>by</w:t>
      </w:r>
      <w:r>
        <w:rPr>
          <w:spacing w:val="30"/>
          <w:sz w:val="22"/>
        </w:rPr>
        <w:t> </w:t>
      </w:r>
      <w:r>
        <w:rPr>
          <w:sz w:val="22"/>
        </w:rPr>
        <w:t>ultra-low</w:t>
      </w:r>
      <w:r>
        <w:rPr>
          <w:spacing w:val="30"/>
          <w:sz w:val="22"/>
        </w:rPr>
        <w:t> </w:t>
      </w:r>
      <w:r>
        <w:rPr>
          <w:sz w:val="22"/>
        </w:rPr>
        <w:t>doses of 17 β-estradiol in elderly women. </w:t>
      </w:r>
      <w:r>
        <w:rPr>
          <w:i/>
          <w:sz w:val="22"/>
        </w:rPr>
        <w:t>J Clin Endocrinol Metab</w:t>
      </w:r>
      <w:r>
        <w:rPr>
          <w:sz w:val="22"/>
        </w:rPr>
        <w:t>. 2001;86:2757.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Santen RJ. Vaginal administration of estradiol: effects of dose, preparation and timing </w:t>
      </w:r>
      <w:r>
        <w:rPr>
          <w:sz w:val="22"/>
        </w:rPr>
        <w:t>on</w:t>
      </w:r>
      <w:r>
        <w:rPr>
          <w:spacing w:val="80"/>
          <w:sz w:val="22"/>
        </w:rPr>
        <w:t> </w:t>
      </w:r>
      <w:r>
        <w:rPr>
          <w:sz w:val="22"/>
        </w:rPr>
        <w:t>plasma estradiol levels. </w:t>
      </w:r>
      <w:r>
        <w:rPr>
          <w:i/>
          <w:sz w:val="22"/>
        </w:rPr>
        <w:t>Climacteric</w:t>
      </w:r>
      <w:r>
        <w:rPr>
          <w:sz w:val="22"/>
        </w:rPr>
        <w:t>. 2015;18(2):121.</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The NAMS 2017 Hormone Therapy Position Statement Advisory Panel. The 2017 hormone therapy position statement of the North American Menopause Society. </w:t>
      </w:r>
      <w:r>
        <w:rPr>
          <w:i/>
          <w:sz w:val="22"/>
        </w:rPr>
        <w:t>Menopause</w:t>
      </w:r>
      <w:r>
        <w:rPr>
          <w:sz w:val="22"/>
        </w:rPr>
        <w:t>. </w:t>
      </w:r>
      <w:r>
        <w:rPr>
          <w:spacing w:val="-2"/>
          <w:sz w:val="22"/>
        </w:rPr>
        <w:t>2017;24(7):728.</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Ferrante KL, Wasenda EJ, Jung CE, Adams-Piper ER, Lukacz ES. Vaginal estrogen for </w:t>
      </w:r>
      <w:r>
        <w:rPr>
          <w:sz w:val="22"/>
        </w:rPr>
        <w:t>the prevention</w:t>
      </w:r>
      <w:r>
        <w:rPr>
          <w:spacing w:val="40"/>
          <w:sz w:val="22"/>
        </w:rPr>
        <w:t> </w:t>
      </w:r>
      <w:r>
        <w:rPr>
          <w:sz w:val="22"/>
        </w:rPr>
        <w:t>of</w:t>
      </w:r>
      <w:r>
        <w:rPr>
          <w:spacing w:val="40"/>
          <w:sz w:val="22"/>
        </w:rPr>
        <w:t> </w:t>
      </w:r>
      <w:r>
        <w:rPr>
          <w:sz w:val="22"/>
        </w:rPr>
        <w:t>recurrent</w:t>
      </w:r>
      <w:r>
        <w:rPr>
          <w:spacing w:val="40"/>
          <w:sz w:val="22"/>
        </w:rPr>
        <w:t> </w:t>
      </w:r>
      <w:r>
        <w:rPr>
          <w:sz w:val="22"/>
        </w:rPr>
        <w:t>urinary</w:t>
      </w:r>
      <w:r>
        <w:rPr>
          <w:spacing w:val="40"/>
          <w:sz w:val="22"/>
        </w:rPr>
        <w:t> </w:t>
      </w:r>
      <w:r>
        <w:rPr>
          <w:sz w:val="22"/>
        </w:rPr>
        <w:t>tract</w:t>
      </w:r>
      <w:r>
        <w:rPr>
          <w:spacing w:val="40"/>
          <w:sz w:val="22"/>
        </w:rPr>
        <w:t> </w:t>
      </w:r>
      <w:r>
        <w:rPr>
          <w:sz w:val="22"/>
        </w:rPr>
        <w:t>infection</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w:t>
      </w:r>
      <w:r>
        <w:rPr>
          <w:spacing w:val="40"/>
          <w:sz w:val="22"/>
        </w:rPr>
        <w:t> </w:t>
      </w:r>
      <w:r>
        <w:rPr>
          <w:sz w:val="22"/>
        </w:rPr>
        <w:t>randomized clinical trial. </w:t>
      </w:r>
      <w:r>
        <w:rPr>
          <w:i/>
          <w:sz w:val="22"/>
        </w:rPr>
        <w:t>Female Pelvic Med Reconstr Surg</w:t>
      </w:r>
      <w:r>
        <w:rPr>
          <w:sz w:val="22"/>
        </w:rPr>
        <w:t>. 2021;27(2):112-117.</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Tan-Kim J, Shah NM, Do D, Menefee SA. Efficacy of vaginal estrogen for recurrent </w:t>
      </w:r>
      <w:r>
        <w:rPr>
          <w:sz w:val="22"/>
        </w:rPr>
        <w:t>urinary tract</w:t>
      </w:r>
      <w:r>
        <w:rPr>
          <w:spacing w:val="40"/>
          <w:sz w:val="22"/>
        </w:rPr>
        <w:t> </w:t>
      </w:r>
      <w:r>
        <w:rPr>
          <w:sz w:val="22"/>
        </w:rPr>
        <w:t>infection</w:t>
      </w:r>
      <w:r>
        <w:rPr>
          <w:spacing w:val="40"/>
          <w:sz w:val="22"/>
        </w:rPr>
        <w:t> </w:t>
      </w:r>
      <w:r>
        <w:rPr>
          <w:sz w:val="22"/>
        </w:rPr>
        <w:t>prevention</w:t>
      </w:r>
      <w:r>
        <w:rPr>
          <w:spacing w:val="40"/>
          <w:sz w:val="22"/>
        </w:rPr>
        <w:t> </w:t>
      </w:r>
      <w:r>
        <w:rPr>
          <w:sz w:val="22"/>
        </w:rPr>
        <w:t>in</w:t>
      </w:r>
      <w:r>
        <w:rPr>
          <w:spacing w:val="40"/>
          <w:sz w:val="22"/>
        </w:rPr>
        <w:t> </w:t>
      </w:r>
      <w:r>
        <w:rPr>
          <w:sz w:val="22"/>
        </w:rPr>
        <w:t>hypoestrogenic</w:t>
      </w:r>
      <w:r>
        <w:rPr>
          <w:spacing w:val="40"/>
          <w:sz w:val="22"/>
        </w:rPr>
        <w:t> </w:t>
      </w:r>
      <w:r>
        <w:rPr>
          <w:sz w:val="22"/>
        </w:rPr>
        <w:t>women.</w:t>
      </w:r>
      <w:r>
        <w:rPr>
          <w:spacing w:val="40"/>
          <w:sz w:val="22"/>
        </w:rPr>
        <w:t> </w:t>
      </w:r>
      <w:r>
        <w:rPr>
          <w:i/>
          <w:sz w:val="22"/>
        </w:rPr>
        <w:t>Am</w:t>
      </w:r>
      <w:r>
        <w:rPr>
          <w:i/>
          <w:spacing w:val="40"/>
          <w:sz w:val="22"/>
        </w:rPr>
        <w:t> </w:t>
      </w:r>
      <w:r>
        <w:rPr>
          <w:i/>
          <w:sz w:val="22"/>
        </w:rPr>
        <w:t>J</w:t>
      </w:r>
      <w:r>
        <w:rPr>
          <w:i/>
          <w:spacing w:val="40"/>
          <w:sz w:val="22"/>
        </w:rPr>
        <w:t> </w:t>
      </w:r>
      <w:r>
        <w:rPr>
          <w:i/>
          <w:sz w:val="22"/>
        </w:rPr>
        <w:t>Obstet</w:t>
      </w:r>
      <w:r>
        <w:rPr>
          <w:i/>
          <w:spacing w:val="40"/>
          <w:sz w:val="22"/>
        </w:rPr>
        <w:t> </w:t>
      </w:r>
      <w:r>
        <w:rPr>
          <w:i/>
          <w:sz w:val="22"/>
        </w:rPr>
        <w:t>Gynecol</w:t>
      </w:r>
      <w:r>
        <w:rPr>
          <w:sz w:val="22"/>
        </w:rPr>
        <w:t>. </w:t>
      </w:r>
      <w:r>
        <w:rPr>
          <w:spacing w:val="-2"/>
          <w:sz w:val="22"/>
        </w:rPr>
        <w:t>2023;229(2):143.e1-143.e9.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Le</w:t>
      </w:r>
      <w:r>
        <w:rPr>
          <w:spacing w:val="23"/>
          <w:sz w:val="22"/>
        </w:rPr>
        <w:t> </w:t>
      </w:r>
      <w:r>
        <w:rPr>
          <w:sz w:val="22"/>
        </w:rPr>
        <w:t>Ray</w:t>
      </w:r>
      <w:r>
        <w:rPr>
          <w:spacing w:val="23"/>
          <w:sz w:val="22"/>
        </w:rPr>
        <w:t> </w:t>
      </w:r>
      <w:r>
        <w:rPr>
          <w:sz w:val="22"/>
        </w:rPr>
        <w:t>I,</w:t>
      </w:r>
      <w:r>
        <w:rPr>
          <w:spacing w:val="23"/>
          <w:sz w:val="22"/>
        </w:rPr>
        <w:t> </w:t>
      </w:r>
      <w:r>
        <w:rPr>
          <w:sz w:val="22"/>
        </w:rPr>
        <w:t>Dell’Aniello</w:t>
      </w:r>
      <w:r>
        <w:rPr>
          <w:spacing w:val="23"/>
          <w:sz w:val="22"/>
        </w:rPr>
        <w:t> </w:t>
      </w:r>
      <w:r>
        <w:rPr>
          <w:sz w:val="22"/>
        </w:rPr>
        <w:t>S,</w:t>
      </w:r>
      <w:r>
        <w:rPr>
          <w:spacing w:val="23"/>
          <w:sz w:val="22"/>
        </w:rPr>
        <w:t> </w:t>
      </w:r>
      <w:r>
        <w:rPr>
          <w:sz w:val="22"/>
        </w:rPr>
        <w:t>Bonnetain</w:t>
      </w:r>
      <w:r>
        <w:rPr>
          <w:spacing w:val="23"/>
          <w:sz w:val="22"/>
        </w:rPr>
        <w:t> </w:t>
      </w:r>
      <w:r>
        <w:rPr>
          <w:sz w:val="22"/>
        </w:rPr>
        <w:t>F,</w:t>
      </w:r>
      <w:r>
        <w:rPr>
          <w:spacing w:val="23"/>
          <w:sz w:val="22"/>
        </w:rPr>
        <w:t> </w:t>
      </w:r>
      <w:r>
        <w:rPr>
          <w:sz w:val="22"/>
        </w:rPr>
        <w:t>Azoulay</w:t>
      </w:r>
      <w:r>
        <w:rPr>
          <w:spacing w:val="23"/>
          <w:sz w:val="22"/>
        </w:rPr>
        <w:t> </w:t>
      </w:r>
      <w:r>
        <w:rPr>
          <w:sz w:val="22"/>
        </w:rPr>
        <w:t>L,</w:t>
      </w:r>
      <w:r>
        <w:rPr>
          <w:spacing w:val="23"/>
          <w:sz w:val="22"/>
        </w:rPr>
        <w:t> </w:t>
      </w:r>
      <w:r>
        <w:rPr>
          <w:sz w:val="22"/>
        </w:rPr>
        <w:t>Suissa</w:t>
      </w:r>
      <w:r>
        <w:rPr>
          <w:spacing w:val="23"/>
          <w:sz w:val="22"/>
        </w:rPr>
        <w:t> </w:t>
      </w:r>
      <w:r>
        <w:rPr>
          <w:sz w:val="22"/>
        </w:rPr>
        <w:t>S.</w:t>
      </w:r>
      <w:r>
        <w:rPr>
          <w:spacing w:val="23"/>
          <w:sz w:val="22"/>
        </w:rPr>
        <w:t> </w:t>
      </w:r>
      <w:r>
        <w:rPr>
          <w:sz w:val="22"/>
        </w:rPr>
        <w:t>Local</w:t>
      </w:r>
      <w:r>
        <w:rPr>
          <w:spacing w:val="28"/>
          <w:sz w:val="22"/>
        </w:rPr>
        <w:t> </w:t>
      </w:r>
      <w:r>
        <w:rPr>
          <w:sz w:val="22"/>
        </w:rPr>
        <w:t>estrogen</w:t>
      </w:r>
      <w:r>
        <w:rPr>
          <w:spacing w:val="28"/>
          <w:sz w:val="22"/>
        </w:rPr>
        <w:t> </w:t>
      </w:r>
      <w:r>
        <w:rPr>
          <w:sz w:val="22"/>
        </w:rPr>
        <w:t>therapy</w:t>
      </w:r>
      <w:r>
        <w:rPr>
          <w:spacing w:val="28"/>
          <w:sz w:val="22"/>
        </w:rPr>
        <w:t> </w:t>
      </w:r>
      <w:r>
        <w:rPr>
          <w:sz w:val="22"/>
        </w:rPr>
        <w:t>and</w:t>
      </w:r>
      <w:r>
        <w:rPr>
          <w:spacing w:val="28"/>
          <w:sz w:val="22"/>
        </w:rPr>
        <w:t> </w:t>
      </w:r>
      <w:r>
        <w:rPr>
          <w:sz w:val="22"/>
        </w:rPr>
        <w:t>risk of</w:t>
      </w:r>
      <w:r>
        <w:rPr>
          <w:spacing w:val="40"/>
          <w:sz w:val="22"/>
        </w:rPr>
        <w:t> </w:t>
      </w:r>
      <w:r>
        <w:rPr>
          <w:sz w:val="22"/>
        </w:rPr>
        <w:t>breast</w:t>
      </w:r>
      <w:r>
        <w:rPr>
          <w:spacing w:val="40"/>
          <w:sz w:val="22"/>
        </w:rPr>
        <w:t> </w:t>
      </w:r>
      <w:r>
        <w:rPr>
          <w:sz w:val="22"/>
        </w:rPr>
        <w:t>cancer</w:t>
      </w:r>
      <w:r>
        <w:rPr>
          <w:spacing w:val="40"/>
          <w:sz w:val="22"/>
        </w:rPr>
        <w:t> </w:t>
      </w:r>
      <w:r>
        <w:rPr>
          <w:sz w:val="22"/>
        </w:rPr>
        <w:t>recurrence</w:t>
      </w:r>
      <w:r>
        <w:rPr>
          <w:spacing w:val="40"/>
          <w:sz w:val="22"/>
        </w:rPr>
        <w:t> </w:t>
      </w:r>
      <w:r>
        <w:rPr>
          <w:sz w:val="22"/>
        </w:rPr>
        <w:t>among</w:t>
      </w:r>
      <w:r>
        <w:rPr>
          <w:spacing w:val="40"/>
          <w:sz w:val="22"/>
        </w:rPr>
        <w:t> </w:t>
      </w:r>
      <w:r>
        <w:rPr>
          <w:sz w:val="22"/>
        </w:rPr>
        <w:t>hormone-treated</w:t>
      </w:r>
      <w:r>
        <w:rPr>
          <w:spacing w:val="40"/>
          <w:sz w:val="22"/>
        </w:rPr>
        <w:t> </w:t>
      </w:r>
      <w:r>
        <w:rPr>
          <w:sz w:val="22"/>
        </w:rPr>
        <w:t>patients:</w:t>
      </w:r>
      <w:r>
        <w:rPr>
          <w:spacing w:val="40"/>
          <w:sz w:val="22"/>
        </w:rPr>
        <w:t> </w:t>
      </w:r>
      <w:r>
        <w:rPr>
          <w:sz w:val="22"/>
        </w:rPr>
        <w:t>a</w:t>
      </w:r>
      <w:r>
        <w:rPr>
          <w:spacing w:val="40"/>
          <w:sz w:val="22"/>
        </w:rPr>
        <w:t> </w:t>
      </w:r>
      <w:r>
        <w:rPr>
          <w:sz w:val="22"/>
        </w:rPr>
        <w:t>nested</w:t>
      </w:r>
      <w:r>
        <w:rPr>
          <w:spacing w:val="40"/>
          <w:sz w:val="22"/>
        </w:rPr>
        <w:t> </w:t>
      </w:r>
      <w:r>
        <w:rPr>
          <w:sz w:val="22"/>
        </w:rPr>
        <w:t>case-control</w:t>
      </w:r>
      <w:r>
        <w:rPr>
          <w:spacing w:val="40"/>
          <w:sz w:val="22"/>
        </w:rPr>
        <w:t> </w:t>
      </w:r>
      <w:r>
        <w:rPr>
          <w:sz w:val="22"/>
        </w:rPr>
        <w:t>study. </w:t>
      </w:r>
      <w:r>
        <w:rPr>
          <w:i/>
          <w:sz w:val="22"/>
        </w:rPr>
        <w:t>Breast Cancer Res Treat</w:t>
      </w:r>
      <w:r>
        <w:rPr>
          <w:sz w:val="22"/>
        </w:rPr>
        <w:t>. 2012;135(2):603.</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Speroff L, United States VR Investigator Group. Efficacy and tolerability of a novel estradiol vaginal ring for relief of menopausal symptoms. </w:t>
      </w:r>
      <w:r>
        <w:rPr>
          <w:i/>
          <w:sz w:val="22"/>
        </w:rPr>
        <w:t>Obstet Gynecol</w:t>
      </w:r>
      <w:r>
        <w:rPr>
          <w:sz w:val="22"/>
        </w:rPr>
        <w:t>. 2003;102:823.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Al-Azzawi</w:t>
      </w:r>
      <w:r>
        <w:rPr>
          <w:spacing w:val="16"/>
          <w:sz w:val="22"/>
        </w:rPr>
        <w:t> </w:t>
      </w:r>
      <w:r>
        <w:rPr>
          <w:sz w:val="22"/>
        </w:rPr>
        <w:t>F,</w:t>
      </w:r>
      <w:r>
        <w:rPr>
          <w:spacing w:val="16"/>
          <w:sz w:val="22"/>
        </w:rPr>
        <w:t> </w:t>
      </w:r>
      <w:r>
        <w:rPr>
          <w:sz w:val="22"/>
        </w:rPr>
        <w:t>Buckler</w:t>
      </w:r>
      <w:r>
        <w:rPr>
          <w:spacing w:val="16"/>
          <w:sz w:val="22"/>
        </w:rPr>
        <w:t> </w:t>
      </w:r>
      <w:r>
        <w:rPr>
          <w:sz w:val="22"/>
        </w:rPr>
        <w:t>HM,</w:t>
      </w:r>
      <w:r>
        <w:rPr>
          <w:spacing w:val="16"/>
          <w:sz w:val="22"/>
        </w:rPr>
        <w:t> </w:t>
      </w:r>
      <w:r>
        <w:rPr>
          <w:sz w:val="22"/>
        </w:rPr>
        <w:t>United</w:t>
      </w:r>
      <w:r>
        <w:rPr>
          <w:spacing w:val="16"/>
          <w:sz w:val="22"/>
        </w:rPr>
        <w:t> </w:t>
      </w:r>
      <w:r>
        <w:rPr>
          <w:sz w:val="22"/>
        </w:rPr>
        <w:t>Kingdom</w:t>
      </w:r>
      <w:r>
        <w:rPr>
          <w:spacing w:val="16"/>
          <w:sz w:val="22"/>
        </w:rPr>
        <w:t> </w:t>
      </w:r>
      <w:r>
        <w:rPr>
          <w:sz w:val="22"/>
        </w:rPr>
        <w:t>Vaginal</w:t>
      </w:r>
      <w:r>
        <w:rPr>
          <w:spacing w:val="16"/>
          <w:sz w:val="22"/>
        </w:rPr>
        <w:t> </w:t>
      </w:r>
      <w:r>
        <w:rPr>
          <w:sz w:val="22"/>
        </w:rPr>
        <w:t>Ring</w:t>
      </w:r>
      <w:r>
        <w:rPr>
          <w:spacing w:val="16"/>
          <w:sz w:val="22"/>
        </w:rPr>
        <w:t> </w:t>
      </w:r>
      <w:r>
        <w:rPr>
          <w:sz w:val="22"/>
        </w:rPr>
        <w:t>Investigator</w:t>
      </w:r>
      <w:r>
        <w:rPr>
          <w:spacing w:val="16"/>
          <w:sz w:val="22"/>
        </w:rPr>
        <w:t> </w:t>
      </w:r>
      <w:r>
        <w:rPr>
          <w:sz w:val="22"/>
        </w:rPr>
        <w:t>Group.</w:t>
      </w:r>
      <w:r>
        <w:rPr>
          <w:spacing w:val="16"/>
          <w:sz w:val="22"/>
        </w:rPr>
        <w:t> </w:t>
      </w:r>
      <w:r>
        <w:rPr>
          <w:sz w:val="22"/>
        </w:rPr>
        <w:t>Comparison of a novel vaginal ring delivering estradiol acetate versus oral estradiol for relief of </w:t>
      </w:r>
      <w:r>
        <w:rPr>
          <w:sz w:val="22"/>
        </w:rPr>
        <w:t>vasomotor menopausal symptoms. </w:t>
      </w:r>
      <w:r>
        <w:rPr>
          <w:i/>
          <w:sz w:val="22"/>
        </w:rPr>
        <w:t>Climacteric</w:t>
      </w:r>
      <w:r>
        <w:rPr>
          <w:sz w:val="22"/>
        </w:rPr>
        <w:t>. 2003;6:118.</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Stanczyk FZ, Winer SA, Foidart JM, Archer DF. Comparison of estrogenic components </w:t>
      </w:r>
      <w:r>
        <w:rPr>
          <w:sz w:val="22"/>
        </w:rPr>
        <w:t>used</w:t>
      </w:r>
      <w:r>
        <w:rPr>
          <w:spacing w:val="80"/>
          <w:sz w:val="22"/>
        </w:rPr>
        <w:t> </w:t>
      </w:r>
      <w:r>
        <w:rPr>
          <w:sz w:val="22"/>
        </w:rPr>
        <w:t>for hormonal contraception. </w:t>
      </w:r>
      <w:r>
        <w:rPr>
          <w:i/>
          <w:sz w:val="22"/>
        </w:rPr>
        <w:t>Contraception</w:t>
      </w:r>
      <w:r>
        <w:rPr>
          <w:sz w:val="22"/>
        </w:rPr>
        <w:t>. 2024;130:110310.</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Castelo-Blanco C, de Osaba M, Vanrezc JA, Fortuny A, Gonzalez-Merlo J. Effects of oophorectomy and hormone replacement therapy on pituitary-gonadal function. </w:t>
      </w:r>
      <w:r>
        <w:rPr>
          <w:i/>
          <w:sz w:val="22"/>
        </w:rPr>
        <w:t>Maturitas</w:t>
      </w:r>
      <w:r>
        <w:rPr>
          <w:sz w:val="22"/>
        </w:rPr>
        <w:t>. </w:t>
      </w:r>
      <w:r>
        <w:rPr>
          <w:spacing w:val="-2"/>
          <w:sz w:val="22"/>
        </w:rPr>
        <w:t>1993;17:101.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Woodruff</w:t>
      </w:r>
      <w:r>
        <w:rPr>
          <w:spacing w:val="24"/>
          <w:sz w:val="22"/>
        </w:rPr>
        <w:t> </w:t>
      </w:r>
      <w:r>
        <w:rPr>
          <w:sz w:val="22"/>
        </w:rPr>
        <w:t>JD,</w:t>
      </w:r>
      <w:r>
        <w:rPr>
          <w:spacing w:val="24"/>
          <w:sz w:val="22"/>
        </w:rPr>
        <w:t> </w:t>
      </w:r>
      <w:r>
        <w:rPr>
          <w:sz w:val="22"/>
        </w:rPr>
        <w:t>Pickar</w:t>
      </w:r>
      <w:r>
        <w:rPr>
          <w:spacing w:val="24"/>
          <w:sz w:val="22"/>
        </w:rPr>
        <w:t> </w:t>
      </w:r>
      <w:r>
        <w:rPr>
          <w:sz w:val="22"/>
        </w:rPr>
        <w:t>JH,</w:t>
      </w:r>
      <w:r>
        <w:rPr>
          <w:spacing w:val="24"/>
          <w:sz w:val="22"/>
        </w:rPr>
        <w:t> </w:t>
      </w:r>
      <w:r>
        <w:rPr>
          <w:sz w:val="22"/>
        </w:rPr>
        <w:t>The</w:t>
      </w:r>
      <w:r>
        <w:rPr>
          <w:spacing w:val="24"/>
          <w:sz w:val="22"/>
        </w:rPr>
        <w:t> </w:t>
      </w:r>
      <w:r>
        <w:rPr>
          <w:sz w:val="22"/>
        </w:rPr>
        <w:t>Menopause</w:t>
      </w:r>
      <w:r>
        <w:rPr>
          <w:spacing w:val="24"/>
          <w:sz w:val="22"/>
        </w:rPr>
        <w:t> </w:t>
      </w:r>
      <w:r>
        <w:rPr>
          <w:sz w:val="22"/>
        </w:rPr>
        <w:t>Study</w:t>
      </w:r>
      <w:r>
        <w:rPr>
          <w:spacing w:val="24"/>
          <w:sz w:val="22"/>
        </w:rPr>
        <w:t> </w:t>
      </w:r>
      <w:r>
        <w:rPr>
          <w:sz w:val="22"/>
        </w:rPr>
        <w:t>Group.</w:t>
      </w:r>
      <w:r>
        <w:rPr>
          <w:spacing w:val="24"/>
          <w:sz w:val="22"/>
        </w:rPr>
        <w:t> </w:t>
      </w:r>
      <w:r>
        <w:rPr>
          <w:sz w:val="22"/>
        </w:rPr>
        <w:t>Incidence</w:t>
      </w:r>
      <w:r>
        <w:rPr>
          <w:spacing w:val="27"/>
          <w:sz w:val="22"/>
        </w:rPr>
        <w:t> </w:t>
      </w:r>
      <w:r>
        <w:rPr>
          <w:sz w:val="22"/>
        </w:rPr>
        <w:t>of</w:t>
      </w:r>
      <w:r>
        <w:rPr>
          <w:spacing w:val="27"/>
          <w:sz w:val="22"/>
        </w:rPr>
        <w:t> </w:t>
      </w:r>
      <w:r>
        <w:rPr>
          <w:sz w:val="22"/>
        </w:rPr>
        <w:t>endometrial</w:t>
      </w:r>
      <w:r>
        <w:rPr>
          <w:spacing w:val="27"/>
          <w:sz w:val="22"/>
        </w:rPr>
        <w:t> </w:t>
      </w:r>
      <w:r>
        <w:rPr>
          <w:sz w:val="22"/>
        </w:rPr>
        <w:t>hyperplasia in postmenopausal women taking conjugated estrogens (Premarin) with </w:t>
      </w:r>
      <w:r>
        <w:rPr>
          <w:sz w:val="22"/>
        </w:rPr>
        <w:t>medroxyprogesterone acetate or conjugated estrogens alone. </w:t>
      </w:r>
      <w:r>
        <w:rPr>
          <w:i/>
          <w:sz w:val="22"/>
        </w:rPr>
        <w:t>Am J Obstet Gynecol</w:t>
      </w:r>
      <w:r>
        <w:rPr>
          <w:sz w:val="22"/>
        </w:rPr>
        <w:t>. 1994;170:1213.</w:t>
      </w:r>
    </w:p>
    <w:p>
      <w:pPr>
        <w:pStyle w:val="ListParagraph"/>
        <w:numPr>
          <w:ilvl w:val="0"/>
          <w:numId w:val="19"/>
        </w:numPr>
        <w:tabs>
          <w:tab w:pos="699" w:val="left" w:leader="none"/>
          <w:tab w:pos="718" w:val="left" w:leader="none"/>
        </w:tabs>
        <w:spacing w:line="256" w:lineRule="auto" w:before="0" w:after="0"/>
        <w:ind w:left="718" w:right="99" w:hanging="507"/>
        <w:jc w:val="both"/>
        <w:rPr>
          <w:sz w:val="22"/>
        </w:rPr>
      </w:pPr>
      <w:r>
        <w:rPr>
          <w:sz w:val="22"/>
        </w:rPr>
        <w:t>Strickland DM, Hammond TL. Postmenopausal estrogen replacement in a large gynecologic practice. </w:t>
      </w:r>
      <w:r>
        <w:rPr>
          <w:i/>
          <w:sz w:val="22"/>
        </w:rPr>
        <w:t>Am J Gynecol Health</w:t>
      </w:r>
      <w:r>
        <w:rPr>
          <w:sz w:val="22"/>
        </w:rPr>
        <w:t>. 1988;2:33.</w:t>
      </w:r>
    </w:p>
    <w:p>
      <w:pPr>
        <w:pStyle w:val="ListParagraph"/>
        <w:numPr>
          <w:ilvl w:val="0"/>
          <w:numId w:val="19"/>
        </w:numPr>
        <w:tabs>
          <w:tab w:pos="690" w:val="left" w:leader="none"/>
          <w:tab w:pos="718" w:val="left" w:leader="none"/>
        </w:tabs>
        <w:spacing w:line="256" w:lineRule="auto" w:before="0" w:after="0"/>
        <w:ind w:left="718" w:right="102" w:hanging="507"/>
        <w:jc w:val="both"/>
        <w:rPr>
          <w:sz w:val="22"/>
        </w:rPr>
      </w:pPr>
      <w:r>
        <w:rPr>
          <w:sz w:val="22"/>
        </w:rPr>
        <w:t>Archer DF, Pickar JH, Bottiglioni F, The Menopause Study Group. Bleeding patterns in postmenopausal women taking continuous combined or sequential regimens of conjugated estrogens with medroxyprogesterone acetate. </w:t>
      </w:r>
      <w:r>
        <w:rPr>
          <w:i/>
          <w:sz w:val="22"/>
        </w:rPr>
        <w:t>Obstet Gynecol</w:t>
      </w:r>
      <w:r>
        <w:rPr>
          <w:sz w:val="22"/>
        </w:rPr>
        <w:t>. 1994;83:686.</w:t>
      </w:r>
    </w:p>
    <w:p>
      <w:pPr>
        <w:pStyle w:val="ListParagraph"/>
        <w:numPr>
          <w:ilvl w:val="0"/>
          <w:numId w:val="19"/>
        </w:numPr>
        <w:tabs>
          <w:tab w:pos="699" w:val="left" w:leader="none"/>
          <w:tab w:pos="718" w:val="left" w:leader="none"/>
        </w:tabs>
        <w:spacing w:line="256" w:lineRule="auto" w:before="0" w:after="0"/>
        <w:ind w:left="718" w:right="101" w:hanging="507"/>
        <w:jc w:val="both"/>
        <w:rPr>
          <w:sz w:val="22"/>
        </w:rPr>
      </w:pPr>
      <w:r>
        <w:rPr>
          <w:sz w:val="22"/>
        </w:rPr>
        <w:t>The Writing Group for the PEPI Trial. Effects of estrogen or estrogen/progestin regimens on heart disease risk factors in postmenopausal women: the Postmenopausal </w:t>
      </w:r>
      <w:r>
        <w:rPr>
          <w:sz w:val="22"/>
        </w:rPr>
        <w:t>Estrogen/Progestin Interventions (PEPI) trial. </w:t>
      </w:r>
      <w:r>
        <w:rPr>
          <w:i/>
          <w:sz w:val="22"/>
        </w:rPr>
        <w:t>JAMA</w:t>
      </w:r>
      <w:r>
        <w:rPr>
          <w:sz w:val="22"/>
        </w:rPr>
        <w:t>. 1995;273:199.</w:t>
      </w:r>
    </w:p>
    <w:p>
      <w:pPr>
        <w:pStyle w:val="ListParagraph"/>
        <w:numPr>
          <w:ilvl w:val="0"/>
          <w:numId w:val="19"/>
        </w:numPr>
        <w:tabs>
          <w:tab w:pos="699" w:val="left" w:leader="none"/>
          <w:tab w:pos="718" w:val="left" w:leader="none"/>
        </w:tabs>
        <w:spacing w:line="256" w:lineRule="auto" w:before="0" w:after="0"/>
        <w:ind w:left="718" w:right="99" w:hanging="507"/>
        <w:jc w:val="both"/>
        <w:rPr>
          <w:sz w:val="22"/>
        </w:rPr>
      </w:pPr>
      <w:r>
        <w:rPr>
          <w:sz w:val="22"/>
        </w:rPr>
        <w:t>The Writing Group for the PEPI Trial. Effects of hormone replacement therapy on endometrial histology in postmenopausal women: the Postmenopausal Estrogen/Progestin Interventions (PEPI) trial. </w:t>
      </w:r>
      <w:r>
        <w:rPr>
          <w:i/>
          <w:sz w:val="22"/>
        </w:rPr>
        <w:t>JAMA</w:t>
      </w:r>
      <w:r>
        <w:rPr>
          <w:sz w:val="22"/>
        </w:rPr>
        <w:t>. 1996;275:370.</w:t>
      </w:r>
    </w:p>
    <w:p>
      <w:pPr>
        <w:pStyle w:val="ListParagraph"/>
        <w:numPr>
          <w:ilvl w:val="0"/>
          <w:numId w:val="19"/>
        </w:numPr>
        <w:tabs>
          <w:tab w:pos="699" w:val="left" w:leader="none"/>
          <w:tab w:pos="718" w:val="left" w:leader="none"/>
        </w:tabs>
        <w:spacing w:line="256" w:lineRule="auto" w:before="0" w:after="0"/>
        <w:ind w:left="718" w:right="98" w:hanging="507"/>
        <w:jc w:val="both"/>
        <w:rPr>
          <w:sz w:val="22"/>
        </w:rPr>
      </w:pPr>
      <w:r>
        <w:rPr>
          <w:sz w:val="22"/>
        </w:rPr>
        <w:t>Speroff L, Rowan J, Symons J, Genant H, Wilborn W, CHART Study Group. The comparative effect</w:t>
      </w:r>
      <w:r>
        <w:rPr>
          <w:spacing w:val="40"/>
          <w:sz w:val="22"/>
        </w:rPr>
        <w:t> </w:t>
      </w:r>
      <w:r>
        <w:rPr>
          <w:sz w:val="22"/>
        </w:rPr>
        <w:t>on</w:t>
      </w:r>
      <w:r>
        <w:rPr>
          <w:spacing w:val="40"/>
          <w:sz w:val="22"/>
        </w:rPr>
        <w:t> </w:t>
      </w:r>
      <w:r>
        <w:rPr>
          <w:sz w:val="22"/>
        </w:rPr>
        <w:t>bone</w:t>
      </w:r>
      <w:r>
        <w:rPr>
          <w:spacing w:val="40"/>
          <w:sz w:val="22"/>
        </w:rPr>
        <w:t> </w:t>
      </w:r>
      <w:r>
        <w:rPr>
          <w:sz w:val="22"/>
        </w:rPr>
        <w:t>density,</w:t>
      </w:r>
      <w:r>
        <w:rPr>
          <w:spacing w:val="40"/>
          <w:sz w:val="22"/>
        </w:rPr>
        <w:t> </w:t>
      </w:r>
      <w:r>
        <w:rPr>
          <w:sz w:val="22"/>
        </w:rPr>
        <w:t>endometrium,</w:t>
      </w:r>
      <w:r>
        <w:rPr>
          <w:spacing w:val="40"/>
          <w:sz w:val="22"/>
        </w:rPr>
        <w:t> </w:t>
      </w:r>
      <w:r>
        <w:rPr>
          <w:sz w:val="22"/>
        </w:rPr>
        <w:t>and</w:t>
      </w:r>
      <w:r>
        <w:rPr>
          <w:spacing w:val="40"/>
          <w:sz w:val="22"/>
        </w:rPr>
        <w:t> </w:t>
      </w:r>
      <w:r>
        <w:rPr>
          <w:sz w:val="22"/>
        </w:rPr>
        <w:t>lipids</w:t>
      </w:r>
      <w:r>
        <w:rPr>
          <w:spacing w:val="40"/>
          <w:sz w:val="22"/>
        </w:rPr>
        <w:t> </w:t>
      </w:r>
      <w:r>
        <w:rPr>
          <w:sz w:val="22"/>
        </w:rPr>
        <w:t>of</w:t>
      </w:r>
      <w:r>
        <w:rPr>
          <w:spacing w:val="40"/>
          <w:sz w:val="22"/>
        </w:rPr>
        <w:t> </w:t>
      </w:r>
      <w:r>
        <w:rPr>
          <w:sz w:val="22"/>
        </w:rPr>
        <w:t>continuous</w:t>
      </w:r>
      <w:r>
        <w:rPr>
          <w:spacing w:val="40"/>
          <w:sz w:val="22"/>
        </w:rPr>
        <w:t> </w:t>
      </w:r>
      <w:r>
        <w:rPr>
          <w:sz w:val="22"/>
        </w:rPr>
        <w:t>hormones</w:t>
      </w:r>
      <w:r>
        <w:rPr>
          <w:spacing w:val="40"/>
          <w:sz w:val="22"/>
        </w:rPr>
        <w:t> </w:t>
      </w:r>
      <w:r>
        <w:rPr>
          <w:sz w:val="22"/>
        </w:rPr>
        <w:t>as</w:t>
      </w:r>
      <w:r>
        <w:rPr>
          <w:spacing w:val="40"/>
          <w:sz w:val="22"/>
        </w:rPr>
        <w:t> </w:t>
      </w:r>
      <w:r>
        <w:rPr>
          <w:sz w:val="22"/>
        </w:rPr>
        <w:t>replacement therapy (CHART Study). </w:t>
      </w:r>
      <w:r>
        <w:rPr>
          <w:i/>
          <w:sz w:val="22"/>
        </w:rPr>
        <w:t>JAMA</w:t>
      </w:r>
      <w:r>
        <w:rPr>
          <w:sz w:val="22"/>
        </w:rPr>
        <w:t>. 1996;276:1397.</w:t>
      </w:r>
    </w:p>
    <w:p>
      <w:pPr>
        <w:pStyle w:val="ListParagraph"/>
        <w:numPr>
          <w:ilvl w:val="0"/>
          <w:numId w:val="19"/>
        </w:numPr>
        <w:tabs>
          <w:tab w:pos="699" w:val="left" w:leader="none"/>
          <w:tab w:pos="718" w:val="left" w:leader="none"/>
        </w:tabs>
        <w:spacing w:line="256" w:lineRule="auto" w:before="0" w:after="0"/>
        <w:ind w:left="718" w:right="100" w:hanging="507"/>
        <w:jc w:val="both"/>
        <w:rPr>
          <w:sz w:val="22"/>
        </w:rPr>
      </w:pPr>
      <w:r>
        <w:rPr>
          <w:sz w:val="22"/>
        </w:rPr>
        <w:t>Pickar JH, Yeh IT, Wheeler JE, Cunnane MF, Speroff L. Endometrial effects of lower doses of conjugated</w:t>
      </w:r>
      <w:r>
        <w:rPr>
          <w:spacing w:val="40"/>
          <w:sz w:val="22"/>
        </w:rPr>
        <w:t> </w:t>
      </w:r>
      <w:r>
        <w:rPr>
          <w:sz w:val="22"/>
        </w:rPr>
        <w:t>equine</w:t>
      </w:r>
      <w:r>
        <w:rPr>
          <w:spacing w:val="40"/>
          <w:sz w:val="22"/>
        </w:rPr>
        <w:t> </w:t>
      </w:r>
      <w:r>
        <w:rPr>
          <w:sz w:val="22"/>
        </w:rPr>
        <w:t>estrogens</w:t>
      </w:r>
      <w:r>
        <w:rPr>
          <w:spacing w:val="40"/>
          <w:sz w:val="22"/>
        </w:rPr>
        <w:t> </w:t>
      </w:r>
      <w:r>
        <w:rPr>
          <w:sz w:val="22"/>
        </w:rPr>
        <w:t>and</w:t>
      </w:r>
      <w:r>
        <w:rPr>
          <w:spacing w:val="40"/>
          <w:sz w:val="22"/>
        </w:rPr>
        <w:t> </w:t>
      </w:r>
      <w:r>
        <w:rPr>
          <w:sz w:val="22"/>
        </w:rPr>
        <w:t>medroxyprogesterone</w:t>
      </w:r>
      <w:r>
        <w:rPr>
          <w:spacing w:val="40"/>
          <w:sz w:val="22"/>
        </w:rPr>
        <w:t> </w:t>
      </w:r>
      <w:r>
        <w:rPr>
          <w:sz w:val="22"/>
        </w:rPr>
        <w:t>acetate:</w:t>
      </w:r>
      <w:r>
        <w:rPr>
          <w:spacing w:val="40"/>
          <w:sz w:val="22"/>
        </w:rPr>
        <w:t> </w:t>
      </w:r>
      <w:r>
        <w:rPr>
          <w:sz w:val="22"/>
        </w:rPr>
        <w:t>two-year</w:t>
      </w:r>
      <w:r>
        <w:rPr>
          <w:spacing w:val="40"/>
          <w:sz w:val="22"/>
        </w:rPr>
        <w:t> </w:t>
      </w:r>
      <w:r>
        <w:rPr>
          <w:sz w:val="22"/>
        </w:rPr>
        <w:t>substudy</w:t>
      </w:r>
      <w:r>
        <w:rPr>
          <w:spacing w:val="40"/>
          <w:sz w:val="22"/>
        </w:rPr>
        <w:t> </w:t>
      </w:r>
      <w:r>
        <w:rPr>
          <w:sz w:val="22"/>
        </w:rPr>
        <w:t>results. </w:t>
      </w:r>
      <w:r>
        <w:rPr>
          <w:i/>
          <w:sz w:val="22"/>
        </w:rPr>
        <w:t>Fertil Steril</w:t>
      </w:r>
      <w:r>
        <w:rPr>
          <w:sz w:val="22"/>
        </w:rPr>
        <w:t>. 2003;80:1234.</w:t>
      </w:r>
    </w:p>
    <w:p>
      <w:pPr>
        <w:pStyle w:val="ListParagraph"/>
        <w:numPr>
          <w:ilvl w:val="0"/>
          <w:numId w:val="19"/>
        </w:numPr>
        <w:tabs>
          <w:tab w:pos="700" w:val="left" w:leader="none"/>
        </w:tabs>
        <w:spacing w:line="251" w:lineRule="exact" w:before="0" w:after="0"/>
        <w:ind w:left="700" w:right="0" w:hanging="488"/>
        <w:jc w:val="both"/>
        <w:rPr>
          <w:sz w:val="22"/>
        </w:rPr>
      </w:pPr>
      <w:r>
        <w:rPr>
          <w:sz w:val="22"/>
        </w:rPr>
        <w:t>King</w:t>
      </w:r>
      <w:r>
        <w:rPr>
          <w:spacing w:val="11"/>
          <w:sz w:val="22"/>
        </w:rPr>
        <w:t> </w:t>
      </w:r>
      <w:r>
        <w:rPr>
          <w:sz w:val="22"/>
        </w:rPr>
        <w:t>R,</w:t>
      </w:r>
      <w:r>
        <w:rPr>
          <w:spacing w:val="12"/>
          <w:sz w:val="22"/>
        </w:rPr>
        <w:t> </w:t>
      </w:r>
      <w:r>
        <w:rPr>
          <w:sz w:val="22"/>
        </w:rPr>
        <w:t>Whitehead</w:t>
      </w:r>
      <w:r>
        <w:rPr>
          <w:spacing w:val="12"/>
          <w:sz w:val="22"/>
        </w:rPr>
        <w:t> </w:t>
      </w:r>
      <w:r>
        <w:rPr>
          <w:sz w:val="22"/>
        </w:rPr>
        <w:t>M.</w:t>
      </w:r>
      <w:r>
        <w:rPr>
          <w:spacing w:val="11"/>
          <w:sz w:val="22"/>
        </w:rPr>
        <w:t> </w:t>
      </w:r>
      <w:r>
        <w:rPr>
          <w:sz w:val="22"/>
        </w:rPr>
        <w:t>Assessment</w:t>
      </w:r>
      <w:r>
        <w:rPr>
          <w:spacing w:val="12"/>
          <w:sz w:val="22"/>
        </w:rPr>
        <w:t> </w:t>
      </w:r>
      <w:r>
        <w:rPr>
          <w:sz w:val="22"/>
        </w:rPr>
        <w:t>of</w:t>
      </w:r>
      <w:r>
        <w:rPr>
          <w:spacing w:val="12"/>
          <w:sz w:val="22"/>
        </w:rPr>
        <w:t> </w:t>
      </w:r>
      <w:r>
        <w:rPr>
          <w:sz w:val="22"/>
        </w:rPr>
        <w:t>the</w:t>
      </w:r>
      <w:r>
        <w:rPr>
          <w:spacing w:val="11"/>
          <w:sz w:val="22"/>
        </w:rPr>
        <w:t> </w:t>
      </w:r>
      <w:r>
        <w:rPr>
          <w:sz w:val="22"/>
        </w:rPr>
        <w:t>potency</w:t>
      </w:r>
      <w:r>
        <w:rPr>
          <w:spacing w:val="12"/>
          <w:sz w:val="22"/>
        </w:rPr>
        <w:t> </w:t>
      </w:r>
      <w:r>
        <w:rPr>
          <w:sz w:val="22"/>
        </w:rPr>
        <w:t>of</w:t>
      </w:r>
      <w:r>
        <w:rPr>
          <w:spacing w:val="12"/>
          <w:sz w:val="22"/>
        </w:rPr>
        <w:t> </w:t>
      </w:r>
      <w:r>
        <w:rPr>
          <w:sz w:val="22"/>
        </w:rPr>
        <w:t>orally</w:t>
      </w:r>
      <w:r>
        <w:rPr>
          <w:spacing w:val="11"/>
          <w:sz w:val="22"/>
        </w:rPr>
        <w:t> </w:t>
      </w:r>
      <w:r>
        <w:rPr>
          <w:sz w:val="22"/>
        </w:rPr>
        <w:t>administered</w:t>
      </w:r>
      <w:r>
        <w:rPr>
          <w:spacing w:val="12"/>
          <w:sz w:val="22"/>
        </w:rPr>
        <w:t> </w:t>
      </w:r>
      <w:r>
        <w:rPr>
          <w:sz w:val="22"/>
        </w:rPr>
        <w:t>progestins</w:t>
      </w:r>
      <w:r>
        <w:rPr>
          <w:spacing w:val="12"/>
          <w:sz w:val="22"/>
        </w:rPr>
        <w:t> </w:t>
      </w:r>
      <w:r>
        <w:rPr>
          <w:sz w:val="22"/>
        </w:rPr>
        <w:t>in</w:t>
      </w:r>
      <w:r>
        <w:rPr>
          <w:spacing w:val="11"/>
          <w:sz w:val="22"/>
        </w:rPr>
        <w:t> </w:t>
      </w:r>
      <w:r>
        <w:rPr>
          <w:spacing w:val="-2"/>
          <w:sz w:val="22"/>
        </w:rPr>
        <w:t>women.</w:t>
      </w:r>
    </w:p>
    <w:p>
      <w:pPr>
        <w:spacing w:before="0"/>
        <w:ind w:left="718" w:right="0" w:firstLine="0"/>
        <w:jc w:val="both"/>
        <w:rPr>
          <w:sz w:val="22"/>
        </w:rPr>
      </w:pPr>
      <w:r>
        <w:rPr>
          <w:i/>
          <w:sz w:val="22"/>
        </w:rPr>
        <w:t>Fertil</w:t>
      </w:r>
      <w:r>
        <w:rPr>
          <w:i/>
          <w:spacing w:val="10"/>
          <w:sz w:val="22"/>
        </w:rPr>
        <w:t> </w:t>
      </w:r>
      <w:r>
        <w:rPr>
          <w:i/>
          <w:sz w:val="22"/>
        </w:rPr>
        <w:t>Steril</w:t>
      </w:r>
      <w:r>
        <w:rPr>
          <w:sz w:val="22"/>
        </w:rPr>
        <w:t>.</w:t>
      </w:r>
      <w:r>
        <w:rPr>
          <w:spacing w:val="11"/>
          <w:sz w:val="22"/>
        </w:rPr>
        <w:t> </w:t>
      </w:r>
      <w:r>
        <w:rPr>
          <w:spacing w:val="-2"/>
          <w:sz w:val="22"/>
        </w:rPr>
        <w:t>1986;46:1062.</w:t>
      </w:r>
    </w:p>
    <w:p>
      <w:pPr>
        <w:pStyle w:val="ListParagraph"/>
        <w:numPr>
          <w:ilvl w:val="0"/>
          <w:numId w:val="19"/>
        </w:numPr>
        <w:tabs>
          <w:tab w:pos="699" w:val="left" w:leader="none"/>
          <w:tab w:pos="718" w:val="left" w:leader="none"/>
        </w:tabs>
        <w:spacing w:line="256" w:lineRule="auto" w:before="8" w:after="0"/>
        <w:ind w:left="718" w:right="98" w:hanging="507"/>
        <w:jc w:val="both"/>
        <w:rPr>
          <w:sz w:val="22"/>
        </w:rPr>
      </w:pPr>
      <w:r>
        <w:rPr>
          <w:sz w:val="22"/>
        </w:rPr>
        <w:t>The Writing Group for the PEPI Trial. Effects of hormone therapy on bone mineral density: results from the Postmenopausal Estrogen/Progestin Interventions (PEPI) trial. </w:t>
      </w:r>
      <w:r>
        <w:rPr>
          <w:i/>
          <w:sz w:val="22"/>
        </w:rPr>
        <w:t>JAMA</w:t>
      </w:r>
      <w:r>
        <w:rPr>
          <w:sz w:val="22"/>
        </w:rPr>
        <w:t>. </w:t>
      </w:r>
      <w:r>
        <w:rPr>
          <w:spacing w:val="-2"/>
          <w:sz w:val="22"/>
        </w:rPr>
        <w:t>1996;276:1389.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699" w:val="left" w:leader="none"/>
          <w:tab w:pos="718" w:val="left" w:leader="none"/>
        </w:tabs>
        <w:spacing w:line="256" w:lineRule="auto" w:before="84" w:after="0"/>
        <w:ind w:left="718" w:right="108" w:hanging="507"/>
        <w:jc w:val="both"/>
        <w:rPr>
          <w:sz w:val="22"/>
        </w:rPr>
      </w:pPr>
      <w:r>
        <w:rPr>
          <w:sz w:val="22"/>
        </w:rPr>
        <w:t>Gillet JY, Andre G, Faguer B, et al. Induction of amenorrhea during hormone </w:t>
      </w:r>
      <w:r>
        <w:rPr>
          <w:sz w:val="22"/>
        </w:rPr>
        <w:t>replacement therapy: optimal micronized progesterone dose—a multicenter study. </w:t>
      </w:r>
      <w:r>
        <w:rPr>
          <w:i/>
          <w:sz w:val="22"/>
        </w:rPr>
        <w:t>Maturitas</w:t>
      </w:r>
      <w:r>
        <w:rPr>
          <w:sz w:val="22"/>
        </w:rPr>
        <w:t>. 1994;19:103.</w:t>
      </w:r>
    </w:p>
    <w:p>
      <w:pPr>
        <w:pStyle w:val="ListParagraph"/>
        <w:numPr>
          <w:ilvl w:val="0"/>
          <w:numId w:val="19"/>
        </w:numPr>
        <w:tabs>
          <w:tab w:pos="699" w:val="left" w:leader="none"/>
          <w:tab w:pos="718" w:val="left" w:leader="none"/>
        </w:tabs>
        <w:spacing w:line="256" w:lineRule="auto" w:before="0" w:after="0"/>
        <w:ind w:left="718" w:right="107" w:hanging="507"/>
        <w:jc w:val="both"/>
        <w:rPr>
          <w:sz w:val="22"/>
        </w:rPr>
      </w:pPr>
      <w:r>
        <w:rPr>
          <w:sz w:val="22"/>
        </w:rPr>
        <w:t>Recker RR, Davies KM, Dowd RM, Heaney RP. The effect of low-dose continuous </w:t>
      </w:r>
      <w:r>
        <w:rPr>
          <w:sz w:val="22"/>
        </w:rPr>
        <w:t>estrogen</w:t>
      </w:r>
      <w:r>
        <w:rPr>
          <w:spacing w:val="80"/>
          <w:sz w:val="22"/>
        </w:rPr>
        <w:t> </w:t>
      </w:r>
      <w:r>
        <w:rPr>
          <w:sz w:val="22"/>
        </w:rPr>
        <w:t>and</w:t>
      </w:r>
      <w:r>
        <w:rPr>
          <w:spacing w:val="40"/>
          <w:sz w:val="22"/>
        </w:rPr>
        <w:t> </w:t>
      </w:r>
      <w:r>
        <w:rPr>
          <w:sz w:val="22"/>
        </w:rPr>
        <w:t>progesterone</w:t>
      </w:r>
      <w:r>
        <w:rPr>
          <w:spacing w:val="40"/>
          <w:sz w:val="22"/>
        </w:rPr>
        <w:t> </w:t>
      </w:r>
      <w:r>
        <w:rPr>
          <w:sz w:val="22"/>
        </w:rPr>
        <w:t>therapy</w:t>
      </w:r>
      <w:r>
        <w:rPr>
          <w:spacing w:val="40"/>
          <w:sz w:val="22"/>
        </w:rPr>
        <w:t> </w:t>
      </w:r>
      <w:r>
        <w:rPr>
          <w:sz w:val="22"/>
        </w:rPr>
        <w:t>with</w:t>
      </w:r>
      <w:r>
        <w:rPr>
          <w:spacing w:val="40"/>
          <w:sz w:val="22"/>
        </w:rPr>
        <w:t> </w:t>
      </w:r>
      <w:r>
        <w:rPr>
          <w:sz w:val="22"/>
        </w:rPr>
        <w:t>calcium</w:t>
      </w:r>
      <w:r>
        <w:rPr>
          <w:spacing w:val="40"/>
          <w:sz w:val="22"/>
        </w:rPr>
        <w:t> </w:t>
      </w:r>
      <w:r>
        <w:rPr>
          <w:sz w:val="22"/>
        </w:rPr>
        <w:t>and</w:t>
      </w:r>
      <w:r>
        <w:rPr>
          <w:spacing w:val="40"/>
          <w:sz w:val="22"/>
        </w:rPr>
        <w:t> </w:t>
      </w:r>
      <w:r>
        <w:rPr>
          <w:sz w:val="22"/>
        </w:rPr>
        <w:t>vitamin</w:t>
      </w:r>
      <w:r>
        <w:rPr>
          <w:spacing w:val="40"/>
          <w:sz w:val="22"/>
        </w:rPr>
        <w:t> </w:t>
      </w:r>
      <w:r>
        <w:rPr>
          <w:sz w:val="22"/>
        </w:rPr>
        <w:t>D</w:t>
      </w:r>
      <w:r>
        <w:rPr>
          <w:spacing w:val="40"/>
          <w:sz w:val="22"/>
        </w:rPr>
        <w:t> </w:t>
      </w:r>
      <w:r>
        <w:rPr>
          <w:sz w:val="22"/>
        </w:rPr>
        <w:t>on</w:t>
      </w:r>
      <w:r>
        <w:rPr>
          <w:spacing w:val="40"/>
          <w:sz w:val="22"/>
        </w:rPr>
        <w:t> </w:t>
      </w:r>
      <w:r>
        <w:rPr>
          <w:sz w:val="22"/>
        </w:rPr>
        <w:t>bone</w:t>
      </w:r>
      <w:r>
        <w:rPr>
          <w:spacing w:val="40"/>
          <w:sz w:val="22"/>
        </w:rPr>
        <w:t> </w:t>
      </w:r>
      <w:r>
        <w:rPr>
          <w:sz w:val="22"/>
        </w:rPr>
        <w:t>in</w:t>
      </w:r>
      <w:r>
        <w:rPr>
          <w:spacing w:val="40"/>
          <w:sz w:val="22"/>
        </w:rPr>
        <w:t> </w:t>
      </w:r>
      <w:r>
        <w:rPr>
          <w:sz w:val="22"/>
        </w:rPr>
        <w:t>elderly</w:t>
      </w:r>
      <w:r>
        <w:rPr>
          <w:spacing w:val="40"/>
          <w:sz w:val="22"/>
        </w:rPr>
        <w:t> </w:t>
      </w:r>
      <w:r>
        <w:rPr>
          <w:sz w:val="22"/>
        </w:rPr>
        <w:t>women:</w:t>
      </w:r>
      <w:r>
        <w:rPr>
          <w:spacing w:val="40"/>
          <w:sz w:val="22"/>
        </w:rPr>
        <w:t> </w:t>
      </w:r>
      <w:r>
        <w:rPr>
          <w:sz w:val="22"/>
        </w:rPr>
        <w:t>a randomized, controlled trial. </w:t>
      </w:r>
      <w:r>
        <w:rPr>
          <w:i/>
          <w:sz w:val="22"/>
        </w:rPr>
        <w:t>Ann Intern Med</w:t>
      </w:r>
      <w:r>
        <w:rPr>
          <w:sz w:val="22"/>
        </w:rPr>
        <w:t>. 1999;130:897.</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Lindsay</w:t>
      </w:r>
      <w:r>
        <w:rPr>
          <w:spacing w:val="40"/>
          <w:sz w:val="22"/>
        </w:rPr>
        <w:t> </w:t>
      </w:r>
      <w:r>
        <w:rPr>
          <w:sz w:val="22"/>
        </w:rPr>
        <w:t>R,</w:t>
      </w:r>
      <w:r>
        <w:rPr>
          <w:spacing w:val="40"/>
          <w:sz w:val="22"/>
        </w:rPr>
        <w:t> </w:t>
      </w:r>
      <w:r>
        <w:rPr>
          <w:sz w:val="22"/>
        </w:rPr>
        <w:t>Gallagher</w:t>
      </w:r>
      <w:r>
        <w:rPr>
          <w:spacing w:val="40"/>
          <w:sz w:val="22"/>
        </w:rPr>
        <w:t> </w:t>
      </w:r>
      <w:r>
        <w:rPr>
          <w:sz w:val="22"/>
        </w:rPr>
        <w:t>JC,</w:t>
      </w:r>
      <w:r>
        <w:rPr>
          <w:spacing w:val="40"/>
          <w:sz w:val="22"/>
        </w:rPr>
        <w:t> </w:t>
      </w:r>
      <w:r>
        <w:rPr>
          <w:sz w:val="22"/>
        </w:rPr>
        <w:t>Kleerekoper</w:t>
      </w:r>
      <w:r>
        <w:rPr>
          <w:spacing w:val="40"/>
          <w:sz w:val="22"/>
        </w:rPr>
        <w:t> </w:t>
      </w:r>
      <w:r>
        <w:rPr>
          <w:sz w:val="22"/>
        </w:rPr>
        <w:t>M,</w:t>
      </w:r>
      <w:r>
        <w:rPr>
          <w:spacing w:val="40"/>
          <w:sz w:val="22"/>
        </w:rPr>
        <w:t> </w:t>
      </w:r>
      <w:r>
        <w:rPr>
          <w:sz w:val="22"/>
        </w:rPr>
        <w:t>Pickar</w:t>
      </w:r>
      <w:r>
        <w:rPr>
          <w:spacing w:val="40"/>
          <w:sz w:val="22"/>
        </w:rPr>
        <w:t> </w:t>
      </w:r>
      <w:r>
        <w:rPr>
          <w:sz w:val="22"/>
        </w:rPr>
        <w:t>JH.</w:t>
      </w:r>
      <w:r>
        <w:rPr>
          <w:spacing w:val="40"/>
          <w:sz w:val="22"/>
        </w:rPr>
        <w:t> </w:t>
      </w:r>
      <w:r>
        <w:rPr>
          <w:sz w:val="22"/>
        </w:rPr>
        <w:t>Effect of lower doses of conjugated equine estrogens with and without medroxyprogesterone acetate on bone in </w:t>
      </w:r>
      <w:r>
        <w:rPr>
          <w:sz w:val="22"/>
        </w:rPr>
        <w:t>early postmenopausal women. </w:t>
      </w:r>
      <w:r>
        <w:rPr>
          <w:i/>
          <w:sz w:val="22"/>
        </w:rPr>
        <w:t>JAMA</w:t>
      </w:r>
      <w:r>
        <w:rPr>
          <w:sz w:val="22"/>
        </w:rPr>
        <w:t>. 2002;287:2668.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Prestwood KM, Thompson DL, Kenny AM, Seibel MJ, Pilbeam CC, Raisz LG. Low dose estrogen and calcium have an additive effect on bone resorption in older women. </w:t>
      </w:r>
      <w:r>
        <w:rPr>
          <w:i/>
          <w:sz w:val="22"/>
        </w:rPr>
        <w:t>J Clin</w:t>
      </w:r>
      <w:r>
        <w:rPr>
          <w:i/>
          <w:sz w:val="22"/>
        </w:rPr>
        <w:t> Endocrinol Metab</w:t>
      </w:r>
      <w:r>
        <w:rPr>
          <w:sz w:val="22"/>
        </w:rPr>
        <w:t>. 1999;84:179.</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Prestwood KM, Kenny AM, Kleppinger A, Kulldorff M. Ultralow-dose micronized 17β-estradiol</w:t>
      </w:r>
      <w:r>
        <w:rPr>
          <w:spacing w:val="40"/>
          <w:sz w:val="22"/>
        </w:rPr>
        <w:t> </w:t>
      </w:r>
      <w:r>
        <w:rPr>
          <w:sz w:val="22"/>
        </w:rPr>
        <w:t>and</w:t>
      </w:r>
      <w:r>
        <w:rPr>
          <w:spacing w:val="40"/>
          <w:sz w:val="22"/>
        </w:rPr>
        <w:t> </w:t>
      </w:r>
      <w:r>
        <w:rPr>
          <w:sz w:val="22"/>
        </w:rPr>
        <w:t>bone</w:t>
      </w:r>
      <w:r>
        <w:rPr>
          <w:spacing w:val="40"/>
          <w:sz w:val="22"/>
        </w:rPr>
        <w:t> </w:t>
      </w:r>
      <w:r>
        <w:rPr>
          <w:sz w:val="22"/>
        </w:rPr>
        <w:t>density</w:t>
      </w:r>
      <w:r>
        <w:rPr>
          <w:spacing w:val="40"/>
          <w:sz w:val="22"/>
        </w:rPr>
        <w:t> </w:t>
      </w:r>
      <w:r>
        <w:rPr>
          <w:sz w:val="22"/>
        </w:rPr>
        <w:t>and</w:t>
      </w:r>
      <w:r>
        <w:rPr>
          <w:spacing w:val="40"/>
          <w:sz w:val="22"/>
        </w:rPr>
        <w:t> </w:t>
      </w:r>
      <w:r>
        <w:rPr>
          <w:sz w:val="22"/>
        </w:rPr>
        <w:t>bone</w:t>
      </w:r>
      <w:r>
        <w:rPr>
          <w:spacing w:val="40"/>
          <w:sz w:val="22"/>
        </w:rPr>
        <w:t> </w:t>
      </w:r>
      <w:r>
        <w:rPr>
          <w:sz w:val="22"/>
        </w:rPr>
        <w:t>metabolism</w:t>
      </w:r>
      <w:r>
        <w:rPr>
          <w:spacing w:val="40"/>
          <w:sz w:val="22"/>
        </w:rPr>
        <w:t> </w:t>
      </w:r>
      <w:r>
        <w:rPr>
          <w:sz w:val="22"/>
        </w:rPr>
        <w:t>in</w:t>
      </w:r>
      <w:r>
        <w:rPr>
          <w:spacing w:val="40"/>
          <w:sz w:val="22"/>
        </w:rPr>
        <w:t> </w:t>
      </w:r>
      <w:r>
        <w:rPr>
          <w:sz w:val="22"/>
        </w:rPr>
        <w:t>older</w:t>
      </w:r>
      <w:r>
        <w:rPr>
          <w:spacing w:val="40"/>
          <w:sz w:val="22"/>
        </w:rPr>
        <w:t> </w:t>
      </w:r>
      <w:r>
        <w:rPr>
          <w:sz w:val="22"/>
        </w:rPr>
        <w:t>women:</w:t>
      </w:r>
      <w:r>
        <w:rPr>
          <w:spacing w:val="40"/>
          <w:sz w:val="22"/>
        </w:rPr>
        <w:t> </w:t>
      </w:r>
      <w:r>
        <w:rPr>
          <w:sz w:val="22"/>
        </w:rPr>
        <w:t>a</w:t>
      </w:r>
      <w:r>
        <w:rPr>
          <w:spacing w:val="40"/>
          <w:sz w:val="22"/>
        </w:rPr>
        <w:t> </w:t>
      </w:r>
      <w:r>
        <w:rPr>
          <w:sz w:val="22"/>
        </w:rPr>
        <w:t>randomized</w:t>
      </w:r>
      <w:r>
        <w:rPr>
          <w:spacing w:val="40"/>
          <w:sz w:val="22"/>
        </w:rPr>
        <w:t> </w:t>
      </w:r>
      <w:r>
        <w:rPr>
          <w:sz w:val="22"/>
        </w:rPr>
        <w:t>controlled trial. </w:t>
      </w:r>
      <w:r>
        <w:rPr>
          <w:i/>
          <w:sz w:val="22"/>
        </w:rPr>
        <w:t>JAMA</w:t>
      </w:r>
      <w:r>
        <w:rPr>
          <w:sz w:val="22"/>
        </w:rPr>
        <w:t>. 2003;290:1042.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Utian WH, Shoupe D, Bachmann G, Pinkerton JV, Pickar JH. Relief of vasomotor </w:t>
      </w:r>
      <w:r>
        <w:rPr>
          <w:sz w:val="22"/>
        </w:rPr>
        <w:t>symptoms and</w:t>
      </w:r>
      <w:r>
        <w:rPr>
          <w:spacing w:val="40"/>
          <w:sz w:val="22"/>
        </w:rPr>
        <w:t> </w:t>
      </w:r>
      <w:r>
        <w:rPr>
          <w:sz w:val="22"/>
        </w:rPr>
        <w:t>vaginal</w:t>
      </w:r>
      <w:r>
        <w:rPr>
          <w:spacing w:val="40"/>
          <w:sz w:val="22"/>
        </w:rPr>
        <w:t> </w:t>
      </w:r>
      <w:r>
        <w:rPr>
          <w:sz w:val="22"/>
        </w:rPr>
        <w:t>atrophy</w:t>
      </w:r>
      <w:r>
        <w:rPr>
          <w:spacing w:val="40"/>
          <w:sz w:val="22"/>
        </w:rPr>
        <w:t> </w:t>
      </w:r>
      <w:r>
        <w:rPr>
          <w:sz w:val="22"/>
        </w:rPr>
        <w:t>with</w:t>
      </w:r>
      <w:r>
        <w:rPr>
          <w:spacing w:val="40"/>
          <w:sz w:val="22"/>
        </w:rPr>
        <w:t> </w:t>
      </w:r>
      <w:r>
        <w:rPr>
          <w:sz w:val="22"/>
        </w:rPr>
        <w:t>lower</w:t>
      </w:r>
      <w:r>
        <w:rPr>
          <w:spacing w:val="40"/>
          <w:sz w:val="22"/>
        </w:rPr>
        <w:t> </w:t>
      </w:r>
      <w:r>
        <w:rPr>
          <w:sz w:val="22"/>
        </w:rPr>
        <w:t>doses</w:t>
      </w:r>
      <w:r>
        <w:rPr>
          <w:spacing w:val="40"/>
          <w:sz w:val="22"/>
        </w:rPr>
        <w:t> </w:t>
      </w:r>
      <w:r>
        <w:rPr>
          <w:sz w:val="22"/>
        </w:rPr>
        <w:t>of</w:t>
      </w:r>
      <w:r>
        <w:rPr>
          <w:spacing w:val="40"/>
          <w:sz w:val="22"/>
        </w:rPr>
        <w:t> </w:t>
      </w:r>
      <w:r>
        <w:rPr>
          <w:sz w:val="22"/>
        </w:rPr>
        <w:t>conjugated</w:t>
      </w:r>
      <w:r>
        <w:rPr>
          <w:spacing w:val="40"/>
          <w:sz w:val="22"/>
        </w:rPr>
        <w:t> </w:t>
      </w:r>
      <w:r>
        <w:rPr>
          <w:sz w:val="22"/>
        </w:rPr>
        <w:t>equine</w:t>
      </w:r>
      <w:r>
        <w:rPr>
          <w:spacing w:val="40"/>
          <w:sz w:val="22"/>
        </w:rPr>
        <w:t> </w:t>
      </w:r>
      <w:r>
        <w:rPr>
          <w:sz w:val="22"/>
        </w:rPr>
        <w:t>estrogens</w:t>
      </w:r>
      <w:r>
        <w:rPr>
          <w:spacing w:val="40"/>
          <w:sz w:val="22"/>
        </w:rPr>
        <w:t> </w:t>
      </w:r>
      <w:r>
        <w:rPr>
          <w:sz w:val="22"/>
        </w:rPr>
        <w:t>and medroxyprogesterone acetate. </w:t>
      </w:r>
      <w:r>
        <w:rPr>
          <w:i/>
          <w:sz w:val="22"/>
        </w:rPr>
        <w:t>Fertil Steril</w:t>
      </w:r>
      <w:r>
        <w:rPr>
          <w:sz w:val="22"/>
        </w:rPr>
        <w:t>. 2001;75:1065.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Gast MJ, Freedman MA, Vieweg AJ, et al. A randomized study of low-dose conjugated estrogens on sexual function and quality of life in postmenopausal women. </w:t>
      </w:r>
      <w:r>
        <w:rPr>
          <w:i/>
          <w:sz w:val="22"/>
        </w:rPr>
        <w:t>Menopause</w:t>
      </w:r>
      <w:r>
        <w:rPr>
          <w:sz w:val="22"/>
        </w:rPr>
        <w:t>. </w:t>
      </w:r>
      <w:r>
        <w:rPr>
          <w:spacing w:val="-2"/>
          <w:sz w:val="22"/>
        </w:rPr>
        <w:t>2009;16:247.</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Archer DF, Dorin M, Lewis V, Schneider DL, Pickar JH. Effects of lower doses of </w:t>
      </w:r>
      <w:r>
        <w:rPr>
          <w:sz w:val="22"/>
        </w:rPr>
        <w:t>conjugated equine estrogens and medroxyprogesterone acetate on endometrial bleeding. </w:t>
      </w:r>
      <w:r>
        <w:rPr>
          <w:i/>
          <w:sz w:val="22"/>
        </w:rPr>
        <w:t>Fertil Steril</w:t>
      </w:r>
      <w:r>
        <w:rPr>
          <w:sz w:val="22"/>
        </w:rPr>
        <w:t>. </w:t>
      </w:r>
      <w:r>
        <w:rPr>
          <w:spacing w:val="-2"/>
          <w:sz w:val="22"/>
        </w:rPr>
        <w:t>2001;75:1080.</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Lobo RA, Bush T, Carr BR, Pickar JH. Effects of lower doses of conjugated equine estrogens and medroxyprogesterone acetate on plasma lipids and lipoproteins, coagulation factors, and carbohydrate metabolism. </w:t>
      </w:r>
      <w:r>
        <w:rPr>
          <w:i/>
          <w:sz w:val="22"/>
        </w:rPr>
        <w:t>Fertil Steril</w:t>
      </w:r>
      <w:r>
        <w:rPr>
          <w:sz w:val="22"/>
        </w:rPr>
        <w:t>. 2001;76:13.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Notelovitz M, Lenihan JP Jr, McDermott MP, Kerber IJ, Nanavati N, Arce J-C. Initial </w:t>
      </w:r>
      <w:r>
        <w:rPr>
          <w:sz w:val="22"/>
        </w:rPr>
        <w:t>17beta-estradiol dose for treating vasomotor symptoms. </w:t>
      </w:r>
      <w:r>
        <w:rPr>
          <w:i/>
          <w:sz w:val="22"/>
        </w:rPr>
        <w:t>Obstet Gynecol</w:t>
      </w:r>
      <w:r>
        <w:rPr>
          <w:sz w:val="22"/>
        </w:rPr>
        <w:t>. 2000;95:726.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Speroff L, Symons J, Kempfert N, Rowan J, FEMHRT Study Investigators. The effect of</w:t>
      </w:r>
      <w:r>
        <w:rPr>
          <w:spacing w:val="40"/>
          <w:sz w:val="22"/>
        </w:rPr>
        <w:t> </w:t>
      </w:r>
      <w:r>
        <w:rPr>
          <w:sz w:val="22"/>
        </w:rPr>
        <w:t>varying low-dose combinations of norethindrone acetate and ethinyl estradiol (femhrt) on the frequency and intensity of vasomotor symptoms. </w:t>
      </w:r>
      <w:r>
        <w:rPr>
          <w:i/>
          <w:sz w:val="22"/>
        </w:rPr>
        <w:t>Menopause</w:t>
      </w:r>
      <w:r>
        <w:rPr>
          <w:sz w:val="22"/>
        </w:rPr>
        <w:t>. 2000;7:383.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Sturdee DW, Ulrich LG, Barlow DH, et al. The endometrial response to sequential </w:t>
      </w:r>
      <w:r>
        <w:rPr>
          <w:sz w:val="22"/>
        </w:rPr>
        <w:t>and continuous combined oestrogen-progestogen replacement therapy. </w:t>
      </w:r>
      <w:r>
        <w:rPr>
          <w:i/>
          <w:sz w:val="22"/>
        </w:rPr>
        <w:t>Br J Obstet Gynaecol</w:t>
      </w:r>
      <w:r>
        <w:rPr>
          <w:sz w:val="22"/>
        </w:rPr>
        <w:t>. </w:t>
      </w:r>
      <w:r>
        <w:rPr>
          <w:spacing w:val="-2"/>
          <w:sz w:val="22"/>
        </w:rPr>
        <w:t>2000;107:1392.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Wells M, Sturdee DW, Barlow DH, et al. Effect on endometrium of long term treatment </w:t>
      </w:r>
      <w:r>
        <w:rPr>
          <w:sz w:val="22"/>
        </w:rPr>
        <w:t>with continuous combined oestrogen-progestogen replacement therapy: follow up study. </w:t>
      </w:r>
      <w:r>
        <w:rPr>
          <w:i/>
          <w:sz w:val="22"/>
        </w:rPr>
        <w:t>Br Med J</w:t>
      </w:r>
      <w:r>
        <w:rPr>
          <w:sz w:val="22"/>
        </w:rPr>
        <w:t>. </w:t>
      </w:r>
      <w:r>
        <w:rPr>
          <w:spacing w:val="-2"/>
          <w:sz w:val="22"/>
        </w:rPr>
        <w:t>2002;325:239.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Oelkers WH. Drospirenone in combination with estrogens: for contraception and </w:t>
      </w:r>
      <w:r>
        <w:rPr>
          <w:sz w:val="22"/>
        </w:rPr>
        <w:t>hormone replacement therapy. </w:t>
      </w:r>
      <w:r>
        <w:rPr>
          <w:i/>
          <w:sz w:val="22"/>
        </w:rPr>
        <w:t>Climacteric</w:t>
      </w:r>
      <w:r>
        <w:rPr>
          <w:sz w:val="22"/>
        </w:rPr>
        <w:t>. 2005;8(suppl 3):19-27.</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Montplaisier J, Lorrain J, Denesle R, Petit D. Sleep in menopause: differential effects of </w:t>
      </w:r>
      <w:r>
        <w:rPr>
          <w:sz w:val="22"/>
        </w:rPr>
        <w:t>two forms of hormone replacement therapy. </w:t>
      </w:r>
      <w:r>
        <w:rPr>
          <w:i/>
          <w:sz w:val="22"/>
        </w:rPr>
        <w:t>Menopause</w:t>
      </w:r>
      <w:r>
        <w:rPr>
          <w:sz w:val="22"/>
        </w:rPr>
        <w:t>. 2001;8:10.</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Miles RA, Press MF, Paulson RJ, Dahmoush L, Lobo RA, Sauer MV. Pharmacokinetics </w:t>
      </w:r>
      <w:r>
        <w:rPr>
          <w:sz w:val="22"/>
        </w:rPr>
        <w:t>and endometrial tissue levels of progesterone after administration by intramuscular and vaginal routes: a comparative study. </w:t>
      </w:r>
      <w:r>
        <w:rPr>
          <w:i/>
          <w:sz w:val="22"/>
        </w:rPr>
        <w:t>Fertil Steril</w:t>
      </w:r>
      <w:r>
        <w:rPr>
          <w:sz w:val="22"/>
        </w:rPr>
        <w:t>. 1994;62:485.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Ross D, Cooper AJ, Pryse-Davies J, Bergeron C, Collins WP, Whitehead MI. </w:t>
      </w:r>
      <w:r>
        <w:rPr>
          <w:sz w:val="22"/>
        </w:rPr>
        <w:t>Randomized, double-blind, dose-ranging study of the endometrial effects of a vaginal progesterone gel in estrogen-treated postmenopausal women. </w:t>
      </w:r>
      <w:r>
        <w:rPr>
          <w:i/>
          <w:sz w:val="22"/>
        </w:rPr>
        <w:t>Am J Obstet Gynecol</w:t>
      </w:r>
      <w:r>
        <w:rPr>
          <w:sz w:val="22"/>
        </w:rPr>
        <w:t>. 1997;177:937.</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0" w:hanging="507"/>
        <w:jc w:val="both"/>
        <w:rPr>
          <w:sz w:val="22"/>
        </w:rPr>
      </w:pPr>
      <w:r>
        <w:rPr>
          <w:sz w:val="22"/>
        </w:rPr>
        <w:t>de Ziegler D, Ferriani R, Moraes LA, Bulletti C. Vaginal progesterone in menopause: </w:t>
      </w:r>
      <w:r>
        <w:rPr>
          <w:sz w:val="22"/>
        </w:rPr>
        <w:t>crinone 4% in cyclical and constant combined regimens. </w:t>
      </w:r>
      <w:r>
        <w:rPr>
          <w:i/>
          <w:sz w:val="22"/>
        </w:rPr>
        <w:t>Hum Reprod</w:t>
      </w:r>
      <w:r>
        <w:rPr>
          <w:sz w:val="22"/>
        </w:rPr>
        <w:t>. 2000;15(suppl 1):149.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Sriprasert I, Mert M, Mack WJ, Hodis HN, Shoupe D. Use of oral estradiol plus vaginal progesterone in healthy postmenopausal women. </w:t>
      </w:r>
      <w:r>
        <w:rPr>
          <w:i/>
          <w:sz w:val="22"/>
        </w:rPr>
        <w:t>Maturitas</w:t>
      </w:r>
      <w:r>
        <w:rPr>
          <w:sz w:val="22"/>
        </w:rPr>
        <w:t>. 2021;154:13-19.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Cicinelli</w:t>
      </w:r>
      <w:r>
        <w:rPr>
          <w:spacing w:val="40"/>
          <w:sz w:val="22"/>
        </w:rPr>
        <w:t> </w:t>
      </w:r>
      <w:r>
        <w:rPr>
          <w:sz w:val="22"/>
        </w:rPr>
        <w:t>E,</w:t>
      </w:r>
      <w:r>
        <w:rPr>
          <w:spacing w:val="40"/>
          <w:sz w:val="22"/>
        </w:rPr>
        <w:t> </w:t>
      </w:r>
      <w:r>
        <w:rPr>
          <w:sz w:val="22"/>
        </w:rPr>
        <w:t>de</w:t>
      </w:r>
      <w:r>
        <w:rPr>
          <w:spacing w:val="40"/>
          <w:sz w:val="22"/>
        </w:rPr>
        <w:t> </w:t>
      </w:r>
      <w:r>
        <w:rPr>
          <w:sz w:val="22"/>
        </w:rPr>
        <w:t>Ziegler</w:t>
      </w:r>
      <w:r>
        <w:rPr>
          <w:spacing w:val="40"/>
          <w:sz w:val="22"/>
        </w:rPr>
        <w:t> </w:t>
      </w:r>
      <w:r>
        <w:rPr>
          <w:sz w:val="22"/>
        </w:rPr>
        <w:t>D,</w:t>
      </w:r>
      <w:r>
        <w:rPr>
          <w:spacing w:val="40"/>
          <w:sz w:val="22"/>
        </w:rPr>
        <w:t> </w:t>
      </w:r>
      <w:r>
        <w:rPr>
          <w:sz w:val="22"/>
        </w:rPr>
        <w:t>Alfonso</w:t>
      </w:r>
      <w:r>
        <w:rPr>
          <w:spacing w:val="40"/>
          <w:sz w:val="22"/>
        </w:rPr>
        <w:t> </w:t>
      </w:r>
      <w:r>
        <w:rPr>
          <w:sz w:val="22"/>
        </w:rPr>
        <w:t>R,</w:t>
      </w:r>
      <w:r>
        <w:rPr>
          <w:spacing w:val="40"/>
          <w:sz w:val="22"/>
        </w:rPr>
        <w:t> </w:t>
      </w:r>
      <w:r>
        <w:rPr>
          <w:sz w:val="22"/>
        </w:rPr>
        <w:t>Nicoletti</w:t>
      </w:r>
      <w:r>
        <w:rPr>
          <w:spacing w:val="40"/>
          <w:sz w:val="22"/>
        </w:rPr>
        <w:t> </w:t>
      </w:r>
      <w:r>
        <w:rPr>
          <w:sz w:val="22"/>
        </w:rPr>
        <w:t>R,</w:t>
      </w:r>
      <w:r>
        <w:rPr>
          <w:spacing w:val="40"/>
          <w:sz w:val="22"/>
        </w:rPr>
        <w:t> </w:t>
      </w:r>
      <w:r>
        <w:rPr>
          <w:sz w:val="22"/>
        </w:rPr>
        <w:t>Bellavia</w:t>
      </w:r>
      <w:r>
        <w:rPr>
          <w:spacing w:val="40"/>
          <w:sz w:val="22"/>
        </w:rPr>
        <w:t> </w:t>
      </w:r>
      <w:r>
        <w:rPr>
          <w:sz w:val="22"/>
        </w:rPr>
        <w:t>M,</w:t>
      </w:r>
      <w:r>
        <w:rPr>
          <w:spacing w:val="40"/>
          <w:sz w:val="22"/>
        </w:rPr>
        <w:t> </w:t>
      </w:r>
      <w:r>
        <w:rPr>
          <w:sz w:val="22"/>
        </w:rPr>
        <w:t>Colafiglio</w:t>
      </w:r>
      <w:r>
        <w:rPr>
          <w:spacing w:val="40"/>
          <w:sz w:val="22"/>
        </w:rPr>
        <w:t> </w:t>
      </w:r>
      <w:r>
        <w:rPr>
          <w:sz w:val="22"/>
        </w:rPr>
        <w:t>G.</w:t>
      </w:r>
      <w:r>
        <w:rPr>
          <w:spacing w:val="40"/>
          <w:sz w:val="22"/>
        </w:rPr>
        <w:t> </w:t>
      </w:r>
      <w:r>
        <w:rPr>
          <w:sz w:val="22"/>
        </w:rPr>
        <w:t>Endometrial effects,</w:t>
      </w:r>
      <w:r>
        <w:rPr>
          <w:spacing w:val="40"/>
          <w:sz w:val="22"/>
        </w:rPr>
        <w:t> </w:t>
      </w:r>
      <w:r>
        <w:rPr>
          <w:sz w:val="22"/>
        </w:rPr>
        <w:t>bleeding</w:t>
      </w:r>
      <w:r>
        <w:rPr>
          <w:spacing w:val="40"/>
          <w:sz w:val="22"/>
        </w:rPr>
        <w:t> </w:t>
      </w:r>
      <w:r>
        <w:rPr>
          <w:sz w:val="22"/>
        </w:rPr>
        <w:t>control,</w:t>
      </w:r>
      <w:r>
        <w:rPr>
          <w:spacing w:val="40"/>
          <w:sz w:val="22"/>
        </w:rPr>
        <w:t> </w:t>
      </w:r>
      <w:r>
        <w:rPr>
          <w:sz w:val="22"/>
        </w:rPr>
        <w:t>and</w:t>
      </w:r>
      <w:r>
        <w:rPr>
          <w:spacing w:val="40"/>
          <w:sz w:val="22"/>
        </w:rPr>
        <w:t> </w:t>
      </w:r>
      <w:r>
        <w:rPr>
          <w:sz w:val="22"/>
        </w:rPr>
        <w:t>compliance</w:t>
      </w:r>
      <w:r>
        <w:rPr>
          <w:spacing w:val="40"/>
          <w:sz w:val="22"/>
        </w:rPr>
        <w:t> </w:t>
      </w:r>
      <w:r>
        <w:rPr>
          <w:sz w:val="22"/>
        </w:rPr>
        <w:t>with</w:t>
      </w:r>
      <w:r>
        <w:rPr>
          <w:spacing w:val="40"/>
          <w:sz w:val="22"/>
        </w:rPr>
        <w:t> </w:t>
      </w:r>
      <w:r>
        <w:rPr>
          <w:sz w:val="22"/>
        </w:rPr>
        <w:t>a</w:t>
      </w:r>
      <w:r>
        <w:rPr>
          <w:spacing w:val="40"/>
          <w:sz w:val="22"/>
        </w:rPr>
        <w:t> </w:t>
      </w:r>
      <w:r>
        <w:rPr>
          <w:sz w:val="22"/>
        </w:rPr>
        <w:t>new</w:t>
      </w:r>
      <w:r>
        <w:rPr>
          <w:spacing w:val="40"/>
          <w:sz w:val="22"/>
        </w:rPr>
        <w:t> </w:t>
      </w:r>
      <w:r>
        <w:rPr>
          <w:sz w:val="22"/>
        </w:rPr>
        <w:t>postmenopausal</w:t>
      </w:r>
      <w:r>
        <w:rPr>
          <w:spacing w:val="40"/>
          <w:sz w:val="22"/>
        </w:rPr>
        <w:t> </w:t>
      </w:r>
      <w:r>
        <w:rPr>
          <w:sz w:val="22"/>
        </w:rPr>
        <w:t>hormone</w:t>
      </w:r>
      <w:r>
        <w:rPr>
          <w:spacing w:val="40"/>
          <w:sz w:val="22"/>
        </w:rPr>
        <w:t> </w:t>
      </w:r>
      <w:r>
        <w:rPr>
          <w:sz w:val="22"/>
        </w:rPr>
        <w:t>therapy regimen based on transdermal estradiol gel and every-other-day vaginal progesterone in capsules: a 3-year pilot study. </w:t>
      </w:r>
      <w:r>
        <w:rPr>
          <w:i/>
          <w:sz w:val="22"/>
        </w:rPr>
        <w:t>Fertil Steril</w:t>
      </w:r>
      <w:r>
        <w:rPr>
          <w:sz w:val="22"/>
        </w:rPr>
        <w:t>. 2005;83(6):1859.</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Notelovitz M, Cassel D, Hille D, et al. Efficacy of continuous sequential transdermal estradiol and norethindrone acetate in relieving vasomotor symptoms associated with menopause. </w:t>
      </w:r>
      <w:r>
        <w:rPr>
          <w:i/>
          <w:sz w:val="22"/>
        </w:rPr>
        <w:t>Am </w:t>
      </w:r>
      <w:r>
        <w:rPr>
          <w:i/>
          <w:sz w:val="22"/>
        </w:rPr>
        <w:t>J</w:t>
      </w:r>
      <w:r>
        <w:rPr>
          <w:i/>
          <w:sz w:val="22"/>
        </w:rPr>
        <w:t> Obstet Gynecol</w:t>
      </w:r>
      <w:r>
        <w:rPr>
          <w:sz w:val="22"/>
        </w:rPr>
        <w:t>. 2000;182:7.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Shulman LP, Yankov V, Uhl K. Safety and efficacy of a continuous once-a-week 17beta-estradiol/levonorgestrel transdermal system and its effects on vasomotor symptoms and endometrial safety in postmenopausal women: the results of two multicenter, double-blind, randomized controlled trials. </w:t>
      </w:r>
      <w:r>
        <w:rPr>
          <w:i/>
          <w:sz w:val="22"/>
        </w:rPr>
        <w:t>Menopause</w:t>
      </w:r>
      <w:r>
        <w:rPr>
          <w:sz w:val="22"/>
        </w:rPr>
        <w:t>. 2002;9:195.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Rubinacci A, Peruzzi E, Modena AB, et al. Effect of low-dose transdermal E2/NETA on </w:t>
      </w:r>
      <w:r>
        <w:rPr>
          <w:sz w:val="22"/>
        </w:rPr>
        <w:t>the reduction of postmenopausal bone loss in women. </w:t>
      </w:r>
      <w:r>
        <w:rPr>
          <w:i/>
          <w:sz w:val="22"/>
        </w:rPr>
        <w:t>Menopause</w:t>
      </w:r>
      <w:r>
        <w:rPr>
          <w:sz w:val="22"/>
        </w:rPr>
        <w:t>. 2003;10:241.</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Ettinger B, Selby J, Citron JT, Vangessel A, Ettinger V, Hendrickson MR. Cyclic hormone replacement therapy using quarterly progestin. </w:t>
      </w:r>
      <w:r>
        <w:rPr>
          <w:i/>
          <w:sz w:val="22"/>
        </w:rPr>
        <w:t>Obstet Gynecol</w:t>
      </w:r>
      <w:r>
        <w:rPr>
          <w:sz w:val="22"/>
        </w:rPr>
        <w:t>. 1994;83:693.</w:t>
      </w:r>
    </w:p>
    <w:p>
      <w:pPr>
        <w:pStyle w:val="ListParagraph"/>
        <w:numPr>
          <w:ilvl w:val="0"/>
          <w:numId w:val="19"/>
        </w:numPr>
        <w:tabs>
          <w:tab w:pos="710" w:val="left" w:leader="none"/>
        </w:tabs>
        <w:spacing w:line="252" w:lineRule="exact" w:before="0" w:after="0"/>
        <w:ind w:left="710" w:right="0" w:hanging="498"/>
        <w:jc w:val="both"/>
        <w:rPr>
          <w:sz w:val="22"/>
        </w:rPr>
      </w:pPr>
      <w:r>
        <w:rPr>
          <w:sz w:val="22"/>
        </w:rPr>
        <w:t>Amundsen</w:t>
      </w:r>
      <w:r>
        <w:rPr>
          <w:spacing w:val="9"/>
          <w:sz w:val="22"/>
        </w:rPr>
        <w:t> </w:t>
      </w:r>
      <w:r>
        <w:rPr>
          <w:sz w:val="22"/>
        </w:rPr>
        <w:t>DW,</w:t>
      </w:r>
      <w:r>
        <w:rPr>
          <w:spacing w:val="9"/>
          <w:sz w:val="22"/>
        </w:rPr>
        <w:t> </w:t>
      </w:r>
      <w:r>
        <w:rPr>
          <w:sz w:val="22"/>
        </w:rPr>
        <w:t>Diers</w:t>
      </w:r>
      <w:r>
        <w:rPr>
          <w:spacing w:val="9"/>
          <w:sz w:val="22"/>
        </w:rPr>
        <w:t> </w:t>
      </w:r>
      <w:r>
        <w:rPr>
          <w:sz w:val="22"/>
        </w:rPr>
        <w:t>CJ.</w:t>
      </w:r>
      <w:r>
        <w:rPr>
          <w:spacing w:val="10"/>
          <w:sz w:val="22"/>
        </w:rPr>
        <w:t> </w:t>
      </w:r>
      <w:r>
        <w:rPr>
          <w:sz w:val="22"/>
        </w:rPr>
        <w:t>The</w:t>
      </w:r>
      <w:r>
        <w:rPr>
          <w:spacing w:val="9"/>
          <w:sz w:val="22"/>
        </w:rPr>
        <w:t> </w:t>
      </w:r>
      <w:r>
        <w:rPr>
          <w:sz w:val="22"/>
        </w:rPr>
        <w:t>age</w:t>
      </w:r>
      <w:r>
        <w:rPr>
          <w:spacing w:val="9"/>
          <w:sz w:val="22"/>
        </w:rPr>
        <w:t> </w:t>
      </w:r>
      <w:r>
        <w:rPr>
          <w:sz w:val="22"/>
        </w:rPr>
        <w:t>of</w:t>
      </w:r>
      <w:r>
        <w:rPr>
          <w:spacing w:val="9"/>
          <w:sz w:val="22"/>
        </w:rPr>
        <w:t> </w:t>
      </w:r>
      <w:r>
        <w:rPr>
          <w:sz w:val="22"/>
        </w:rPr>
        <w:t>menopause</w:t>
      </w:r>
      <w:r>
        <w:rPr>
          <w:spacing w:val="10"/>
          <w:sz w:val="22"/>
        </w:rPr>
        <w:t> </w:t>
      </w:r>
      <w:r>
        <w:rPr>
          <w:sz w:val="22"/>
        </w:rPr>
        <w:t>in</w:t>
      </w:r>
      <w:r>
        <w:rPr>
          <w:spacing w:val="9"/>
          <w:sz w:val="22"/>
        </w:rPr>
        <w:t> </w:t>
      </w:r>
      <w:r>
        <w:rPr>
          <w:sz w:val="22"/>
        </w:rPr>
        <w:t>medieval</w:t>
      </w:r>
      <w:r>
        <w:rPr>
          <w:spacing w:val="9"/>
          <w:sz w:val="22"/>
        </w:rPr>
        <w:t> </w:t>
      </w:r>
      <w:r>
        <w:rPr>
          <w:sz w:val="22"/>
        </w:rPr>
        <w:t>Europe.</w:t>
      </w:r>
      <w:r>
        <w:rPr>
          <w:spacing w:val="9"/>
          <w:sz w:val="22"/>
        </w:rPr>
        <w:t> </w:t>
      </w:r>
      <w:r>
        <w:rPr>
          <w:i/>
          <w:sz w:val="22"/>
        </w:rPr>
        <w:t>Hum</w:t>
      </w:r>
      <w:r>
        <w:rPr>
          <w:i/>
          <w:spacing w:val="10"/>
          <w:sz w:val="22"/>
        </w:rPr>
        <w:t> </w:t>
      </w:r>
      <w:r>
        <w:rPr>
          <w:i/>
          <w:sz w:val="22"/>
        </w:rPr>
        <w:t>Biol</w:t>
      </w:r>
      <w:r>
        <w:rPr>
          <w:sz w:val="22"/>
        </w:rPr>
        <w:t>.</w:t>
      </w:r>
      <w:r>
        <w:rPr>
          <w:spacing w:val="9"/>
          <w:sz w:val="22"/>
        </w:rPr>
        <w:t> </w:t>
      </w:r>
      <w:r>
        <w:rPr>
          <w:spacing w:val="-2"/>
          <w:sz w:val="22"/>
        </w:rPr>
        <w:t>1973;45:605.</w:t>
      </w:r>
    </w:p>
    <w:p>
      <w:pPr>
        <w:pStyle w:val="ListParagraph"/>
        <w:numPr>
          <w:ilvl w:val="0"/>
          <w:numId w:val="19"/>
        </w:numPr>
        <w:tabs>
          <w:tab w:pos="709" w:val="left" w:leader="none"/>
          <w:tab w:pos="718" w:val="left" w:leader="none"/>
        </w:tabs>
        <w:spacing w:line="256" w:lineRule="auto" w:before="6" w:after="0"/>
        <w:ind w:left="718" w:right="103" w:hanging="507"/>
        <w:jc w:val="both"/>
        <w:rPr>
          <w:sz w:val="22"/>
        </w:rPr>
      </w:pPr>
      <w:r>
        <w:rPr>
          <w:sz w:val="22"/>
        </w:rPr>
        <w:t>Williams DB, Voigt BJ, Fu YS, Schoenfeld MJ, Judd HL. Assessment of less than monthly progestin therapy in postmenopausal women given estrogen replacement. </w:t>
      </w:r>
      <w:r>
        <w:rPr>
          <w:i/>
          <w:sz w:val="22"/>
        </w:rPr>
        <w:t>Obstet </w:t>
      </w:r>
      <w:r>
        <w:rPr>
          <w:i/>
          <w:sz w:val="22"/>
        </w:rPr>
        <w:t>Gynecol</w:t>
      </w:r>
      <w:r>
        <w:rPr>
          <w:sz w:val="22"/>
        </w:rPr>
        <w:t>. </w:t>
      </w:r>
      <w:r>
        <w:rPr>
          <w:spacing w:val="-2"/>
          <w:sz w:val="22"/>
        </w:rPr>
        <w:t>1994;84:787.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Boerrigter PJ, van de Weijer PHM, Baak JPA, Fox H, Haspels AA, Kenemans P. Endometrial response in estrogen replacement therapy quarterly combined with a progestogen. </w:t>
      </w:r>
      <w:r>
        <w:rPr>
          <w:i/>
          <w:sz w:val="22"/>
        </w:rPr>
        <w:t>Maturitas</w:t>
      </w:r>
      <w:r>
        <w:rPr>
          <w:sz w:val="22"/>
        </w:rPr>
        <w:t>. </w:t>
      </w:r>
      <w:r>
        <w:rPr>
          <w:spacing w:val="-2"/>
          <w:sz w:val="22"/>
        </w:rPr>
        <w:t>1996;24:63.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Hirvonen E, Salmi T, Puolakka J, et al. Can progestin be limited to every third month only in postmenopausal women taking estrogen? </w:t>
      </w:r>
      <w:r>
        <w:rPr>
          <w:i/>
          <w:sz w:val="22"/>
        </w:rPr>
        <w:t>Maturitas</w:t>
      </w:r>
      <w:r>
        <w:rPr>
          <w:sz w:val="22"/>
        </w:rPr>
        <w:t>. 1995;21:39.</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Jaakkola S, Lyytinen H, Pukkala E, Ylikorkala O. Endometrial cancer in </w:t>
      </w:r>
      <w:r>
        <w:rPr>
          <w:sz w:val="22"/>
        </w:rPr>
        <w:t>postmenopausal</w:t>
      </w:r>
      <w:r>
        <w:rPr>
          <w:spacing w:val="40"/>
          <w:sz w:val="22"/>
        </w:rPr>
        <w:t> </w:t>
      </w:r>
      <w:r>
        <w:rPr>
          <w:sz w:val="22"/>
        </w:rPr>
        <w:t>women using estradiol-progestin therapy. </w:t>
      </w:r>
      <w:r>
        <w:rPr>
          <w:i/>
          <w:sz w:val="22"/>
        </w:rPr>
        <w:t>Obstet Gynecol</w:t>
      </w:r>
      <w:r>
        <w:rPr>
          <w:sz w:val="22"/>
        </w:rPr>
        <w:t>. 2009;114:1197.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Bjarnason K, Cerin Å, Lindgren R, Weber T, Scandinavian Long Cycle Study Group. Adverse endometrial effects during long cycle hormone replacement therapy. </w:t>
      </w:r>
      <w:r>
        <w:rPr>
          <w:i/>
          <w:sz w:val="22"/>
        </w:rPr>
        <w:t>Maturitas</w:t>
      </w:r>
      <w:r>
        <w:rPr>
          <w:sz w:val="22"/>
        </w:rPr>
        <w:t>. 1999;32:151.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Andersson J, Rybo G. Levonorgestrel-releasing intrauterine device in the treatment of menorrhagia. </w:t>
      </w:r>
      <w:r>
        <w:rPr>
          <w:i/>
          <w:sz w:val="22"/>
        </w:rPr>
        <w:t>Br J Obstet Gynaecol</w:t>
      </w:r>
      <w:r>
        <w:rPr>
          <w:sz w:val="22"/>
        </w:rPr>
        <w:t>. 1990;97:690.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Raudaskoski TH, Lahti EI, Kauppila AJ, Apaja-Sarkkinen MA, Laatikainen TJ. Transdermal estrogen with a levonorgestrel-releasing intrauterine device for climacteric complaints: </w:t>
      </w:r>
      <w:r>
        <w:rPr>
          <w:sz w:val="22"/>
        </w:rPr>
        <w:t>clinical and endometrial responses. </w:t>
      </w:r>
      <w:r>
        <w:rPr>
          <w:i/>
          <w:sz w:val="22"/>
        </w:rPr>
        <w:t>Am J Obstet Gynecol</w:t>
      </w:r>
      <w:r>
        <w:rPr>
          <w:sz w:val="22"/>
        </w:rPr>
        <w:t>. 1995;172:114.</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Wildemeersch D. Safety and comfort of long-term continuous combined transdermal estrogen and intrauterine levonorgestrel administration for postmenopausal hormone substitution—</w:t>
      </w:r>
      <w:r>
        <w:rPr>
          <w:sz w:val="22"/>
        </w:rPr>
        <w:t>a review. </w:t>
      </w:r>
      <w:r>
        <w:rPr>
          <w:i/>
          <w:sz w:val="22"/>
        </w:rPr>
        <w:t>Gynecol Endocrinol</w:t>
      </w:r>
      <w:r>
        <w:rPr>
          <w:sz w:val="22"/>
        </w:rPr>
        <w:t>. 2016;32(8):598-601.</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Clark K, Westberg SM. Benefits of levonorgestrel intrauterine device use vs. oral</w:t>
      </w:r>
      <w:r>
        <w:rPr>
          <w:spacing w:val="40"/>
          <w:sz w:val="22"/>
        </w:rPr>
        <w:t> </w:t>
      </w:r>
      <w:r>
        <w:rPr>
          <w:sz w:val="22"/>
        </w:rPr>
        <w:t>or</w:t>
      </w:r>
      <w:r>
        <w:rPr>
          <w:spacing w:val="80"/>
          <w:sz w:val="22"/>
        </w:rPr>
        <w:t> </w:t>
      </w:r>
      <w:r>
        <w:rPr>
          <w:sz w:val="22"/>
        </w:rPr>
        <w:t>transdermal progesterone for postmenopausal women using estrogen containing hormone therapy. </w:t>
      </w:r>
      <w:r>
        <w:rPr>
          <w:i/>
          <w:sz w:val="22"/>
        </w:rPr>
        <w:t>Innov Pharm</w:t>
      </w:r>
      <w:r>
        <w:rPr>
          <w:sz w:val="22"/>
        </w:rPr>
        <w:t>. 2019;10(3).</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Vereide AB, Arnes M, Straume B, Maltau JM, Ørbo A. Nuclear morphometric changes and therapy monitoring in patients with endometrial hyperplasia: a study comparing effects </w:t>
      </w:r>
      <w:r>
        <w:rPr>
          <w:sz w:val="22"/>
        </w:rPr>
        <w:t>of intrauterine levonorgestrel and systemic medroxyprogesterone. </w:t>
      </w:r>
      <w:r>
        <w:rPr>
          <w:i/>
          <w:sz w:val="22"/>
        </w:rPr>
        <w:t>Gynecol Oncol</w:t>
      </w:r>
      <w:r>
        <w:rPr>
          <w:sz w:val="22"/>
        </w:rPr>
        <w:t>. 2003;91:526.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Varila E, Wahlstrom T, Rauramo I. A 5-year follow-up study on the use of a </w:t>
      </w:r>
      <w:r>
        <w:rPr>
          <w:sz w:val="22"/>
        </w:rPr>
        <w:t>levonorgestrel intrauterine</w:t>
      </w:r>
      <w:r>
        <w:rPr>
          <w:spacing w:val="80"/>
          <w:w w:val="150"/>
          <w:sz w:val="22"/>
        </w:rPr>
        <w:t> </w:t>
      </w:r>
      <w:r>
        <w:rPr>
          <w:sz w:val="22"/>
        </w:rPr>
        <w:t>system</w:t>
      </w:r>
      <w:r>
        <w:rPr>
          <w:spacing w:val="80"/>
          <w:w w:val="150"/>
          <w:sz w:val="22"/>
        </w:rPr>
        <w:t> </w:t>
      </w:r>
      <w:r>
        <w:rPr>
          <w:sz w:val="22"/>
        </w:rPr>
        <w:t>in</w:t>
      </w:r>
      <w:r>
        <w:rPr>
          <w:spacing w:val="80"/>
          <w:w w:val="150"/>
          <w:sz w:val="22"/>
        </w:rPr>
        <w:t> </w:t>
      </w:r>
      <w:r>
        <w:rPr>
          <w:sz w:val="22"/>
        </w:rPr>
        <w:t>women</w:t>
      </w:r>
      <w:r>
        <w:rPr>
          <w:spacing w:val="80"/>
          <w:w w:val="150"/>
          <w:sz w:val="22"/>
        </w:rPr>
        <w:t> </w:t>
      </w:r>
      <w:r>
        <w:rPr>
          <w:sz w:val="22"/>
        </w:rPr>
        <w:t>receiving</w:t>
      </w:r>
      <w:r>
        <w:rPr>
          <w:spacing w:val="80"/>
          <w:w w:val="150"/>
          <w:sz w:val="22"/>
        </w:rPr>
        <w:t> </w:t>
      </w:r>
      <w:r>
        <w:rPr>
          <w:sz w:val="22"/>
        </w:rPr>
        <w:t>hormone</w:t>
      </w:r>
      <w:r>
        <w:rPr>
          <w:spacing w:val="80"/>
          <w:w w:val="150"/>
          <w:sz w:val="22"/>
        </w:rPr>
        <w:t> </w:t>
      </w:r>
      <w:r>
        <w:rPr>
          <w:sz w:val="22"/>
        </w:rPr>
        <w:t>replacement</w:t>
      </w:r>
      <w:r>
        <w:rPr>
          <w:spacing w:val="80"/>
          <w:w w:val="150"/>
          <w:sz w:val="22"/>
        </w:rPr>
        <w:t> </w:t>
      </w:r>
      <w:r>
        <w:rPr>
          <w:sz w:val="22"/>
        </w:rPr>
        <w:t>therapy.</w:t>
      </w:r>
      <w:r>
        <w:rPr>
          <w:spacing w:val="80"/>
          <w:w w:val="150"/>
          <w:sz w:val="22"/>
        </w:rPr>
        <w:t> </w:t>
      </w:r>
      <w:r>
        <w:rPr>
          <w:i/>
          <w:sz w:val="22"/>
        </w:rPr>
        <w:t>Fertil</w:t>
      </w:r>
      <w:r>
        <w:rPr>
          <w:i/>
          <w:spacing w:val="39"/>
          <w:sz w:val="22"/>
        </w:rPr>
        <w:t>  </w:t>
      </w:r>
      <w:r>
        <w:rPr>
          <w:i/>
          <w:sz w:val="22"/>
        </w:rPr>
        <w:t>Steril</w:t>
      </w:r>
      <w:r>
        <w:rPr>
          <w:sz w:val="22"/>
        </w:rPr>
        <w:t>.</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left"/>
        <w:rPr>
          <w:sz w:val="22"/>
        </w:rPr>
      </w:pPr>
      <w:r>
        <w:rPr>
          <w:spacing w:val="-2"/>
          <w:sz w:val="22"/>
        </w:rPr>
        <w:t>2001;76:969.</w:t>
      </w:r>
    </w:p>
    <w:p>
      <w:pPr>
        <w:pStyle w:val="ListParagraph"/>
        <w:numPr>
          <w:ilvl w:val="0"/>
          <w:numId w:val="19"/>
        </w:numPr>
        <w:tabs>
          <w:tab w:pos="710" w:val="left" w:leader="none"/>
        </w:tabs>
        <w:spacing w:line="240" w:lineRule="auto" w:before="17" w:after="0"/>
        <w:ind w:left="710" w:right="0" w:hanging="498"/>
        <w:jc w:val="both"/>
        <w:rPr>
          <w:sz w:val="22"/>
        </w:rPr>
      </w:pPr>
      <w:r>
        <w:rPr>
          <w:sz w:val="22"/>
        </w:rPr>
        <w:t>Gosden</w:t>
      </w:r>
      <w:r>
        <w:rPr>
          <w:spacing w:val="11"/>
          <w:sz w:val="22"/>
        </w:rPr>
        <w:t> </w:t>
      </w:r>
      <w:r>
        <w:rPr>
          <w:sz w:val="22"/>
        </w:rPr>
        <w:t>RG.</w:t>
      </w:r>
      <w:r>
        <w:rPr>
          <w:spacing w:val="12"/>
          <w:sz w:val="22"/>
        </w:rPr>
        <w:t> </w:t>
      </w:r>
      <w:r>
        <w:rPr>
          <w:sz w:val="22"/>
        </w:rPr>
        <w:t>Follicular</w:t>
      </w:r>
      <w:r>
        <w:rPr>
          <w:spacing w:val="12"/>
          <w:sz w:val="22"/>
        </w:rPr>
        <w:t> </w:t>
      </w:r>
      <w:r>
        <w:rPr>
          <w:sz w:val="22"/>
        </w:rPr>
        <w:t>status</w:t>
      </w:r>
      <w:r>
        <w:rPr>
          <w:spacing w:val="11"/>
          <w:sz w:val="22"/>
        </w:rPr>
        <w:t> </w:t>
      </w:r>
      <w:r>
        <w:rPr>
          <w:sz w:val="22"/>
        </w:rPr>
        <w:t>at</w:t>
      </w:r>
      <w:r>
        <w:rPr>
          <w:spacing w:val="12"/>
          <w:sz w:val="22"/>
        </w:rPr>
        <w:t> </w:t>
      </w:r>
      <w:r>
        <w:rPr>
          <w:sz w:val="22"/>
        </w:rPr>
        <w:t>menopause.</w:t>
      </w:r>
      <w:r>
        <w:rPr>
          <w:spacing w:val="12"/>
          <w:sz w:val="22"/>
        </w:rPr>
        <w:t> </w:t>
      </w:r>
      <w:r>
        <w:rPr>
          <w:i/>
          <w:sz w:val="22"/>
        </w:rPr>
        <w:t>Hum</w:t>
      </w:r>
      <w:r>
        <w:rPr>
          <w:i/>
          <w:spacing w:val="11"/>
          <w:sz w:val="22"/>
        </w:rPr>
        <w:t> </w:t>
      </w:r>
      <w:r>
        <w:rPr>
          <w:i/>
          <w:sz w:val="22"/>
        </w:rPr>
        <w:t>Reprod</w:t>
      </w:r>
      <w:r>
        <w:rPr>
          <w:sz w:val="22"/>
        </w:rPr>
        <w:t>.</w:t>
      </w:r>
      <w:r>
        <w:rPr>
          <w:spacing w:val="12"/>
          <w:sz w:val="22"/>
        </w:rPr>
        <w:t> </w:t>
      </w:r>
      <w:r>
        <w:rPr>
          <w:spacing w:val="-2"/>
          <w:sz w:val="22"/>
        </w:rPr>
        <w:t>1987;2:617.</w:t>
      </w:r>
    </w:p>
    <w:p>
      <w:pPr>
        <w:pStyle w:val="ListParagraph"/>
        <w:numPr>
          <w:ilvl w:val="0"/>
          <w:numId w:val="19"/>
        </w:numPr>
        <w:tabs>
          <w:tab w:pos="709" w:val="left" w:leader="none"/>
          <w:tab w:pos="718" w:val="left" w:leader="none"/>
        </w:tabs>
        <w:spacing w:line="256" w:lineRule="auto" w:before="17" w:after="0"/>
        <w:ind w:left="718" w:right="111" w:hanging="507"/>
        <w:jc w:val="both"/>
        <w:rPr>
          <w:sz w:val="22"/>
        </w:rPr>
      </w:pPr>
      <w:r>
        <w:rPr>
          <w:sz w:val="22"/>
        </w:rPr>
        <w:t>Chakravarti S, Collins WP, Forecast JD, Newton JR, Oram DH, Studd JWW. </w:t>
      </w:r>
      <w:r>
        <w:rPr>
          <w:sz w:val="22"/>
        </w:rPr>
        <w:t>Hormonal</w:t>
      </w:r>
      <w:r>
        <w:rPr>
          <w:spacing w:val="80"/>
          <w:w w:val="150"/>
          <w:sz w:val="22"/>
        </w:rPr>
        <w:t> </w:t>
      </w:r>
      <w:r>
        <w:rPr>
          <w:sz w:val="22"/>
        </w:rPr>
        <w:t>profiles after the menopause. </w:t>
      </w:r>
      <w:r>
        <w:rPr>
          <w:i/>
          <w:sz w:val="22"/>
        </w:rPr>
        <w:t>Br Med J</w:t>
      </w:r>
      <w:r>
        <w:rPr>
          <w:sz w:val="22"/>
        </w:rPr>
        <w:t>. 1976;2:784.</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Jiroutek MR, Chen M-H, Johnston CC, Longcope C. Changes</w:t>
      </w:r>
      <w:r>
        <w:rPr>
          <w:spacing w:val="31"/>
          <w:sz w:val="22"/>
        </w:rPr>
        <w:t> </w:t>
      </w:r>
      <w:r>
        <w:rPr>
          <w:sz w:val="22"/>
        </w:rPr>
        <w:t>in</w:t>
      </w:r>
      <w:r>
        <w:rPr>
          <w:spacing w:val="31"/>
          <w:sz w:val="22"/>
        </w:rPr>
        <w:t> </w:t>
      </w:r>
      <w:r>
        <w:rPr>
          <w:sz w:val="22"/>
        </w:rPr>
        <w:t>reproductive</w:t>
      </w:r>
      <w:r>
        <w:rPr>
          <w:spacing w:val="31"/>
          <w:sz w:val="22"/>
        </w:rPr>
        <w:t> </w:t>
      </w:r>
      <w:r>
        <w:rPr>
          <w:sz w:val="22"/>
        </w:rPr>
        <w:t>hormones</w:t>
      </w:r>
      <w:r>
        <w:rPr>
          <w:spacing w:val="31"/>
          <w:sz w:val="22"/>
        </w:rPr>
        <w:t> </w:t>
      </w:r>
      <w:r>
        <w:rPr>
          <w:sz w:val="22"/>
        </w:rPr>
        <w:t>and sex hormone-binding globulin in a group of postmenopausal women measured over 10 years. </w:t>
      </w:r>
      <w:r>
        <w:rPr>
          <w:i/>
          <w:sz w:val="22"/>
        </w:rPr>
        <w:t>Menopause</w:t>
      </w:r>
      <w:r>
        <w:rPr>
          <w:sz w:val="22"/>
        </w:rPr>
        <w:t>. 1998;5:90.</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Meldrum</w:t>
      </w:r>
      <w:r>
        <w:rPr>
          <w:spacing w:val="23"/>
          <w:sz w:val="22"/>
        </w:rPr>
        <w:t> </w:t>
      </w:r>
      <w:r>
        <w:rPr>
          <w:sz w:val="22"/>
        </w:rPr>
        <w:t>DR,</w:t>
      </w:r>
      <w:r>
        <w:rPr>
          <w:spacing w:val="23"/>
          <w:sz w:val="22"/>
        </w:rPr>
        <w:t> </w:t>
      </w:r>
      <w:r>
        <w:rPr>
          <w:sz w:val="22"/>
        </w:rPr>
        <w:t>Davidson</w:t>
      </w:r>
      <w:r>
        <w:rPr>
          <w:spacing w:val="23"/>
          <w:sz w:val="22"/>
        </w:rPr>
        <w:t> </w:t>
      </w:r>
      <w:r>
        <w:rPr>
          <w:sz w:val="22"/>
        </w:rPr>
        <w:t>BJ,</w:t>
      </w:r>
      <w:r>
        <w:rPr>
          <w:spacing w:val="23"/>
          <w:sz w:val="22"/>
        </w:rPr>
        <w:t> </w:t>
      </w:r>
      <w:r>
        <w:rPr>
          <w:sz w:val="22"/>
        </w:rPr>
        <w:t>Tataryn</w:t>
      </w:r>
      <w:r>
        <w:rPr>
          <w:spacing w:val="23"/>
          <w:sz w:val="22"/>
        </w:rPr>
        <w:t> </w:t>
      </w:r>
      <w:r>
        <w:rPr>
          <w:sz w:val="22"/>
        </w:rPr>
        <w:t>IV,</w:t>
      </w:r>
      <w:r>
        <w:rPr>
          <w:spacing w:val="23"/>
          <w:sz w:val="22"/>
        </w:rPr>
        <w:t> </w:t>
      </w:r>
      <w:r>
        <w:rPr>
          <w:sz w:val="22"/>
        </w:rPr>
        <w:t>Judd</w:t>
      </w:r>
      <w:r>
        <w:rPr>
          <w:spacing w:val="23"/>
          <w:sz w:val="22"/>
        </w:rPr>
        <w:t> </w:t>
      </w:r>
      <w:r>
        <w:rPr>
          <w:sz w:val="22"/>
        </w:rPr>
        <w:t>HL.</w:t>
      </w:r>
      <w:r>
        <w:rPr>
          <w:spacing w:val="23"/>
          <w:sz w:val="22"/>
        </w:rPr>
        <w:t> </w:t>
      </w:r>
      <w:r>
        <w:rPr>
          <w:sz w:val="22"/>
        </w:rPr>
        <w:t>Changes</w:t>
      </w:r>
      <w:r>
        <w:rPr>
          <w:spacing w:val="26"/>
          <w:sz w:val="22"/>
        </w:rPr>
        <w:t> </w:t>
      </w:r>
      <w:r>
        <w:rPr>
          <w:sz w:val="22"/>
        </w:rPr>
        <w:t>in</w:t>
      </w:r>
      <w:r>
        <w:rPr>
          <w:spacing w:val="26"/>
          <w:sz w:val="22"/>
        </w:rPr>
        <w:t> </w:t>
      </w:r>
      <w:r>
        <w:rPr>
          <w:sz w:val="22"/>
        </w:rPr>
        <w:t>circulating</w:t>
      </w:r>
      <w:r>
        <w:rPr>
          <w:spacing w:val="26"/>
          <w:sz w:val="22"/>
        </w:rPr>
        <w:t> </w:t>
      </w:r>
      <w:r>
        <w:rPr>
          <w:sz w:val="22"/>
        </w:rPr>
        <w:t>steroids</w:t>
      </w:r>
      <w:r>
        <w:rPr>
          <w:spacing w:val="26"/>
          <w:sz w:val="22"/>
        </w:rPr>
        <w:t> </w:t>
      </w:r>
      <w:r>
        <w:rPr>
          <w:sz w:val="22"/>
        </w:rPr>
        <w:t>with</w:t>
      </w:r>
      <w:r>
        <w:rPr>
          <w:spacing w:val="26"/>
          <w:sz w:val="22"/>
        </w:rPr>
        <w:t> </w:t>
      </w:r>
      <w:r>
        <w:rPr>
          <w:sz w:val="22"/>
        </w:rPr>
        <w:t>aging in postmenopausal women. </w:t>
      </w:r>
      <w:r>
        <w:rPr>
          <w:i/>
          <w:sz w:val="22"/>
        </w:rPr>
        <w:t>Obstet Gynecol</w:t>
      </w:r>
      <w:r>
        <w:rPr>
          <w:sz w:val="22"/>
        </w:rPr>
        <w:t>. 1981;57:624.</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Grodin JM, Siiteri PK, McDonald PC. Source of estrogen production in </w:t>
      </w:r>
      <w:r>
        <w:rPr>
          <w:sz w:val="22"/>
        </w:rPr>
        <w:t>postmenopausal</w:t>
      </w:r>
      <w:r>
        <w:rPr>
          <w:spacing w:val="80"/>
          <w:sz w:val="22"/>
        </w:rPr>
        <w:t> </w:t>
      </w:r>
      <w:r>
        <w:rPr>
          <w:sz w:val="22"/>
        </w:rPr>
        <w:t>women. </w:t>
      </w:r>
      <w:r>
        <w:rPr>
          <w:i/>
          <w:sz w:val="22"/>
        </w:rPr>
        <w:t>J Clin Endocrinol Metab</w:t>
      </w:r>
      <w:r>
        <w:rPr>
          <w:sz w:val="22"/>
        </w:rPr>
        <w:t>. 1963;36:207.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Parker CR Jr, Slayden SM, Azziz R, et al. Effects of aging on adrenal function in the </w:t>
      </w:r>
      <w:r>
        <w:rPr>
          <w:sz w:val="22"/>
        </w:rPr>
        <w:t>human: responsiveness and sensitivity of adrenal androgens and cortisol to adrenocorticotropin in premenopausal and postmenopausal women. </w:t>
      </w:r>
      <w:r>
        <w:rPr>
          <w:i/>
          <w:sz w:val="22"/>
        </w:rPr>
        <w:t>J Clin Endocrinol Metab</w:t>
      </w:r>
      <w:r>
        <w:rPr>
          <w:sz w:val="22"/>
        </w:rPr>
        <w:t>. 2000;85:48.</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Wollter-Svenson L-O, Stadberg E, Andersson K, Mattsson L-Å, Odlind V, Persson I.</w:t>
      </w:r>
      <w:r>
        <w:rPr>
          <w:spacing w:val="40"/>
          <w:sz w:val="22"/>
        </w:rPr>
        <w:t> </w:t>
      </w:r>
      <w:r>
        <w:rPr>
          <w:sz w:val="22"/>
        </w:rPr>
        <w:t>Intrauterine administration of levonorgestrel in two low doses in HRT: a randomized clinical</w:t>
      </w:r>
      <w:r>
        <w:rPr>
          <w:spacing w:val="40"/>
          <w:sz w:val="22"/>
        </w:rPr>
        <w:t> </w:t>
      </w:r>
      <w:r>
        <w:rPr>
          <w:sz w:val="22"/>
        </w:rPr>
        <w:t>trial during one year: effects on lipid and lipoprotein metabolism. </w:t>
      </w:r>
      <w:r>
        <w:rPr>
          <w:i/>
          <w:sz w:val="22"/>
        </w:rPr>
        <w:t>Maturitas</w:t>
      </w:r>
      <w:r>
        <w:rPr>
          <w:sz w:val="22"/>
        </w:rPr>
        <w:t>. 1995;22:199.</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Labrie</w:t>
      </w:r>
      <w:r>
        <w:rPr>
          <w:spacing w:val="40"/>
          <w:sz w:val="22"/>
        </w:rPr>
        <w:t> </w:t>
      </w:r>
      <w:r>
        <w:rPr>
          <w:sz w:val="22"/>
        </w:rPr>
        <w:t>F,</w:t>
      </w:r>
      <w:r>
        <w:rPr>
          <w:spacing w:val="40"/>
          <w:sz w:val="22"/>
        </w:rPr>
        <w:t> </w:t>
      </w:r>
      <w:r>
        <w:rPr>
          <w:sz w:val="22"/>
        </w:rPr>
        <w:t>Bélanger</w:t>
      </w:r>
      <w:r>
        <w:rPr>
          <w:spacing w:val="40"/>
          <w:sz w:val="22"/>
        </w:rPr>
        <w:t> </w:t>
      </w:r>
      <w:r>
        <w:rPr>
          <w:sz w:val="22"/>
        </w:rPr>
        <w:t>A,</w:t>
      </w:r>
      <w:r>
        <w:rPr>
          <w:spacing w:val="40"/>
          <w:sz w:val="22"/>
        </w:rPr>
        <w:t> </w:t>
      </w:r>
      <w:r>
        <w:rPr>
          <w:sz w:val="22"/>
        </w:rPr>
        <w:t>Cusan</w:t>
      </w:r>
      <w:r>
        <w:rPr>
          <w:spacing w:val="40"/>
          <w:sz w:val="22"/>
        </w:rPr>
        <w:t> </w:t>
      </w:r>
      <w:r>
        <w:rPr>
          <w:sz w:val="22"/>
        </w:rPr>
        <w:t>L,</w:t>
      </w:r>
      <w:r>
        <w:rPr>
          <w:spacing w:val="40"/>
          <w:sz w:val="22"/>
        </w:rPr>
        <w:t> </w:t>
      </w:r>
      <w:r>
        <w:rPr>
          <w:sz w:val="22"/>
        </w:rPr>
        <w:t>Gomez</w:t>
      </w:r>
      <w:r>
        <w:rPr>
          <w:spacing w:val="40"/>
          <w:sz w:val="22"/>
        </w:rPr>
        <w:t> </w:t>
      </w:r>
      <w:r>
        <w:rPr>
          <w:sz w:val="22"/>
        </w:rPr>
        <w:t>J-L,</w:t>
      </w:r>
      <w:r>
        <w:rPr>
          <w:spacing w:val="40"/>
          <w:sz w:val="22"/>
        </w:rPr>
        <w:t> </w:t>
      </w:r>
      <w:r>
        <w:rPr>
          <w:sz w:val="22"/>
        </w:rPr>
        <w:t>Candas</w:t>
      </w:r>
      <w:r>
        <w:rPr>
          <w:spacing w:val="40"/>
          <w:sz w:val="22"/>
        </w:rPr>
        <w:t> </w:t>
      </w:r>
      <w:r>
        <w:rPr>
          <w:sz w:val="22"/>
        </w:rPr>
        <w:t>B.</w:t>
      </w:r>
      <w:r>
        <w:rPr>
          <w:spacing w:val="40"/>
          <w:sz w:val="22"/>
        </w:rPr>
        <w:t> </w:t>
      </w:r>
      <w:r>
        <w:rPr>
          <w:sz w:val="22"/>
        </w:rPr>
        <w:t>Marked</w:t>
      </w:r>
      <w:r>
        <w:rPr>
          <w:spacing w:val="40"/>
          <w:sz w:val="22"/>
        </w:rPr>
        <w:t> </w:t>
      </w:r>
      <w:r>
        <w:rPr>
          <w:sz w:val="22"/>
        </w:rPr>
        <w:t>decline</w:t>
      </w:r>
      <w:r>
        <w:rPr>
          <w:spacing w:val="40"/>
          <w:sz w:val="22"/>
        </w:rPr>
        <w:t> </w:t>
      </w:r>
      <w:r>
        <w:rPr>
          <w:sz w:val="22"/>
        </w:rPr>
        <w:t>in</w:t>
      </w:r>
      <w:r>
        <w:rPr>
          <w:spacing w:val="40"/>
          <w:sz w:val="22"/>
        </w:rPr>
        <w:t> </w:t>
      </w:r>
      <w:r>
        <w:rPr>
          <w:sz w:val="22"/>
        </w:rPr>
        <w:t>serum concentrations of adrenal C19 sex steroid precursors and conjugated androgen metabolites during aging. </w:t>
      </w:r>
      <w:r>
        <w:rPr>
          <w:i/>
          <w:sz w:val="22"/>
        </w:rPr>
        <w:t>J Clin Endocrinol Metab</w:t>
      </w:r>
      <w:r>
        <w:rPr>
          <w:sz w:val="22"/>
        </w:rPr>
        <w:t>. 1997;82:2396.</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Rannevik G, Jeppsson S, Johnell O, Bjerre B, Yaurell-Borulf Y, Svanberg L. A </w:t>
      </w:r>
      <w:r>
        <w:rPr>
          <w:sz w:val="22"/>
        </w:rPr>
        <w:t>longitudinal study of the perimenopausal transition: altered profiles of steroid and pituitary hormones,</w:t>
      </w:r>
      <w:r>
        <w:rPr>
          <w:spacing w:val="80"/>
          <w:sz w:val="22"/>
        </w:rPr>
        <w:t> </w:t>
      </w:r>
      <w:r>
        <w:rPr>
          <w:sz w:val="22"/>
        </w:rPr>
        <w:t>SHBG and bone mineral density. </w:t>
      </w:r>
      <w:r>
        <w:rPr>
          <w:i/>
          <w:sz w:val="22"/>
        </w:rPr>
        <w:t>Maturitas</w:t>
      </w:r>
      <w:r>
        <w:rPr>
          <w:sz w:val="22"/>
        </w:rPr>
        <w:t>. 1995;21:103.</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Longcope</w:t>
      </w:r>
      <w:r>
        <w:rPr>
          <w:spacing w:val="18"/>
          <w:sz w:val="22"/>
        </w:rPr>
        <w:t> </w:t>
      </w:r>
      <w:r>
        <w:rPr>
          <w:sz w:val="22"/>
        </w:rPr>
        <w:t>C,</w:t>
      </w:r>
      <w:r>
        <w:rPr>
          <w:spacing w:val="18"/>
          <w:sz w:val="22"/>
        </w:rPr>
        <w:t> </w:t>
      </w:r>
      <w:r>
        <w:rPr>
          <w:sz w:val="22"/>
        </w:rPr>
        <w:t>Franz</w:t>
      </w:r>
      <w:r>
        <w:rPr>
          <w:spacing w:val="18"/>
          <w:sz w:val="22"/>
        </w:rPr>
        <w:t> </w:t>
      </w:r>
      <w:r>
        <w:rPr>
          <w:sz w:val="22"/>
        </w:rPr>
        <w:t>C,</w:t>
      </w:r>
      <w:r>
        <w:rPr>
          <w:spacing w:val="18"/>
          <w:sz w:val="22"/>
        </w:rPr>
        <w:t> </w:t>
      </w:r>
      <w:r>
        <w:rPr>
          <w:sz w:val="22"/>
        </w:rPr>
        <w:t>Morello</w:t>
      </w:r>
      <w:r>
        <w:rPr>
          <w:spacing w:val="18"/>
          <w:sz w:val="22"/>
        </w:rPr>
        <w:t> </w:t>
      </w:r>
      <w:r>
        <w:rPr>
          <w:sz w:val="22"/>
        </w:rPr>
        <w:t>C,</w:t>
      </w:r>
      <w:r>
        <w:rPr>
          <w:spacing w:val="18"/>
          <w:sz w:val="22"/>
        </w:rPr>
        <w:t> </w:t>
      </w:r>
      <w:r>
        <w:rPr>
          <w:sz w:val="22"/>
        </w:rPr>
        <w:t>Baker</w:t>
      </w:r>
      <w:r>
        <w:rPr>
          <w:spacing w:val="18"/>
          <w:sz w:val="22"/>
        </w:rPr>
        <w:t> </w:t>
      </w:r>
      <w:r>
        <w:rPr>
          <w:sz w:val="22"/>
        </w:rPr>
        <w:t>RS,</w:t>
      </w:r>
      <w:r>
        <w:rPr>
          <w:spacing w:val="18"/>
          <w:sz w:val="22"/>
        </w:rPr>
        <w:t> </w:t>
      </w:r>
      <w:r>
        <w:rPr>
          <w:sz w:val="22"/>
        </w:rPr>
        <w:t>Johnston</w:t>
      </w:r>
      <w:r>
        <w:rPr>
          <w:spacing w:val="18"/>
          <w:sz w:val="22"/>
        </w:rPr>
        <w:t> </w:t>
      </w:r>
      <w:r>
        <w:rPr>
          <w:sz w:val="22"/>
        </w:rPr>
        <w:t>CC</w:t>
      </w:r>
      <w:r>
        <w:rPr>
          <w:spacing w:val="18"/>
          <w:sz w:val="22"/>
        </w:rPr>
        <w:t> </w:t>
      </w:r>
      <w:r>
        <w:rPr>
          <w:sz w:val="22"/>
        </w:rPr>
        <w:t>Jr.</w:t>
      </w:r>
      <w:r>
        <w:rPr>
          <w:spacing w:val="18"/>
          <w:sz w:val="22"/>
        </w:rPr>
        <w:t> </w:t>
      </w:r>
      <w:r>
        <w:rPr>
          <w:sz w:val="22"/>
        </w:rPr>
        <w:t>Steroid</w:t>
      </w:r>
      <w:r>
        <w:rPr>
          <w:spacing w:val="20"/>
          <w:sz w:val="22"/>
        </w:rPr>
        <w:t> </w:t>
      </w:r>
      <w:r>
        <w:rPr>
          <w:sz w:val="22"/>
        </w:rPr>
        <w:t>and</w:t>
      </w:r>
      <w:r>
        <w:rPr>
          <w:spacing w:val="20"/>
          <w:sz w:val="22"/>
        </w:rPr>
        <w:t> </w:t>
      </w:r>
      <w:r>
        <w:rPr>
          <w:sz w:val="22"/>
        </w:rPr>
        <w:t>gonadotropin</w:t>
      </w:r>
      <w:r>
        <w:rPr>
          <w:spacing w:val="20"/>
          <w:sz w:val="22"/>
        </w:rPr>
        <w:t> </w:t>
      </w:r>
      <w:r>
        <w:rPr>
          <w:sz w:val="22"/>
        </w:rPr>
        <w:t>levels in women during the peri-menopausal years. </w:t>
      </w:r>
      <w:r>
        <w:rPr>
          <w:i/>
          <w:sz w:val="22"/>
        </w:rPr>
        <w:t>Maturitas</w:t>
      </w:r>
      <w:r>
        <w:rPr>
          <w:sz w:val="22"/>
        </w:rPr>
        <w:t>. 1986;8:189.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Burger HG, Dudley EC, Cui J, Dennerstein L, Hopper JL. A prospective longitudinal study </w:t>
      </w:r>
      <w:r>
        <w:rPr>
          <w:sz w:val="22"/>
        </w:rPr>
        <w:t>of serum testosterone, dehydroepiandrosterone sulfate, and sex hormone-binding globulin levels through the menopause transition. </w:t>
      </w:r>
      <w:r>
        <w:rPr>
          <w:i/>
          <w:sz w:val="22"/>
        </w:rPr>
        <w:t>J Clin Endocrinol Metab</w:t>
      </w:r>
      <w:r>
        <w:rPr>
          <w:sz w:val="22"/>
        </w:rPr>
        <w:t>. 2000;85:2832.</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McMeekin</w:t>
      </w:r>
      <w:r>
        <w:rPr>
          <w:spacing w:val="29"/>
          <w:sz w:val="22"/>
        </w:rPr>
        <w:t> </w:t>
      </w:r>
      <w:r>
        <w:rPr>
          <w:sz w:val="22"/>
        </w:rPr>
        <w:t>DS,</w:t>
      </w:r>
      <w:r>
        <w:rPr>
          <w:spacing w:val="29"/>
          <w:sz w:val="22"/>
        </w:rPr>
        <w:t> </w:t>
      </w:r>
      <w:r>
        <w:rPr>
          <w:sz w:val="22"/>
        </w:rPr>
        <w:t>Burger</w:t>
      </w:r>
      <w:r>
        <w:rPr>
          <w:spacing w:val="29"/>
          <w:sz w:val="22"/>
        </w:rPr>
        <w:t> </w:t>
      </w:r>
      <w:r>
        <w:rPr>
          <w:sz w:val="22"/>
        </w:rPr>
        <w:t>RA,</w:t>
      </w:r>
      <w:r>
        <w:rPr>
          <w:spacing w:val="29"/>
          <w:sz w:val="22"/>
        </w:rPr>
        <w:t> </w:t>
      </w:r>
      <w:r>
        <w:rPr>
          <w:sz w:val="22"/>
        </w:rPr>
        <w:t>Manetta</w:t>
      </w:r>
      <w:r>
        <w:rPr>
          <w:spacing w:val="29"/>
          <w:sz w:val="22"/>
        </w:rPr>
        <w:t> </w:t>
      </w:r>
      <w:r>
        <w:rPr>
          <w:sz w:val="22"/>
        </w:rPr>
        <w:t>A,</w:t>
      </w:r>
      <w:r>
        <w:rPr>
          <w:spacing w:val="29"/>
          <w:sz w:val="22"/>
        </w:rPr>
        <w:t> </w:t>
      </w:r>
      <w:r>
        <w:rPr>
          <w:sz w:val="22"/>
        </w:rPr>
        <w:t>DiSaia</w:t>
      </w:r>
      <w:r>
        <w:rPr>
          <w:spacing w:val="29"/>
          <w:sz w:val="22"/>
        </w:rPr>
        <w:t> </w:t>
      </w:r>
      <w:r>
        <w:rPr>
          <w:sz w:val="22"/>
        </w:rPr>
        <w:t>P,</w:t>
      </w:r>
      <w:r>
        <w:rPr>
          <w:spacing w:val="29"/>
          <w:sz w:val="22"/>
        </w:rPr>
        <w:t> </w:t>
      </w:r>
      <w:r>
        <w:rPr>
          <w:sz w:val="22"/>
        </w:rPr>
        <w:t>Berman</w:t>
      </w:r>
      <w:r>
        <w:rPr>
          <w:spacing w:val="29"/>
          <w:sz w:val="22"/>
        </w:rPr>
        <w:t> </w:t>
      </w:r>
      <w:r>
        <w:rPr>
          <w:sz w:val="22"/>
        </w:rPr>
        <w:t>M.</w:t>
      </w:r>
      <w:r>
        <w:rPr>
          <w:spacing w:val="29"/>
          <w:sz w:val="22"/>
        </w:rPr>
        <w:t> </w:t>
      </w:r>
      <w:r>
        <w:rPr>
          <w:sz w:val="22"/>
        </w:rPr>
        <w:t>Endometrioid</w:t>
      </w:r>
      <w:r>
        <w:rPr>
          <w:spacing w:val="25"/>
          <w:sz w:val="22"/>
        </w:rPr>
        <w:t> </w:t>
      </w:r>
      <w:r>
        <w:rPr>
          <w:sz w:val="22"/>
        </w:rPr>
        <w:t>adenocarcinoma of the ovary and its relationship to endometriosis. </w:t>
      </w:r>
      <w:r>
        <w:rPr>
          <w:i/>
          <w:sz w:val="22"/>
        </w:rPr>
        <w:t>Gynecol Oncol</w:t>
      </w:r>
      <w:r>
        <w:rPr>
          <w:sz w:val="22"/>
        </w:rPr>
        <w:t>. 1995;59:81.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Sherwin BB, Gelfand MM. The role of androgen in the maintenance of sexual functioning in oophorectomized women. </w:t>
      </w:r>
      <w:r>
        <w:rPr>
          <w:i/>
          <w:sz w:val="22"/>
        </w:rPr>
        <w:t>Psychosom Med</w:t>
      </w:r>
      <w:r>
        <w:rPr>
          <w:sz w:val="22"/>
        </w:rPr>
        <w:t>. 1987;49:397.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Rojas-Zambrano</w:t>
      </w:r>
      <w:r>
        <w:rPr>
          <w:spacing w:val="40"/>
          <w:sz w:val="22"/>
        </w:rPr>
        <w:t> </w:t>
      </w:r>
      <w:r>
        <w:rPr>
          <w:sz w:val="22"/>
        </w:rPr>
        <w:t>JG,</w:t>
      </w:r>
      <w:r>
        <w:rPr>
          <w:spacing w:val="40"/>
          <w:sz w:val="22"/>
        </w:rPr>
        <w:t> </w:t>
      </w:r>
      <w:r>
        <w:rPr>
          <w:sz w:val="22"/>
        </w:rPr>
        <w:t>Rojas-Zambrano</w:t>
      </w:r>
      <w:r>
        <w:rPr>
          <w:spacing w:val="40"/>
          <w:sz w:val="22"/>
        </w:rPr>
        <w:t> </w:t>
      </w:r>
      <w:r>
        <w:rPr>
          <w:sz w:val="22"/>
        </w:rPr>
        <w:t>AR.</w:t>
      </w:r>
      <w:r>
        <w:rPr>
          <w:spacing w:val="40"/>
          <w:sz w:val="22"/>
        </w:rPr>
        <w:t> </w:t>
      </w:r>
      <w:r>
        <w:rPr>
          <w:sz w:val="22"/>
        </w:rPr>
        <w:t>Effects</w:t>
      </w:r>
      <w:r>
        <w:rPr>
          <w:spacing w:val="40"/>
          <w:sz w:val="22"/>
        </w:rPr>
        <w:t> </w:t>
      </w:r>
      <w:r>
        <w:rPr>
          <w:sz w:val="22"/>
        </w:rPr>
        <w:t>of</w:t>
      </w:r>
      <w:r>
        <w:rPr>
          <w:spacing w:val="40"/>
          <w:sz w:val="22"/>
        </w:rPr>
        <w:t> </w:t>
      </w:r>
      <w:r>
        <w:rPr>
          <w:sz w:val="22"/>
        </w:rPr>
        <w:t>testosterone</w:t>
      </w:r>
      <w:r>
        <w:rPr>
          <w:spacing w:val="40"/>
          <w:sz w:val="22"/>
        </w:rPr>
        <w:t> </w:t>
      </w:r>
      <w:r>
        <w:rPr>
          <w:sz w:val="22"/>
        </w:rPr>
        <w:t>hormone</w:t>
      </w:r>
      <w:r>
        <w:rPr>
          <w:spacing w:val="40"/>
          <w:sz w:val="22"/>
        </w:rPr>
        <w:t> </w:t>
      </w:r>
      <w:r>
        <w:rPr>
          <w:sz w:val="22"/>
        </w:rPr>
        <w:t>on</w:t>
      </w:r>
      <w:r>
        <w:rPr>
          <w:spacing w:val="40"/>
          <w:sz w:val="22"/>
        </w:rPr>
        <w:t> </w:t>
      </w:r>
      <w:r>
        <w:rPr>
          <w:sz w:val="22"/>
        </w:rPr>
        <w:t>the</w:t>
      </w:r>
      <w:r>
        <w:rPr>
          <w:spacing w:val="40"/>
          <w:sz w:val="22"/>
        </w:rPr>
        <w:t> </w:t>
      </w:r>
      <w:r>
        <w:rPr>
          <w:sz w:val="22"/>
        </w:rPr>
        <w:t>sexual aspect of postmenopausal women: a systematic review. </w:t>
      </w:r>
      <w:r>
        <w:rPr>
          <w:i/>
          <w:sz w:val="22"/>
        </w:rPr>
        <w:t>Cureus</w:t>
      </w:r>
      <w:r>
        <w:rPr>
          <w:sz w:val="22"/>
        </w:rPr>
        <w:t>. 2024;16(8):e68046.</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Shifren</w:t>
      </w:r>
      <w:r>
        <w:rPr>
          <w:spacing w:val="40"/>
          <w:sz w:val="22"/>
        </w:rPr>
        <w:t> </w:t>
      </w:r>
      <w:r>
        <w:rPr>
          <w:sz w:val="22"/>
        </w:rPr>
        <w:t>JL,</w:t>
      </w:r>
      <w:r>
        <w:rPr>
          <w:spacing w:val="40"/>
          <w:sz w:val="22"/>
        </w:rPr>
        <w:t> </w:t>
      </w:r>
      <w:r>
        <w:rPr>
          <w:sz w:val="22"/>
        </w:rPr>
        <w:t>Braunstein</w:t>
      </w:r>
      <w:r>
        <w:rPr>
          <w:spacing w:val="40"/>
          <w:sz w:val="22"/>
        </w:rPr>
        <w:t> </w:t>
      </w:r>
      <w:r>
        <w:rPr>
          <w:sz w:val="22"/>
        </w:rPr>
        <w:t>GD,</w:t>
      </w:r>
      <w:r>
        <w:rPr>
          <w:spacing w:val="40"/>
          <w:sz w:val="22"/>
        </w:rPr>
        <w:t> </w:t>
      </w:r>
      <w:r>
        <w:rPr>
          <w:sz w:val="22"/>
        </w:rPr>
        <w:t>Simon</w:t>
      </w:r>
      <w:r>
        <w:rPr>
          <w:spacing w:val="40"/>
          <w:sz w:val="22"/>
        </w:rPr>
        <w:t> </w:t>
      </w:r>
      <w:r>
        <w:rPr>
          <w:sz w:val="22"/>
        </w:rPr>
        <w:t>JA,</w:t>
      </w:r>
      <w:r>
        <w:rPr>
          <w:spacing w:val="40"/>
          <w:sz w:val="22"/>
        </w:rPr>
        <w:t> </w:t>
      </w:r>
      <w:r>
        <w:rPr>
          <w:sz w:val="22"/>
        </w:rPr>
        <w:t>et</w:t>
      </w:r>
      <w:r>
        <w:rPr>
          <w:spacing w:val="40"/>
          <w:sz w:val="22"/>
        </w:rPr>
        <w:t> </w:t>
      </w:r>
      <w:r>
        <w:rPr>
          <w:sz w:val="22"/>
        </w:rPr>
        <w:t>al.</w:t>
      </w:r>
      <w:r>
        <w:rPr>
          <w:spacing w:val="40"/>
          <w:sz w:val="22"/>
        </w:rPr>
        <w:t> </w:t>
      </w:r>
      <w:r>
        <w:rPr>
          <w:sz w:val="22"/>
        </w:rPr>
        <w:t>Transdermal</w:t>
      </w:r>
      <w:r>
        <w:rPr>
          <w:spacing w:val="40"/>
          <w:sz w:val="22"/>
        </w:rPr>
        <w:t> </w:t>
      </w:r>
      <w:r>
        <w:rPr>
          <w:sz w:val="22"/>
        </w:rPr>
        <w:t>testosterone</w:t>
      </w:r>
      <w:r>
        <w:rPr>
          <w:spacing w:val="40"/>
          <w:sz w:val="22"/>
        </w:rPr>
        <w:t> </w:t>
      </w:r>
      <w:r>
        <w:rPr>
          <w:sz w:val="22"/>
        </w:rPr>
        <w:t>treatment</w:t>
      </w:r>
      <w:r>
        <w:rPr>
          <w:spacing w:val="40"/>
          <w:sz w:val="22"/>
        </w:rPr>
        <w:t> </w:t>
      </w:r>
      <w:r>
        <w:rPr>
          <w:sz w:val="22"/>
        </w:rPr>
        <w:t>in</w:t>
      </w:r>
      <w:r>
        <w:rPr>
          <w:spacing w:val="40"/>
          <w:sz w:val="22"/>
        </w:rPr>
        <w:t> </w:t>
      </w:r>
      <w:r>
        <w:rPr>
          <w:sz w:val="22"/>
        </w:rPr>
        <w:t>women with impaired sexual function after oophorectomy. </w:t>
      </w:r>
      <w:r>
        <w:rPr>
          <w:i/>
          <w:sz w:val="22"/>
        </w:rPr>
        <w:t>N Engl J Med</w:t>
      </w:r>
      <w:r>
        <w:rPr>
          <w:sz w:val="22"/>
        </w:rPr>
        <w:t>. 2000;343:682.</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Hickok LR, Toomey C, Speroff L. A comparison of esterified estrogens with and without methyltestosterone:</w:t>
      </w:r>
      <w:r>
        <w:rPr>
          <w:spacing w:val="40"/>
          <w:sz w:val="22"/>
        </w:rPr>
        <w:t> </w:t>
      </w:r>
      <w:r>
        <w:rPr>
          <w:sz w:val="22"/>
        </w:rPr>
        <w:t>effects</w:t>
      </w:r>
      <w:r>
        <w:rPr>
          <w:spacing w:val="40"/>
          <w:sz w:val="22"/>
        </w:rPr>
        <w:t> </w:t>
      </w:r>
      <w:r>
        <w:rPr>
          <w:sz w:val="22"/>
        </w:rPr>
        <w:t>on</w:t>
      </w:r>
      <w:r>
        <w:rPr>
          <w:spacing w:val="40"/>
          <w:sz w:val="22"/>
        </w:rPr>
        <w:t> </w:t>
      </w:r>
      <w:r>
        <w:rPr>
          <w:sz w:val="22"/>
        </w:rPr>
        <w:t>endometrial</w:t>
      </w:r>
      <w:r>
        <w:rPr>
          <w:spacing w:val="40"/>
          <w:sz w:val="22"/>
        </w:rPr>
        <w:t> </w:t>
      </w:r>
      <w:r>
        <w:rPr>
          <w:sz w:val="22"/>
        </w:rPr>
        <w:t>histology</w:t>
      </w:r>
      <w:r>
        <w:rPr>
          <w:spacing w:val="40"/>
          <w:sz w:val="22"/>
        </w:rPr>
        <w:t> </w:t>
      </w:r>
      <w:r>
        <w:rPr>
          <w:sz w:val="22"/>
        </w:rPr>
        <w:t>and</w:t>
      </w:r>
      <w:r>
        <w:rPr>
          <w:spacing w:val="40"/>
          <w:sz w:val="22"/>
        </w:rPr>
        <w:t> </w:t>
      </w:r>
      <w:r>
        <w:rPr>
          <w:sz w:val="22"/>
        </w:rPr>
        <w:t>serum</w:t>
      </w:r>
      <w:r>
        <w:rPr>
          <w:spacing w:val="40"/>
          <w:sz w:val="22"/>
        </w:rPr>
        <w:t> </w:t>
      </w:r>
      <w:r>
        <w:rPr>
          <w:sz w:val="22"/>
        </w:rPr>
        <w:t>lipoproteins</w:t>
      </w:r>
      <w:r>
        <w:rPr>
          <w:spacing w:val="40"/>
          <w:sz w:val="22"/>
        </w:rPr>
        <w:t> </w:t>
      </w:r>
      <w:r>
        <w:rPr>
          <w:sz w:val="22"/>
        </w:rPr>
        <w:t>in postmenopausal women. </w:t>
      </w:r>
      <w:r>
        <w:rPr>
          <w:i/>
          <w:sz w:val="22"/>
        </w:rPr>
        <w:t>Obstet Gynecol</w:t>
      </w:r>
      <w:r>
        <w:rPr>
          <w:sz w:val="22"/>
        </w:rPr>
        <w:t>. 1993;82:919.</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Watts NB, Notelovitz M, Timmons MC, Addison WA, Wiita B, Downey LJ. Comparison of</w:t>
      </w:r>
      <w:r>
        <w:rPr>
          <w:spacing w:val="80"/>
          <w:sz w:val="22"/>
        </w:rPr>
        <w:t> </w:t>
      </w:r>
      <w:r>
        <w:rPr>
          <w:sz w:val="22"/>
        </w:rPr>
        <w:t>oral estrogens and estrogens plus androgens on bone mineral density, menopausal symptoms, and lipid-lipoprotein profiles in surgical menopause. </w:t>
      </w:r>
      <w:r>
        <w:rPr>
          <w:i/>
          <w:sz w:val="22"/>
        </w:rPr>
        <w:t>Obstet Gynecol</w:t>
      </w:r>
      <w:r>
        <w:rPr>
          <w:sz w:val="22"/>
        </w:rPr>
        <w:t>. 1995;85:529.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Barrett-Connor E, Timmons C, Young R, Witta B, Estratest Working Group. Interim safety analysis of a two-year study comparing oral estrogen-androgen and conjugated estrogens </w:t>
      </w:r>
      <w:r>
        <w:rPr>
          <w:sz w:val="22"/>
        </w:rPr>
        <w:t>in surgically menopausal women. </w:t>
      </w:r>
      <w:r>
        <w:rPr>
          <w:i/>
          <w:sz w:val="22"/>
        </w:rPr>
        <w:t>J Womens Health</w:t>
      </w:r>
      <w:r>
        <w:rPr>
          <w:sz w:val="22"/>
        </w:rPr>
        <w:t>. 1996;5:593.</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Davis SR, McCloud P, Strauss BJG, Burger H. Testosterone enhances estradiol’s effects </w:t>
      </w:r>
      <w:r>
        <w:rPr>
          <w:sz w:val="22"/>
        </w:rPr>
        <w:t>on postmenopausal bone density and sexuality. </w:t>
      </w:r>
      <w:r>
        <w:rPr>
          <w:i/>
          <w:sz w:val="22"/>
        </w:rPr>
        <w:t>Maturitas</w:t>
      </w:r>
      <w:r>
        <w:rPr>
          <w:sz w:val="22"/>
        </w:rPr>
        <w:t>. 1995;21:227.</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2" w:hanging="507"/>
        <w:jc w:val="both"/>
        <w:rPr>
          <w:sz w:val="22"/>
        </w:rPr>
      </w:pPr>
      <w:r>
        <w:rPr>
          <w:sz w:val="22"/>
        </w:rPr>
        <w:t>Bachmann</w:t>
      </w:r>
      <w:r>
        <w:rPr>
          <w:spacing w:val="40"/>
          <w:sz w:val="22"/>
        </w:rPr>
        <w:t> </w:t>
      </w:r>
      <w:r>
        <w:rPr>
          <w:sz w:val="22"/>
        </w:rPr>
        <w:t>GA,</w:t>
      </w:r>
      <w:r>
        <w:rPr>
          <w:spacing w:val="40"/>
          <w:sz w:val="22"/>
        </w:rPr>
        <w:t> </w:t>
      </w:r>
      <w:r>
        <w:rPr>
          <w:sz w:val="22"/>
        </w:rPr>
        <w:t>Timmons</w:t>
      </w:r>
      <w:r>
        <w:rPr>
          <w:spacing w:val="40"/>
          <w:sz w:val="22"/>
        </w:rPr>
        <w:t> </w:t>
      </w:r>
      <w:r>
        <w:rPr>
          <w:sz w:val="22"/>
        </w:rPr>
        <w:t>C,</w:t>
      </w:r>
      <w:r>
        <w:rPr>
          <w:spacing w:val="40"/>
          <w:sz w:val="22"/>
        </w:rPr>
        <w:t> </w:t>
      </w:r>
      <w:r>
        <w:rPr>
          <w:sz w:val="22"/>
        </w:rPr>
        <w:t>Abernethy</w:t>
      </w:r>
      <w:r>
        <w:rPr>
          <w:spacing w:val="40"/>
          <w:sz w:val="22"/>
        </w:rPr>
        <w:t> </w:t>
      </w:r>
      <w:r>
        <w:rPr>
          <w:sz w:val="22"/>
        </w:rPr>
        <w:t>WD.</w:t>
      </w:r>
      <w:r>
        <w:rPr>
          <w:spacing w:val="40"/>
          <w:sz w:val="22"/>
        </w:rPr>
        <w:t> </w:t>
      </w:r>
      <w:r>
        <w:rPr>
          <w:sz w:val="22"/>
        </w:rPr>
        <w:t>Breakthrough</w:t>
      </w:r>
      <w:r>
        <w:rPr>
          <w:spacing w:val="40"/>
          <w:sz w:val="22"/>
        </w:rPr>
        <w:t> </w:t>
      </w:r>
      <w:r>
        <w:rPr>
          <w:sz w:val="22"/>
        </w:rPr>
        <w:t>bleeding</w:t>
      </w:r>
      <w:r>
        <w:rPr>
          <w:spacing w:val="40"/>
          <w:sz w:val="22"/>
        </w:rPr>
        <w:t> </w:t>
      </w:r>
      <w:r>
        <w:rPr>
          <w:sz w:val="22"/>
        </w:rPr>
        <w:t>patterns</w:t>
      </w:r>
      <w:r>
        <w:rPr>
          <w:spacing w:val="40"/>
          <w:sz w:val="22"/>
        </w:rPr>
        <w:t> </w:t>
      </w:r>
      <w:r>
        <w:rPr>
          <w:sz w:val="22"/>
        </w:rPr>
        <w:t>in</w:t>
      </w:r>
      <w:r>
        <w:rPr>
          <w:spacing w:val="40"/>
          <w:sz w:val="22"/>
        </w:rPr>
        <w:t> </w:t>
      </w:r>
      <w:r>
        <w:rPr>
          <w:sz w:val="22"/>
        </w:rPr>
        <w:t>two continuous combined estrogen/progestogen hormone replacement therapies, one of which included androgens. </w:t>
      </w:r>
      <w:r>
        <w:rPr>
          <w:i/>
          <w:sz w:val="22"/>
        </w:rPr>
        <w:t>J Womens Health</w:t>
      </w:r>
      <w:r>
        <w:rPr>
          <w:sz w:val="22"/>
        </w:rPr>
        <w:t>. 1996;5:205.</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Garnett T, Studd J, Watson N, Savvas M, Leather A. The effects of plasma estradiol levels on increases in vertebral and femoral bone density following therapy with estradiol and </w:t>
      </w:r>
      <w:r>
        <w:rPr>
          <w:sz w:val="22"/>
        </w:rPr>
        <w:t>estradiol with testosterone implants. </w:t>
      </w:r>
      <w:r>
        <w:rPr>
          <w:i/>
          <w:sz w:val="22"/>
        </w:rPr>
        <w:t>Obstet Gynecol</w:t>
      </w:r>
      <w:r>
        <w:rPr>
          <w:sz w:val="22"/>
        </w:rPr>
        <w:t>. 1992;79:968.</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Barrett-Conner E, Young RH, Notelovitz M, et al. A two-year, double-blind comparison </w:t>
      </w:r>
      <w:r>
        <w:rPr>
          <w:sz w:val="22"/>
        </w:rPr>
        <w:t>of estrogen-androgen and conjugated estrogens in surgically menopausal women: effects on bone mineral density, symptoms and lipid profiles. </w:t>
      </w:r>
      <w:r>
        <w:rPr>
          <w:i/>
          <w:sz w:val="22"/>
        </w:rPr>
        <w:t>J Reprod Med</w:t>
      </w:r>
      <w:r>
        <w:rPr>
          <w:sz w:val="22"/>
        </w:rPr>
        <w:t>. 1999;44:1012.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Urman B, Pride SM, Ho Yuen B. Elevated serum testosterone, hirsutism, and virilism</w:t>
      </w:r>
      <w:r>
        <w:rPr>
          <w:spacing w:val="80"/>
          <w:w w:val="150"/>
          <w:sz w:val="22"/>
        </w:rPr>
        <w:t> </w:t>
      </w:r>
      <w:r>
        <w:rPr>
          <w:sz w:val="22"/>
        </w:rPr>
        <w:t>associated with combined androgen-estrogen hormone replacement therapy. </w:t>
      </w:r>
      <w:r>
        <w:rPr>
          <w:i/>
          <w:sz w:val="22"/>
        </w:rPr>
        <w:t>Obstet Gynecol</w:t>
      </w:r>
      <w:r>
        <w:rPr>
          <w:sz w:val="22"/>
        </w:rPr>
        <w:t>. </w:t>
      </w:r>
      <w:r>
        <w:rPr>
          <w:spacing w:val="-2"/>
          <w:sz w:val="22"/>
        </w:rPr>
        <w:t>1991;77:595.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Hameed A, Brothwood T, Bouloux P. Delivery of testosterone replacement therapy. </w:t>
      </w:r>
      <w:r>
        <w:rPr>
          <w:i/>
          <w:sz w:val="22"/>
        </w:rPr>
        <w:t>Curr Opin</w:t>
      </w:r>
      <w:r>
        <w:rPr>
          <w:i/>
          <w:sz w:val="22"/>
        </w:rPr>
        <w:t> Investig Drugs</w:t>
      </w:r>
      <w:r>
        <w:rPr>
          <w:sz w:val="22"/>
        </w:rPr>
        <w:t>. 2003;4:1213.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Buckler HM, Robertson WR, Wu FCW. Which androgen replacement therapy for women? </w:t>
      </w:r>
      <w:r>
        <w:rPr>
          <w:i/>
          <w:sz w:val="22"/>
        </w:rPr>
        <w:t>J</w:t>
      </w:r>
      <w:r>
        <w:rPr>
          <w:i/>
          <w:sz w:val="22"/>
        </w:rPr>
        <w:t> Clin Endocrinol Metab</w:t>
      </w:r>
      <w:r>
        <w:rPr>
          <w:sz w:val="22"/>
        </w:rPr>
        <w:t>. 1998;83:3920.</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Davis SR, van der Mooren MJ, van Lunsen RHW, et al. Efficacy and safety of a testosterone patch</w:t>
      </w:r>
      <w:r>
        <w:rPr>
          <w:spacing w:val="21"/>
          <w:sz w:val="22"/>
        </w:rPr>
        <w:t> </w:t>
      </w:r>
      <w:r>
        <w:rPr>
          <w:sz w:val="22"/>
        </w:rPr>
        <w:t>for</w:t>
      </w:r>
      <w:r>
        <w:rPr>
          <w:spacing w:val="21"/>
          <w:sz w:val="22"/>
        </w:rPr>
        <w:t> </w:t>
      </w:r>
      <w:r>
        <w:rPr>
          <w:sz w:val="22"/>
        </w:rPr>
        <w:t>the</w:t>
      </w:r>
      <w:r>
        <w:rPr>
          <w:spacing w:val="21"/>
          <w:sz w:val="22"/>
        </w:rPr>
        <w:t> </w:t>
      </w:r>
      <w:r>
        <w:rPr>
          <w:sz w:val="22"/>
        </w:rPr>
        <w:t>treatment</w:t>
      </w:r>
      <w:r>
        <w:rPr>
          <w:spacing w:val="21"/>
          <w:sz w:val="22"/>
        </w:rPr>
        <w:t> </w:t>
      </w:r>
      <w:r>
        <w:rPr>
          <w:sz w:val="22"/>
        </w:rPr>
        <w:t>of</w:t>
      </w:r>
      <w:r>
        <w:rPr>
          <w:spacing w:val="21"/>
          <w:sz w:val="22"/>
        </w:rPr>
        <w:t> </w:t>
      </w:r>
      <w:r>
        <w:rPr>
          <w:sz w:val="22"/>
        </w:rPr>
        <w:t>hypoactive</w:t>
      </w:r>
      <w:r>
        <w:rPr>
          <w:spacing w:val="21"/>
          <w:sz w:val="22"/>
        </w:rPr>
        <w:t> </w:t>
      </w:r>
      <w:r>
        <w:rPr>
          <w:sz w:val="22"/>
        </w:rPr>
        <w:t>sexual</w:t>
      </w:r>
      <w:r>
        <w:rPr>
          <w:spacing w:val="21"/>
          <w:sz w:val="22"/>
        </w:rPr>
        <w:t> </w:t>
      </w:r>
      <w:r>
        <w:rPr>
          <w:sz w:val="22"/>
        </w:rPr>
        <w:t>desire</w:t>
      </w:r>
      <w:r>
        <w:rPr>
          <w:spacing w:val="21"/>
          <w:sz w:val="22"/>
        </w:rPr>
        <w:t> </w:t>
      </w:r>
      <w:r>
        <w:rPr>
          <w:sz w:val="22"/>
        </w:rPr>
        <w:t>disorder</w:t>
      </w:r>
      <w:r>
        <w:rPr>
          <w:spacing w:val="21"/>
          <w:sz w:val="22"/>
        </w:rPr>
        <w:t> </w:t>
      </w:r>
      <w:r>
        <w:rPr>
          <w:sz w:val="22"/>
        </w:rPr>
        <w:t>in</w:t>
      </w:r>
      <w:r>
        <w:rPr>
          <w:spacing w:val="21"/>
          <w:sz w:val="22"/>
        </w:rPr>
        <w:t> </w:t>
      </w:r>
      <w:r>
        <w:rPr>
          <w:sz w:val="22"/>
        </w:rPr>
        <w:t>surgically</w:t>
      </w:r>
      <w:r>
        <w:rPr>
          <w:spacing w:val="21"/>
          <w:sz w:val="22"/>
        </w:rPr>
        <w:t> </w:t>
      </w:r>
      <w:r>
        <w:rPr>
          <w:sz w:val="22"/>
        </w:rPr>
        <w:t>menopausal</w:t>
      </w:r>
      <w:r>
        <w:rPr>
          <w:spacing w:val="21"/>
          <w:sz w:val="22"/>
        </w:rPr>
        <w:t> </w:t>
      </w:r>
      <w:r>
        <w:rPr>
          <w:sz w:val="22"/>
        </w:rPr>
        <w:t>women: a randomized, placebo-controlled trial. </w:t>
      </w:r>
      <w:r>
        <w:rPr>
          <w:i/>
          <w:sz w:val="22"/>
        </w:rPr>
        <w:t>Menopause</w:t>
      </w:r>
      <w:r>
        <w:rPr>
          <w:sz w:val="22"/>
        </w:rPr>
        <w:t>. 2006;13:387.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Shifren JL, Davis SR, Moreau M, et al. Testosterone patch for the treatment of </w:t>
      </w:r>
      <w:r>
        <w:rPr>
          <w:sz w:val="22"/>
        </w:rPr>
        <w:t>hypoactive</w:t>
      </w:r>
      <w:r>
        <w:rPr>
          <w:spacing w:val="40"/>
          <w:sz w:val="22"/>
        </w:rPr>
        <w:t> </w:t>
      </w:r>
      <w:r>
        <w:rPr>
          <w:sz w:val="22"/>
        </w:rPr>
        <w:t>sexual desire disorder in naturally menopausal women: results from the INTIMATE NM1</w:t>
      </w:r>
      <w:r>
        <w:rPr>
          <w:spacing w:val="80"/>
          <w:sz w:val="22"/>
        </w:rPr>
        <w:t> </w:t>
      </w:r>
      <w:r>
        <w:rPr>
          <w:sz w:val="22"/>
        </w:rPr>
        <w:t>study. </w:t>
      </w:r>
      <w:r>
        <w:rPr>
          <w:i/>
          <w:sz w:val="22"/>
        </w:rPr>
        <w:t>Menopause</w:t>
      </w:r>
      <w:r>
        <w:rPr>
          <w:sz w:val="22"/>
        </w:rPr>
        <w:t>. 2007;13:770.</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Davis</w:t>
      </w:r>
      <w:r>
        <w:rPr>
          <w:spacing w:val="33"/>
          <w:sz w:val="22"/>
        </w:rPr>
        <w:t> </w:t>
      </w:r>
      <w:r>
        <w:rPr>
          <w:sz w:val="22"/>
        </w:rPr>
        <w:t>SR,</w:t>
      </w:r>
      <w:r>
        <w:rPr>
          <w:spacing w:val="33"/>
          <w:sz w:val="22"/>
        </w:rPr>
        <w:t> </w:t>
      </w:r>
      <w:r>
        <w:rPr>
          <w:sz w:val="22"/>
        </w:rPr>
        <w:t>Moreau</w:t>
      </w:r>
      <w:r>
        <w:rPr>
          <w:spacing w:val="33"/>
          <w:sz w:val="22"/>
        </w:rPr>
        <w:t> </w:t>
      </w:r>
      <w:r>
        <w:rPr>
          <w:sz w:val="22"/>
        </w:rPr>
        <w:t>M,</w:t>
      </w:r>
      <w:r>
        <w:rPr>
          <w:spacing w:val="33"/>
          <w:sz w:val="22"/>
        </w:rPr>
        <w:t> </w:t>
      </w:r>
      <w:r>
        <w:rPr>
          <w:sz w:val="22"/>
        </w:rPr>
        <w:t>Kroll</w:t>
      </w:r>
      <w:r>
        <w:rPr>
          <w:spacing w:val="33"/>
          <w:sz w:val="22"/>
        </w:rPr>
        <w:t> </w:t>
      </w:r>
      <w:r>
        <w:rPr>
          <w:sz w:val="22"/>
        </w:rPr>
        <w:t>R,</w:t>
      </w:r>
      <w:r>
        <w:rPr>
          <w:spacing w:val="33"/>
          <w:sz w:val="22"/>
        </w:rPr>
        <w:t> </w:t>
      </w:r>
      <w:r>
        <w:rPr>
          <w:sz w:val="22"/>
        </w:rPr>
        <w:t>et</w:t>
      </w:r>
      <w:r>
        <w:rPr>
          <w:spacing w:val="33"/>
          <w:sz w:val="22"/>
        </w:rPr>
        <w:t> </w:t>
      </w:r>
      <w:r>
        <w:rPr>
          <w:sz w:val="22"/>
        </w:rPr>
        <w:t>al.</w:t>
      </w:r>
      <w:r>
        <w:rPr>
          <w:spacing w:val="33"/>
          <w:sz w:val="22"/>
        </w:rPr>
        <w:t> </w:t>
      </w:r>
      <w:r>
        <w:rPr>
          <w:sz w:val="22"/>
        </w:rPr>
        <w:t>Testosterone</w:t>
      </w:r>
      <w:r>
        <w:rPr>
          <w:spacing w:val="31"/>
          <w:sz w:val="22"/>
        </w:rPr>
        <w:t> </w:t>
      </w:r>
      <w:r>
        <w:rPr>
          <w:sz w:val="22"/>
        </w:rPr>
        <w:t>for</w:t>
      </w:r>
      <w:r>
        <w:rPr>
          <w:spacing w:val="31"/>
          <w:sz w:val="22"/>
        </w:rPr>
        <w:t> </w:t>
      </w:r>
      <w:r>
        <w:rPr>
          <w:sz w:val="22"/>
        </w:rPr>
        <w:t>low</w:t>
      </w:r>
      <w:r>
        <w:rPr>
          <w:spacing w:val="31"/>
          <w:sz w:val="22"/>
        </w:rPr>
        <w:t> </w:t>
      </w:r>
      <w:r>
        <w:rPr>
          <w:sz w:val="22"/>
        </w:rPr>
        <w:t>libido</w:t>
      </w:r>
      <w:r>
        <w:rPr>
          <w:spacing w:val="31"/>
          <w:sz w:val="22"/>
        </w:rPr>
        <w:t> </w:t>
      </w:r>
      <w:r>
        <w:rPr>
          <w:sz w:val="22"/>
        </w:rPr>
        <w:t>in</w:t>
      </w:r>
      <w:r>
        <w:rPr>
          <w:spacing w:val="31"/>
          <w:sz w:val="22"/>
        </w:rPr>
        <w:t> </w:t>
      </w:r>
      <w:r>
        <w:rPr>
          <w:sz w:val="22"/>
        </w:rPr>
        <w:t>postmenopausal</w:t>
      </w:r>
      <w:r>
        <w:rPr>
          <w:spacing w:val="31"/>
          <w:sz w:val="22"/>
        </w:rPr>
        <w:t> </w:t>
      </w:r>
      <w:r>
        <w:rPr>
          <w:sz w:val="22"/>
        </w:rPr>
        <w:t>women not taking estrogen. </w:t>
      </w:r>
      <w:r>
        <w:rPr>
          <w:i/>
          <w:sz w:val="22"/>
        </w:rPr>
        <w:t>N Engl J Med</w:t>
      </w:r>
      <w:r>
        <w:rPr>
          <w:sz w:val="22"/>
        </w:rPr>
        <w:t>. 2008;359:2005.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Tamimi RM, Hankinson SE, Chen WY, Rosner B, Colditz GA. Combined estrogen and testosterone use and risk of breast cancer in postmenopausal women. </w:t>
      </w:r>
      <w:r>
        <w:rPr>
          <w:i/>
          <w:sz w:val="22"/>
        </w:rPr>
        <w:t>Arch Intern Med</w:t>
      </w:r>
      <w:r>
        <w:rPr>
          <w:sz w:val="22"/>
        </w:rPr>
        <w:t>. </w:t>
      </w:r>
      <w:r>
        <w:rPr>
          <w:spacing w:val="-2"/>
          <w:sz w:val="22"/>
        </w:rPr>
        <w:t>2006;166:1483.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Dimitrakakis</w:t>
      </w:r>
      <w:r>
        <w:rPr>
          <w:spacing w:val="40"/>
          <w:sz w:val="22"/>
        </w:rPr>
        <w:t> </w:t>
      </w:r>
      <w:r>
        <w:rPr>
          <w:sz w:val="22"/>
        </w:rPr>
        <w:t>C,</w:t>
      </w:r>
      <w:r>
        <w:rPr>
          <w:spacing w:val="40"/>
          <w:sz w:val="22"/>
        </w:rPr>
        <w:t> </w:t>
      </w:r>
      <w:r>
        <w:rPr>
          <w:sz w:val="22"/>
        </w:rPr>
        <w:t>Zhou</w:t>
      </w:r>
      <w:r>
        <w:rPr>
          <w:spacing w:val="40"/>
          <w:sz w:val="22"/>
        </w:rPr>
        <w:t> </w:t>
      </w:r>
      <w:r>
        <w:rPr>
          <w:sz w:val="22"/>
        </w:rPr>
        <w:t>J,</w:t>
      </w:r>
      <w:r>
        <w:rPr>
          <w:spacing w:val="40"/>
          <w:sz w:val="22"/>
        </w:rPr>
        <w:t> </w:t>
      </w:r>
      <w:r>
        <w:rPr>
          <w:sz w:val="22"/>
        </w:rPr>
        <w:t>Wang</w:t>
      </w:r>
      <w:r>
        <w:rPr>
          <w:spacing w:val="40"/>
          <w:sz w:val="22"/>
        </w:rPr>
        <w:t> </w:t>
      </w:r>
      <w:r>
        <w:rPr>
          <w:sz w:val="22"/>
        </w:rPr>
        <w:t>J,</w:t>
      </w:r>
      <w:r>
        <w:rPr>
          <w:spacing w:val="40"/>
          <w:sz w:val="22"/>
        </w:rPr>
        <w:t> </w:t>
      </w:r>
      <w:r>
        <w:rPr>
          <w:sz w:val="22"/>
        </w:rPr>
        <w:t>et</w:t>
      </w:r>
      <w:r>
        <w:rPr>
          <w:spacing w:val="40"/>
          <w:sz w:val="22"/>
        </w:rPr>
        <w:t> </w:t>
      </w:r>
      <w:r>
        <w:rPr>
          <w:sz w:val="22"/>
        </w:rPr>
        <w:t>al.</w:t>
      </w:r>
      <w:r>
        <w:rPr>
          <w:spacing w:val="40"/>
          <w:sz w:val="22"/>
        </w:rPr>
        <w:t> </w:t>
      </w:r>
      <w:r>
        <w:rPr>
          <w:sz w:val="22"/>
        </w:rPr>
        <w:t>A</w:t>
      </w:r>
      <w:r>
        <w:rPr>
          <w:spacing w:val="40"/>
          <w:sz w:val="22"/>
        </w:rPr>
        <w:t> </w:t>
      </w:r>
      <w:r>
        <w:rPr>
          <w:sz w:val="22"/>
        </w:rPr>
        <w:t>physiologic</w:t>
      </w:r>
      <w:r>
        <w:rPr>
          <w:spacing w:val="40"/>
          <w:sz w:val="22"/>
        </w:rPr>
        <w:t> </w:t>
      </w:r>
      <w:r>
        <w:rPr>
          <w:sz w:val="22"/>
        </w:rPr>
        <w:t>role</w:t>
      </w:r>
      <w:r>
        <w:rPr>
          <w:spacing w:val="40"/>
          <w:sz w:val="22"/>
        </w:rPr>
        <w:t> </w:t>
      </w:r>
      <w:r>
        <w:rPr>
          <w:sz w:val="22"/>
        </w:rPr>
        <w:t>for</w:t>
      </w:r>
      <w:r>
        <w:rPr>
          <w:spacing w:val="40"/>
          <w:sz w:val="22"/>
        </w:rPr>
        <w:t> </w:t>
      </w:r>
      <w:r>
        <w:rPr>
          <w:sz w:val="22"/>
        </w:rPr>
        <w:t>testosterone</w:t>
      </w:r>
      <w:r>
        <w:rPr>
          <w:spacing w:val="40"/>
          <w:sz w:val="22"/>
        </w:rPr>
        <w:t> </w:t>
      </w:r>
      <w:r>
        <w:rPr>
          <w:sz w:val="22"/>
        </w:rPr>
        <w:t>in</w:t>
      </w:r>
      <w:r>
        <w:rPr>
          <w:spacing w:val="40"/>
          <w:sz w:val="22"/>
        </w:rPr>
        <w:t> </w:t>
      </w:r>
      <w:r>
        <w:rPr>
          <w:sz w:val="22"/>
        </w:rPr>
        <w:t>limiting estrogenic stimulation of the breast. </w:t>
      </w:r>
      <w:r>
        <w:rPr>
          <w:i/>
          <w:sz w:val="22"/>
        </w:rPr>
        <w:t>Menopause</w:t>
      </w:r>
      <w:r>
        <w:rPr>
          <w:sz w:val="22"/>
        </w:rPr>
        <w:t>. 2003;10:292.</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Hofling M, Hirschberg AL, Skoog L, Tani E, Hagerström T, von Schoultz B. Testosterone inhibits estrogen/progestogen-induced breast cell proliferation in postmenopausal </w:t>
      </w:r>
      <w:r>
        <w:rPr>
          <w:sz w:val="22"/>
        </w:rPr>
        <w:t>women. </w:t>
      </w:r>
      <w:r>
        <w:rPr>
          <w:i/>
          <w:sz w:val="22"/>
        </w:rPr>
        <w:t>Menopause</w:t>
      </w:r>
      <w:r>
        <w:rPr>
          <w:sz w:val="22"/>
        </w:rPr>
        <w:t>. 2007;14:183.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Davis SR, Hirschberg AL, Wagner LK, Lodhi I, Von Schoultz B. The effect of </w:t>
      </w:r>
      <w:r>
        <w:rPr>
          <w:sz w:val="22"/>
        </w:rPr>
        <w:t>transdermal testosterone on mammographic density in postmenopausal women not receiving systemic estrogen therapy. </w:t>
      </w:r>
      <w:r>
        <w:rPr>
          <w:i/>
          <w:sz w:val="22"/>
        </w:rPr>
        <w:t>J Clin Endocrinol Metab</w:t>
      </w:r>
      <w:r>
        <w:rPr>
          <w:sz w:val="22"/>
        </w:rPr>
        <w:t>. 2009;94:4907.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Sterns EE, Zee B. Mammographic density changes in perimenopausal and </w:t>
      </w:r>
      <w:r>
        <w:rPr>
          <w:sz w:val="22"/>
        </w:rPr>
        <w:t>postmenopausal women: is effect of hormone replacement therapy predictable? </w:t>
      </w:r>
      <w:r>
        <w:rPr>
          <w:i/>
          <w:sz w:val="22"/>
        </w:rPr>
        <w:t>Breast Cancer Res Treat</w:t>
      </w:r>
      <w:r>
        <w:rPr>
          <w:sz w:val="22"/>
        </w:rPr>
        <w:t>. </w:t>
      </w:r>
      <w:r>
        <w:rPr>
          <w:spacing w:val="-2"/>
          <w:sz w:val="22"/>
        </w:rPr>
        <w:t>2000;59:125.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Donovitz</w:t>
      </w:r>
      <w:r>
        <w:rPr>
          <w:spacing w:val="40"/>
          <w:sz w:val="22"/>
        </w:rPr>
        <w:t> </w:t>
      </w:r>
      <w:r>
        <w:rPr>
          <w:sz w:val="22"/>
        </w:rPr>
        <w:t>GS.</w:t>
      </w:r>
      <w:r>
        <w:rPr>
          <w:spacing w:val="40"/>
          <w:sz w:val="22"/>
        </w:rPr>
        <w:t> </w:t>
      </w:r>
      <w:r>
        <w:rPr>
          <w:sz w:val="22"/>
        </w:rPr>
        <w:t>A</w:t>
      </w:r>
      <w:r>
        <w:rPr>
          <w:spacing w:val="40"/>
          <w:sz w:val="22"/>
        </w:rPr>
        <w:t> </w:t>
      </w:r>
      <w:r>
        <w:rPr>
          <w:sz w:val="22"/>
        </w:rPr>
        <w:t>personal</w:t>
      </w:r>
      <w:r>
        <w:rPr>
          <w:spacing w:val="40"/>
          <w:sz w:val="22"/>
        </w:rPr>
        <w:t> </w:t>
      </w:r>
      <w:r>
        <w:rPr>
          <w:sz w:val="22"/>
        </w:rPr>
        <w:t>prospective</w:t>
      </w:r>
      <w:r>
        <w:rPr>
          <w:spacing w:val="40"/>
          <w:sz w:val="22"/>
        </w:rPr>
        <w:t> </w:t>
      </w:r>
      <w:r>
        <w:rPr>
          <w:sz w:val="22"/>
        </w:rPr>
        <w:t>on</w:t>
      </w:r>
      <w:r>
        <w:rPr>
          <w:spacing w:val="40"/>
          <w:sz w:val="22"/>
        </w:rPr>
        <w:t> </w:t>
      </w:r>
      <w:r>
        <w:rPr>
          <w:sz w:val="22"/>
        </w:rPr>
        <w:t>testosterone</w:t>
      </w:r>
      <w:r>
        <w:rPr>
          <w:spacing w:val="40"/>
          <w:sz w:val="22"/>
        </w:rPr>
        <w:t> </w:t>
      </w:r>
      <w:r>
        <w:rPr>
          <w:sz w:val="22"/>
        </w:rPr>
        <w:t>therapy</w:t>
      </w:r>
      <w:r>
        <w:rPr>
          <w:spacing w:val="40"/>
          <w:sz w:val="22"/>
        </w:rPr>
        <w:t> </w:t>
      </w:r>
      <w:r>
        <w:rPr>
          <w:sz w:val="22"/>
        </w:rPr>
        <w:t>in</w:t>
      </w:r>
      <w:r>
        <w:rPr>
          <w:spacing w:val="40"/>
          <w:sz w:val="22"/>
        </w:rPr>
        <w:t> </w:t>
      </w:r>
      <w:r>
        <w:rPr>
          <w:sz w:val="22"/>
        </w:rPr>
        <w:t>women-what</w:t>
      </w:r>
      <w:r>
        <w:rPr>
          <w:spacing w:val="40"/>
          <w:sz w:val="22"/>
        </w:rPr>
        <w:t> </w:t>
      </w:r>
      <w:r>
        <w:rPr>
          <w:sz w:val="22"/>
        </w:rPr>
        <w:t>we</w:t>
      </w:r>
      <w:r>
        <w:rPr>
          <w:spacing w:val="40"/>
          <w:sz w:val="22"/>
        </w:rPr>
        <w:t> </w:t>
      </w:r>
      <w:r>
        <w:rPr>
          <w:sz w:val="22"/>
        </w:rPr>
        <w:t>know</w:t>
      </w:r>
      <w:r>
        <w:rPr>
          <w:spacing w:val="40"/>
          <w:sz w:val="22"/>
        </w:rPr>
        <w:t> </w:t>
      </w:r>
      <w:r>
        <w:rPr>
          <w:sz w:val="22"/>
        </w:rPr>
        <w:t>in 2022. </w:t>
      </w:r>
      <w:r>
        <w:rPr>
          <w:i/>
          <w:sz w:val="22"/>
        </w:rPr>
        <w:t>J Pers Med</w:t>
      </w:r>
      <w:r>
        <w:rPr>
          <w:sz w:val="22"/>
        </w:rPr>
        <w:t>. 2022;12(8):1194.</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Jang C, Boyle JA, Vincent A. Global consensus statement on testosterone therapy for women:</w:t>
      </w:r>
      <w:r>
        <w:rPr>
          <w:spacing w:val="40"/>
          <w:sz w:val="22"/>
        </w:rPr>
        <w:t> </w:t>
      </w:r>
      <w:r>
        <w:rPr>
          <w:sz w:val="22"/>
        </w:rPr>
        <w:t>an Australian perspective. </w:t>
      </w:r>
      <w:r>
        <w:rPr>
          <w:i/>
          <w:sz w:val="22"/>
        </w:rPr>
        <w:t>Med J Aust</w:t>
      </w:r>
      <w:r>
        <w:rPr>
          <w:sz w:val="22"/>
        </w:rPr>
        <w:t>. 2020;213(10):449-452.e1.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Davis</w:t>
      </w:r>
      <w:r>
        <w:rPr>
          <w:spacing w:val="40"/>
          <w:sz w:val="22"/>
        </w:rPr>
        <w:t> </w:t>
      </w:r>
      <w:r>
        <w:rPr>
          <w:sz w:val="22"/>
        </w:rPr>
        <w:t>SR,</w:t>
      </w:r>
      <w:r>
        <w:rPr>
          <w:spacing w:val="40"/>
          <w:sz w:val="22"/>
        </w:rPr>
        <w:t> </w:t>
      </w:r>
      <w:r>
        <w:rPr>
          <w:sz w:val="22"/>
        </w:rPr>
        <w:t>Davison</w:t>
      </w:r>
      <w:r>
        <w:rPr>
          <w:spacing w:val="40"/>
          <w:sz w:val="22"/>
        </w:rPr>
        <w:t> </w:t>
      </w:r>
      <w:r>
        <w:rPr>
          <w:sz w:val="22"/>
        </w:rPr>
        <w:t>SL,</w:t>
      </w:r>
      <w:r>
        <w:rPr>
          <w:spacing w:val="40"/>
          <w:sz w:val="22"/>
        </w:rPr>
        <w:t> </w:t>
      </w:r>
      <w:r>
        <w:rPr>
          <w:sz w:val="22"/>
        </w:rPr>
        <w:t>Donath</w:t>
      </w:r>
      <w:r>
        <w:rPr>
          <w:spacing w:val="40"/>
          <w:sz w:val="22"/>
        </w:rPr>
        <w:t> </w:t>
      </w:r>
      <w:r>
        <w:rPr>
          <w:sz w:val="22"/>
        </w:rPr>
        <w:t>S,</w:t>
      </w:r>
      <w:r>
        <w:rPr>
          <w:spacing w:val="40"/>
          <w:sz w:val="22"/>
        </w:rPr>
        <w:t> </w:t>
      </w:r>
      <w:r>
        <w:rPr>
          <w:sz w:val="22"/>
        </w:rPr>
        <w:t>Bell</w:t>
      </w:r>
      <w:r>
        <w:rPr>
          <w:spacing w:val="40"/>
          <w:sz w:val="22"/>
        </w:rPr>
        <w:t> </w:t>
      </w:r>
      <w:r>
        <w:rPr>
          <w:sz w:val="22"/>
        </w:rPr>
        <w:t>RJ.</w:t>
      </w:r>
      <w:r>
        <w:rPr>
          <w:spacing w:val="40"/>
          <w:sz w:val="22"/>
        </w:rPr>
        <w:t> </w:t>
      </w:r>
      <w:r>
        <w:rPr>
          <w:sz w:val="22"/>
        </w:rPr>
        <w:t>Circulating</w:t>
      </w:r>
      <w:r>
        <w:rPr>
          <w:spacing w:val="40"/>
          <w:sz w:val="22"/>
        </w:rPr>
        <w:t> </w:t>
      </w:r>
      <w:r>
        <w:rPr>
          <w:sz w:val="22"/>
        </w:rPr>
        <w:t>androgen</w:t>
      </w:r>
      <w:r>
        <w:rPr>
          <w:spacing w:val="40"/>
          <w:sz w:val="22"/>
        </w:rPr>
        <w:t> </w:t>
      </w:r>
      <w:r>
        <w:rPr>
          <w:sz w:val="22"/>
        </w:rPr>
        <w:t>levels</w:t>
      </w:r>
      <w:r>
        <w:rPr>
          <w:spacing w:val="40"/>
          <w:sz w:val="22"/>
        </w:rPr>
        <w:t> </w:t>
      </w:r>
      <w:r>
        <w:rPr>
          <w:sz w:val="22"/>
        </w:rPr>
        <w:t>and</w:t>
      </w:r>
      <w:r>
        <w:rPr>
          <w:spacing w:val="40"/>
          <w:sz w:val="22"/>
        </w:rPr>
        <w:t> </w:t>
      </w:r>
      <w:r>
        <w:rPr>
          <w:sz w:val="22"/>
        </w:rPr>
        <w:t>self-</w:t>
      </w:r>
      <w:r>
        <w:rPr>
          <w:sz w:val="22"/>
        </w:rPr>
        <w:t>reported sexual function in women. </w:t>
      </w:r>
      <w:r>
        <w:rPr>
          <w:i/>
          <w:sz w:val="22"/>
        </w:rPr>
        <w:t>JAMA</w:t>
      </w:r>
      <w:r>
        <w:rPr>
          <w:sz w:val="22"/>
        </w:rPr>
        <w:t>. 2005;294:91.</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North American Menopause Society. The role of testosterone therapy in postmenopausal women: position statement of the North American Menopause Society. </w:t>
      </w:r>
      <w:r>
        <w:rPr>
          <w:i/>
          <w:sz w:val="22"/>
        </w:rPr>
        <w:t>Menopause</w:t>
      </w:r>
      <w:r>
        <w:rPr>
          <w:sz w:val="22"/>
        </w:rPr>
        <w:t>. 2005;12(5):496; quiz 649.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5" w:hanging="507"/>
        <w:jc w:val="both"/>
        <w:rPr>
          <w:sz w:val="22"/>
        </w:rPr>
      </w:pPr>
      <w:r>
        <w:rPr>
          <w:sz w:val="22"/>
        </w:rPr>
        <w:t>Fooladi E, Reuter SE, Bell RJ, Robinson PJ, Davis SR. Pharmacokinetics of a transdermal testosterone cream in healthy postmenopausal women. </w:t>
      </w:r>
      <w:r>
        <w:rPr>
          <w:i/>
          <w:sz w:val="22"/>
        </w:rPr>
        <w:t>Menopause</w:t>
      </w:r>
      <w:r>
        <w:rPr>
          <w:sz w:val="22"/>
        </w:rPr>
        <w:t>. 2015;22(1):44.</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avis</w:t>
      </w:r>
      <w:r>
        <w:rPr>
          <w:spacing w:val="40"/>
          <w:sz w:val="22"/>
        </w:rPr>
        <w:t> </w:t>
      </w:r>
      <w:r>
        <w:rPr>
          <w:sz w:val="22"/>
        </w:rPr>
        <w:t>SR,</w:t>
      </w:r>
      <w:r>
        <w:rPr>
          <w:spacing w:val="40"/>
          <w:sz w:val="22"/>
        </w:rPr>
        <w:t> </w:t>
      </w:r>
      <w:r>
        <w:rPr>
          <w:sz w:val="22"/>
        </w:rPr>
        <w:t>Baber</w:t>
      </w:r>
      <w:r>
        <w:rPr>
          <w:spacing w:val="40"/>
          <w:sz w:val="22"/>
        </w:rPr>
        <w:t> </w:t>
      </w:r>
      <w:r>
        <w:rPr>
          <w:sz w:val="22"/>
        </w:rPr>
        <w:t>R,</w:t>
      </w:r>
      <w:r>
        <w:rPr>
          <w:spacing w:val="40"/>
          <w:sz w:val="22"/>
        </w:rPr>
        <w:t> </w:t>
      </w:r>
      <w:r>
        <w:rPr>
          <w:sz w:val="22"/>
        </w:rPr>
        <w:t>Panay</w:t>
      </w:r>
      <w:r>
        <w:rPr>
          <w:spacing w:val="40"/>
          <w:sz w:val="22"/>
        </w:rPr>
        <w:t> </w:t>
      </w:r>
      <w:r>
        <w:rPr>
          <w:sz w:val="22"/>
        </w:rPr>
        <w:t>N,</w:t>
      </w:r>
      <w:r>
        <w:rPr>
          <w:spacing w:val="40"/>
          <w:sz w:val="22"/>
        </w:rPr>
        <w:t> </w:t>
      </w:r>
      <w:r>
        <w:rPr>
          <w:sz w:val="22"/>
        </w:rPr>
        <w:t>et</w:t>
      </w:r>
      <w:r>
        <w:rPr>
          <w:spacing w:val="40"/>
          <w:sz w:val="22"/>
        </w:rPr>
        <w:t> </w:t>
      </w:r>
      <w:r>
        <w:rPr>
          <w:sz w:val="22"/>
        </w:rPr>
        <w:t>al.</w:t>
      </w:r>
      <w:r>
        <w:rPr>
          <w:spacing w:val="40"/>
          <w:sz w:val="22"/>
        </w:rPr>
        <w:t> </w:t>
      </w:r>
      <w:r>
        <w:rPr>
          <w:sz w:val="22"/>
        </w:rPr>
        <w:t>Global</w:t>
      </w:r>
      <w:r>
        <w:rPr>
          <w:spacing w:val="40"/>
          <w:sz w:val="22"/>
        </w:rPr>
        <w:t> </w:t>
      </w:r>
      <w:r>
        <w:rPr>
          <w:sz w:val="22"/>
        </w:rPr>
        <w:t>consensus</w:t>
      </w:r>
      <w:r>
        <w:rPr>
          <w:spacing w:val="40"/>
          <w:sz w:val="22"/>
        </w:rPr>
        <w:t> </w:t>
      </w:r>
      <w:r>
        <w:rPr>
          <w:sz w:val="22"/>
        </w:rPr>
        <w:t>position</w:t>
      </w:r>
      <w:r>
        <w:rPr>
          <w:spacing w:val="40"/>
          <w:sz w:val="22"/>
        </w:rPr>
        <w:t> </w:t>
      </w:r>
      <w:r>
        <w:rPr>
          <w:sz w:val="22"/>
        </w:rPr>
        <w:t>statement</w:t>
      </w:r>
      <w:r>
        <w:rPr>
          <w:spacing w:val="40"/>
          <w:sz w:val="22"/>
        </w:rPr>
        <w:t> </w:t>
      </w:r>
      <w:r>
        <w:rPr>
          <w:sz w:val="22"/>
        </w:rPr>
        <w:t>on</w:t>
      </w:r>
      <w:r>
        <w:rPr>
          <w:spacing w:val="40"/>
          <w:sz w:val="22"/>
        </w:rPr>
        <w:t> </w:t>
      </w:r>
      <w:r>
        <w:rPr>
          <w:sz w:val="22"/>
        </w:rPr>
        <w:t>the</w:t>
      </w:r>
      <w:r>
        <w:rPr>
          <w:spacing w:val="40"/>
          <w:sz w:val="22"/>
        </w:rPr>
        <w:t> </w:t>
      </w:r>
      <w:r>
        <w:rPr>
          <w:sz w:val="22"/>
        </w:rPr>
        <w:t>use</w:t>
      </w:r>
      <w:r>
        <w:rPr>
          <w:spacing w:val="40"/>
          <w:sz w:val="22"/>
        </w:rPr>
        <w:t> </w:t>
      </w:r>
      <w:r>
        <w:rPr>
          <w:sz w:val="22"/>
        </w:rPr>
        <w:t>of testosterone therapy for women. </w:t>
      </w:r>
      <w:r>
        <w:rPr>
          <w:i/>
          <w:sz w:val="22"/>
        </w:rPr>
        <w:t>J Sex Med</w:t>
      </w:r>
      <w:r>
        <w:rPr>
          <w:sz w:val="22"/>
        </w:rPr>
        <w:t>. 2019;16(9):1331-1337.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Huang G, Tang E, Aakil A, et al. Testosterone dose-response relationships with </w:t>
      </w:r>
      <w:r>
        <w:rPr>
          <w:sz w:val="22"/>
        </w:rPr>
        <w:t>cardiovascular risk markers in androgen-deficient women: a randomized, placebo-controlled trial. </w:t>
      </w:r>
      <w:r>
        <w:rPr>
          <w:i/>
          <w:sz w:val="22"/>
        </w:rPr>
        <w:t>J Clin</w:t>
      </w:r>
      <w:r>
        <w:rPr>
          <w:i/>
          <w:sz w:val="22"/>
        </w:rPr>
        <w:t> Endocrinol Metab</w:t>
      </w:r>
      <w:r>
        <w:rPr>
          <w:sz w:val="22"/>
        </w:rPr>
        <w:t>. 2014;99(7):E1287.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Slayden</w:t>
      </w:r>
      <w:r>
        <w:rPr>
          <w:spacing w:val="20"/>
          <w:sz w:val="22"/>
        </w:rPr>
        <w:t> </w:t>
      </w:r>
      <w:r>
        <w:rPr>
          <w:sz w:val="22"/>
        </w:rPr>
        <w:t>SM,</w:t>
      </w:r>
      <w:r>
        <w:rPr>
          <w:spacing w:val="20"/>
          <w:sz w:val="22"/>
        </w:rPr>
        <w:t> </w:t>
      </w:r>
      <w:r>
        <w:rPr>
          <w:sz w:val="22"/>
        </w:rPr>
        <w:t>Crabbe</w:t>
      </w:r>
      <w:r>
        <w:rPr>
          <w:spacing w:val="20"/>
          <w:sz w:val="22"/>
        </w:rPr>
        <w:t> </w:t>
      </w:r>
      <w:r>
        <w:rPr>
          <w:sz w:val="22"/>
        </w:rPr>
        <w:t>L,</w:t>
      </w:r>
      <w:r>
        <w:rPr>
          <w:spacing w:val="20"/>
          <w:sz w:val="22"/>
        </w:rPr>
        <w:t> </w:t>
      </w:r>
      <w:r>
        <w:rPr>
          <w:sz w:val="22"/>
        </w:rPr>
        <w:t>Bae</w:t>
      </w:r>
      <w:r>
        <w:rPr>
          <w:spacing w:val="20"/>
          <w:sz w:val="22"/>
        </w:rPr>
        <w:t> </w:t>
      </w:r>
      <w:r>
        <w:rPr>
          <w:sz w:val="22"/>
        </w:rPr>
        <w:t>S,</w:t>
      </w:r>
      <w:r>
        <w:rPr>
          <w:spacing w:val="20"/>
          <w:sz w:val="22"/>
        </w:rPr>
        <w:t> </w:t>
      </w:r>
      <w:r>
        <w:rPr>
          <w:sz w:val="22"/>
        </w:rPr>
        <w:t>Potter</w:t>
      </w:r>
      <w:r>
        <w:rPr>
          <w:spacing w:val="20"/>
          <w:sz w:val="22"/>
        </w:rPr>
        <w:t> </w:t>
      </w:r>
      <w:r>
        <w:rPr>
          <w:sz w:val="22"/>
        </w:rPr>
        <w:t>HD,</w:t>
      </w:r>
      <w:r>
        <w:rPr>
          <w:spacing w:val="20"/>
          <w:sz w:val="22"/>
        </w:rPr>
        <w:t> </w:t>
      </w:r>
      <w:r>
        <w:rPr>
          <w:sz w:val="22"/>
        </w:rPr>
        <w:t>Azziz</w:t>
      </w:r>
      <w:r>
        <w:rPr>
          <w:spacing w:val="20"/>
          <w:sz w:val="22"/>
        </w:rPr>
        <w:t> </w:t>
      </w:r>
      <w:r>
        <w:rPr>
          <w:sz w:val="22"/>
        </w:rPr>
        <w:t>R,</w:t>
      </w:r>
      <w:r>
        <w:rPr>
          <w:spacing w:val="20"/>
          <w:sz w:val="22"/>
        </w:rPr>
        <w:t> </w:t>
      </w:r>
      <w:r>
        <w:rPr>
          <w:sz w:val="22"/>
        </w:rPr>
        <w:t>Parker</w:t>
      </w:r>
      <w:r>
        <w:rPr>
          <w:spacing w:val="20"/>
          <w:sz w:val="22"/>
        </w:rPr>
        <w:t> </w:t>
      </w:r>
      <w:r>
        <w:rPr>
          <w:sz w:val="22"/>
        </w:rPr>
        <w:t>CR</w:t>
      </w:r>
      <w:r>
        <w:rPr>
          <w:spacing w:val="20"/>
          <w:sz w:val="22"/>
        </w:rPr>
        <w:t> </w:t>
      </w:r>
      <w:r>
        <w:rPr>
          <w:sz w:val="22"/>
        </w:rPr>
        <w:t>Jr.</w:t>
      </w:r>
      <w:r>
        <w:rPr>
          <w:spacing w:val="20"/>
          <w:sz w:val="22"/>
        </w:rPr>
        <w:t> </w:t>
      </w:r>
      <w:r>
        <w:rPr>
          <w:sz w:val="22"/>
        </w:rPr>
        <w:t>The</w:t>
      </w:r>
      <w:r>
        <w:rPr>
          <w:spacing w:val="19"/>
          <w:sz w:val="22"/>
        </w:rPr>
        <w:t> </w:t>
      </w:r>
      <w:r>
        <w:rPr>
          <w:sz w:val="22"/>
        </w:rPr>
        <w:t>effect</w:t>
      </w:r>
      <w:r>
        <w:rPr>
          <w:spacing w:val="19"/>
          <w:sz w:val="22"/>
        </w:rPr>
        <w:t> </w:t>
      </w:r>
      <w:r>
        <w:rPr>
          <w:sz w:val="22"/>
        </w:rPr>
        <w:t>of</w:t>
      </w:r>
      <w:r>
        <w:rPr>
          <w:spacing w:val="19"/>
          <w:sz w:val="22"/>
        </w:rPr>
        <w:t> </w:t>
      </w:r>
      <w:r>
        <w:rPr>
          <w:sz w:val="22"/>
        </w:rPr>
        <w:t>17b-estradiol on</w:t>
      </w:r>
      <w:r>
        <w:rPr>
          <w:spacing w:val="35"/>
          <w:sz w:val="22"/>
        </w:rPr>
        <w:t> </w:t>
      </w:r>
      <w:r>
        <w:rPr>
          <w:sz w:val="22"/>
        </w:rPr>
        <w:t>adrenocortical</w:t>
      </w:r>
      <w:r>
        <w:rPr>
          <w:spacing w:val="35"/>
          <w:sz w:val="22"/>
        </w:rPr>
        <w:t> </w:t>
      </w:r>
      <w:r>
        <w:rPr>
          <w:sz w:val="22"/>
        </w:rPr>
        <w:t>sensitivity,</w:t>
      </w:r>
      <w:r>
        <w:rPr>
          <w:spacing w:val="35"/>
          <w:sz w:val="22"/>
        </w:rPr>
        <w:t> </w:t>
      </w:r>
      <w:r>
        <w:rPr>
          <w:sz w:val="22"/>
        </w:rPr>
        <w:t>responsiveness,</w:t>
      </w:r>
      <w:r>
        <w:rPr>
          <w:spacing w:val="35"/>
          <w:sz w:val="22"/>
        </w:rPr>
        <w:t> </w:t>
      </w:r>
      <w:r>
        <w:rPr>
          <w:sz w:val="22"/>
        </w:rPr>
        <w:t>and</w:t>
      </w:r>
      <w:r>
        <w:rPr>
          <w:spacing w:val="35"/>
          <w:sz w:val="22"/>
        </w:rPr>
        <w:t> </w:t>
      </w:r>
      <w:r>
        <w:rPr>
          <w:sz w:val="22"/>
        </w:rPr>
        <w:t>steroidogenesis</w:t>
      </w:r>
      <w:r>
        <w:rPr>
          <w:spacing w:val="35"/>
          <w:sz w:val="22"/>
        </w:rPr>
        <w:t> </w:t>
      </w:r>
      <w:r>
        <w:rPr>
          <w:sz w:val="22"/>
        </w:rPr>
        <w:t>in</w:t>
      </w:r>
      <w:r>
        <w:rPr>
          <w:spacing w:val="35"/>
          <w:sz w:val="22"/>
        </w:rPr>
        <w:t> </w:t>
      </w:r>
      <w:r>
        <w:rPr>
          <w:sz w:val="22"/>
        </w:rPr>
        <w:t>postmenopausal</w:t>
      </w:r>
      <w:r>
        <w:rPr>
          <w:spacing w:val="35"/>
          <w:sz w:val="22"/>
        </w:rPr>
        <w:t> </w:t>
      </w:r>
      <w:r>
        <w:rPr>
          <w:sz w:val="22"/>
        </w:rPr>
        <w:t>women. </w:t>
      </w:r>
      <w:r>
        <w:rPr>
          <w:i/>
          <w:sz w:val="22"/>
        </w:rPr>
        <w:t>J Clin Endocrinol Metab</w:t>
      </w:r>
      <w:r>
        <w:rPr>
          <w:sz w:val="22"/>
        </w:rPr>
        <w:t>. 1998;83:519.</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Baulieu</w:t>
      </w:r>
      <w:r>
        <w:rPr>
          <w:spacing w:val="40"/>
          <w:sz w:val="22"/>
        </w:rPr>
        <w:t> </w:t>
      </w:r>
      <w:r>
        <w:rPr>
          <w:sz w:val="22"/>
        </w:rPr>
        <w:t>EE,</w:t>
      </w:r>
      <w:r>
        <w:rPr>
          <w:spacing w:val="40"/>
          <w:sz w:val="22"/>
        </w:rPr>
        <w:t> </w:t>
      </w:r>
      <w:r>
        <w:rPr>
          <w:sz w:val="22"/>
        </w:rPr>
        <w:t>Thomas</w:t>
      </w:r>
      <w:r>
        <w:rPr>
          <w:spacing w:val="40"/>
          <w:sz w:val="22"/>
        </w:rPr>
        <w:t> </w:t>
      </w:r>
      <w:r>
        <w:rPr>
          <w:sz w:val="22"/>
        </w:rPr>
        <w:t>G,</w:t>
      </w:r>
      <w:r>
        <w:rPr>
          <w:spacing w:val="40"/>
          <w:sz w:val="22"/>
        </w:rPr>
        <w:t> </w:t>
      </w:r>
      <w:r>
        <w:rPr>
          <w:sz w:val="22"/>
        </w:rPr>
        <w:t>Legrain</w:t>
      </w:r>
      <w:r>
        <w:rPr>
          <w:spacing w:val="40"/>
          <w:sz w:val="22"/>
        </w:rPr>
        <w:t> </w:t>
      </w:r>
      <w:r>
        <w:rPr>
          <w:sz w:val="22"/>
        </w:rPr>
        <w:t>S,</w:t>
      </w:r>
      <w:r>
        <w:rPr>
          <w:spacing w:val="40"/>
          <w:sz w:val="22"/>
        </w:rPr>
        <w:t> </w:t>
      </w:r>
      <w:r>
        <w:rPr>
          <w:sz w:val="22"/>
        </w:rPr>
        <w:t>et</w:t>
      </w:r>
      <w:r>
        <w:rPr>
          <w:spacing w:val="40"/>
          <w:sz w:val="22"/>
        </w:rPr>
        <w:t> </w:t>
      </w:r>
      <w:r>
        <w:rPr>
          <w:sz w:val="22"/>
        </w:rPr>
        <w:t>al.</w:t>
      </w:r>
      <w:r>
        <w:rPr>
          <w:spacing w:val="40"/>
          <w:sz w:val="22"/>
        </w:rPr>
        <w:t> </w:t>
      </w:r>
      <w:r>
        <w:rPr>
          <w:sz w:val="22"/>
        </w:rPr>
        <w:t>Dehydroepiandrosterone</w:t>
      </w:r>
      <w:r>
        <w:rPr>
          <w:spacing w:val="40"/>
          <w:sz w:val="22"/>
        </w:rPr>
        <w:t> </w:t>
      </w:r>
      <w:r>
        <w:rPr>
          <w:sz w:val="22"/>
        </w:rPr>
        <w:t>(DHEA),</w:t>
      </w:r>
      <w:r>
        <w:rPr>
          <w:spacing w:val="40"/>
          <w:sz w:val="22"/>
        </w:rPr>
        <w:t> </w:t>
      </w:r>
      <w:r>
        <w:rPr>
          <w:sz w:val="22"/>
        </w:rPr>
        <w:t>DHEA</w:t>
      </w:r>
      <w:r>
        <w:rPr>
          <w:spacing w:val="40"/>
          <w:sz w:val="22"/>
        </w:rPr>
        <w:t> </w:t>
      </w:r>
      <w:r>
        <w:rPr>
          <w:sz w:val="22"/>
        </w:rPr>
        <w:t>sulfate, and</w:t>
      </w:r>
      <w:r>
        <w:rPr>
          <w:spacing w:val="18"/>
          <w:sz w:val="22"/>
        </w:rPr>
        <w:t> </w:t>
      </w:r>
      <w:r>
        <w:rPr>
          <w:sz w:val="22"/>
        </w:rPr>
        <w:t>aging:</w:t>
      </w:r>
      <w:r>
        <w:rPr>
          <w:spacing w:val="18"/>
          <w:sz w:val="22"/>
        </w:rPr>
        <w:t> </w:t>
      </w:r>
      <w:r>
        <w:rPr>
          <w:sz w:val="22"/>
        </w:rPr>
        <w:t>contribution</w:t>
      </w:r>
      <w:r>
        <w:rPr>
          <w:spacing w:val="18"/>
          <w:sz w:val="22"/>
        </w:rPr>
        <w:t> </w:t>
      </w:r>
      <w:r>
        <w:rPr>
          <w:sz w:val="22"/>
        </w:rPr>
        <w:t>of</w:t>
      </w:r>
      <w:r>
        <w:rPr>
          <w:spacing w:val="18"/>
          <w:sz w:val="22"/>
        </w:rPr>
        <w:t> </w:t>
      </w:r>
      <w:r>
        <w:rPr>
          <w:sz w:val="22"/>
        </w:rPr>
        <w:t>the</w:t>
      </w:r>
      <w:r>
        <w:rPr>
          <w:spacing w:val="18"/>
          <w:sz w:val="22"/>
        </w:rPr>
        <w:t> </w:t>
      </w:r>
      <w:r>
        <w:rPr>
          <w:sz w:val="22"/>
        </w:rPr>
        <w:t>DHEAge</w:t>
      </w:r>
      <w:r>
        <w:rPr>
          <w:spacing w:val="18"/>
          <w:sz w:val="22"/>
        </w:rPr>
        <w:t> </w:t>
      </w:r>
      <w:r>
        <w:rPr>
          <w:sz w:val="22"/>
        </w:rPr>
        <w:t>Study</w:t>
      </w:r>
      <w:r>
        <w:rPr>
          <w:spacing w:val="18"/>
          <w:sz w:val="22"/>
        </w:rPr>
        <w:t> </w:t>
      </w:r>
      <w:r>
        <w:rPr>
          <w:sz w:val="22"/>
        </w:rPr>
        <w:t>to</w:t>
      </w:r>
      <w:r>
        <w:rPr>
          <w:spacing w:val="18"/>
          <w:sz w:val="22"/>
        </w:rPr>
        <w:t> </w:t>
      </w:r>
      <w:r>
        <w:rPr>
          <w:sz w:val="22"/>
        </w:rPr>
        <w:t>a</w:t>
      </w:r>
      <w:r>
        <w:rPr>
          <w:spacing w:val="18"/>
          <w:sz w:val="22"/>
        </w:rPr>
        <w:t> </w:t>
      </w:r>
      <w:r>
        <w:rPr>
          <w:sz w:val="22"/>
        </w:rPr>
        <w:t>sociobiomedical</w:t>
      </w:r>
      <w:r>
        <w:rPr>
          <w:spacing w:val="18"/>
          <w:sz w:val="22"/>
        </w:rPr>
        <w:t> </w:t>
      </w:r>
      <w:r>
        <w:rPr>
          <w:sz w:val="22"/>
        </w:rPr>
        <w:t>issue.</w:t>
      </w:r>
      <w:r>
        <w:rPr>
          <w:spacing w:val="18"/>
          <w:sz w:val="22"/>
        </w:rPr>
        <w:t> </w:t>
      </w:r>
      <w:r>
        <w:rPr>
          <w:i/>
          <w:sz w:val="22"/>
        </w:rPr>
        <w:t>Proc</w:t>
      </w:r>
      <w:r>
        <w:rPr>
          <w:i/>
          <w:spacing w:val="20"/>
          <w:sz w:val="22"/>
        </w:rPr>
        <w:t> </w:t>
      </w:r>
      <w:r>
        <w:rPr>
          <w:i/>
          <w:sz w:val="22"/>
        </w:rPr>
        <w:t>Natl</w:t>
      </w:r>
      <w:r>
        <w:rPr>
          <w:i/>
          <w:spacing w:val="20"/>
          <w:sz w:val="22"/>
        </w:rPr>
        <w:t> </w:t>
      </w:r>
      <w:r>
        <w:rPr>
          <w:i/>
          <w:sz w:val="22"/>
        </w:rPr>
        <w:t>Acad</w:t>
      </w:r>
      <w:r>
        <w:rPr>
          <w:i/>
          <w:spacing w:val="20"/>
          <w:sz w:val="22"/>
        </w:rPr>
        <w:t> </w:t>
      </w:r>
      <w:r>
        <w:rPr>
          <w:i/>
          <w:sz w:val="22"/>
        </w:rPr>
        <w:t>Sci</w:t>
      </w:r>
      <w:r>
        <w:rPr>
          <w:i/>
          <w:sz w:val="22"/>
        </w:rPr>
        <w:t> U S A</w:t>
      </w:r>
      <w:r>
        <w:rPr>
          <w:sz w:val="22"/>
        </w:rPr>
        <w:t>. 2000;97:4279.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Barnhart KT, Freeman E, Grisso JA, et al. The effect of dehydroepiandrosterone supplementation to symptomatic perimenopausal women on serum endocrine profiles, </w:t>
      </w:r>
      <w:r>
        <w:rPr>
          <w:sz w:val="22"/>
        </w:rPr>
        <w:t>lipid parameters, and health-related quality of life. </w:t>
      </w:r>
      <w:r>
        <w:rPr>
          <w:i/>
          <w:sz w:val="22"/>
        </w:rPr>
        <w:t>J Clin Endocrinol Metab</w:t>
      </w:r>
      <w:r>
        <w:rPr>
          <w:sz w:val="22"/>
        </w:rPr>
        <w:t>. 1999;84:3896.</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Hackbert L, Heiman JR. Acute dehydroepiandrosterone (DHEA) effects on sexual arousal </w:t>
      </w:r>
      <w:r>
        <w:rPr>
          <w:sz w:val="22"/>
        </w:rPr>
        <w:t>in postmenopausal women. </w:t>
      </w:r>
      <w:r>
        <w:rPr>
          <w:i/>
          <w:sz w:val="22"/>
        </w:rPr>
        <w:t>J Womens Health Gend Based Med</w:t>
      </w:r>
      <w:r>
        <w:rPr>
          <w:sz w:val="22"/>
        </w:rPr>
        <w:t>. 2002;11:155.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Johannes CB, Stellato RK, Feldman HA, Longcope C, McKinlay JB. Relation </w:t>
      </w:r>
      <w:r>
        <w:rPr>
          <w:sz w:val="22"/>
        </w:rPr>
        <w:t>of dehydroepiandrosterone and dehydroepiandrosterone sulfate with cardiovascular disease risk factors in women: longitudinal results from the Massachusetts Women’s Health Study. </w:t>
      </w:r>
      <w:r>
        <w:rPr>
          <w:i/>
          <w:sz w:val="22"/>
        </w:rPr>
        <w:t>J Clin</w:t>
      </w:r>
      <w:r>
        <w:rPr>
          <w:i/>
          <w:sz w:val="22"/>
        </w:rPr>
        <w:t> Epidemiol</w:t>
      </w:r>
      <w:r>
        <w:rPr>
          <w:sz w:val="22"/>
        </w:rPr>
        <w:t>. 1999;52:95.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Aarlt W, Haas J, Callies F, et al. Biotransformation of oral dehydroepiandrosterone in </w:t>
      </w:r>
      <w:r>
        <w:rPr>
          <w:sz w:val="22"/>
        </w:rPr>
        <w:t>elderly men: significant increase in circulating estrogens. </w:t>
      </w:r>
      <w:r>
        <w:rPr>
          <w:i/>
          <w:sz w:val="22"/>
        </w:rPr>
        <w:t>J Clin Endocrinol Metab</w:t>
      </w:r>
      <w:r>
        <w:rPr>
          <w:sz w:val="22"/>
        </w:rPr>
        <w:t>. 1999;84:2170.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Morales A, Nolan J, Nelson J, Yen SSC. Effects</w:t>
      </w:r>
      <w:r>
        <w:rPr>
          <w:spacing w:val="40"/>
          <w:sz w:val="22"/>
        </w:rPr>
        <w:t> </w:t>
      </w:r>
      <w:r>
        <w:rPr>
          <w:sz w:val="22"/>
        </w:rPr>
        <w:t>of</w:t>
      </w:r>
      <w:r>
        <w:rPr>
          <w:spacing w:val="40"/>
          <w:sz w:val="22"/>
        </w:rPr>
        <w:t> </w:t>
      </w:r>
      <w:r>
        <w:rPr>
          <w:sz w:val="22"/>
        </w:rPr>
        <w:t>replacement</w:t>
      </w:r>
      <w:r>
        <w:rPr>
          <w:spacing w:val="40"/>
          <w:sz w:val="22"/>
        </w:rPr>
        <w:t> </w:t>
      </w:r>
      <w:r>
        <w:rPr>
          <w:sz w:val="22"/>
        </w:rPr>
        <w:t>dose</w:t>
      </w:r>
      <w:r>
        <w:rPr>
          <w:spacing w:val="40"/>
          <w:sz w:val="22"/>
        </w:rPr>
        <w:t> </w:t>
      </w:r>
      <w:r>
        <w:rPr>
          <w:sz w:val="22"/>
        </w:rPr>
        <w:t>of dehydroepiandrosterone in men and women of advancing age. </w:t>
      </w:r>
      <w:r>
        <w:rPr>
          <w:i/>
          <w:sz w:val="22"/>
        </w:rPr>
        <w:t>J Clin Endocrinol Metab</w:t>
      </w:r>
      <w:r>
        <w:rPr>
          <w:sz w:val="22"/>
        </w:rPr>
        <w:t>. </w:t>
      </w:r>
      <w:r>
        <w:rPr>
          <w:spacing w:val="-2"/>
          <w:sz w:val="22"/>
        </w:rPr>
        <w:t>1994;78:1360.</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Casson PR, Santoro N, Elkind-Hirsch KE, et al. Postmenopausal dehydroepiandrosterone (DHEA) administration increases insulin-like growth factor-I (IGF-I) and decreases high</w:t>
      </w:r>
      <w:r>
        <w:rPr>
          <w:spacing w:val="80"/>
          <w:w w:val="150"/>
          <w:sz w:val="22"/>
        </w:rPr>
        <w:t> </w:t>
      </w:r>
      <w:r>
        <w:rPr>
          <w:sz w:val="22"/>
        </w:rPr>
        <w:t>density lipoprotein (HDL): a six month trial. </w:t>
      </w:r>
      <w:r>
        <w:rPr>
          <w:i/>
          <w:sz w:val="22"/>
        </w:rPr>
        <w:t>Fertil Steril</w:t>
      </w:r>
      <w:r>
        <w:rPr>
          <w:sz w:val="22"/>
        </w:rPr>
        <w:t>. 1998;70:107.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Thompson RD, Carlson M. Liquid chromatographic determination of </w:t>
      </w:r>
      <w:r>
        <w:rPr>
          <w:sz w:val="22"/>
        </w:rPr>
        <w:t>dehydroepiandrosterone (DHEA) in dietary supplement products. </w:t>
      </w:r>
      <w:r>
        <w:rPr>
          <w:i/>
          <w:sz w:val="22"/>
        </w:rPr>
        <w:t>J AOAC Int</w:t>
      </w:r>
      <w:r>
        <w:rPr>
          <w:sz w:val="22"/>
        </w:rPr>
        <w:t>. 2000;83:847.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Labrie F, Archer D, Bouchard C, et al. Intravaginal dehydroepiandrosterone (Prasterone), </w:t>
      </w:r>
      <w:r>
        <w:rPr>
          <w:sz w:val="22"/>
        </w:rPr>
        <w:t>the physiological and a highly efficient treatment of vaginal atrophy. </w:t>
      </w:r>
      <w:r>
        <w:rPr>
          <w:i/>
          <w:sz w:val="22"/>
        </w:rPr>
        <w:t>Menopause</w:t>
      </w:r>
      <w:r>
        <w:rPr>
          <w:sz w:val="22"/>
        </w:rPr>
        <w:t>. 2009;16:907.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Labrie F, Archer D, Bouchard C, et al. Serum steroid levels during 12-week </w:t>
      </w:r>
      <w:r>
        <w:rPr>
          <w:sz w:val="22"/>
        </w:rPr>
        <w:t>intravaginal dehydroepiandrosterone administration. </w:t>
      </w:r>
      <w:r>
        <w:rPr>
          <w:i/>
          <w:sz w:val="22"/>
        </w:rPr>
        <w:t>Menopause</w:t>
      </w:r>
      <w:r>
        <w:rPr>
          <w:sz w:val="22"/>
        </w:rPr>
        <w:t>. 2009;16:897.</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Labrie F, Cusan L, Gomez JL, et al. Effect of intravaginal DHEA on serum DHEA and eleven</w:t>
      </w:r>
      <w:r>
        <w:rPr>
          <w:spacing w:val="80"/>
          <w:sz w:val="22"/>
        </w:rPr>
        <w:t> </w:t>
      </w:r>
      <w:r>
        <w:rPr>
          <w:sz w:val="22"/>
        </w:rPr>
        <w:t>of its metabolites in postmenopausal women. </w:t>
      </w:r>
      <w:r>
        <w:rPr>
          <w:i/>
          <w:sz w:val="22"/>
        </w:rPr>
        <w:t>J Steroid Biochem Mol Biol</w:t>
      </w:r>
      <w:r>
        <w:rPr>
          <w:sz w:val="22"/>
        </w:rPr>
        <w:t>. 2009;111:178.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Labrie F, Archer D, Bouchard C, et al. Effect of intravaginal dehydroepiandrosterone (Prasterone) on libido and sexual dysfunction in postmenopausal women. </w:t>
      </w:r>
      <w:r>
        <w:rPr>
          <w:i/>
          <w:sz w:val="22"/>
        </w:rPr>
        <w:t>Menopause</w:t>
      </w:r>
      <w:r>
        <w:rPr>
          <w:sz w:val="22"/>
        </w:rPr>
        <w:t>. </w:t>
      </w:r>
      <w:r>
        <w:rPr>
          <w:spacing w:val="-2"/>
          <w:sz w:val="22"/>
        </w:rPr>
        <w:t>2009;16:923.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Cobice DF, Mackay CL, Goodwin RJ, et al. Mass spectrometry imaging for dissecting steroid intracrinology within target tissues. </w:t>
      </w:r>
      <w:r>
        <w:rPr>
          <w:i/>
          <w:sz w:val="22"/>
        </w:rPr>
        <w:t>Anal Chem</w:t>
      </w:r>
      <w:r>
        <w:rPr>
          <w:sz w:val="22"/>
        </w:rPr>
        <w:t>. 2013;85(23):11576-11584.</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Archer DF, Labrie F, Montesino M, Martel C. Comparison of intravaginal 6.5 mg (0.50%) prasterone, 0.3 mg conjugated estrogens and 10 μg estradiol on symptoms of vulvovaginal atrophy. </w:t>
      </w:r>
      <w:r>
        <w:rPr>
          <w:i/>
          <w:sz w:val="22"/>
        </w:rPr>
        <w:t>J Steroid Biochem Mol Biol</w:t>
      </w:r>
      <w:r>
        <w:rPr>
          <w:sz w:val="22"/>
        </w:rPr>
        <w:t>. 2017;174:1.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Labrie</w:t>
      </w:r>
      <w:r>
        <w:rPr>
          <w:spacing w:val="40"/>
          <w:sz w:val="22"/>
        </w:rPr>
        <w:t> </w:t>
      </w:r>
      <w:r>
        <w:rPr>
          <w:sz w:val="22"/>
        </w:rPr>
        <w:t>F,</w:t>
      </w:r>
      <w:r>
        <w:rPr>
          <w:spacing w:val="40"/>
          <w:sz w:val="22"/>
        </w:rPr>
        <w:t> </w:t>
      </w:r>
      <w:r>
        <w:rPr>
          <w:sz w:val="22"/>
        </w:rPr>
        <w:t>Archer</w:t>
      </w:r>
      <w:r>
        <w:rPr>
          <w:spacing w:val="40"/>
          <w:sz w:val="22"/>
        </w:rPr>
        <w:t> </w:t>
      </w:r>
      <w:r>
        <w:rPr>
          <w:sz w:val="22"/>
        </w:rPr>
        <w:t>DF,</w:t>
      </w:r>
      <w:r>
        <w:rPr>
          <w:spacing w:val="40"/>
          <w:sz w:val="22"/>
        </w:rPr>
        <w:t> </w:t>
      </w:r>
      <w:r>
        <w:rPr>
          <w:sz w:val="22"/>
        </w:rPr>
        <w:t>Koltun</w:t>
      </w:r>
      <w:r>
        <w:rPr>
          <w:spacing w:val="40"/>
          <w:sz w:val="22"/>
        </w:rPr>
        <w:t> </w:t>
      </w:r>
      <w:r>
        <w:rPr>
          <w:sz w:val="22"/>
        </w:rPr>
        <w:t>W,</w:t>
      </w:r>
      <w:r>
        <w:rPr>
          <w:spacing w:val="40"/>
          <w:sz w:val="22"/>
        </w:rPr>
        <w:t> </w:t>
      </w:r>
      <w:r>
        <w:rPr>
          <w:sz w:val="22"/>
        </w:rPr>
        <w:t>et</w:t>
      </w:r>
      <w:r>
        <w:rPr>
          <w:spacing w:val="40"/>
          <w:sz w:val="22"/>
        </w:rPr>
        <w:t> </w:t>
      </w:r>
      <w:r>
        <w:rPr>
          <w:sz w:val="22"/>
        </w:rPr>
        <w:t>al.</w:t>
      </w:r>
      <w:r>
        <w:rPr>
          <w:spacing w:val="40"/>
          <w:sz w:val="22"/>
        </w:rPr>
        <w:t> </w:t>
      </w:r>
      <w:r>
        <w:rPr>
          <w:sz w:val="22"/>
        </w:rPr>
        <w:t>Efficacy</w:t>
      </w:r>
      <w:r>
        <w:rPr>
          <w:spacing w:val="40"/>
          <w:sz w:val="22"/>
        </w:rPr>
        <w:t> </w:t>
      </w:r>
      <w:r>
        <w:rPr>
          <w:sz w:val="22"/>
        </w:rPr>
        <w:t>of</w:t>
      </w:r>
      <w:r>
        <w:rPr>
          <w:spacing w:val="40"/>
          <w:sz w:val="22"/>
        </w:rPr>
        <w:t> </w:t>
      </w:r>
      <w:r>
        <w:rPr>
          <w:sz w:val="22"/>
        </w:rPr>
        <w:t>intravaginal</w:t>
      </w:r>
      <w:r>
        <w:rPr>
          <w:spacing w:val="40"/>
          <w:sz w:val="22"/>
        </w:rPr>
        <w:t> </w:t>
      </w:r>
      <w:r>
        <w:rPr>
          <w:sz w:val="22"/>
        </w:rPr>
        <w:t>dehydroepiandrosterone (DHEA)</w:t>
      </w:r>
      <w:r>
        <w:rPr>
          <w:spacing w:val="34"/>
          <w:sz w:val="22"/>
        </w:rPr>
        <w:t> </w:t>
      </w:r>
      <w:r>
        <w:rPr>
          <w:sz w:val="22"/>
        </w:rPr>
        <w:t>on</w:t>
      </w:r>
      <w:r>
        <w:rPr>
          <w:spacing w:val="34"/>
          <w:sz w:val="22"/>
        </w:rPr>
        <w:t> </w:t>
      </w:r>
      <w:r>
        <w:rPr>
          <w:sz w:val="22"/>
        </w:rPr>
        <w:t>moderate</w:t>
      </w:r>
      <w:r>
        <w:rPr>
          <w:spacing w:val="34"/>
          <w:sz w:val="22"/>
        </w:rPr>
        <w:t> </w:t>
      </w:r>
      <w:r>
        <w:rPr>
          <w:sz w:val="22"/>
        </w:rPr>
        <w:t>to</w:t>
      </w:r>
      <w:r>
        <w:rPr>
          <w:spacing w:val="34"/>
          <w:sz w:val="22"/>
        </w:rPr>
        <w:t> </w:t>
      </w:r>
      <w:r>
        <w:rPr>
          <w:sz w:val="22"/>
        </w:rPr>
        <w:t>severe</w:t>
      </w:r>
      <w:r>
        <w:rPr>
          <w:spacing w:val="34"/>
          <w:sz w:val="22"/>
        </w:rPr>
        <w:t> </w:t>
      </w:r>
      <w:r>
        <w:rPr>
          <w:sz w:val="22"/>
        </w:rPr>
        <w:t>dyspareunia</w:t>
      </w:r>
      <w:r>
        <w:rPr>
          <w:spacing w:val="34"/>
          <w:sz w:val="22"/>
        </w:rPr>
        <w:t> </w:t>
      </w:r>
      <w:r>
        <w:rPr>
          <w:sz w:val="22"/>
        </w:rPr>
        <w:t>and</w:t>
      </w:r>
      <w:r>
        <w:rPr>
          <w:spacing w:val="34"/>
          <w:sz w:val="22"/>
        </w:rPr>
        <w:t> </w:t>
      </w:r>
      <w:r>
        <w:rPr>
          <w:sz w:val="22"/>
        </w:rPr>
        <w:t>vaginal</w:t>
      </w:r>
      <w:r>
        <w:rPr>
          <w:spacing w:val="34"/>
          <w:sz w:val="22"/>
        </w:rPr>
        <w:t> </w:t>
      </w:r>
      <w:r>
        <w:rPr>
          <w:sz w:val="22"/>
        </w:rPr>
        <w:t>dryness,</w:t>
      </w:r>
      <w:r>
        <w:rPr>
          <w:spacing w:val="34"/>
          <w:sz w:val="22"/>
        </w:rPr>
        <w:t> </w:t>
      </w:r>
      <w:r>
        <w:rPr>
          <w:sz w:val="22"/>
        </w:rPr>
        <w:t>symptoms</w:t>
      </w:r>
      <w:r>
        <w:rPr>
          <w:spacing w:val="34"/>
          <w:sz w:val="22"/>
        </w:rPr>
        <w:t> </w:t>
      </w:r>
      <w:r>
        <w:rPr>
          <w:sz w:val="22"/>
        </w:rPr>
        <w:t>of</w:t>
      </w:r>
      <w:r>
        <w:rPr>
          <w:spacing w:val="34"/>
          <w:sz w:val="22"/>
        </w:rPr>
        <w:t> </w:t>
      </w:r>
      <w:r>
        <w:rPr>
          <w:sz w:val="22"/>
        </w:rPr>
        <w:t>vulvovaginal</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atrophy,</w:t>
      </w:r>
      <w:r>
        <w:rPr>
          <w:spacing w:val="12"/>
          <w:sz w:val="22"/>
        </w:rPr>
        <w:t> </w:t>
      </w:r>
      <w:r>
        <w:rPr>
          <w:sz w:val="22"/>
        </w:rPr>
        <w:t>and</w:t>
      </w:r>
      <w:r>
        <w:rPr>
          <w:spacing w:val="12"/>
          <w:sz w:val="22"/>
        </w:rPr>
        <w:t> </w:t>
      </w:r>
      <w:r>
        <w:rPr>
          <w:sz w:val="22"/>
        </w:rPr>
        <w:t>of</w:t>
      </w:r>
      <w:r>
        <w:rPr>
          <w:spacing w:val="12"/>
          <w:sz w:val="22"/>
        </w:rPr>
        <w:t> </w:t>
      </w:r>
      <w:r>
        <w:rPr>
          <w:sz w:val="22"/>
        </w:rPr>
        <w:t>the</w:t>
      </w:r>
      <w:r>
        <w:rPr>
          <w:spacing w:val="12"/>
          <w:sz w:val="22"/>
        </w:rPr>
        <w:t> </w:t>
      </w:r>
      <w:r>
        <w:rPr>
          <w:sz w:val="22"/>
        </w:rPr>
        <w:t>genitourinary</w:t>
      </w:r>
      <w:r>
        <w:rPr>
          <w:spacing w:val="13"/>
          <w:sz w:val="22"/>
        </w:rPr>
        <w:t> </w:t>
      </w:r>
      <w:r>
        <w:rPr>
          <w:sz w:val="22"/>
        </w:rPr>
        <w:t>syndrome</w:t>
      </w:r>
      <w:r>
        <w:rPr>
          <w:spacing w:val="12"/>
          <w:sz w:val="22"/>
        </w:rPr>
        <w:t> </w:t>
      </w:r>
      <w:r>
        <w:rPr>
          <w:sz w:val="22"/>
        </w:rPr>
        <w:t>of</w:t>
      </w:r>
      <w:r>
        <w:rPr>
          <w:spacing w:val="12"/>
          <w:sz w:val="22"/>
        </w:rPr>
        <w:t> </w:t>
      </w:r>
      <w:r>
        <w:rPr>
          <w:sz w:val="22"/>
        </w:rPr>
        <w:t>menopause.</w:t>
      </w:r>
      <w:r>
        <w:rPr>
          <w:spacing w:val="12"/>
          <w:sz w:val="22"/>
        </w:rPr>
        <w:t> </w:t>
      </w:r>
      <w:r>
        <w:rPr>
          <w:i/>
          <w:sz w:val="22"/>
        </w:rPr>
        <w:t>Menopause</w:t>
      </w:r>
      <w:r>
        <w:rPr>
          <w:sz w:val="22"/>
        </w:rPr>
        <w:t>.</w:t>
      </w:r>
      <w:r>
        <w:rPr>
          <w:spacing w:val="12"/>
          <w:sz w:val="22"/>
        </w:rPr>
        <w:t> </w:t>
      </w:r>
      <w:r>
        <w:rPr>
          <w:spacing w:val="-2"/>
          <w:sz w:val="22"/>
        </w:rPr>
        <w:t>2016;23(3):243.</w:t>
      </w:r>
    </w:p>
    <w:p>
      <w:pPr>
        <w:pStyle w:val="ListParagraph"/>
        <w:numPr>
          <w:ilvl w:val="0"/>
          <w:numId w:val="19"/>
        </w:numPr>
        <w:tabs>
          <w:tab w:pos="709" w:val="left" w:leader="none"/>
          <w:tab w:pos="718" w:val="left" w:leader="none"/>
        </w:tabs>
        <w:spacing w:line="256" w:lineRule="auto" w:before="17" w:after="0"/>
        <w:ind w:left="718" w:right="106" w:hanging="507"/>
        <w:jc w:val="both"/>
        <w:rPr>
          <w:sz w:val="22"/>
        </w:rPr>
      </w:pPr>
      <w:r>
        <w:rPr>
          <w:sz w:val="22"/>
        </w:rPr>
        <w:t>Draper MW, Flowers DE, Huster WJ, Neild JA, Harper KD, Arnaud C. A controlled trial of raloxifene (LY139481) HCl: impact on bone turnover and serum lipid profile in </w:t>
      </w:r>
      <w:r>
        <w:rPr>
          <w:sz w:val="22"/>
        </w:rPr>
        <w:t>healthy postmenopausal women. </w:t>
      </w:r>
      <w:r>
        <w:rPr>
          <w:i/>
          <w:sz w:val="22"/>
        </w:rPr>
        <w:t>J Bone Miner Res</w:t>
      </w:r>
      <w:r>
        <w:rPr>
          <w:sz w:val="22"/>
        </w:rPr>
        <w:t>. 1996;11:835.</w:t>
      </w:r>
    </w:p>
    <w:p>
      <w:pPr>
        <w:pStyle w:val="ListParagraph"/>
        <w:numPr>
          <w:ilvl w:val="0"/>
          <w:numId w:val="19"/>
        </w:numPr>
        <w:tabs>
          <w:tab w:pos="699" w:val="left" w:leader="none"/>
          <w:tab w:pos="718" w:val="left" w:leader="none"/>
        </w:tabs>
        <w:spacing w:line="256" w:lineRule="auto" w:before="0" w:after="0"/>
        <w:ind w:left="718" w:right="104" w:hanging="507"/>
        <w:jc w:val="both"/>
        <w:rPr>
          <w:sz w:val="22"/>
        </w:rPr>
      </w:pPr>
      <w:r>
        <w:rPr>
          <w:sz w:val="22"/>
        </w:rPr>
        <w:t>Boss SM, Huster WJ, Neild JA, Glant MD, Eisenhut CC, Draper MW. Effects of raloxifene hydrochloride on the endometrium of postmenopausal women. </w:t>
      </w:r>
      <w:r>
        <w:rPr>
          <w:i/>
          <w:sz w:val="22"/>
        </w:rPr>
        <w:t>Am J Obstet Gynecol</w:t>
      </w:r>
      <w:r>
        <w:rPr>
          <w:sz w:val="22"/>
        </w:rPr>
        <w:t>. </w:t>
      </w:r>
      <w:r>
        <w:rPr>
          <w:spacing w:val="-2"/>
          <w:sz w:val="22"/>
        </w:rPr>
        <w:t>1997;177:1458.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Delmas PD, Bjarnason NH, Mitlak BH, et al. Effects of raloxifene on bone mineral density, serum cholesterol concentrations, and uterine endometrium in postmenopausal women. </w:t>
      </w:r>
      <w:r>
        <w:rPr>
          <w:i/>
          <w:sz w:val="22"/>
        </w:rPr>
        <w:t>N </w:t>
      </w:r>
      <w:r>
        <w:rPr>
          <w:i/>
          <w:sz w:val="22"/>
        </w:rPr>
        <w:t>Engl</w:t>
      </w:r>
      <w:r>
        <w:rPr>
          <w:i/>
          <w:spacing w:val="80"/>
          <w:sz w:val="22"/>
        </w:rPr>
        <w:t> </w:t>
      </w:r>
      <w:r>
        <w:rPr>
          <w:i/>
          <w:sz w:val="22"/>
        </w:rPr>
        <w:t>J Med</w:t>
      </w:r>
      <w:r>
        <w:rPr>
          <w:sz w:val="22"/>
        </w:rPr>
        <w:t>. 1997;337:1641.</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Walsh BW, Kuller LH, Wild RA, et al. Effects of raloxifene on serum lipids and coagulation factors in healthy postmenopausal women. </w:t>
      </w:r>
      <w:r>
        <w:rPr>
          <w:i/>
          <w:sz w:val="22"/>
        </w:rPr>
        <w:t>JAMA</w:t>
      </w:r>
      <w:r>
        <w:rPr>
          <w:sz w:val="22"/>
        </w:rPr>
        <w:t>. 1998;279:1445.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Delmas PD, Ensrud KE, Adachi JD, et al; Multiple Outcomes of Raloxifene Evaluation Investigators. Efficacy of raloxifene on vertebral fracture risk reduction in postmenopausal women with osteoporosis: four-year results from a randomized clinical trial. </w:t>
      </w:r>
      <w:r>
        <w:rPr>
          <w:i/>
          <w:sz w:val="22"/>
        </w:rPr>
        <w:t>J Clin </w:t>
      </w:r>
      <w:r>
        <w:rPr>
          <w:i/>
          <w:sz w:val="22"/>
        </w:rPr>
        <w:t>Endocrinol</w:t>
      </w:r>
      <w:r>
        <w:rPr>
          <w:i/>
          <w:sz w:val="22"/>
        </w:rPr>
        <w:t> Metab</w:t>
      </w:r>
      <w:r>
        <w:rPr>
          <w:sz w:val="22"/>
        </w:rPr>
        <w:t>. 2002;87:3609.</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Siris ES, Harris ST, Eastell R, et al. Skeletal effects of raloxifene after 8 years: results from the Continuing Outcomes Relevant to Evista (CORE) study. </w:t>
      </w:r>
      <w:r>
        <w:rPr>
          <w:i/>
          <w:sz w:val="22"/>
        </w:rPr>
        <w:t>J Bone Miner Res</w:t>
      </w:r>
      <w:r>
        <w:rPr>
          <w:sz w:val="22"/>
        </w:rPr>
        <w:t>. 2005;20:1514.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Cummings</w:t>
      </w:r>
      <w:r>
        <w:rPr>
          <w:spacing w:val="22"/>
          <w:sz w:val="22"/>
        </w:rPr>
        <w:t> </w:t>
      </w:r>
      <w:r>
        <w:rPr>
          <w:sz w:val="22"/>
        </w:rPr>
        <w:t>SR,</w:t>
      </w:r>
      <w:r>
        <w:rPr>
          <w:spacing w:val="22"/>
          <w:sz w:val="22"/>
        </w:rPr>
        <w:t> </w:t>
      </w:r>
      <w:r>
        <w:rPr>
          <w:sz w:val="22"/>
        </w:rPr>
        <w:t>Eckert</w:t>
      </w:r>
      <w:r>
        <w:rPr>
          <w:spacing w:val="22"/>
          <w:sz w:val="22"/>
        </w:rPr>
        <w:t> </w:t>
      </w:r>
      <w:r>
        <w:rPr>
          <w:sz w:val="22"/>
        </w:rPr>
        <w:t>S,</w:t>
      </w:r>
      <w:r>
        <w:rPr>
          <w:spacing w:val="22"/>
          <w:sz w:val="22"/>
        </w:rPr>
        <w:t> </w:t>
      </w:r>
      <w:r>
        <w:rPr>
          <w:sz w:val="22"/>
        </w:rPr>
        <w:t>Krueger</w:t>
      </w:r>
      <w:r>
        <w:rPr>
          <w:spacing w:val="22"/>
          <w:sz w:val="22"/>
        </w:rPr>
        <w:t> </w:t>
      </w:r>
      <w:r>
        <w:rPr>
          <w:sz w:val="22"/>
        </w:rPr>
        <w:t>KA,</w:t>
      </w:r>
      <w:r>
        <w:rPr>
          <w:spacing w:val="22"/>
          <w:sz w:val="22"/>
        </w:rPr>
        <w:t> </w:t>
      </w:r>
      <w:r>
        <w:rPr>
          <w:sz w:val="22"/>
        </w:rPr>
        <w:t>et</w:t>
      </w:r>
      <w:r>
        <w:rPr>
          <w:spacing w:val="22"/>
          <w:sz w:val="22"/>
        </w:rPr>
        <w:t> </w:t>
      </w:r>
      <w:r>
        <w:rPr>
          <w:sz w:val="22"/>
        </w:rPr>
        <w:t>al.</w:t>
      </w:r>
      <w:r>
        <w:rPr>
          <w:spacing w:val="22"/>
          <w:sz w:val="22"/>
        </w:rPr>
        <w:t> </w:t>
      </w:r>
      <w:r>
        <w:rPr>
          <w:sz w:val="22"/>
        </w:rPr>
        <w:t>The</w:t>
      </w:r>
      <w:r>
        <w:rPr>
          <w:spacing w:val="24"/>
          <w:sz w:val="22"/>
        </w:rPr>
        <w:t> </w:t>
      </w:r>
      <w:r>
        <w:rPr>
          <w:sz w:val="22"/>
        </w:rPr>
        <w:t>effect</w:t>
      </w:r>
      <w:r>
        <w:rPr>
          <w:spacing w:val="24"/>
          <w:sz w:val="22"/>
        </w:rPr>
        <w:t> </w:t>
      </w:r>
      <w:r>
        <w:rPr>
          <w:sz w:val="22"/>
        </w:rPr>
        <w:t>of</w:t>
      </w:r>
      <w:r>
        <w:rPr>
          <w:spacing w:val="24"/>
          <w:sz w:val="22"/>
        </w:rPr>
        <w:t> </w:t>
      </w:r>
      <w:r>
        <w:rPr>
          <w:sz w:val="22"/>
        </w:rPr>
        <w:t>raloxifene</w:t>
      </w:r>
      <w:r>
        <w:rPr>
          <w:spacing w:val="24"/>
          <w:sz w:val="22"/>
        </w:rPr>
        <w:t> </w:t>
      </w:r>
      <w:r>
        <w:rPr>
          <w:sz w:val="22"/>
        </w:rPr>
        <w:t>on</w:t>
      </w:r>
      <w:r>
        <w:rPr>
          <w:spacing w:val="24"/>
          <w:sz w:val="22"/>
        </w:rPr>
        <w:t> </w:t>
      </w:r>
      <w:r>
        <w:rPr>
          <w:sz w:val="22"/>
        </w:rPr>
        <w:t>risk</w:t>
      </w:r>
      <w:r>
        <w:rPr>
          <w:spacing w:val="24"/>
          <w:sz w:val="22"/>
        </w:rPr>
        <w:t> </w:t>
      </w:r>
      <w:r>
        <w:rPr>
          <w:sz w:val="22"/>
        </w:rPr>
        <w:t>of</w:t>
      </w:r>
      <w:r>
        <w:rPr>
          <w:spacing w:val="24"/>
          <w:sz w:val="22"/>
        </w:rPr>
        <w:t> </w:t>
      </w:r>
      <w:r>
        <w:rPr>
          <w:sz w:val="22"/>
        </w:rPr>
        <w:t>breast</w:t>
      </w:r>
      <w:r>
        <w:rPr>
          <w:spacing w:val="24"/>
          <w:sz w:val="22"/>
        </w:rPr>
        <w:t> </w:t>
      </w:r>
      <w:r>
        <w:rPr>
          <w:sz w:val="22"/>
        </w:rPr>
        <w:t>cancer in postmenopausal women: results from the MORE randomized trial. </w:t>
      </w:r>
      <w:r>
        <w:rPr>
          <w:i/>
          <w:sz w:val="22"/>
        </w:rPr>
        <w:t>JAMA</w:t>
      </w:r>
      <w:r>
        <w:rPr>
          <w:sz w:val="22"/>
        </w:rPr>
        <w:t>. 1999;281:2189.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Yaffe K, Krueger K, Sarkar S, et al. Cognitive function in postmenopausal women treated with raloxifene. </w:t>
      </w:r>
      <w:r>
        <w:rPr>
          <w:i/>
          <w:sz w:val="22"/>
        </w:rPr>
        <w:t>N Engl J Med</w:t>
      </w:r>
      <w:r>
        <w:rPr>
          <w:sz w:val="22"/>
        </w:rPr>
        <w:t>. 2001;344:1207.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Martino S, Cauley JA, Barrett-Connor E, et al. Continuing outcomes relevant to Evista: breast cancer incidence in postmenopausal osteoporotic women in a randomized trial of raloxifene. </w:t>
      </w:r>
      <w:r>
        <w:rPr>
          <w:i/>
          <w:sz w:val="22"/>
        </w:rPr>
        <w:t>J</w:t>
      </w:r>
      <w:r>
        <w:rPr>
          <w:i/>
          <w:sz w:val="22"/>
        </w:rPr>
        <w:t> Natl Cancer Inst</w:t>
      </w:r>
      <w:r>
        <w:rPr>
          <w:sz w:val="22"/>
        </w:rPr>
        <w:t>. 2004;96:1651.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Vogel VG, Costantino JP, Wickerham DL, et al; National Surgical Adjuvant Breast and Bowel Project. Effects</w:t>
      </w:r>
      <w:r>
        <w:rPr>
          <w:spacing w:val="40"/>
          <w:sz w:val="22"/>
        </w:rPr>
        <w:t> </w:t>
      </w:r>
      <w:r>
        <w:rPr>
          <w:sz w:val="22"/>
        </w:rPr>
        <w:t>of</w:t>
      </w:r>
      <w:r>
        <w:rPr>
          <w:spacing w:val="40"/>
          <w:sz w:val="22"/>
        </w:rPr>
        <w:t> </w:t>
      </w:r>
      <w:r>
        <w:rPr>
          <w:sz w:val="22"/>
        </w:rPr>
        <w:t>tamoxifen</w:t>
      </w:r>
      <w:r>
        <w:rPr>
          <w:spacing w:val="40"/>
          <w:sz w:val="22"/>
        </w:rPr>
        <w:t> </w:t>
      </w:r>
      <w:r>
        <w:rPr>
          <w:sz w:val="22"/>
        </w:rPr>
        <w:t>vs</w:t>
      </w:r>
      <w:r>
        <w:rPr>
          <w:spacing w:val="40"/>
          <w:sz w:val="22"/>
        </w:rPr>
        <w:t> </w:t>
      </w:r>
      <w:r>
        <w:rPr>
          <w:sz w:val="22"/>
        </w:rPr>
        <w:t>raloxifene</w:t>
      </w:r>
      <w:r>
        <w:rPr>
          <w:spacing w:val="40"/>
          <w:sz w:val="22"/>
        </w:rPr>
        <w:t> </w:t>
      </w:r>
      <w:r>
        <w:rPr>
          <w:sz w:val="22"/>
        </w:rPr>
        <w:t>on</w:t>
      </w:r>
      <w:r>
        <w:rPr>
          <w:spacing w:val="40"/>
          <w:sz w:val="22"/>
        </w:rPr>
        <w:t> </w:t>
      </w:r>
      <w:r>
        <w:rPr>
          <w:sz w:val="22"/>
        </w:rPr>
        <w:t>the</w:t>
      </w:r>
      <w:r>
        <w:rPr>
          <w:spacing w:val="40"/>
          <w:sz w:val="22"/>
        </w:rPr>
        <w:t> </w:t>
      </w:r>
      <w:r>
        <w:rPr>
          <w:sz w:val="22"/>
        </w:rPr>
        <w:t>risk</w:t>
      </w:r>
      <w:r>
        <w:rPr>
          <w:spacing w:val="40"/>
          <w:sz w:val="22"/>
        </w:rPr>
        <w:t> </w:t>
      </w:r>
      <w:r>
        <w:rPr>
          <w:sz w:val="22"/>
        </w:rPr>
        <w:t>of</w:t>
      </w:r>
      <w:r>
        <w:rPr>
          <w:spacing w:val="40"/>
          <w:sz w:val="22"/>
        </w:rPr>
        <w:t> </w:t>
      </w:r>
      <w:r>
        <w:rPr>
          <w:sz w:val="22"/>
        </w:rPr>
        <w:t>developing</w:t>
      </w:r>
      <w:r>
        <w:rPr>
          <w:spacing w:val="40"/>
          <w:sz w:val="22"/>
        </w:rPr>
        <w:t> </w:t>
      </w:r>
      <w:r>
        <w:rPr>
          <w:sz w:val="22"/>
        </w:rPr>
        <w:t>invasive</w:t>
      </w:r>
      <w:r>
        <w:rPr>
          <w:spacing w:val="40"/>
          <w:sz w:val="22"/>
        </w:rPr>
        <w:t> </w:t>
      </w:r>
      <w:r>
        <w:rPr>
          <w:sz w:val="22"/>
        </w:rPr>
        <w:t>breast</w:t>
      </w:r>
      <w:r>
        <w:rPr>
          <w:spacing w:val="40"/>
          <w:sz w:val="22"/>
        </w:rPr>
        <w:t> </w:t>
      </w:r>
      <w:r>
        <w:rPr>
          <w:sz w:val="22"/>
        </w:rPr>
        <w:t>cancer and other disease outcomes: the NSABP Study of Tamoxifen and Raloxifene (STAR) P-2 trial. </w:t>
      </w:r>
      <w:r>
        <w:rPr>
          <w:i/>
          <w:sz w:val="22"/>
        </w:rPr>
        <w:t>JAMA</w:t>
      </w:r>
      <w:r>
        <w:rPr>
          <w:sz w:val="22"/>
        </w:rPr>
        <w:t>. 2006;295:2727.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Fisher B, Costantiho JP, Wickerham DL, et al. Tamoxifen for the prevention of breast cancer: current status of the National Surgical Adjuvant Breast and Bowel Project P-1 study. </w:t>
      </w:r>
      <w:r>
        <w:rPr>
          <w:i/>
          <w:sz w:val="22"/>
        </w:rPr>
        <w:t>J </w:t>
      </w:r>
      <w:r>
        <w:rPr>
          <w:i/>
          <w:sz w:val="22"/>
        </w:rPr>
        <w:t>Natl</w:t>
      </w:r>
      <w:r>
        <w:rPr>
          <w:i/>
          <w:sz w:val="22"/>
        </w:rPr>
        <w:t> Cancer Inst</w:t>
      </w:r>
      <w:r>
        <w:rPr>
          <w:sz w:val="22"/>
        </w:rPr>
        <w:t>. 2005;97:1652.</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Fisher B, Costantino JP, Wickerham DL, et al. Tamoxifen for prevention of breast cancer:</w:t>
      </w:r>
      <w:r>
        <w:rPr>
          <w:spacing w:val="80"/>
          <w:sz w:val="22"/>
        </w:rPr>
        <w:t> </w:t>
      </w:r>
      <w:r>
        <w:rPr>
          <w:sz w:val="22"/>
        </w:rPr>
        <w:t>report of the National Surgical Adjuvant Breast and Bowel Project P-1 study. </w:t>
      </w:r>
      <w:r>
        <w:rPr>
          <w:i/>
          <w:sz w:val="22"/>
        </w:rPr>
        <w:t>J Natl Cancer</w:t>
      </w:r>
      <w:r>
        <w:rPr>
          <w:i/>
          <w:spacing w:val="80"/>
          <w:sz w:val="22"/>
        </w:rPr>
        <w:t> </w:t>
      </w:r>
      <w:r>
        <w:rPr>
          <w:i/>
          <w:sz w:val="22"/>
        </w:rPr>
        <w:t>Inst</w:t>
      </w:r>
      <w:r>
        <w:rPr>
          <w:sz w:val="22"/>
        </w:rPr>
        <w:t>. 1998;90:1371.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Clarkson TB, Anthony MS, Jerome CP. Lack of effect of raloxifene on coronary </w:t>
      </w:r>
      <w:r>
        <w:rPr>
          <w:sz w:val="22"/>
        </w:rPr>
        <w:t>artery atherosclerosis of postmenopausal monkeys. </w:t>
      </w:r>
      <w:r>
        <w:rPr>
          <w:i/>
          <w:sz w:val="22"/>
        </w:rPr>
        <w:t>J Clin Endocrinol Metab</w:t>
      </w:r>
      <w:r>
        <w:rPr>
          <w:sz w:val="22"/>
        </w:rPr>
        <w:t>. 1998;83:721.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Barrett-Connor E, Mosca L, Collins P, et al. Raloxifene Use for the Heart (RUTH) trial investigators: effects of raloxifene on cardiovascular events and breast cancer in</w:t>
      </w:r>
      <w:r>
        <w:rPr>
          <w:spacing w:val="80"/>
          <w:sz w:val="22"/>
        </w:rPr>
        <w:t> </w:t>
      </w:r>
      <w:r>
        <w:rPr>
          <w:sz w:val="22"/>
        </w:rPr>
        <w:t>postmenopausal women. </w:t>
      </w:r>
      <w:r>
        <w:rPr>
          <w:i/>
          <w:sz w:val="22"/>
        </w:rPr>
        <w:t>N Engl J Med</w:t>
      </w:r>
      <w:r>
        <w:rPr>
          <w:sz w:val="22"/>
        </w:rPr>
        <w:t>. 2006;355:125.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Collins P, Mosca L, Geiger MJ, et al. Effects of the selective estrogen receptor modulator raloxifene on coronary outcomes in the Raloxifene Use for the Heart trial: results of subgroup analyses by age and other factors. </w:t>
      </w:r>
      <w:r>
        <w:rPr>
          <w:i/>
          <w:sz w:val="22"/>
        </w:rPr>
        <w:t>Circulation</w:t>
      </w:r>
      <w:r>
        <w:rPr>
          <w:sz w:val="22"/>
        </w:rPr>
        <w:t>. 2009;119:922.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Lilue M, Palacios S, Del Carmen Pingarr6n Santofimia M. Experience with ospemifene in patients with vulvar and vaginal atrophy and a history of breast cancer: case studies. </w:t>
      </w:r>
      <w:r>
        <w:rPr>
          <w:i/>
          <w:sz w:val="22"/>
        </w:rPr>
        <w:t>Drugs</w:t>
      </w:r>
      <w:r>
        <w:rPr>
          <w:i/>
          <w:sz w:val="22"/>
        </w:rPr>
        <w:t> Context</w:t>
      </w:r>
      <w:r>
        <w:rPr>
          <w:sz w:val="22"/>
        </w:rPr>
        <w:t>. 2020;9:2020-3-4.</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Gennari L, Merlotti D, Valleggi F, Nuti R. Ospemifene use in postmenopausal women. </w:t>
      </w:r>
      <w:r>
        <w:rPr>
          <w:i/>
          <w:sz w:val="22"/>
        </w:rPr>
        <w:t>Expert</w:t>
      </w:r>
      <w:r>
        <w:rPr>
          <w:i/>
          <w:sz w:val="22"/>
        </w:rPr>
        <w:t> Opin Investig Drugs</w:t>
      </w:r>
      <w:r>
        <w:rPr>
          <w:sz w:val="22"/>
        </w:rPr>
        <w:t>. 2009;18:839.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2" w:hanging="507"/>
        <w:jc w:val="both"/>
        <w:rPr>
          <w:sz w:val="22"/>
        </w:rPr>
      </w:pPr>
      <w:r>
        <w:rPr>
          <w:sz w:val="22"/>
        </w:rPr>
        <w:t>Simon JA, Altomare C, Cort S, Jiang W, Pinkerton JV. Overall safety of ospemifene in postmenopausal women from placebo-controlled phase 2 and 3 trials. </w:t>
      </w:r>
      <w:r>
        <w:rPr>
          <w:i/>
          <w:sz w:val="22"/>
        </w:rPr>
        <w:t>J Womens </w:t>
      </w:r>
      <w:r>
        <w:rPr>
          <w:i/>
          <w:sz w:val="22"/>
        </w:rPr>
        <w:t>Health</w:t>
      </w:r>
      <w:r>
        <w:rPr>
          <w:i/>
          <w:sz w:val="22"/>
        </w:rPr>
        <w:t> (Larchmt)</w:t>
      </w:r>
      <w:r>
        <w:rPr>
          <w:sz w:val="22"/>
        </w:rPr>
        <w:t>. 2018;27(1):14.</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Schiavi MC, Sciuga V, Giannini A, et al. Overactive bladder syndrome treatment with ospemifene in menopausal patients with vulvovaginal atrophy: improvement of sexuality? </w:t>
      </w:r>
      <w:r>
        <w:rPr>
          <w:i/>
          <w:sz w:val="22"/>
        </w:rPr>
        <w:t>Gynecol Endocrinol</w:t>
      </w:r>
      <w:r>
        <w:rPr>
          <w:sz w:val="22"/>
        </w:rPr>
        <w:t>. 2018;34(8):666.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Berrodin TJ, Chang KCN, Komm BS, Freedman LP, Nagpal S. Differential biochemical and cellular actions of Premarin estrogens: distinct pharmacology of bazedoxifene-</w:t>
      </w:r>
      <w:r>
        <w:rPr>
          <w:sz w:val="22"/>
        </w:rPr>
        <w:t>conjugated estrogens combination. </w:t>
      </w:r>
      <w:r>
        <w:rPr>
          <w:i/>
          <w:sz w:val="22"/>
        </w:rPr>
        <w:t>Mol Endocrinol</w:t>
      </w:r>
      <w:r>
        <w:rPr>
          <w:sz w:val="22"/>
        </w:rPr>
        <w:t>. 2009;23(1):74.</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Pinkerton JV, Archer DA, Utian WH, et al. Bazedoxifene effects on the reproductive tract in postmenopausal women at risk for osteoporosis. </w:t>
      </w:r>
      <w:r>
        <w:rPr>
          <w:i/>
          <w:sz w:val="22"/>
        </w:rPr>
        <w:t>Menopause</w:t>
      </w:r>
      <w:r>
        <w:rPr>
          <w:sz w:val="22"/>
        </w:rPr>
        <w:t>. 2009;16:1102.</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Kanis JA, Johansson H, Oden A, McCloskey EV. Bazedoxifene reduces vertebral and clinical fractures in postmenopausal women at high risk assessed with FRAX. </w:t>
      </w:r>
      <w:r>
        <w:rPr>
          <w:i/>
          <w:sz w:val="22"/>
        </w:rPr>
        <w:t>Bone</w:t>
      </w:r>
      <w:r>
        <w:rPr>
          <w:sz w:val="22"/>
        </w:rPr>
        <w:t>. 2009;44(6):1049.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Harvey JA, Hollm MK, Ranganath R, Guse PA, Trott EA, Helzner E. The effects of bazedoxifene on mammographic breast density in postmenopausal women with osteoporosis. </w:t>
      </w:r>
      <w:r>
        <w:rPr>
          <w:i/>
          <w:sz w:val="22"/>
        </w:rPr>
        <w:t>Menopause</w:t>
      </w:r>
      <w:r>
        <w:rPr>
          <w:sz w:val="22"/>
        </w:rPr>
        <w:t>. 2009;16:1193.</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Pinkerton JV, Harvey JA, Pan K, et al. Breast effects of bazedoxifene-conjugated estrogens: a randomized controlled trial. </w:t>
      </w:r>
      <w:r>
        <w:rPr>
          <w:i/>
          <w:sz w:val="22"/>
        </w:rPr>
        <w:t>Obstet Gynecol</w:t>
      </w:r>
      <w:r>
        <w:rPr>
          <w:sz w:val="22"/>
        </w:rPr>
        <w:t>. 2013;121(5):959.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Lobo RA, Pinkerton JV, Gass ML, et al. Evaluation of bazedoxifene/conjugated estrogens for</w:t>
      </w:r>
      <w:r>
        <w:rPr>
          <w:spacing w:val="40"/>
          <w:sz w:val="22"/>
        </w:rPr>
        <w:t> </w:t>
      </w:r>
      <w:r>
        <w:rPr>
          <w:sz w:val="22"/>
        </w:rPr>
        <w:t>the treatment of menopausal symptoms and effects on metabolic parameters and overall </w:t>
      </w:r>
      <w:r>
        <w:rPr>
          <w:sz w:val="22"/>
        </w:rPr>
        <w:t>safety profile. </w:t>
      </w:r>
      <w:r>
        <w:rPr>
          <w:i/>
          <w:sz w:val="22"/>
        </w:rPr>
        <w:t>Fertil Steril</w:t>
      </w:r>
      <w:r>
        <w:rPr>
          <w:sz w:val="22"/>
        </w:rPr>
        <w:t>. 2009;92:1025.</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Lindsay R, Gallagher JC, Kagan R, Pickar JH, Constantine G. Efficacy of tissue-</w:t>
      </w:r>
      <w:r>
        <w:rPr>
          <w:sz w:val="22"/>
        </w:rPr>
        <w:t>selective estrogen complex of bazedoxifene/conjugated estrogens for osteoporosis prevention in at-risk postmenopausal women. </w:t>
      </w:r>
      <w:r>
        <w:rPr>
          <w:i/>
          <w:sz w:val="22"/>
        </w:rPr>
        <w:t>Fertil Steril</w:t>
      </w:r>
      <w:r>
        <w:rPr>
          <w:sz w:val="22"/>
        </w:rPr>
        <w:t>. 2009;92:1045.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Pinkerton</w:t>
      </w:r>
      <w:r>
        <w:rPr>
          <w:spacing w:val="40"/>
          <w:sz w:val="22"/>
        </w:rPr>
        <w:t> </w:t>
      </w:r>
      <w:r>
        <w:rPr>
          <w:sz w:val="22"/>
        </w:rPr>
        <w:t>JV,</w:t>
      </w:r>
      <w:r>
        <w:rPr>
          <w:spacing w:val="40"/>
          <w:sz w:val="22"/>
        </w:rPr>
        <w:t> </w:t>
      </w:r>
      <w:r>
        <w:rPr>
          <w:sz w:val="22"/>
        </w:rPr>
        <w:t>Utian</w:t>
      </w:r>
      <w:r>
        <w:rPr>
          <w:spacing w:val="40"/>
          <w:sz w:val="22"/>
        </w:rPr>
        <w:t> </w:t>
      </w:r>
      <w:r>
        <w:rPr>
          <w:sz w:val="22"/>
        </w:rPr>
        <w:t>WH,</w:t>
      </w:r>
      <w:r>
        <w:rPr>
          <w:spacing w:val="40"/>
          <w:sz w:val="22"/>
        </w:rPr>
        <w:t> </w:t>
      </w:r>
      <w:r>
        <w:rPr>
          <w:sz w:val="22"/>
        </w:rPr>
        <w:t>Constantine</w:t>
      </w:r>
      <w:r>
        <w:rPr>
          <w:spacing w:val="40"/>
          <w:sz w:val="22"/>
        </w:rPr>
        <w:t> </w:t>
      </w:r>
      <w:r>
        <w:rPr>
          <w:sz w:val="22"/>
        </w:rPr>
        <w:t>GD,</w:t>
      </w:r>
      <w:r>
        <w:rPr>
          <w:spacing w:val="40"/>
          <w:sz w:val="22"/>
        </w:rPr>
        <w:t> </w:t>
      </w:r>
      <w:r>
        <w:rPr>
          <w:sz w:val="22"/>
        </w:rPr>
        <w:t>Olivier</w:t>
      </w:r>
      <w:r>
        <w:rPr>
          <w:spacing w:val="40"/>
          <w:sz w:val="22"/>
        </w:rPr>
        <w:t> </w:t>
      </w:r>
      <w:r>
        <w:rPr>
          <w:sz w:val="22"/>
        </w:rPr>
        <w:t>S,</w:t>
      </w:r>
      <w:r>
        <w:rPr>
          <w:spacing w:val="40"/>
          <w:sz w:val="22"/>
        </w:rPr>
        <w:t> </w:t>
      </w:r>
      <w:r>
        <w:rPr>
          <w:sz w:val="22"/>
        </w:rPr>
        <w:t>Pickar</w:t>
      </w:r>
      <w:r>
        <w:rPr>
          <w:spacing w:val="40"/>
          <w:sz w:val="22"/>
        </w:rPr>
        <w:t> </w:t>
      </w:r>
      <w:r>
        <w:rPr>
          <w:sz w:val="22"/>
        </w:rPr>
        <w:t>JH.</w:t>
      </w:r>
      <w:r>
        <w:rPr>
          <w:spacing w:val="40"/>
          <w:sz w:val="22"/>
        </w:rPr>
        <w:t> </w:t>
      </w:r>
      <w:r>
        <w:rPr>
          <w:sz w:val="22"/>
        </w:rPr>
        <w:t>Relief</w:t>
      </w:r>
      <w:r>
        <w:rPr>
          <w:spacing w:val="40"/>
          <w:sz w:val="22"/>
        </w:rPr>
        <w:t> </w:t>
      </w:r>
      <w:r>
        <w:rPr>
          <w:sz w:val="22"/>
        </w:rPr>
        <w:t>of</w:t>
      </w:r>
      <w:r>
        <w:rPr>
          <w:spacing w:val="40"/>
          <w:sz w:val="22"/>
        </w:rPr>
        <w:t> </w:t>
      </w:r>
      <w:r>
        <w:rPr>
          <w:sz w:val="22"/>
        </w:rPr>
        <w:t>vasomotor symptoms with the tissue-selective estrogen complex containing bazedoxifene/conjugated estrogens: a randomized, controlled trial. </w:t>
      </w:r>
      <w:r>
        <w:rPr>
          <w:i/>
          <w:sz w:val="22"/>
        </w:rPr>
        <w:t>Menopause</w:t>
      </w:r>
      <w:r>
        <w:rPr>
          <w:sz w:val="22"/>
        </w:rPr>
        <w:t>. 2009;16:1116.</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Pinkerton JV, Pickar JH, Racketa J, Mirkin S. Bazedoxifene/conjugated estrogens </w:t>
      </w:r>
      <w:r>
        <w:rPr>
          <w:sz w:val="22"/>
        </w:rPr>
        <w:t>for menopausal symptom treatment and osteoporosis prevention. </w:t>
      </w:r>
      <w:r>
        <w:rPr>
          <w:i/>
          <w:sz w:val="22"/>
        </w:rPr>
        <w:t>Climacteric</w:t>
      </w:r>
      <w:r>
        <w:rPr>
          <w:sz w:val="22"/>
        </w:rPr>
        <w:t>. 2012;15(5):411.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Pickar JH, Yeh IT, Bachmann G, Speroff L. Endometrial effects of a tissue selective estrogen complex containing bazedoxifene/conjugated estrogens as a menopausal therapy. </w:t>
      </w:r>
      <w:r>
        <w:rPr>
          <w:i/>
          <w:sz w:val="22"/>
        </w:rPr>
        <w:t>Fertil Steril</w:t>
      </w:r>
      <w:r>
        <w:rPr>
          <w:sz w:val="22"/>
        </w:rPr>
        <w:t>. </w:t>
      </w:r>
      <w:r>
        <w:rPr>
          <w:spacing w:val="-2"/>
          <w:sz w:val="22"/>
        </w:rPr>
        <w:t>2009;92:1018.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Rankin KA, Mei F, Kim K, et al. Selective estrogen receptor modulators enhance </w:t>
      </w:r>
      <w:r>
        <w:rPr>
          <w:sz w:val="22"/>
        </w:rPr>
        <w:t>CNS remyelination independent of estrogen receptors. </w:t>
      </w:r>
      <w:r>
        <w:rPr>
          <w:i/>
          <w:sz w:val="22"/>
        </w:rPr>
        <w:t>J. Neurosci</w:t>
      </w:r>
      <w:r>
        <w:rPr>
          <w:sz w:val="22"/>
        </w:rPr>
        <w:t>. 2019;39(12):2184-2194</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Wallin MT, Culpepper WJ, Campbell JD, et al. The prevalence of MS in the United States: a population-based estimate using health claims data. </w:t>
      </w:r>
      <w:r>
        <w:rPr>
          <w:i/>
          <w:sz w:val="22"/>
        </w:rPr>
        <w:t>Neurology</w:t>
      </w:r>
      <w:r>
        <w:rPr>
          <w:sz w:val="22"/>
        </w:rPr>
        <w:t>. 2019;92:e1029-e1040</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Romero-Pinel L, Bau L, Matas E, et al. The age at onset of relapsing-remitting </w:t>
      </w:r>
      <w:r>
        <w:rPr>
          <w:sz w:val="22"/>
        </w:rPr>
        <w:t>multiple</w:t>
      </w:r>
      <w:r>
        <w:rPr>
          <w:spacing w:val="80"/>
          <w:sz w:val="22"/>
        </w:rPr>
        <w:t> </w:t>
      </w:r>
      <w:r>
        <w:rPr>
          <w:sz w:val="22"/>
        </w:rPr>
        <w:t>sclerosis has increased over the last five decades. </w:t>
      </w:r>
      <w:r>
        <w:rPr>
          <w:i/>
          <w:sz w:val="22"/>
        </w:rPr>
        <w:t>Mult Scler Relat Disord</w:t>
      </w:r>
      <w:r>
        <w:rPr>
          <w:sz w:val="22"/>
        </w:rPr>
        <w:t>. 2022;68:104103.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Bove</w:t>
      </w:r>
      <w:r>
        <w:rPr>
          <w:spacing w:val="16"/>
          <w:sz w:val="22"/>
        </w:rPr>
        <w:t> </w:t>
      </w:r>
      <w:r>
        <w:rPr>
          <w:sz w:val="22"/>
        </w:rPr>
        <w:t>R,</w:t>
      </w:r>
      <w:r>
        <w:rPr>
          <w:spacing w:val="16"/>
          <w:sz w:val="22"/>
        </w:rPr>
        <w:t> </w:t>
      </w:r>
      <w:r>
        <w:rPr>
          <w:sz w:val="22"/>
        </w:rPr>
        <w:t>Anderson</w:t>
      </w:r>
      <w:r>
        <w:rPr>
          <w:spacing w:val="16"/>
          <w:sz w:val="22"/>
        </w:rPr>
        <w:t> </w:t>
      </w:r>
      <w:r>
        <w:rPr>
          <w:sz w:val="22"/>
        </w:rPr>
        <w:t>A,</w:t>
      </w:r>
      <w:r>
        <w:rPr>
          <w:spacing w:val="16"/>
          <w:sz w:val="22"/>
        </w:rPr>
        <w:t> </w:t>
      </w:r>
      <w:r>
        <w:rPr>
          <w:sz w:val="22"/>
        </w:rPr>
        <w:t>Rowles</w:t>
      </w:r>
      <w:r>
        <w:rPr>
          <w:spacing w:val="16"/>
          <w:sz w:val="22"/>
        </w:rPr>
        <w:t> </w:t>
      </w:r>
      <w:r>
        <w:rPr>
          <w:sz w:val="22"/>
        </w:rPr>
        <w:t>W,</w:t>
      </w:r>
      <w:r>
        <w:rPr>
          <w:spacing w:val="16"/>
          <w:sz w:val="22"/>
        </w:rPr>
        <w:t> </w:t>
      </w:r>
      <w:r>
        <w:rPr>
          <w:sz w:val="22"/>
        </w:rPr>
        <w:t>et</w:t>
      </w:r>
      <w:r>
        <w:rPr>
          <w:spacing w:val="16"/>
          <w:sz w:val="22"/>
        </w:rPr>
        <w:t> </w:t>
      </w:r>
      <w:r>
        <w:rPr>
          <w:sz w:val="22"/>
        </w:rPr>
        <w:t>al.</w:t>
      </w:r>
      <w:r>
        <w:rPr>
          <w:spacing w:val="16"/>
          <w:sz w:val="22"/>
        </w:rPr>
        <w:t> </w:t>
      </w:r>
      <w:r>
        <w:rPr>
          <w:sz w:val="22"/>
        </w:rPr>
        <w:t>A</w:t>
      </w:r>
      <w:r>
        <w:rPr>
          <w:spacing w:val="19"/>
          <w:sz w:val="22"/>
        </w:rPr>
        <w:t> </w:t>
      </w:r>
      <w:r>
        <w:rPr>
          <w:sz w:val="22"/>
        </w:rPr>
        <w:t>hormonal</w:t>
      </w:r>
      <w:r>
        <w:rPr>
          <w:spacing w:val="19"/>
          <w:sz w:val="22"/>
        </w:rPr>
        <w:t> </w:t>
      </w:r>
      <w:r>
        <w:rPr>
          <w:sz w:val="22"/>
        </w:rPr>
        <w:t>therapy</w:t>
      </w:r>
      <w:r>
        <w:rPr>
          <w:spacing w:val="19"/>
          <w:sz w:val="22"/>
        </w:rPr>
        <w:t> </w:t>
      </w:r>
      <w:r>
        <w:rPr>
          <w:sz w:val="22"/>
        </w:rPr>
        <w:t>for</w:t>
      </w:r>
      <w:r>
        <w:rPr>
          <w:spacing w:val="19"/>
          <w:sz w:val="22"/>
        </w:rPr>
        <w:t> </w:t>
      </w:r>
      <w:r>
        <w:rPr>
          <w:sz w:val="22"/>
        </w:rPr>
        <w:t>menopausal</w:t>
      </w:r>
      <w:r>
        <w:rPr>
          <w:spacing w:val="19"/>
          <w:sz w:val="22"/>
        </w:rPr>
        <w:t> </w:t>
      </w:r>
      <w:r>
        <w:rPr>
          <w:sz w:val="22"/>
        </w:rPr>
        <w:t>women</w:t>
      </w:r>
      <w:r>
        <w:rPr>
          <w:spacing w:val="19"/>
          <w:sz w:val="22"/>
        </w:rPr>
        <w:t> </w:t>
      </w:r>
      <w:r>
        <w:rPr>
          <w:sz w:val="22"/>
        </w:rPr>
        <w:t>with</w:t>
      </w:r>
      <w:r>
        <w:rPr>
          <w:spacing w:val="19"/>
          <w:sz w:val="22"/>
        </w:rPr>
        <w:t> </w:t>
      </w:r>
      <w:r>
        <w:rPr>
          <w:sz w:val="22"/>
        </w:rPr>
        <w:t>MS: a phase Ib/IIa randomized controlled trial. </w:t>
      </w:r>
      <w:r>
        <w:rPr>
          <w:i/>
          <w:sz w:val="22"/>
        </w:rPr>
        <w:t>Mult Scler Relat Disord</w:t>
      </w:r>
      <w:r>
        <w:rPr>
          <w:sz w:val="22"/>
        </w:rPr>
        <w:t>. 2022;61:103747.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Archer DF, Lewis V, Carr BR, Olivier S, Pickar JH. Bazedoxifene/conjugated estrogens (BZA/CE): incidence of uterine bleeding in postmenopausal women. </w:t>
      </w:r>
      <w:r>
        <w:rPr>
          <w:i/>
          <w:sz w:val="22"/>
        </w:rPr>
        <w:t>Fertil Steril</w:t>
      </w:r>
      <w:r>
        <w:rPr>
          <w:sz w:val="22"/>
        </w:rPr>
        <w:t>.</w:t>
      </w:r>
      <w:r>
        <w:rPr>
          <w:spacing w:val="80"/>
          <w:sz w:val="22"/>
        </w:rPr>
        <w:t> </w:t>
      </w:r>
      <w:r>
        <w:rPr>
          <w:spacing w:val="-2"/>
          <w:sz w:val="22"/>
        </w:rPr>
        <w:t>2009;92:1039.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Modelska K, Cummings S. Tibolone for postmenopausal women: systematic review of randomized trials. </w:t>
      </w:r>
      <w:r>
        <w:rPr>
          <w:i/>
          <w:sz w:val="22"/>
        </w:rPr>
        <w:t>J Clin Endocrinol Metab</w:t>
      </w:r>
      <w:r>
        <w:rPr>
          <w:sz w:val="22"/>
        </w:rPr>
        <w:t>. 2002;87(1):16.</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Formoso G, Perrone E, Maltoni S, et al. Short and long term effects of tibolone </w:t>
      </w:r>
      <w:r>
        <w:rPr>
          <w:sz w:val="22"/>
        </w:rPr>
        <w:t>in postmenopausal women. </w:t>
      </w:r>
      <w:r>
        <w:rPr>
          <w:i/>
          <w:sz w:val="22"/>
        </w:rPr>
        <w:t>Cochrane Database Syst Rev</w:t>
      </w:r>
      <w:r>
        <w:rPr>
          <w:sz w:val="22"/>
        </w:rPr>
        <w:t>. 2012;2:Cd008536.</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0" w:hanging="507"/>
        <w:jc w:val="both"/>
        <w:rPr>
          <w:sz w:val="22"/>
        </w:rPr>
      </w:pPr>
      <w:r>
        <w:rPr>
          <w:sz w:val="22"/>
        </w:rPr>
        <w:t>Kloosterboer HJ. Tibolone: a steroid with a tissue-specific mode of action. </w:t>
      </w:r>
      <w:r>
        <w:rPr>
          <w:i/>
          <w:sz w:val="22"/>
        </w:rPr>
        <w:t>J Steroid Biochem</w:t>
      </w:r>
      <w:r>
        <w:rPr>
          <w:sz w:val="22"/>
        </w:rPr>
        <w:t>. </w:t>
      </w:r>
      <w:r>
        <w:rPr>
          <w:spacing w:val="-2"/>
          <w:sz w:val="22"/>
        </w:rPr>
        <w:t>2001;76:231.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de Gooyer ME, Deckers GH, Schoonen WGEJ, Verheul HAM, Kloosterboer HJ. </w:t>
      </w:r>
      <w:r>
        <w:rPr>
          <w:sz w:val="22"/>
        </w:rPr>
        <w:t>Receptor profiling and endocrine interactions of tibolone. </w:t>
      </w:r>
      <w:r>
        <w:rPr>
          <w:i/>
          <w:sz w:val="22"/>
        </w:rPr>
        <w:t>Steroids</w:t>
      </w:r>
      <w:r>
        <w:rPr>
          <w:sz w:val="22"/>
        </w:rPr>
        <w:t>. 2003;68:21.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Timmer</w:t>
      </w:r>
      <w:r>
        <w:rPr>
          <w:spacing w:val="36"/>
          <w:sz w:val="22"/>
        </w:rPr>
        <w:t> </w:t>
      </w:r>
      <w:r>
        <w:rPr>
          <w:sz w:val="22"/>
        </w:rPr>
        <w:t>CJ,</w:t>
      </w:r>
      <w:r>
        <w:rPr>
          <w:spacing w:val="36"/>
          <w:sz w:val="22"/>
        </w:rPr>
        <w:t> </w:t>
      </w:r>
      <w:r>
        <w:rPr>
          <w:sz w:val="22"/>
        </w:rPr>
        <w:t>Huisman</w:t>
      </w:r>
      <w:r>
        <w:rPr>
          <w:spacing w:val="36"/>
          <w:sz w:val="22"/>
        </w:rPr>
        <w:t> </w:t>
      </w:r>
      <w:r>
        <w:rPr>
          <w:sz w:val="22"/>
        </w:rPr>
        <w:t>JAM.</w:t>
      </w:r>
      <w:r>
        <w:rPr>
          <w:spacing w:val="36"/>
          <w:sz w:val="22"/>
        </w:rPr>
        <w:t> </w:t>
      </w:r>
      <w:r>
        <w:rPr>
          <w:sz w:val="22"/>
        </w:rPr>
        <w:t>Effect</w:t>
      </w:r>
      <w:r>
        <w:rPr>
          <w:spacing w:val="38"/>
          <w:sz w:val="22"/>
        </w:rPr>
        <w:t> </w:t>
      </w:r>
      <w:r>
        <w:rPr>
          <w:sz w:val="22"/>
        </w:rPr>
        <w:t>of</w:t>
      </w:r>
      <w:r>
        <w:rPr>
          <w:spacing w:val="38"/>
          <w:sz w:val="22"/>
        </w:rPr>
        <w:t> </w:t>
      </w:r>
      <w:r>
        <w:rPr>
          <w:sz w:val="22"/>
        </w:rPr>
        <w:t>a</w:t>
      </w:r>
      <w:r>
        <w:rPr>
          <w:spacing w:val="38"/>
          <w:sz w:val="22"/>
        </w:rPr>
        <w:t> </w:t>
      </w:r>
      <w:r>
        <w:rPr>
          <w:sz w:val="22"/>
        </w:rPr>
        <w:t>standardized</w:t>
      </w:r>
      <w:r>
        <w:rPr>
          <w:spacing w:val="38"/>
          <w:sz w:val="22"/>
        </w:rPr>
        <w:t> </w:t>
      </w:r>
      <w:r>
        <w:rPr>
          <w:sz w:val="22"/>
        </w:rPr>
        <w:t>meal</w:t>
      </w:r>
      <w:r>
        <w:rPr>
          <w:spacing w:val="38"/>
          <w:sz w:val="22"/>
        </w:rPr>
        <w:t> </w:t>
      </w:r>
      <w:r>
        <w:rPr>
          <w:sz w:val="22"/>
        </w:rPr>
        <w:t>on</w:t>
      </w:r>
      <w:r>
        <w:rPr>
          <w:spacing w:val="38"/>
          <w:sz w:val="22"/>
        </w:rPr>
        <w:t> </w:t>
      </w:r>
      <w:r>
        <w:rPr>
          <w:sz w:val="22"/>
        </w:rPr>
        <w:t>the</w:t>
      </w:r>
      <w:r>
        <w:rPr>
          <w:spacing w:val="38"/>
          <w:sz w:val="22"/>
        </w:rPr>
        <w:t> </w:t>
      </w:r>
      <w:r>
        <w:rPr>
          <w:sz w:val="22"/>
        </w:rPr>
        <w:t>bioavailability</w:t>
      </w:r>
      <w:r>
        <w:rPr>
          <w:spacing w:val="38"/>
          <w:sz w:val="22"/>
        </w:rPr>
        <w:t> </w:t>
      </w:r>
      <w:r>
        <w:rPr>
          <w:sz w:val="22"/>
        </w:rPr>
        <w:t>of</w:t>
      </w:r>
      <w:r>
        <w:rPr>
          <w:spacing w:val="38"/>
          <w:sz w:val="22"/>
        </w:rPr>
        <w:t> </w:t>
      </w:r>
      <w:r>
        <w:rPr>
          <w:sz w:val="22"/>
        </w:rPr>
        <w:t>a</w:t>
      </w:r>
      <w:r>
        <w:rPr>
          <w:spacing w:val="38"/>
          <w:sz w:val="22"/>
        </w:rPr>
        <w:t> </w:t>
      </w:r>
      <w:r>
        <w:rPr>
          <w:sz w:val="22"/>
        </w:rPr>
        <w:t>single oral dose of tibolone 2.5 mg in healthy postmenopausal women. </w:t>
      </w:r>
      <w:r>
        <w:rPr>
          <w:i/>
          <w:sz w:val="22"/>
        </w:rPr>
        <w:t>Pharmacotherapy</w:t>
      </w:r>
      <w:r>
        <w:rPr>
          <w:sz w:val="22"/>
        </w:rPr>
        <w:t>.</w:t>
      </w:r>
      <w:r>
        <w:rPr>
          <w:spacing w:val="80"/>
          <w:sz w:val="22"/>
        </w:rPr>
        <w:t> </w:t>
      </w:r>
      <w:r>
        <w:rPr>
          <w:spacing w:val="-2"/>
          <w:sz w:val="22"/>
        </w:rPr>
        <w:t>2002;22:310.</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Vos RME, Krebbers SFM, Verhoeven CHJ, Delbressine LPC. The in vivo human metabolism</w:t>
      </w:r>
      <w:r>
        <w:rPr>
          <w:spacing w:val="80"/>
          <w:sz w:val="22"/>
        </w:rPr>
        <w:t> </w:t>
      </w:r>
      <w:r>
        <w:rPr>
          <w:sz w:val="22"/>
        </w:rPr>
        <w:t>of tibolone. </w:t>
      </w:r>
      <w:r>
        <w:rPr>
          <w:i/>
          <w:sz w:val="22"/>
        </w:rPr>
        <w:t>Drug Metab Dispos</w:t>
      </w:r>
      <w:r>
        <w:rPr>
          <w:sz w:val="22"/>
        </w:rPr>
        <w:t>. 2002;30:106.</w:t>
      </w:r>
    </w:p>
    <w:p>
      <w:pPr>
        <w:pStyle w:val="ListParagraph"/>
        <w:numPr>
          <w:ilvl w:val="0"/>
          <w:numId w:val="19"/>
        </w:numPr>
        <w:tabs>
          <w:tab w:pos="710" w:val="left" w:leader="none"/>
        </w:tabs>
        <w:spacing w:line="252" w:lineRule="exact" w:before="0" w:after="0"/>
        <w:ind w:left="710" w:right="0" w:hanging="498"/>
        <w:jc w:val="both"/>
        <w:rPr>
          <w:sz w:val="22"/>
        </w:rPr>
      </w:pPr>
      <w:r>
        <w:rPr>
          <w:sz w:val="22"/>
        </w:rPr>
        <w:t>Timmer</w:t>
      </w:r>
      <w:r>
        <w:rPr>
          <w:spacing w:val="77"/>
          <w:w w:val="150"/>
          <w:sz w:val="22"/>
        </w:rPr>
        <w:t> </w:t>
      </w:r>
      <w:r>
        <w:rPr>
          <w:sz w:val="22"/>
        </w:rPr>
        <w:t>CJ,</w:t>
      </w:r>
      <w:r>
        <w:rPr>
          <w:spacing w:val="77"/>
          <w:w w:val="150"/>
          <w:sz w:val="22"/>
        </w:rPr>
        <w:t> </w:t>
      </w:r>
      <w:r>
        <w:rPr>
          <w:sz w:val="22"/>
        </w:rPr>
        <w:t>Houwing</w:t>
      </w:r>
      <w:r>
        <w:rPr>
          <w:spacing w:val="77"/>
          <w:w w:val="150"/>
          <w:sz w:val="22"/>
        </w:rPr>
        <w:t> </w:t>
      </w:r>
      <w:r>
        <w:rPr>
          <w:sz w:val="22"/>
        </w:rPr>
        <w:t>NS.</w:t>
      </w:r>
      <w:r>
        <w:rPr>
          <w:spacing w:val="76"/>
          <w:w w:val="150"/>
          <w:sz w:val="22"/>
        </w:rPr>
        <w:t> </w:t>
      </w:r>
      <w:r>
        <w:rPr>
          <w:sz w:val="22"/>
        </w:rPr>
        <w:t>Dose</w:t>
      </w:r>
      <w:r>
        <w:rPr>
          <w:spacing w:val="77"/>
          <w:w w:val="150"/>
          <w:sz w:val="22"/>
        </w:rPr>
        <w:t> </w:t>
      </w:r>
      <w:r>
        <w:rPr>
          <w:sz w:val="22"/>
        </w:rPr>
        <w:t>proportionality</w:t>
      </w:r>
      <w:r>
        <w:rPr>
          <w:spacing w:val="78"/>
          <w:w w:val="150"/>
          <w:sz w:val="22"/>
        </w:rPr>
        <w:t> </w:t>
      </w:r>
      <w:r>
        <w:rPr>
          <w:sz w:val="22"/>
        </w:rPr>
        <w:t>of</w:t>
      </w:r>
      <w:r>
        <w:rPr>
          <w:spacing w:val="77"/>
          <w:w w:val="150"/>
          <w:sz w:val="22"/>
        </w:rPr>
        <w:t> </w:t>
      </w:r>
      <w:r>
        <w:rPr>
          <w:sz w:val="22"/>
        </w:rPr>
        <w:t>three</w:t>
      </w:r>
      <w:r>
        <w:rPr>
          <w:spacing w:val="77"/>
          <w:w w:val="150"/>
          <w:sz w:val="22"/>
        </w:rPr>
        <w:t> </w:t>
      </w:r>
      <w:r>
        <w:rPr>
          <w:sz w:val="22"/>
        </w:rPr>
        <w:t>different</w:t>
      </w:r>
      <w:r>
        <w:rPr>
          <w:spacing w:val="77"/>
          <w:w w:val="150"/>
          <w:sz w:val="22"/>
        </w:rPr>
        <w:t> </w:t>
      </w:r>
      <w:r>
        <w:rPr>
          <w:sz w:val="22"/>
        </w:rPr>
        <w:t>doses</w:t>
      </w:r>
      <w:r>
        <w:rPr>
          <w:spacing w:val="77"/>
          <w:w w:val="150"/>
          <w:sz w:val="22"/>
        </w:rPr>
        <w:t> </w:t>
      </w:r>
      <w:r>
        <w:rPr>
          <w:sz w:val="22"/>
        </w:rPr>
        <w:t>of</w:t>
      </w:r>
      <w:r>
        <w:rPr>
          <w:spacing w:val="78"/>
          <w:w w:val="150"/>
          <w:sz w:val="22"/>
        </w:rPr>
        <w:t> </w:t>
      </w:r>
      <w:r>
        <w:rPr>
          <w:spacing w:val="-2"/>
          <w:sz w:val="22"/>
        </w:rPr>
        <w:t>tibolone.</w:t>
      </w:r>
    </w:p>
    <w:p>
      <w:pPr>
        <w:spacing w:before="13"/>
        <w:ind w:left="718" w:right="0" w:firstLine="0"/>
        <w:jc w:val="both"/>
        <w:rPr>
          <w:sz w:val="22"/>
        </w:rPr>
      </w:pPr>
      <w:r>
        <w:rPr>
          <w:i/>
          <w:sz w:val="22"/>
        </w:rPr>
        <w:t>Pharmacotherapy</w:t>
      </w:r>
      <w:r>
        <w:rPr>
          <w:sz w:val="22"/>
        </w:rPr>
        <w:t>.</w:t>
      </w:r>
      <w:r>
        <w:rPr>
          <w:spacing w:val="32"/>
          <w:sz w:val="22"/>
        </w:rPr>
        <w:t> </w:t>
      </w:r>
      <w:r>
        <w:rPr>
          <w:spacing w:val="-2"/>
          <w:sz w:val="22"/>
        </w:rPr>
        <w:t>2002;22:6.</w:t>
      </w:r>
    </w:p>
    <w:p>
      <w:pPr>
        <w:pStyle w:val="ListParagraph"/>
        <w:numPr>
          <w:ilvl w:val="0"/>
          <w:numId w:val="19"/>
        </w:numPr>
        <w:tabs>
          <w:tab w:pos="709" w:val="left" w:leader="none"/>
          <w:tab w:pos="718" w:val="left" w:leader="none"/>
        </w:tabs>
        <w:spacing w:line="256" w:lineRule="auto" w:before="17" w:after="0"/>
        <w:ind w:left="718" w:right="107" w:hanging="507"/>
        <w:jc w:val="both"/>
        <w:rPr>
          <w:sz w:val="22"/>
        </w:rPr>
      </w:pPr>
      <w:r>
        <w:rPr>
          <w:sz w:val="22"/>
        </w:rPr>
        <w:t>Markiewicz L, Gurpide E. In vitro evaluation of estrogenic, estrogen antagonistic and progestagenic effects of a steroidal drug (Org OD-14) and its metabolites on </w:t>
      </w:r>
      <w:r>
        <w:rPr>
          <w:sz w:val="22"/>
        </w:rPr>
        <w:t>human endometrium. </w:t>
      </w:r>
      <w:r>
        <w:rPr>
          <w:i/>
          <w:sz w:val="22"/>
        </w:rPr>
        <w:t>J Steroid Biochem</w:t>
      </w:r>
      <w:r>
        <w:rPr>
          <w:sz w:val="22"/>
        </w:rPr>
        <w:t>. 1990;35:535.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Tang</w:t>
      </w:r>
      <w:r>
        <w:rPr>
          <w:spacing w:val="40"/>
          <w:sz w:val="22"/>
        </w:rPr>
        <w:t> </w:t>
      </w:r>
      <w:r>
        <w:rPr>
          <w:sz w:val="22"/>
        </w:rPr>
        <w:t>B,</w:t>
      </w:r>
      <w:r>
        <w:rPr>
          <w:spacing w:val="40"/>
          <w:sz w:val="22"/>
        </w:rPr>
        <w:t> </w:t>
      </w:r>
      <w:r>
        <w:rPr>
          <w:sz w:val="22"/>
        </w:rPr>
        <w:t>Markiewicz</w:t>
      </w:r>
      <w:r>
        <w:rPr>
          <w:spacing w:val="40"/>
          <w:sz w:val="22"/>
        </w:rPr>
        <w:t> </w:t>
      </w:r>
      <w:r>
        <w:rPr>
          <w:sz w:val="22"/>
        </w:rPr>
        <w:t>L,</w:t>
      </w:r>
      <w:r>
        <w:rPr>
          <w:spacing w:val="40"/>
          <w:sz w:val="22"/>
        </w:rPr>
        <w:t> </w:t>
      </w:r>
      <w:r>
        <w:rPr>
          <w:sz w:val="22"/>
        </w:rPr>
        <w:t>Kloosterboer</w:t>
      </w:r>
      <w:r>
        <w:rPr>
          <w:spacing w:val="40"/>
          <w:sz w:val="22"/>
        </w:rPr>
        <w:t> </w:t>
      </w:r>
      <w:r>
        <w:rPr>
          <w:sz w:val="22"/>
        </w:rPr>
        <w:t>HJ,</w:t>
      </w:r>
      <w:r>
        <w:rPr>
          <w:spacing w:val="40"/>
          <w:sz w:val="22"/>
        </w:rPr>
        <w:t> </w:t>
      </w:r>
      <w:r>
        <w:rPr>
          <w:sz w:val="22"/>
        </w:rPr>
        <w:t>Gurpide</w:t>
      </w:r>
      <w:r>
        <w:rPr>
          <w:spacing w:val="40"/>
          <w:sz w:val="22"/>
        </w:rPr>
        <w:t> </w:t>
      </w:r>
      <w:r>
        <w:rPr>
          <w:sz w:val="22"/>
        </w:rPr>
        <w:t>E.</w:t>
      </w:r>
      <w:r>
        <w:rPr>
          <w:spacing w:val="40"/>
          <w:sz w:val="22"/>
        </w:rPr>
        <w:t> </w:t>
      </w:r>
      <w:r>
        <w:rPr>
          <w:sz w:val="22"/>
        </w:rPr>
        <w:t>Human</w:t>
      </w:r>
      <w:r>
        <w:rPr>
          <w:spacing w:val="40"/>
          <w:sz w:val="22"/>
        </w:rPr>
        <w:t> </w:t>
      </w:r>
      <w:r>
        <w:rPr>
          <w:sz w:val="22"/>
        </w:rPr>
        <w:t>endometrial</w:t>
      </w:r>
      <w:r>
        <w:rPr>
          <w:spacing w:val="40"/>
          <w:sz w:val="22"/>
        </w:rPr>
        <w:t> </w:t>
      </w:r>
      <w:r>
        <w:rPr>
          <w:sz w:val="22"/>
        </w:rPr>
        <w:t>3</w:t>
      </w:r>
      <w:r>
        <w:rPr>
          <w:spacing w:val="40"/>
          <w:sz w:val="22"/>
        </w:rPr>
        <w:t> </w:t>
      </w:r>
      <w:r>
        <w:rPr>
          <w:sz w:val="22"/>
        </w:rPr>
        <w:t>beta-hydroxysteroid dehydrogenase/isomerase can locally reduce intrinsic </w:t>
      </w:r>
      <w:r>
        <w:rPr>
          <w:sz w:val="22"/>
        </w:rPr>
        <w:t>estrogenic/progestagenic activity ratios of a steroidal drug (Org OD 14). </w:t>
      </w:r>
      <w:r>
        <w:rPr>
          <w:i/>
          <w:sz w:val="22"/>
        </w:rPr>
        <w:t>J Steroid Biochem Mol Biol</w:t>
      </w:r>
      <w:r>
        <w:rPr>
          <w:sz w:val="22"/>
        </w:rPr>
        <w:t>. 1993;45:345.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Punnonen R, Liukko P, Cortes-Prieto J, et al. Multicentre study of effects of Org OD14 on endometrium, vaginal cytology and cervical mucus in postmenopausal and oophorectomized women. </w:t>
      </w:r>
      <w:r>
        <w:rPr>
          <w:i/>
          <w:sz w:val="22"/>
        </w:rPr>
        <w:t>Maturitas</w:t>
      </w:r>
      <w:r>
        <w:rPr>
          <w:sz w:val="22"/>
        </w:rPr>
        <w:t>. 1984;5:281.</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Genazzani AR, Benedek JL, Hart DM, Andolsek L, Kicovic PM, Tax L. Org OD14 and the endometrium. </w:t>
      </w:r>
      <w:r>
        <w:rPr>
          <w:i/>
          <w:sz w:val="22"/>
        </w:rPr>
        <w:t>Maturitas</w:t>
      </w:r>
      <w:r>
        <w:rPr>
          <w:sz w:val="22"/>
        </w:rPr>
        <w:t>. 1991;13:243.</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Trevoux R, Dieulangard P, Blum A. Efficacy and safety of Org OD 14 in the treatment </w:t>
      </w:r>
      <w:r>
        <w:rPr>
          <w:sz w:val="22"/>
        </w:rPr>
        <w:t>of climacteric complaints. </w:t>
      </w:r>
      <w:r>
        <w:rPr>
          <w:i/>
          <w:sz w:val="22"/>
        </w:rPr>
        <w:t>Maturitas</w:t>
      </w:r>
      <w:r>
        <w:rPr>
          <w:sz w:val="22"/>
        </w:rPr>
        <w:t>. 1983;5:89.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Volpe A, Facchinetti F, Grasso A, Petraglia F, Campanini D, Genazzani AR. Benefits and risks of</w:t>
      </w:r>
      <w:r>
        <w:rPr>
          <w:spacing w:val="40"/>
          <w:sz w:val="22"/>
        </w:rPr>
        <w:t> </w:t>
      </w:r>
      <w:r>
        <w:rPr>
          <w:sz w:val="22"/>
        </w:rPr>
        <w:t>different</w:t>
      </w:r>
      <w:r>
        <w:rPr>
          <w:spacing w:val="40"/>
          <w:sz w:val="22"/>
        </w:rPr>
        <w:t> </w:t>
      </w:r>
      <w:r>
        <w:rPr>
          <w:sz w:val="22"/>
        </w:rPr>
        <w:t>hormonal</w:t>
      </w:r>
      <w:r>
        <w:rPr>
          <w:spacing w:val="40"/>
          <w:sz w:val="22"/>
        </w:rPr>
        <w:t> </w:t>
      </w:r>
      <w:r>
        <w:rPr>
          <w:sz w:val="22"/>
        </w:rPr>
        <w:t>replacement</w:t>
      </w:r>
      <w:r>
        <w:rPr>
          <w:spacing w:val="40"/>
          <w:sz w:val="22"/>
        </w:rPr>
        <w:t> </w:t>
      </w:r>
      <w:r>
        <w:rPr>
          <w:sz w:val="22"/>
        </w:rPr>
        <w:t>therapies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i/>
          <w:sz w:val="22"/>
        </w:rPr>
        <w:t>Maturitas</w:t>
      </w:r>
      <w:r>
        <w:rPr>
          <w:sz w:val="22"/>
        </w:rPr>
        <w:t>. </w:t>
      </w:r>
      <w:r>
        <w:rPr>
          <w:spacing w:val="-2"/>
          <w:sz w:val="22"/>
        </w:rPr>
        <w:t>1986;8:327.</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Siseles NO, Halperin H, Benencia HJ, et al. A comparative study of two hormone </w:t>
      </w:r>
      <w:r>
        <w:rPr>
          <w:sz w:val="22"/>
        </w:rPr>
        <w:t>replacement therapy regimens on safety and efficacy variables. </w:t>
      </w:r>
      <w:r>
        <w:rPr>
          <w:i/>
          <w:sz w:val="22"/>
        </w:rPr>
        <w:t>Maturitas</w:t>
      </w:r>
      <w:r>
        <w:rPr>
          <w:sz w:val="22"/>
        </w:rPr>
        <w:t>. 1995;21:201.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Nathorst-Böös J, Hammar M. Effect on sexual life—a comparison between tibolone and a continuous estradiol-norethisterone acetate regimen. </w:t>
      </w:r>
      <w:r>
        <w:rPr>
          <w:i/>
          <w:sz w:val="22"/>
        </w:rPr>
        <w:t>Maturitas</w:t>
      </w:r>
      <w:r>
        <w:rPr>
          <w:sz w:val="22"/>
        </w:rPr>
        <w:t>. 1997;26:15.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Hammar M, Christau S, Nathorst-Böös J, Rud T, Garre K. A double-blind, randomised trial comparing the effects of tibolone and continuous combined hormone replacement therapy </w:t>
      </w:r>
      <w:r>
        <w:rPr>
          <w:sz w:val="22"/>
        </w:rPr>
        <w:t>in postmenopausal women with menopausal symptoms. </w:t>
      </w:r>
      <w:r>
        <w:rPr>
          <w:i/>
          <w:sz w:val="22"/>
        </w:rPr>
        <w:t>Br J Obstet Gynaecol</w:t>
      </w:r>
      <w:r>
        <w:rPr>
          <w:sz w:val="22"/>
        </w:rPr>
        <w:t>. 1998;105:904.</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Al-Azzawi F, Wahab M, Habiba M, Akkad A, Mason T. Continuous combined hormone replacement therapy compared with tibolone. </w:t>
      </w:r>
      <w:r>
        <w:rPr>
          <w:i/>
          <w:sz w:val="22"/>
        </w:rPr>
        <w:t>Obstet Gynecol</w:t>
      </w:r>
      <w:r>
        <w:rPr>
          <w:sz w:val="22"/>
        </w:rPr>
        <w:t>. 1999;93:258.</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Kökü A, Centinkaya MB, Yanik F, Alper T, Malatydlioglu E. The comparison of effects </w:t>
      </w:r>
      <w:r>
        <w:rPr>
          <w:sz w:val="22"/>
        </w:rPr>
        <w:t>of tibolone and conjugated estrogen-medroxyprogesterone acetate therapy on sexual performance</w:t>
      </w:r>
      <w:r>
        <w:rPr>
          <w:spacing w:val="40"/>
          <w:sz w:val="22"/>
        </w:rPr>
        <w:t> </w:t>
      </w:r>
      <w:r>
        <w:rPr>
          <w:sz w:val="22"/>
        </w:rPr>
        <w:t>in postmenopausal women. </w:t>
      </w:r>
      <w:r>
        <w:rPr>
          <w:i/>
          <w:sz w:val="22"/>
        </w:rPr>
        <w:t>Maturitas</w:t>
      </w:r>
      <w:r>
        <w:rPr>
          <w:sz w:val="22"/>
        </w:rPr>
        <w:t>. 2000;36:75.</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Taskin O, Yalcinoglu AI, Kucuk S, Uryan I, Buhur A, Burak F. Effectiveness of tibolone </w:t>
      </w:r>
      <w:r>
        <w:rPr>
          <w:sz w:val="22"/>
        </w:rPr>
        <w:t>on hypoestrogenic</w:t>
      </w:r>
      <w:r>
        <w:rPr>
          <w:spacing w:val="40"/>
          <w:sz w:val="22"/>
        </w:rPr>
        <w:t> </w:t>
      </w:r>
      <w:r>
        <w:rPr>
          <w:sz w:val="22"/>
        </w:rPr>
        <w:t>symptoms</w:t>
      </w:r>
      <w:r>
        <w:rPr>
          <w:spacing w:val="40"/>
          <w:sz w:val="22"/>
        </w:rPr>
        <w:t> </w:t>
      </w:r>
      <w:r>
        <w:rPr>
          <w:sz w:val="22"/>
        </w:rPr>
        <w:t>induced</w:t>
      </w:r>
      <w:r>
        <w:rPr>
          <w:spacing w:val="40"/>
          <w:sz w:val="22"/>
        </w:rPr>
        <w:t> </w:t>
      </w:r>
      <w:r>
        <w:rPr>
          <w:sz w:val="22"/>
        </w:rPr>
        <w:t>by</w:t>
      </w:r>
      <w:r>
        <w:rPr>
          <w:spacing w:val="40"/>
          <w:sz w:val="22"/>
        </w:rPr>
        <w:t> </w:t>
      </w:r>
      <w:r>
        <w:rPr>
          <w:sz w:val="22"/>
        </w:rPr>
        <w:t>goserelin</w:t>
      </w:r>
      <w:r>
        <w:rPr>
          <w:spacing w:val="40"/>
          <w:sz w:val="22"/>
        </w:rPr>
        <w:t> </w:t>
      </w:r>
      <w:r>
        <w:rPr>
          <w:sz w:val="22"/>
        </w:rPr>
        <w:t>treatment</w:t>
      </w:r>
      <w:r>
        <w:rPr>
          <w:spacing w:val="40"/>
          <w:sz w:val="22"/>
        </w:rPr>
        <w:t> </w:t>
      </w:r>
      <w:r>
        <w:rPr>
          <w:sz w:val="22"/>
        </w:rPr>
        <w:t>in</w:t>
      </w:r>
      <w:r>
        <w:rPr>
          <w:spacing w:val="40"/>
          <w:sz w:val="22"/>
        </w:rPr>
        <w:t> </w:t>
      </w:r>
      <w:r>
        <w:rPr>
          <w:sz w:val="22"/>
        </w:rPr>
        <w:t>patients</w:t>
      </w:r>
      <w:r>
        <w:rPr>
          <w:spacing w:val="40"/>
          <w:sz w:val="22"/>
        </w:rPr>
        <w:t> </w:t>
      </w:r>
      <w:r>
        <w:rPr>
          <w:sz w:val="22"/>
        </w:rPr>
        <w:t>with</w:t>
      </w:r>
      <w:r>
        <w:rPr>
          <w:spacing w:val="40"/>
          <w:sz w:val="22"/>
        </w:rPr>
        <w:t> </w:t>
      </w:r>
      <w:r>
        <w:rPr>
          <w:sz w:val="22"/>
        </w:rPr>
        <w:t>endometriosis. </w:t>
      </w:r>
      <w:r>
        <w:rPr>
          <w:i/>
          <w:sz w:val="22"/>
        </w:rPr>
        <w:t>Fertil Steril</w:t>
      </w:r>
      <w:r>
        <w:rPr>
          <w:sz w:val="22"/>
        </w:rPr>
        <w:t>. 1997;67:40.</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Crona</w:t>
      </w:r>
      <w:r>
        <w:rPr>
          <w:spacing w:val="27"/>
          <w:sz w:val="22"/>
        </w:rPr>
        <w:t> </w:t>
      </w:r>
      <w:r>
        <w:rPr>
          <w:sz w:val="22"/>
        </w:rPr>
        <w:t>N,</w:t>
      </w:r>
      <w:r>
        <w:rPr>
          <w:spacing w:val="27"/>
          <w:sz w:val="22"/>
        </w:rPr>
        <w:t> </w:t>
      </w:r>
      <w:r>
        <w:rPr>
          <w:sz w:val="22"/>
        </w:rPr>
        <w:t>Silfverstolpe</w:t>
      </w:r>
      <w:r>
        <w:rPr>
          <w:spacing w:val="27"/>
          <w:sz w:val="22"/>
        </w:rPr>
        <w:t> </w:t>
      </w:r>
      <w:r>
        <w:rPr>
          <w:sz w:val="22"/>
        </w:rPr>
        <w:t>G,</w:t>
      </w:r>
      <w:r>
        <w:rPr>
          <w:spacing w:val="27"/>
          <w:sz w:val="22"/>
        </w:rPr>
        <w:t> </w:t>
      </w:r>
      <w:r>
        <w:rPr>
          <w:sz w:val="22"/>
        </w:rPr>
        <w:t>Samsioe</w:t>
      </w:r>
      <w:r>
        <w:rPr>
          <w:spacing w:val="27"/>
          <w:sz w:val="22"/>
        </w:rPr>
        <w:t> </w:t>
      </w:r>
      <w:r>
        <w:rPr>
          <w:sz w:val="22"/>
        </w:rPr>
        <w:t>G.</w:t>
      </w:r>
      <w:r>
        <w:rPr>
          <w:spacing w:val="27"/>
          <w:sz w:val="22"/>
        </w:rPr>
        <w:t> </w:t>
      </w:r>
      <w:r>
        <w:rPr>
          <w:sz w:val="22"/>
        </w:rPr>
        <w:t>A</w:t>
      </w:r>
      <w:r>
        <w:rPr>
          <w:spacing w:val="30"/>
          <w:sz w:val="22"/>
        </w:rPr>
        <w:t> </w:t>
      </w:r>
      <w:r>
        <w:rPr>
          <w:sz w:val="22"/>
        </w:rPr>
        <w:t>double-blind</w:t>
      </w:r>
      <w:r>
        <w:rPr>
          <w:spacing w:val="30"/>
          <w:sz w:val="22"/>
        </w:rPr>
        <w:t> </w:t>
      </w:r>
      <w:r>
        <w:rPr>
          <w:sz w:val="22"/>
        </w:rPr>
        <w:t>cross-over</w:t>
      </w:r>
      <w:r>
        <w:rPr>
          <w:spacing w:val="30"/>
          <w:sz w:val="22"/>
        </w:rPr>
        <w:t> </w:t>
      </w:r>
      <w:r>
        <w:rPr>
          <w:sz w:val="22"/>
        </w:rPr>
        <w:t>study</w:t>
      </w:r>
      <w:r>
        <w:rPr>
          <w:spacing w:val="30"/>
          <w:sz w:val="22"/>
        </w:rPr>
        <w:t> </w:t>
      </w:r>
      <w:r>
        <w:rPr>
          <w:sz w:val="22"/>
        </w:rPr>
        <w:t>on</w:t>
      </w:r>
      <w:r>
        <w:rPr>
          <w:spacing w:val="30"/>
          <w:sz w:val="22"/>
        </w:rPr>
        <w:t> </w:t>
      </w:r>
      <w:r>
        <w:rPr>
          <w:sz w:val="22"/>
        </w:rPr>
        <w:t>the</w:t>
      </w:r>
      <w:r>
        <w:rPr>
          <w:spacing w:val="30"/>
          <w:sz w:val="22"/>
        </w:rPr>
        <w:t> </w:t>
      </w:r>
      <w:r>
        <w:rPr>
          <w:sz w:val="22"/>
        </w:rPr>
        <w:t>effects</w:t>
      </w:r>
      <w:r>
        <w:rPr>
          <w:spacing w:val="30"/>
          <w:sz w:val="22"/>
        </w:rPr>
        <w:t> </w:t>
      </w:r>
      <w:r>
        <w:rPr>
          <w:sz w:val="22"/>
        </w:rPr>
        <w:t>of</w:t>
      </w:r>
      <w:r>
        <w:rPr>
          <w:spacing w:val="30"/>
          <w:sz w:val="22"/>
        </w:rPr>
        <w:t> </w:t>
      </w:r>
      <w:r>
        <w:rPr>
          <w:sz w:val="22"/>
        </w:rPr>
        <w:t>Org OD 14 compared to estradiol valerate and placebo on lipid and carbohydrate metabolism in oophorectomized women. </w:t>
      </w:r>
      <w:r>
        <w:rPr>
          <w:i/>
          <w:sz w:val="22"/>
        </w:rPr>
        <w:t>Acta Endocrinol</w:t>
      </w:r>
      <w:r>
        <w:rPr>
          <w:sz w:val="22"/>
        </w:rPr>
        <w:t>. 1983;102:451.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Rymer J, Chapman MG, Fogelman I, Wilson POG. A study of the effect of tibolone on the vagina in postmenopausal women. </w:t>
      </w:r>
      <w:r>
        <w:rPr>
          <w:i/>
          <w:sz w:val="22"/>
        </w:rPr>
        <w:t>Maturitas</w:t>
      </w:r>
      <w:r>
        <w:rPr>
          <w:sz w:val="22"/>
        </w:rPr>
        <w:t>. 1994;18:127.</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3" w:hanging="507"/>
        <w:jc w:val="both"/>
        <w:rPr>
          <w:sz w:val="22"/>
        </w:rPr>
      </w:pPr>
      <w:r>
        <w:rPr>
          <w:sz w:val="22"/>
        </w:rPr>
        <w:t>Botsis D, Kassanos D, Kalogirous D, Antonious G, Vitoratos N, Karakitsos P. Vaginal ultrasound</w:t>
      </w:r>
      <w:r>
        <w:rPr>
          <w:spacing w:val="40"/>
          <w:sz w:val="22"/>
        </w:rPr>
        <w:t> </w:t>
      </w:r>
      <w:r>
        <w:rPr>
          <w:sz w:val="22"/>
        </w:rPr>
        <w:t>of</w:t>
      </w:r>
      <w:r>
        <w:rPr>
          <w:spacing w:val="40"/>
          <w:sz w:val="22"/>
        </w:rPr>
        <w:t> </w:t>
      </w:r>
      <w:r>
        <w:rPr>
          <w:sz w:val="22"/>
        </w:rPr>
        <w:t>the</w:t>
      </w:r>
      <w:r>
        <w:rPr>
          <w:spacing w:val="40"/>
          <w:sz w:val="22"/>
        </w:rPr>
        <w:t> </w:t>
      </w:r>
      <w:r>
        <w:rPr>
          <w:sz w:val="22"/>
        </w:rPr>
        <w:t>endometrium</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symptoms</w:t>
      </w:r>
      <w:r>
        <w:rPr>
          <w:spacing w:val="40"/>
          <w:sz w:val="22"/>
        </w:rPr>
        <w:t> </w:t>
      </w:r>
      <w:r>
        <w:rPr>
          <w:sz w:val="22"/>
        </w:rPr>
        <w:t>of</w:t>
      </w:r>
      <w:r>
        <w:rPr>
          <w:spacing w:val="40"/>
          <w:sz w:val="22"/>
        </w:rPr>
        <w:t> </w:t>
      </w:r>
      <w:r>
        <w:rPr>
          <w:sz w:val="22"/>
        </w:rPr>
        <w:t>urogenital atrophy on low-dose estrogen or tibolone treatment: a comparison. </w:t>
      </w:r>
      <w:r>
        <w:rPr>
          <w:i/>
          <w:sz w:val="22"/>
        </w:rPr>
        <w:t>Maturitas</w:t>
      </w:r>
      <w:r>
        <w:rPr>
          <w:sz w:val="22"/>
        </w:rPr>
        <w:t>. 1997;26:57.</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Landgren MB, Coelingh Benink HJT, Helmond FA, Engelen S. Dose-response analysis of effects of tibolone on climacteric symptoms. </w:t>
      </w:r>
      <w:r>
        <w:rPr>
          <w:i/>
          <w:sz w:val="22"/>
        </w:rPr>
        <w:t>Br J Obstet Gynaecol</w:t>
      </w:r>
      <w:r>
        <w:rPr>
          <w:sz w:val="22"/>
        </w:rPr>
        <w:t>. 2002;109:1109.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Laan E, van Lunsen RHW, Everaerd W. The effects of tibolone on vaginal blood flow, sexual desire and arousability in postmenopausal women. </w:t>
      </w:r>
      <w:r>
        <w:rPr>
          <w:i/>
          <w:sz w:val="22"/>
        </w:rPr>
        <w:t>Climacteric</w:t>
      </w:r>
      <w:r>
        <w:rPr>
          <w:sz w:val="22"/>
        </w:rPr>
        <w:t>. 2001;4:28.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Mendoza N, Suarez AM, Álamo F, Bartual E, Vergara F, Herruzo A. Lipid effects,</w:t>
      </w:r>
      <w:r>
        <w:rPr>
          <w:spacing w:val="80"/>
          <w:sz w:val="22"/>
        </w:rPr>
        <w:t> </w:t>
      </w:r>
      <w:r>
        <w:rPr>
          <w:sz w:val="22"/>
        </w:rPr>
        <w:t>effectiveness and acceptability of tibolone versus transdermic 17b-estradiol for hormonal replacement therapy in women with surgical menopause. </w:t>
      </w:r>
      <w:r>
        <w:rPr>
          <w:i/>
          <w:sz w:val="22"/>
        </w:rPr>
        <w:t>Maturitas</w:t>
      </w:r>
      <w:r>
        <w:rPr>
          <w:sz w:val="22"/>
        </w:rPr>
        <w:t>. 2000;37:37.</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Castelo-Branco C, Vicente JJ, Figueras F, et al. Comparative effects of estrogens plus</w:t>
      </w:r>
      <w:r>
        <w:rPr>
          <w:spacing w:val="80"/>
          <w:sz w:val="22"/>
        </w:rPr>
        <w:t> </w:t>
      </w:r>
      <w:r>
        <w:rPr>
          <w:sz w:val="22"/>
        </w:rPr>
        <w:t>androgens and tibolone on bone, lipid pattern and sexuality in postmenopausal women. </w:t>
      </w:r>
      <w:r>
        <w:rPr>
          <w:i/>
          <w:sz w:val="22"/>
        </w:rPr>
        <w:t>Maturitas</w:t>
      </w:r>
      <w:r>
        <w:rPr>
          <w:sz w:val="22"/>
        </w:rPr>
        <w:t>. 2000;34:161.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Huber J, Palacios S, Berglund L, et al. Effects of tibolone and continuous combined hormone replacement therapy on bleeding rates, quality of life and tolerability in </w:t>
      </w:r>
      <w:r>
        <w:rPr>
          <w:sz w:val="22"/>
        </w:rPr>
        <w:t>postmenopausal</w:t>
      </w:r>
      <w:r>
        <w:rPr>
          <w:spacing w:val="80"/>
          <w:sz w:val="22"/>
        </w:rPr>
        <w:t> </w:t>
      </w:r>
      <w:r>
        <w:rPr>
          <w:sz w:val="22"/>
        </w:rPr>
        <w:t>women. </w:t>
      </w:r>
      <w:r>
        <w:rPr>
          <w:i/>
          <w:sz w:val="22"/>
        </w:rPr>
        <w:t>Br J Obstet Gynaecol</w:t>
      </w:r>
      <w:r>
        <w:rPr>
          <w:sz w:val="22"/>
        </w:rPr>
        <w:t>. 2002;109:886.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Egarter C, Topcuoglu AM, Vogl S, Sator M. Hormone replacement therapy with tibolone:</w:t>
      </w:r>
      <w:r>
        <w:rPr>
          <w:spacing w:val="40"/>
          <w:sz w:val="22"/>
        </w:rPr>
        <w:t> </w:t>
      </w:r>
      <w:r>
        <w:rPr>
          <w:sz w:val="22"/>
        </w:rPr>
        <w:t>effects on sexual functioning in postmenopausal women. </w:t>
      </w:r>
      <w:r>
        <w:rPr>
          <w:i/>
          <w:sz w:val="22"/>
        </w:rPr>
        <w:t>Acta Obstet Gynecol Scand</w:t>
      </w:r>
      <w:r>
        <w:rPr>
          <w:sz w:val="22"/>
        </w:rPr>
        <w:t>. </w:t>
      </w:r>
      <w:r>
        <w:rPr>
          <w:spacing w:val="-2"/>
          <w:sz w:val="22"/>
        </w:rPr>
        <w:t>2002;81:649.</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Palacios S, Menendez C, Jurado R, Castano JC, Vargas JC. Changes in sex behaviour </w:t>
      </w:r>
      <w:r>
        <w:rPr>
          <w:sz w:val="22"/>
        </w:rPr>
        <w:t>after menopause: effects of tibolone. </w:t>
      </w:r>
      <w:r>
        <w:rPr>
          <w:i/>
          <w:sz w:val="22"/>
        </w:rPr>
        <w:t>Maturitas</w:t>
      </w:r>
      <w:r>
        <w:rPr>
          <w:sz w:val="22"/>
        </w:rPr>
        <w:t>. 1995;22:155.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Nijland EA, Weijmar Schultz WC, Nathorst-Böös J, et al. Tibolone and transdermal E2/NETA for</w:t>
      </w:r>
      <w:r>
        <w:rPr>
          <w:spacing w:val="40"/>
          <w:sz w:val="22"/>
        </w:rPr>
        <w:t> </w:t>
      </w:r>
      <w:r>
        <w:rPr>
          <w:sz w:val="22"/>
        </w:rPr>
        <w:t>the</w:t>
      </w:r>
      <w:r>
        <w:rPr>
          <w:spacing w:val="40"/>
          <w:sz w:val="22"/>
        </w:rPr>
        <w:t> </w:t>
      </w:r>
      <w:r>
        <w:rPr>
          <w:sz w:val="22"/>
        </w:rPr>
        <w:t>treatment</w:t>
      </w:r>
      <w:r>
        <w:rPr>
          <w:spacing w:val="40"/>
          <w:sz w:val="22"/>
        </w:rPr>
        <w:t> </w:t>
      </w:r>
      <w:r>
        <w:rPr>
          <w:sz w:val="22"/>
        </w:rPr>
        <w:t>of</w:t>
      </w:r>
      <w:r>
        <w:rPr>
          <w:spacing w:val="40"/>
          <w:sz w:val="22"/>
        </w:rPr>
        <w:t> </w:t>
      </w:r>
      <w:r>
        <w:rPr>
          <w:sz w:val="22"/>
        </w:rPr>
        <w:t>sexual</w:t>
      </w:r>
      <w:r>
        <w:rPr>
          <w:spacing w:val="40"/>
          <w:sz w:val="22"/>
        </w:rPr>
        <w:t> </w:t>
      </w:r>
      <w:r>
        <w:rPr>
          <w:sz w:val="22"/>
        </w:rPr>
        <w:t>dysfunction</w:t>
      </w:r>
      <w:r>
        <w:rPr>
          <w:spacing w:val="40"/>
          <w:sz w:val="22"/>
        </w:rPr>
        <w:t> </w:t>
      </w:r>
      <w:r>
        <w:rPr>
          <w:sz w:val="22"/>
        </w:rPr>
        <w:t>in</w:t>
      </w:r>
      <w:r>
        <w:rPr>
          <w:spacing w:val="40"/>
          <w:sz w:val="22"/>
        </w:rPr>
        <w:t> </w:t>
      </w:r>
      <w:r>
        <w:rPr>
          <w:sz w:val="22"/>
        </w:rPr>
        <w:t>naturally</w:t>
      </w:r>
      <w:r>
        <w:rPr>
          <w:spacing w:val="40"/>
          <w:sz w:val="22"/>
        </w:rPr>
        <w:t> </w:t>
      </w:r>
      <w:r>
        <w:rPr>
          <w:sz w:val="22"/>
        </w:rPr>
        <w:t>menopausal</w:t>
      </w:r>
      <w:r>
        <w:rPr>
          <w:spacing w:val="40"/>
          <w:sz w:val="22"/>
        </w:rPr>
        <w:t> </w:t>
      </w:r>
      <w:r>
        <w:rPr>
          <w:sz w:val="22"/>
        </w:rPr>
        <w:t>women:</w:t>
      </w:r>
      <w:r>
        <w:rPr>
          <w:spacing w:val="40"/>
          <w:sz w:val="22"/>
        </w:rPr>
        <w:t> </w:t>
      </w:r>
      <w:r>
        <w:rPr>
          <w:sz w:val="22"/>
        </w:rPr>
        <w:t>results</w:t>
      </w:r>
      <w:r>
        <w:rPr>
          <w:spacing w:val="40"/>
          <w:sz w:val="22"/>
        </w:rPr>
        <w:t> </w:t>
      </w:r>
      <w:r>
        <w:rPr>
          <w:sz w:val="22"/>
        </w:rPr>
        <w:t>of</w:t>
      </w:r>
      <w:r>
        <w:rPr>
          <w:spacing w:val="40"/>
          <w:sz w:val="22"/>
        </w:rPr>
        <w:t> </w:t>
      </w:r>
      <w:r>
        <w:rPr>
          <w:sz w:val="22"/>
        </w:rPr>
        <w:t>a randomized active-controlled trial. </w:t>
      </w:r>
      <w:r>
        <w:rPr>
          <w:i/>
          <w:sz w:val="22"/>
        </w:rPr>
        <w:t>J Sex Med</w:t>
      </w:r>
      <w:r>
        <w:rPr>
          <w:sz w:val="22"/>
        </w:rPr>
        <w:t>. 2008;5:646.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Dören M, Rubig A, Coelingh Benink HJT, Holzgreve W. Differential effects on the androgen status of postmenopausal women treated with tibolone and continuous combined estradiol and norethindrone acetate replacement therapy. </w:t>
      </w:r>
      <w:r>
        <w:rPr>
          <w:i/>
          <w:sz w:val="22"/>
        </w:rPr>
        <w:t>Fertil Steril</w:t>
      </w:r>
      <w:r>
        <w:rPr>
          <w:sz w:val="22"/>
        </w:rPr>
        <w:t>. 2001;75:554.</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Fluck E, File SE, Rymer J. Cognitive effects of 10 years of hormone-replacement therapy </w:t>
      </w:r>
      <w:r>
        <w:rPr>
          <w:sz w:val="22"/>
        </w:rPr>
        <w:t>with tibolone. </w:t>
      </w:r>
      <w:r>
        <w:rPr>
          <w:i/>
          <w:sz w:val="22"/>
        </w:rPr>
        <w:t>J Clin Psychopharmacol</w:t>
      </w:r>
      <w:r>
        <w:rPr>
          <w:sz w:val="22"/>
        </w:rPr>
        <w:t>. 2002;22:62.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Kotecha PT, Godsland IF, Crook D, Stevenson JC. Effects of tibolone or continuous </w:t>
      </w:r>
      <w:r>
        <w:rPr>
          <w:sz w:val="22"/>
        </w:rPr>
        <w:t>combined oestradiol and norethisterone acetate on lipids, high-density lipoprotein subfractions and apolipoproteins in postmenopausal women in a two-year, randomized, double-blind, placebo-controlled trial. </w:t>
      </w:r>
      <w:r>
        <w:rPr>
          <w:i/>
          <w:sz w:val="22"/>
        </w:rPr>
        <w:t>Clin Endocrinol (Oxf)</w:t>
      </w:r>
      <w:r>
        <w:rPr>
          <w:sz w:val="22"/>
        </w:rPr>
        <w:t>. 2020;92(4):303-311.</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Clarkson TB, Anthony M, Wagner JD. A comparison of tibolone and conjugated equine estrogens effects on coronary artery atherosclerosis and bone density of postmenopausal monkeys. </w:t>
      </w:r>
      <w:r>
        <w:rPr>
          <w:i/>
          <w:sz w:val="22"/>
        </w:rPr>
        <w:t>J Clin Endocrinol Metab</w:t>
      </w:r>
      <w:r>
        <w:rPr>
          <w:sz w:val="22"/>
        </w:rPr>
        <w:t>. 2001;86:5396.</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Clarkson</w:t>
      </w:r>
      <w:r>
        <w:rPr>
          <w:spacing w:val="40"/>
          <w:sz w:val="22"/>
        </w:rPr>
        <w:t> </w:t>
      </w:r>
      <w:r>
        <w:rPr>
          <w:sz w:val="22"/>
        </w:rPr>
        <w:t>TB,</w:t>
      </w:r>
      <w:r>
        <w:rPr>
          <w:spacing w:val="40"/>
          <w:sz w:val="22"/>
        </w:rPr>
        <w:t> </w:t>
      </w:r>
      <w:r>
        <w:rPr>
          <w:sz w:val="22"/>
        </w:rPr>
        <w:t>Anthony</w:t>
      </w:r>
      <w:r>
        <w:rPr>
          <w:spacing w:val="40"/>
          <w:sz w:val="22"/>
        </w:rPr>
        <w:t> </w:t>
      </w:r>
      <w:r>
        <w:rPr>
          <w:sz w:val="22"/>
        </w:rPr>
        <w:t>MS,</w:t>
      </w:r>
      <w:r>
        <w:rPr>
          <w:spacing w:val="40"/>
          <w:sz w:val="22"/>
        </w:rPr>
        <w:t> </w:t>
      </w:r>
      <w:r>
        <w:rPr>
          <w:sz w:val="22"/>
        </w:rPr>
        <w:t>Mikkola</w:t>
      </w:r>
      <w:r>
        <w:rPr>
          <w:spacing w:val="40"/>
          <w:sz w:val="22"/>
        </w:rPr>
        <w:t> </w:t>
      </w:r>
      <w:r>
        <w:rPr>
          <w:sz w:val="22"/>
        </w:rPr>
        <w:t>TS,</w:t>
      </w:r>
      <w:r>
        <w:rPr>
          <w:spacing w:val="40"/>
          <w:sz w:val="22"/>
        </w:rPr>
        <w:t> </w:t>
      </w:r>
      <w:r>
        <w:rPr>
          <w:sz w:val="22"/>
        </w:rPr>
        <w:t>St.</w:t>
      </w:r>
      <w:r>
        <w:rPr>
          <w:spacing w:val="40"/>
          <w:sz w:val="22"/>
        </w:rPr>
        <w:t> </w:t>
      </w:r>
      <w:r>
        <w:rPr>
          <w:sz w:val="22"/>
        </w:rPr>
        <w:t>Clair</w:t>
      </w:r>
      <w:r>
        <w:rPr>
          <w:spacing w:val="40"/>
          <w:sz w:val="22"/>
        </w:rPr>
        <w:t> </w:t>
      </w:r>
      <w:r>
        <w:rPr>
          <w:sz w:val="22"/>
        </w:rPr>
        <w:t>RW.</w:t>
      </w:r>
      <w:r>
        <w:rPr>
          <w:spacing w:val="40"/>
          <w:sz w:val="22"/>
        </w:rPr>
        <w:t> </w:t>
      </w:r>
      <w:r>
        <w:rPr>
          <w:sz w:val="22"/>
        </w:rPr>
        <w:t>Comparison</w:t>
      </w:r>
      <w:r>
        <w:rPr>
          <w:spacing w:val="40"/>
          <w:sz w:val="22"/>
        </w:rPr>
        <w:t> </w:t>
      </w:r>
      <w:r>
        <w:rPr>
          <w:sz w:val="22"/>
        </w:rPr>
        <w:t>of</w:t>
      </w:r>
      <w:r>
        <w:rPr>
          <w:spacing w:val="40"/>
          <w:sz w:val="22"/>
        </w:rPr>
        <w:t> </w:t>
      </w:r>
      <w:r>
        <w:rPr>
          <w:sz w:val="22"/>
        </w:rPr>
        <w:t>tibolone</w:t>
      </w:r>
      <w:r>
        <w:rPr>
          <w:spacing w:val="40"/>
          <w:sz w:val="22"/>
        </w:rPr>
        <w:t> </w:t>
      </w:r>
      <w:r>
        <w:rPr>
          <w:sz w:val="22"/>
        </w:rPr>
        <w:t>and conjugated equine estrogens effects on carotid artery atherosclerosis of postmenopausal monkeys. </w:t>
      </w:r>
      <w:r>
        <w:rPr>
          <w:i/>
          <w:sz w:val="22"/>
        </w:rPr>
        <w:t>Stroke</w:t>
      </w:r>
      <w:r>
        <w:rPr>
          <w:sz w:val="22"/>
        </w:rPr>
        <w:t>. 2002;33:2700.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Fielding CJ, Fielding PE. Molecular physiology of reverse cholesterol transport. </w:t>
      </w:r>
      <w:r>
        <w:rPr>
          <w:i/>
          <w:sz w:val="22"/>
        </w:rPr>
        <w:t>J Lipid Res</w:t>
      </w:r>
      <w:r>
        <w:rPr>
          <w:sz w:val="22"/>
        </w:rPr>
        <w:t>. </w:t>
      </w:r>
      <w:r>
        <w:rPr>
          <w:spacing w:val="-2"/>
          <w:sz w:val="22"/>
        </w:rPr>
        <w:t>1995;36:211.</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Pajunen P, Syvanne M, Castro G, Nieminen MS, Taskinen MR. Cholesterol efflux capacity </w:t>
      </w:r>
      <w:r>
        <w:rPr>
          <w:sz w:val="22"/>
        </w:rPr>
        <w:t>in vitro</w:t>
      </w:r>
      <w:r>
        <w:rPr>
          <w:spacing w:val="32"/>
          <w:sz w:val="22"/>
        </w:rPr>
        <w:t> </w:t>
      </w:r>
      <w:r>
        <w:rPr>
          <w:sz w:val="22"/>
        </w:rPr>
        <w:t>predicts</w:t>
      </w:r>
      <w:r>
        <w:rPr>
          <w:spacing w:val="32"/>
          <w:sz w:val="22"/>
        </w:rPr>
        <w:t> </w:t>
      </w:r>
      <w:r>
        <w:rPr>
          <w:sz w:val="22"/>
        </w:rPr>
        <w:t>the</w:t>
      </w:r>
      <w:r>
        <w:rPr>
          <w:spacing w:val="32"/>
          <w:sz w:val="22"/>
        </w:rPr>
        <w:t> </w:t>
      </w:r>
      <w:r>
        <w:rPr>
          <w:sz w:val="22"/>
        </w:rPr>
        <w:t>severity</w:t>
      </w:r>
      <w:r>
        <w:rPr>
          <w:spacing w:val="32"/>
          <w:sz w:val="22"/>
        </w:rPr>
        <w:t> </w:t>
      </w:r>
      <w:r>
        <w:rPr>
          <w:sz w:val="22"/>
        </w:rPr>
        <w:t>and</w:t>
      </w:r>
      <w:r>
        <w:rPr>
          <w:spacing w:val="32"/>
          <w:sz w:val="22"/>
        </w:rPr>
        <w:t> </w:t>
      </w:r>
      <w:r>
        <w:rPr>
          <w:sz w:val="22"/>
        </w:rPr>
        <w:t>extent</w:t>
      </w:r>
      <w:r>
        <w:rPr>
          <w:spacing w:val="32"/>
          <w:sz w:val="22"/>
        </w:rPr>
        <w:t> </w:t>
      </w:r>
      <w:r>
        <w:rPr>
          <w:sz w:val="22"/>
        </w:rPr>
        <w:t>of</w:t>
      </w:r>
      <w:r>
        <w:rPr>
          <w:spacing w:val="32"/>
          <w:sz w:val="22"/>
        </w:rPr>
        <w:t> </w:t>
      </w:r>
      <w:r>
        <w:rPr>
          <w:sz w:val="22"/>
        </w:rPr>
        <w:t>coronary</w:t>
      </w:r>
      <w:r>
        <w:rPr>
          <w:spacing w:val="32"/>
          <w:sz w:val="22"/>
        </w:rPr>
        <w:t> </w:t>
      </w:r>
      <w:r>
        <w:rPr>
          <w:sz w:val="22"/>
        </w:rPr>
        <w:t>artery</w:t>
      </w:r>
      <w:r>
        <w:rPr>
          <w:spacing w:val="32"/>
          <w:sz w:val="22"/>
        </w:rPr>
        <w:t> </w:t>
      </w:r>
      <w:r>
        <w:rPr>
          <w:sz w:val="22"/>
        </w:rPr>
        <w:t>disease</w:t>
      </w:r>
      <w:r>
        <w:rPr>
          <w:spacing w:val="32"/>
          <w:sz w:val="22"/>
        </w:rPr>
        <w:t> </w:t>
      </w:r>
      <w:r>
        <w:rPr>
          <w:sz w:val="22"/>
        </w:rPr>
        <w:t>in</w:t>
      </w:r>
      <w:r>
        <w:rPr>
          <w:spacing w:val="32"/>
          <w:sz w:val="22"/>
        </w:rPr>
        <w:t> </w:t>
      </w:r>
      <w:r>
        <w:rPr>
          <w:sz w:val="22"/>
        </w:rPr>
        <w:t>patients</w:t>
      </w:r>
      <w:r>
        <w:rPr>
          <w:spacing w:val="32"/>
          <w:sz w:val="22"/>
        </w:rPr>
        <w:t> </w:t>
      </w:r>
      <w:r>
        <w:rPr>
          <w:sz w:val="22"/>
        </w:rPr>
        <w:t>with</w:t>
      </w:r>
      <w:r>
        <w:rPr>
          <w:spacing w:val="32"/>
          <w:sz w:val="22"/>
        </w:rPr>
        <w:t> </w:t>
      </w:r>
      <w:r>
        <w:rPr>
          <w:sz w:val="22"/>
        </w:rPr>
        <w:t>and</w:t>
      </w:r>
      <w:r>
        <w:rPr>
          <w:spacing w:val="32"/>
          <w:sz w:val="22"/>
        </w:rPr>
        <w:t> </w:t>
      </w:r>
      <w:r>
        <w:rPr>
          <w:sz w:val="22"/>
        </w:rPr>
        <w:t>without type 2 diabetes. </w:t>
      </w:r>
      <w:r>
        <w:rPr>
          <w:i/>
          <w:sz w:val="22"/>
        </w:rPr>
        <w:t>Scand Cardiovasc J</w:t>
      </w:r>
      <w:r>
        <w:rPr>
          <w:sz w:val="22"/>
        </w:rPr>
        <w:t>. 2001;35:96.</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Mikkola TS, Anthony M, Clarkson TB, St Clair RW. Serum cholesterol efflux in postmenopausal monkeys treated with tibolone or conjugated estrogens. </w:t>
      </w:r>
      <w:r>
        <w:rPr>
          <w:i/>
          <w:sz w:val="22"/>
        </w:rPr>
        <w:t>Metabolism</w:t>
      </w:r>
      <w:r>
        <w:rPr>
          <w:sz w:val="22"/>
        </w:rPr>
        <w:t>. </w:t>
      </w:r>
      <w:r>
        <w:rPr>
          <w:spacing w:val="-2"/>
          <w:sz w:val="22"/>
        </w:rPr>
        <w:t>2002;51:523.</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Rymer J, Crook D, Sidhu M, Chapman M, Stevenson JC. Effects of tibolone on serum concentrations of lipoprotein(a) in postmenopausal women. </w:t>
      </w:r>
      <w:r>
        <w:rPr>
          <w:i/>
          <w:sz w:val="22"/>
        </w:rPr>
        <w:t>Acta Endocrinol</w:t>
      </w:r>
      <w:r>
        <w:rPr>
          <w:sz w:val="22"/>
        </w:rPr>
        <w:t>. 1993;128:259.</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Milner MH, Sinnot MM, Cooke TM, Kelly A, McGill T, Harrison RF. A 2-year study of lipid and</w:t>
      </w:r>
      <w:r>
        <w:rPr>
          <w:spacing w:val="40"/>
          <w:sz w:val="22"/>
        </w:rPr>
        <w:t> </w:t>
      </w:r>
      <w:r>
        <w:rPr>
          <w:sz w:val="22"/>
        </w:rPr>
        <w:t>lipoprotein</w:t>
      </w:r>
      <w:r>
        <w:rPr>
          <w:spacing w:val="40"/>
          <w:sz w:val="22"/>
        </w:rPr>
        <w:t> </w:t>
      </w:r>
      <w:r>
        <w:rPr>
          <w:sz w:val="22"/>
        </w:rPr>
        <w:t>changes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tibolone</w:t>
      </w:r>
      <w:r>
        <w:rPr>
          <w:spacing w:val="40"/>
          <w:sz w:val="22"/>
        </w:rPr>
        <w:t> </w:t>
      </w:r>
      <w:r>
        <w:rPr>
          <w:sz w:val="22"/>
        </w:rPr>
        <w:t>and</w:t>
      </w:r>
      <w:r>
        <w:rPr>
          <w:spacing w:val="40"/>
          <w:sz w:val="22"/>
        </w:rPr>
        <w:t> </w:t>
      </w:r>
      <w:r>
        <w:rPr>
          <w:sz w:val="22"/>
        </w:rPr>
        <w:t>estrogen-progestin. </w:t>
      </w:r>
      <w:r>
        <w:rPr>
          <w:i/>
          <w:sz w:val="22"/>
        </w:rPr>
        <w:t>Obstet Gynecol</w:t>
      </w:r>
      <w:r>
        <w:rPr>
          <w:sz w:val="22"/>
        </w:rPr>
        <w:t>. 1996;87:593.</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Cagnacci A, Mallus E, Tuveri F, Cirillo R, Setteneri AM, Melis GB. Effects of tibolone on glucose and lipid metabolism in postmenopausal women. </w:t>
      </w:r>
      <w:r>
        <w:rPr>
          <w:i/>
          <w:sz w:val="22"/>
        </w:rPr>
        <w:t>J Clin Endocrinol </w:t>
      </w:r>
      <w:r>
        <w:rPr>
          <w:i/>
          <w:sz w:val="22"/>
        </w:rPr>
        <w:t>Metab</w:t>
      </w:r>
      <w:r>
        <w:rPr>
          <w:sz w:val="22"/>
        </w:rPr>
        <w:t>.</w:t>
      </w:r>
      <w:r>
        <w:rPr>
          <w:spacing w:val="40"/>
          <w:sz w:val="22"/>
        </w:rPr>
        <w:t> </w:t>
      </w:r>
      <w:r>
        <w:rPr>
          <w:spacing w:val="-2"/>
          <w:sz w:val="22"/>
        </w:rPr>
        <w:t>1997;82:251.</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Lloyd G, McGing E, Cooper A, et al. A randomised placebo controlled trial of the effects </w:t>
      </w:r>
      <w:r>
        <w:rPr>
          <w:sz w:val="22"/>
        </w:rPr>
        <w:t>of tibolone on blood pressure and lipids in hypertensive women. </w:t>
      </w:r>
      <w:r>
        <w:rPr>
          <w:i/>
          <w:sz w:val="22"/>
        </w:rPr>
        <w:t>J Hum Hypertens</w:t>
      </w:r>
      <w:r>
        <w:rPr>
          <w:sz w:val="22"/>
        </w:rPr>
        <w:t>. 2000;14:99.</w:t>
      </w:r>
    </w:p>
    <w:p>
      <w:pPr>
        <w:pStyle w:val="ListParagraph"/>
        <w:numPr>
          <w:ilvl w:val="0"/>
          <w:numId w:val="19"/>
        </w:numPr>
        <w:tabs>
          <w:tab w:pos="710" w:val="left" w:leader="none"/>
        </w:tabs>
        <w:spacing w:line="252" w:lineRule="exact" w:before="0" w:after="0"/>
        <w:ind w:left="710" w:right="0" w:hanging="498"/>
        <w:jc w:val="both"/>
        <w:rPr>
          <w:sz w:val="22"/>
        </w:rPr>
      </w:pPr>
      <w:r>
        <w:rPr>
          <w:sz w:val="22"/>
        </w:rPr>
        <w:t>Ginsburg</w:t>
      </w:r>
      <w:r>
        <w:rPr>
          <w:spacing w:val="13"/>
          <w:sz w:val="22"/>
        </w:rPr>
        <w:t> </w:t>
      </w:r>
      <w:r>
        <w:rPr>
          <w:sz w:val="22"/>
        </w:rPr>
        <w:t>J,</w:t>
      </w:r>
      <w:r>
        <w:rPr>
          <w:spacing w:val="14"/>
          <w:sz w:val="22"/>
        </w:rPr>
        <w:t> </w:t>
      </w:r>
      <w:r>
        <w:rPr>
          <w:sz w:val="22"/>
        </w:rPr>
        <w:t>Prelevic</w:t>
      </w:r>
      <w:r>
        <w:rPr>
          <w:spacing w:val="14"/>
          <w:sz w:val="22"/>
        </w:rPr>
        <w:t> </w:t>
      </w:r>
      <w:r>
        <w:rPr>
          <w:sz w:val="22"/>
        </w:rPr>
        <w:t>GM.</w:t>
      </w:r>
      <w:r>
        <w:rPr>
          <w:spacing w:val="14"/>
          <w:sz w:val="22"/>
        </w:rPr>
        <w:t> </w:t>
      </w:r>
      <w:r>
        <w:rPr>
          <w:sz w:val="22"/>
        </w:rPr>
        <w:t>Antiatherosclerotic</w:t>
      </w:r>
      <w:r>
        <w:rPr>
          <w:spacing w:val="14"/>
          <w:sz w:val="22"/>
        </w:rPr>
        <w:t> </w:t>
      </w:r>
      <w:r>
        <w:rPr>
          <w:sz w:val="22"/>
        </w:rPr>
        <w:t>effects</w:t>
      </w:r>
      <w:r>
        <w:rPr>
          <w:spacing w:val="14"/>
          <w:sz w:val="22"/>
        </w:rPr>
        <w:t> </w:t>
      </w:r>
      <w:r>
        <w:rPr>
          <w:sz w:val="22"/>
        </w:rPr>
        <w:t>of</w:t>
      </w:r>
      <w:r>
        <w:rPr>
          <w:spacing w:val="14"/>
          <w:sz w:val="22"/>
        </w:rPr>
        <w:t> </w:t>
      </w:r>
      <w:r>
        <w:rPr>
          <w:sz w:val="22"/>
        </w:rPr>
        <w:t>tibolone.</w:t>
      </w:r>
      <w:r>
        <w:rPr>
          <w:spacing w:val="14"/>
          <w:sz w:val="22"/>
        </w:rPr>
        <w:t> </w:t>
      </w:r>
      <w:r>
        <w:rPr>
          <w:i/>
          <w:sz w:val="22"/>
        </w:rPr>
        <w:t>Menopause</w:t>
      </w:r>
      <w:r>
        <w:rPr>
          <w:sz w:val="22"/>
        </w:rPr>
        <w:t>.</w:t>
      </w:r>
      <w:r>
        <w:rPr>
          <w:spacing w:val="14"/>
          <w:sz w:val="22"/>
        </w:rPr>
        <w:t> </w:t>
      </w:r>
      <w:r>
        <w:rPr>
          <w:spacing w:val="-2"/>
          <w:sz w:val="22"/>
        </w:rPr>
        <w:t>2001;8:79.</w:t>
      </w:r>
    </w:p>
    <w:p>
      <w:pPr>
        <w:pStyle w:val="ListParagraph"/>
        <w:numPr>
          <w:ilvl w:val="0"/>
          <w:numId w:val="19"/>
        </w:numPr>
        <w:tabs>
          <w:tab w:pos="709" w:val="left" w:leader="none"/>
          <w:tab w:pos="718" w:val="left" w:leader="none"/>
        </w:tabs>
        <w:spacing w:line="256" w:lineRule="auto" w:before="12" w:after="0"/>
        <w:ind w:left="718" w:right="102" w:hanging="507"/>
        <w:jc w:val="both"/>
        <w:rPr>
          <w:sz w:val="22"/>
        </w:rPr>
      </w:pPr>
      <w:r>
        <w:rPr>
          <w:sz w:val="22"/>
        </w:rPr>
        <w:t>Gallagher JC, Baylink DJ, Freeman R, McClung M. Prevention of bone loss with tibolone </w:t>
      </w:r>
      <w:r>
        <w:rPr>
          <w:sz w:val="22"/>
        </w:rPr>
        <w:t>in postmenopausal women: results of two randomized double-blind, placebo-controlled, dose-finding studies. </w:t>
      </w:r>
      <w:r>
        <w:rPr>
          <w:i/>
          <w:sz w:val="22"/>
        </w:rPr>
        <w:t>J Clin Endocrinol Metab</w:t>
      </w:r>
      <w:r>
        <w:rPr>
          <w:sz w:val="22"/>
        </w:rPr>
        <w:t>. 2001;86:4717.</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Barnes JF, Farish E, Rankin M, Hart DM. A comparison of the effects of two continuous </w:t>
      </w:r>
      <w:r>
        <w:rPr>
          <w:sz w:val="22"/>
        </w:rPr>
        <w:t>HRT regimens on cardiovascular risk factors. </w:t>
      </w:r>
      <w:r>
        <w:rPr>
          <w:i/>
          <w:sz w:val="22"/>
        </w:rPr>
        <w:t>Atherosclerosis</w:t>
      </w:r>
      <w:r>
        <w:rPr>
          <w:sz w:val="22"/>
        </w:rPr>
        <w:t>. 2002;160:185.</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Haenggi W, Bersinger NA, Mueller MD, Bikhaeuser MH. Decrease of serum endothelin </w:t>
      </w:r>
      <w:r>
        <w:rPr>
          <w:sz w:val="22"/>
        </w:rPr>
        <w:t>levels with postmenopausal hormone replacement therapy or tibolone. </w:t>
      </w:r>
      <w:r>
        <w:rPr>
          <w:i/>
          <w:sz w:val="22"/>
        </w:rPr>
        <w:t>Gynecol Endocrinol</w:t>
      </w:r>
      <w:r>
        <w:rPr>
          <w:sz w:val="22"/>
        </w:rPr>
        <w:t>. </w:t>
      </w:r>
      <w:r>
        <w:rPr>
          <w:spacing w:val="-2"/>
          <w:sz w:val="22"/>
        </w:rPr>
        <w:t>1999;13:202.</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Farish E, Barnes JF, Rolton HA, Spowart K, Fletcher CD, Hart DM. Effects of tibolone on lipoprotein(a) and HDL subfractions. </w:t>
      </w:r>
      <w:r>
        <w:rPr>
          <w:i/>
          <w:sz w:val="22"/>
        </w:rPr>
        <w:t>Maturitas</w:t>
      </w:r>
      <w:r>
        <w:rPr>
          <w:sz w:val="22"/>
        </w:rPr>
        <w:t>. 1994;20:215.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Lloyd GWL, Patel NR, McGing EA, Cooper AF, Kamalvand K, Jackson G. Acute effects of hormone replacement with tibolone on myocardial ischaemia in women with angina. </w:t>
      </w:r>
      <w:r>
        <w:rPr>
          <w:i/>
          <w:sz w:val="22"/>
        </w:rPr>
        <w:t>Int J </w:t>
      </w:r>
      <w:r>
        <w:rPr>
          <w:i/>
          <w:sz w:val="22"/>
        </w:rPr>
        <w:t>Clin</w:t>
      </w:r>
      <w:r>
        <w:rPr>
          <w:i/>
          <w:sz w:val="22"/>
        </w:rPr>
        <w:t> Pract</w:t>
      </w:r>
      <w:r>
        <w:rPr>
          <w:sz w:val="22"/>
        </w:rPr>
        <w:t>. 1998;52:155.</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von Eckardstein A, Schmiddem K, Hövels A, et al. Lowering of HDL cholesterol in post-menopausal</w:t>
      </w:r>
      <w:r>
        <w:rPr>
          <w:spacing w:val="30"/>
          <w:sz w:val="22"/>
        </w:rPr>
        <w:t> </w:t>
      </w:r>
      <w:r>
        <w:rPr>
          <w:sz w:val="22"/>
        </w:rPr>
        <w:t>women</w:t>
      </w:r>
      <w:r>
        <w:rPr>
          <w:spacing w:val="30"/>
          <w:sz w:val="22"/>
        </w:rPr>
        <w:t> </w:t>
      </w:r>
      <w:r>
        <w:rPr>
          <w:sz w:val="22"/>
        </w:rPr>
        <w:t>by</w:t>
      </w:r>
      <w:r>
        <w:rPr>
          <w:spacing w:val="30"/>
          <w:sz w:val="22"/>
        </w:rPr>
        <w:t> </w:t>
      </w:r>
      <w:r>
        <w:rPr>
          <w:sz w:val="22"/>
        </w:rPr>
        <w:t>tibolone</w:t>
      </w:r>
      <w:r>
        <w:rPr>
          <w:spacing w:val="30"/>
          <w:sz w:val="22"/>
        </w:rPr>
        <w:t> </w:t>
      </w:r>
      <w:r>
        <w:rPr>
          <w:sz w:val="22"/>
        </w:rPr>
        <w:t>is</w:t>
      </w:r>
      <w:r>
        <w:rPr>
          <w:spacing w:val="30"/>
          <w:sz w:val="22"/>
        </w:rPr>
        <w:t> </w:t>
      </w:r>
      <w:r>
        <w:rPr>
          <w:sz w:val="22"/>
        </w:rPr>
        <w:t>not</w:t>
      </w:r>
      <w:r>
        <w:rPr>
          <w:spacing w:val="30"/>
          <w:sz w:val="22"/>
        </w:rPr>
        <w:t> </w:t>
      </w:r>
      <w:r>
        <w:rPr>
          <w:sz w:val="22"/>
        </w:rPr>
        <w:t>associated</w:t>
      </w:r>
      <w:r>
        <w:rPr>
          <w:spacing w:val="30"/>
          <w:sz w:val="22"/>
        </w:rPr>
        <w:t> </w:t>
      </w:r>
      <w:r>
        <w:rPr>
          <w:sz w:val="22"/>
        </w:rPr>
        <w:t>with</w:t>
      </w:r>
      <w:r>
        <w:rPr>
          <w:spacing w:val="30"/>
          <w:sz w:val="22"/>
        </w:rPr>
        <w:t> </w:t>
      </w:r>
      <w:r>
        <w:rPr>
          <w:sz w:val="22"/>
        </w:rPr>
        <w:t>changes</w:t>
      </w:r>
      <w:r>
        <w:rPr>
          <w:spacing w:val="30"/>
          <w:sz w:val="22"/>
        </w:rPr>
        <w:t> </w:t>
      </w:r>
      <w:r>
        <w:rPr>
          <w:sz w:val="22"/>
        </w:rPr>
        <w:t>in</w:t>
      </w:r>
      <w:r>
        <w:rPr>
          <w:spacing w:val="30"/>
          <w:sz w:val="22"/>
        </w:rPr>
        <w:t> </w:t>
      </w:r>
      <w:r>
        <w:rPr>
          <w:sz w:val="22"/>
        </w:rPr>
        <w:t>cholesterol</w:t>
      </w:r>
      <w:r>
        <w:rPr>
          <w:spacing w:val="30"/>
          <w:sz w:val="22"/>
        </w:rPr>
        <w:t> </w:t>
      </w:r>
      <w:r>
        <w:rPr>
          <w:sz w:val="22"/>
        </w:rPr>
        <w:t>efflux</w:t>
      </w:r>
      <w:r>
        <w:rPr>
          <w:spacing w:val="30"/>
          <w:sz w:val="22"/>
        </w:rPr>
        <w:t> </w:t>
      </w:r>
      <w:r>
        <w:rPr>
          <w:sz w:val="22"/>
        </w:rPr>
        <w:t>capacity or paraoxonase activity. </w:t>
      </w:r>
      <w:r>
        <w:rPr>
          <w:i/>
          <w:sz w:val="22"/>
        </w:rPr>
        <w:t>Atherosclerosis</w:t>
      </w:r>
      <w:r>
        <w:rPr>
          <w:sz w:val="22"/>
        </w:rPr>
        <w:t>. 2001;159:433.</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Castelo-Branco C, Casals E, Figueras F, et al. Two-year prospective and comparative study on the effects of tibolone on lipid pattern, behavior of apolipoproteins A1 and B. </w:t>
      </w:r>
      <w:r>
        <w:rPr>
          <w:i/>
          <w:sz w:val="22"/>
        </w:rPr>
        <w:t>Menopause</w:t>
      </w:r>
      <w:r>
        <w:rPr>
          <w:sz w:val="22"/>
        </w:rPr>
        <w:t>. </w:t>
      </w:r>
      <w:r>
        <w:rPr>
          <w:spacing w:val="-2"/>
          <w:sz w:val="22"/>
        </w:rPr>
        <w:t>1999;6:92.</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Bjarnason NH, Bjarnason K, Haarbo J, Coelingh Bennink HJT, Christiansen C. Tibolone: influence on markers of cardiovascular disease. </w:t>
      </w:r>
      <w:r>
        <w:rPr>
          <w:i/>
          <w:sz w:val="22"/>
        </w:rPr>
        <w:t>J Clin Endocrinol Metab</w:t>
      </w:r>
      <w:r>
        <w:rPr>
          <w:sz w:val="22"/>
        </w:rPr>
        <w:t>. 1997;82:1752.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Kloosterboer HJ, Benedek Jaszmann L, Kicovic PM. Long-term effects of OrgOD14 on </w:t>
      </w:r>
      <w:r>
        <w:rPr>
          <w:sz w:val="22"/>
        </w:rPr>
        <w:t>lipid metabolism in post-menopausal women. </w:t>
      </w:r>
      <w:r>
        <w:rPr>
          <w:i/>
          <w:sz w:val="22"/>
        </w:rPr>
        <w:t>Maturitas</w:t>
      </w:r>
      <w:r>
        <w:rPr>
          <w:sz w:val="22"/>
        </w:rPr>
        <w:t>. 1990;12:37.</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Pan</w:t>
      </w:r>
      <w:r>
        <w:rPr>
          <w:spacing w:val="29"/>
          <w:sz w:val="22"/>
        </w:rPr>
        <w:t> </w:t>
      </w:r>
      <w:r>
        <w:rPr>
          <w:sz w:val="22"/>
        </w:rPr>
        <w:t>H-A,</w:t>
      </w:r>
      <w:r>
        <w:rPr>
          <w:spacing w:val="29"/>
          <w:sz w:val="22"/>
        </w:rPr>
        <w:t> </w:t>
      </w:r>
      <w:r>
        <w:rPr>
          <w:sz w:val="22"/>
        </w:rPr>
        <w:t>Wang</w:t>
      </w:r>
      <w:r>
        <w:rPr>
          <w:spacing w:val="29"/>
          <w:sz w:val="22"/>
        </w:rPr>
        <w:t> </w:t>
      </w:r>
      <w:r>
        <w:rPr>
          <w:sz w:val="22"/>
        </w:rPr>
        <w:t>S-T,</w:t>
      </w:r>
      <w:r>
        <w:rPr>
          <w:spacing w:val="29"/>
          <w:sz w:val="22"/>
        </w:rPr>
        <w:t> </w:t>
      </w:r>
      <w:r>
        <w:rPr>
          <w:sz w:val="22"/>
        </w:rPr>
        <w:t>Chen</w:t>
      </w:r>
      <w:r>
        <w:rPr>
          <w:spacing w:val="29"/>
          <w:sz w:val="22"/>
        </w:rPr>
        <w:t> </w:t>
      </w:r>
      <w:r>
        <w:rPr>
          <w:sz w:val="22"/>
        </w:rPr>
        <w:t>C-H,</w:t>
      </w:r>
      <w:r>
        <w:rPr>
          <w:spacing w:val="29"/>
          <w:sz w:val="22"/>
        </w:rPr>
        <w:t> </w:t>
      </w:r>
      <w:r>
        <w:rPr>
          <w:sz w:val="22"/>
        </w:rPr>
        <w:t>Pai</w:t>
      </w:r>
      <w:r>
        <w:rPr>
          <w:spacing w:val="29"/>
          <w:sz w:val="22"/>
        </w:rPr>
        <w:t> </w:t>
      </w:r>
      <w:r>
        <w:rPr>
          <w:sz w:val="22"/>
        </w:rPr>
        <w:t>M-C,</w:t>
      </w:r>
      <w:r>
        <w:rPr>
          <w:spacing w:val="29"/>
          <w:sz w:val="22"/>
        </w:rPr>
        <w:t> </w:t>
      </w:r>
      <w:r>
        <w:rPr>
          <w:sz w:val="22"/>
        </w:rPr>
        <w:t>Wu</w:t>
      </w:r>
      <w:r>
        <w:rPr>
          <w:spacing w:val="29"/>
          <w:sz w:val="22"/>
        </w:rPr>
        <w:t> </w:t>
      </w:r>
      <w:r>
        <w:rPr>
          <w:sz w:val="22"/>
        </w:rPr>
        <w:t>M-H,</w:t>
      </w:r>
      <w:r>
        <w:rPr>
          <w:spacing w:val="29"/>
          <w:sz w:val="22"/>
        </w:rPr>
        <w:t> </w:t>
      </w:r>
      <w:r>
        <w:rPr>
          <w:sz w:val="22"/>
        </w:rPr>
        <w:t>Huang</w:t>
      </w:r>
      <w:r>
        <w:rPr>
          <w:spacing w:val="29"/>
          <w:sz w:val="22"/>
        </w:rPr>
        <w:t> </w:t>
      </w:r>
      <w:r>
        <w:rPr>
          <w:sz w:val="22"/>
        </w:rPr>
        <w:t>K-E.</w:t>
      </w:r>
      <w:r>
        <w:rPr>
          <w:spacing w:val="29"/>
          <w:sz w:val="22"/>
        </w:rPr>
        <w:t> </w:t>
      </w:r>
      <w:r>
        <w:rPr>
          <w:sz w:val="22"/>
        </w:rPr>
        <w:t>Flow</w:t>
      </w:r>
      <w:r>
        <w:rPr>
          <w:spacing w:val="27"/>
          <w:sz w:val="22"/>
        </w:rPr>
        <w:t> </w:t>
      </w:r>
      <w:r>
        <w:rPr>
          <w:sz w:val="22"/>
        </w:rPr>
        <w:t>resistance</w:t>
      </w:r>
      <w:r>
        <w:rPr>
          <w:spacing w:val="27"/>
          <w:sz w:val="22"/>
        </w:rPr>
        <w:t> </w:t>
      </w:r>
      <w:r>
        <w:rPr>
          <w:sz w:val="22"/>
        </w:rPr>
        <w:t>in</w:t>
      </w:r>
      <w:r>
        <w:rPr>
          <w:spacing w:val="27"/>
          <w:sz w:val="22"/>
        </w:rPr>
        <w:t> </w:t>
      </w:r>
      <w:r>
        <w:rPr>
          <w:sz w:val="22"/>
        </w:rPr>
        <w:t>carotid and middle cerebral arteries in postmenopausal women: a comparative study of tibolone </w:t>
      </w:r>
      <w:r>
        <w:rPr>
          <w:sz w:val="22"/>
        </w:rPr>
        <w:t>and continuous combined hormone replacement therapy. </w:t>
      </w:r>
      <w:r>
        <w:rPr>
          <w:i/>
          <w:sz w:val="22"/>
        </w:rPr>
        <w:t>Climacteric</w:t>
      </w:r>
      <w:r>
        <w:rPr>
          <w:sz w:val="22"/>
        </w:rPr>
        <w:t>. 2002;5:259.</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Cetinkaya MB, Alper T, Kökcü A, Yanik FF, Malatyalioglu E. Tibolone versus four </w:t>
      </w:r>
      <w:r>
        <w:rPr>
          <w:sz w:val="22"/>
        </w:rPr>
        <w:t>estrogen replacement therapy protocols and plasma lipid levels in postmenopausal women. </w:t>
      </w:r>
      <w:r>
        <w:rPr>
          <w:i/>
          <w:sz w:val="22"/>
        </w:rPr>
        <w:t>Int J</w:t>
      </w:r>
      <w:r>
        <w:rPr>
          <w:i/>
          <w:spacing w:val="40"/>
          <w:sz w:val="22"/>
        </w:rPr>
        <w:t> </w:t>
      </w:r>
      <w:r>
        <w:rPr>
          <w:i/>
          <w:sz w:val="22"/>
        </w:rPr>
        <w:t>Gynaecol Obstet</w:t>
      </w:r>
      <w:r>
        <w:rPr>
          <w:sz w:val="22"/>
        </w:rPr>
        <w:t>. 2002;79:17.</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von</w:t>
      </w:r>
      <w:r>
        <w:rPr>
          <w:spacing w:val="23"/>
          <w:sz w:val="22"/>
        </w:rPr>
        <w:t> </w:t>
      </w:r>
      <w:r>
        <w:rPr>
          <w:sz w:val="22"/>
        </w:rPr>
        <w:t>Eckardstein</w:t>
      </w:r>
      <w:r>
        <w:rPr>
          <w:spacing w:val="23"/>
          <w:sz w:val="22"/>
        </w:rPr>
        <w:t> </w:t>
      </w:r>
      <w:r>
        <w:rPr>
          <w:sz w:val="22"/>
        </w:rPr>
        <w:t>A,</w:t>
      </w:r>
      <w:r>
        <w:rPr>
          <w:spacing w:val="23"/>
          <w:sz w:val="22"/>
        </w:rPr>
        <w:t> </w:t>
      </w:r>
      <w:r>
        <w:rPr>
          <w:sz w:val="22"/>
        </w:rPr>
        <w:t>Nofer</w:t>
      </w:r>
      <w:r>
        <w:rPr>
          <w:spacing w:val="23"/>
          <w:sz w:val="22"/>
        </w:rPr>
        <w:t> </w:t>
      </w:r>
      <w:r>
        <w:rPr>
          <w:sz w:val="22"/>
        </w:rPr>
        <w:t>JR,</w:t>
      </w:r>
      <w:r>
        <w:rPr>
          <w:spacing w:val="23"/>
          <w:sz w:val="22"/>
        </w:rPr>
        <w:t> </w:t>
      </w:r>
      <w:r>
        <w:rPr>
          <w:sz w:val="22"/>
        </w:rPr>
        <w:t>Assmann</w:t>
      </w:r>
      <w:r>
        <w:rPr>
          <w:spacing w:val="23"/>
          <w:sz w:val="22"/>
        </w:rPr>
        <w:t> </w:t>
      </w:r>
      <w:r>
        <w:rPr>
          <w:sz w:val="22"/>
        </w:rPr>
        <w:t>G.</w:t>
      </w:r>
      <w:r>
        <w:rPr>
          <w:spacing w:val="23"/>
          <w:sz w:val="22"/>
        </w:rPr>
        <w:t> </w:t>
      </w:r>
      <w:r>
        <w:rPr>
          <w:sz w:val="22"/>
        </w:rPr>
        <w:t>High</w:t>
      </w:r>
      <w:r>
        <w:rPr>
          <w:spacing w:val="22"/>
          <w:sz w:val="22"/>
        </w:rPr>
        <w:t> </w:t>
      </w:r>
      <w:r>
        <w:rPr>
          <w:sz w:val="22"/>
        </w:rPr>
        <w:t>density</w:t>
      </w:r>
      <w:r>
        <w:rPr>
          <w:spacing w:val="22"/>
          <w:sz w:val="22"/>
        </w:rPr>
        <w:t> </w:t>
      </w:r>
      <w:r>
        <w:rPr>
          <w:sz w:val="22"/>
        </w:rPr>
        <w:t>lipoproteins</w:t>
      </w:r>
      <w:r>
        <w:rPr>
          <w:spacing w:val="22"/>
          <w:sz w:val="22"/>
        </w:rPr>
        <w:t> </w:t>
      </w:r>
      <w:r>
        <w:rPr>
          <w:sz w:val="22"/>
        </w:rPr>
        <w:t>and</w:t>
      </w:r>
      <w:r>
        <w:rPr>
          <w:spacing w:val="22"/>
          <w:sz w:val="22"/>
        </w:rPr>
        <w:t> </w:t>
      </w:r>
      <w:r>
        <w:rPr>
          <w:sz w:val="22"/>
        </w:rPr>
        <w:t>atherosclerosis:</w:t>
      </w:r>
      <w:r>
        <w:rPr>
          <w:spacing w:val="22"/>
          <w:sz w:val="22"/>
        </w:rPr>
        <w:t> </w:t>
      </w:r>
      <w:r>
        <w:rPr>
          <w:sz w:val="22"/>
        </w:rPr>
        <w:t>role of cholesterol efflux and reverse cholesterol transport. </w:t>
      </w:r>
      <w:r>
        <w:rPr>
          <w:i/>
          <w:sz w:val="22"/>
        </w:rPr>
        <w:t>Arterioscler Thromb Vasc Biol</w:t>
      </w:r>
      <w:r>
        <w:rPr>
          <w:sz w:val="22"/>
        </w:rPr>
        <w:t>. </w:t>
      </w:r>
      <w:r>
        <w:rPr>
          <w:spacing w:val="-2"/>
          <w:sz w:val="22"/>
        </w:rPr>
        <w:t>2001;21:13.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von Eckardstein A, Crook D, Elbers J, et al. Tibolone lowers high density lipoprotein</w:t>
      </w:r>
      <w:r>
        <w:rPr>
          <w:spacing w:val="80"/>
          <w:sz w:val="22"/>
        </w:rPr>
        <w:t> </w:t>
      </w:r>
      <w:r>
        <w:rPr>
          <w:sz w:val="22"/>
        </w:rPr>
        <w:t>cholesterol by increasing hepatic lipase activity but does not impair cholesterol efflux. </w:t>
      </w:r>
      <w:r>
        <w:rPr>
          <w:i/>
          <w:sz w:val="22"/>
        </w:rPr>
        <w:t>Clin</w:t>
      </w:r>
      <w:r>
        <w:rPr>
          <w:i/>
          <w:sz w:val="22"/>
        </w:rPr>
        <w:t> Endocrinol</w:t>
      </w:r>
      <w:r>
        <w:rPr>
          <w:sz w:val="22"/>
        </w:rPr>
        <w:t>. 2003;58:49.</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Morris</w:t>
      </w:r>
      <w:r>
        <w:rPr>
          <w:spacing w:val="40"/>
          <w:sz w:val="22"/>
        </w:rPr>
        <w:t> </w:t>
      </w:r>
      <w:r>
        <w:rPr>
          <w:sz w:val="22"/>
        </w:rPr>
        <w:t>EP,</w:t>
      </w:r>
      <w:r>
        <w:rPr>
          <w:spacing w:val="40"/>
          <w:sz w:val="22"/>
        </w:rPr>
        <w:t> </w:t>
      </w:r>
      <w:r>
        <w:rPr>
          <w:sz w:val="22"/>
        </w:rPr>
        <w:t>Denton</w:t>
      </w:r>
      <w:r>
        <w:rPr>
          <w:spacing w:val="40"/>
          <w:sz w:val="22"/>
        </w:rPr>
        <w:t> </w:t>
      </w:r>
      <w:r>
        <w:rPr>
          <w:sz w:val="22"/>
        </w:rPr>
        <w:t>ERE,</w:t>
      </w:r>
      <w:r>
        <w:rPr>
          <w:spacing w:val="40"/>
          <w:sz w:val="22"/>
        </w:rPr>
        <w:t> </w:t>
      </w:r>
      <w:r>
        <w:rPr>
          <w:sz w:val="22"/>
        </w:rPr>
        <w:t>Robinson</w:t>
      </w:r>
      <w:r>
        <w:rPr>
          <w:spacing w:val="40"/>
          <w:sz w:val="22"/>
        </w:rPr>
        <w:t> </w:t>
      </w:r>
      <w:r>
        <w:rPr>
          <w:sz w:val="22"/>
        </w:rPr>
        <w:t>JG,</w:t>
      </w:r>
      <w:r>
        <w:rPr>
          <w:spacing w:val="40"/>
          <w:sz w:val="22"/>
        </w:rPr>
        <w:t> </w:t>
      </w:r>
      <w:r>
        <w:rPr>
          <w:sz w:val="22"/>
        </w:rPr>
        <w:t>MacDonald</w:t>
      </w:r>
      <w:r>
        <w:rPr>
          <w:spacing w:val="40"/>
          <w:sz w:val="22"/>
        </w:rPr>
        <w:t> </w:t>
      </w:r>
      <w:r>
        <w:rPr>
          <w:sz w:val="22"/>
        </w:rPr>
        <w:t>LM,</w:t>
      </w:r>
      <w:r>
        <w:rPr>
          <w:spacing w:val="40"/>
          <w:sz w:val="22"/>
        </w:rPr>
        <w:t> </w:t>
      </w:r>
      <w:r>
        <w:rPr>
          <w:sz w:val="22"/>
        </w:rPr>
        <w:t>Rymer</w:t>
      </w:r>
      <w:r>
        <w:rPr>
          <w:spacing w:val="40"/>
          <w:sz w:val="22"/>
        </w:rPr>
        <w:t> </w:t>
      </w:r>
      <w:r>
        <w:rPr>
          <w:sz w:val="22"/>
        </w:rPr>
        <w:t>JM.</w:t>
      </w:r>
      <w:r>
        <w:rPr>
          <w:spacing w:val="40"/>
          <w:sz w:val="22"/>
        </w:rPr>
        <w:t> </w:t>
      </w:r>
      <w:r>
        <w:rPr>
          <w:sz w:val="22"/>
        </w:rPr>
        <w:t>High </w:t>
      </w:r>
      <w:r>
        <w:rPr>
          <w:sz w:val="22"/>
        </w:rPr>
        <w:t>resolution ultrasound</w:t>
      </w:r>
      <w:r>
        <w:rPr>
          <w:spacing w:val="34"/>
          <w:sz w:val="22"/>
        </w:rPr>
        <w:t> </w:t>
      </w:r>
      <w:r>
        <w:rPr>
          <w:sz w:val="22"/>
        </w:rPr>
        <w:t>assessment</w:t>
      </w:r>
      <w:r>
        <w:rPr>
          <w:spacing w:val="34"/>
          <w:sz w:val="22"/>
        </w:rPr>
        <w:t> </w:t>
      </w:r>
      <w:r>
        <w:rPr>
          <w:sz w:val="22"/>
        </w:rPr>
        <w:t>of</w:t>
      </w:r>
      <w:r>
        <w:rPr>
          <w:spacing w:val="34"/>
          <w:sz w:val="22"/>
        </w:rPr>
        <w:t> </w:t>
      </w:r>
      <w:r>
        <w:rPr>
          <w:sz w:val="22"/>
        </w:rPr>
        <w:t>the</w:t>
      </w:r>
      <w:r>
        <w:rPr>
          <w:spacing w:val="34"/>
          <w:sz w:val="22"/>
        </w:rPr>
        <w:t> </w:t>
      </w:r>
      <w:r>
        <w:rPr>
          <w:sz w:val="22"/>
        </w:rPr>
        <w:t>carotid</w:t>
      </w:r>
      <w:r>
        <w:rPr>
          <w:spacing w:val="34"/>
          <w:sz w:val="22"/>
        </w:rPr>
        <w:t> </w:t>
      </w:r>
      <w:r>
        <w:rPr>
          <w:sz w:val="22"/>
        </w:rPr>
        <w:t>artery:</w:t>
      </w:r>
      <w:r>
        <w:rPr>
          <w:spacing w:val="34"/>
          <w:sz w:val="22"/>
        </w:rPr>
        <w:t> </w:t>
      </w:r>
      <w:r>
        <w:rPr>
          <w:sz w:val="22"/>
        </w:rPr>
        <w:t>its</w:t>
      </w:r>
      <w:r>
        <w:rPr>
          <w:spacing w:val="34"/>
          <w:sz w:val="22"/>
        </w:rPr>
        <w:t> </w:t>
      </w:r>
      <w:r>
        <w:rPr>
          <w:sz w:val="22"/>
        </w:rPr>
        <w:t>relevance</w:t>
      </w:r>
      <w:r>
        <w:rPr>
          <w:spacing w:val="34"/>
          <w:sz w:val="22"/>
        </w:rPr>
        <w:t> </w:t>
      </w:r>
      <w:r>
        <w:rPr>
          <w:sz w:val="22"/>
        </w:rPr>
        <w:t>in</w:t>
      </w:r>
      <w:r>
        <w:rPr>
          <w:spacing w:val="34"/>
          <w:sz w:val="22"/>
        </w:rPr>
        <w:t> </w:t>
      </w:r>
      <w:r>
        <w:rPr>
          <w:sz w:val="22"/>
        </w:rPr>
        <w:t>postmenopausal</w:t>
      </w:r>
      <w:r>
        <w:rPr>
          <w:spacing w:val="34"/>
          <w:sz w:val="22"/>
        </w:rPr>
        <w:t> </w:t>
      </w:r>
      <w:r>
        <w:rPr>
          <w:sz w:val="22"/>
        </w:rPr>
        <w:t>women</w:t>
      </w:r>
      <w:r>
        <w:rPr>
          <w:spacing w:val="34"/>
          <w:sz w:val="22"/>
        </w:rPr>
        <w:t> </w:t>
      </w:r>
      <w:r>
        <w:rPr>
          <w:sz w:val="22"/>
        </w:rPr>
        <w:t>and</w:t>
      </w:r>
      <w:r>
        <w:rPr>
          <w:spacing w:val="34"/>
          <w:sz w:val="22"/>
        </w:rPr>
        <w:t> </w:t>
      </w:r>
      <w:r>
        <w:rPr>
          <w:sz w:val="22"/>
        </w:rPr>
        <w:t>the</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effects</w:t>
      </w:r>
      <w:r>
        <w:rPr>
          <w:spacing w:val="13"/>
          <w:sz w:val="22"/>
        </w:rPr>
        <w:t> </w:t>
      </w:r>
      <w:r>
        <w:rPr>
          <w:sz w:val="22"/>
        </w:rPr>
        <w:t>of</w:t>
      </w:r>
      <w:r>
        <w:rPr>
          <w:spacing w:val="13"/>
          <w:sz w:val="22"/>
        </w:rPr>
        <w:t> </w:t>
      </w:r>
      <w:r>
        <w:rPr>
          <w:sz w:val="22"/>
        </w:rPr>
        <w:t>tibolone</w:t>
      </w:r>
      <w:r>
        <w:rPr>
          <w:spacing w:val="13"/>
          <w:sz w:val="22"/>
        </w:rPr>
        <w:t> </w:t>
      </w:r>
      <w:r>
        <w:rPr>
          <w:sz w:val="22"/>
        </w:rPr>
        <w:t>on</w:t>
      </w:r>
      <w:r>
        <w:rPr>
          <w:spacing w:val="13"/>
          <w:sz w:val="22"/>
        </w:rPr>
        <w:t> </w:t>
      </w:r>
      <w:r>
        <w:rPr>
          <w:sz w:val="22"/>
        </w:rPr>
        <w:t>carotid</w:t>
      </w:r>
      <w:r>
        <w:rPr>
          <w:spacing w:val="13"/>
          <w:sz w:val="22"/>
        </w:rPr>
        <w:t> </w:t>
      </w:r>
      <w:r>
        <w:rPr>
          <w:sz w:val="22"/>
        </w:rPr>
        <w:t>artery</w:t>
      </w:r>
      <w:r>
        <w:rPr>
          <w:spacing w:val="13"/>
          <w:sz w:val="22"/>
        </w:rPr>
        <w:t> </w:t>
      </w:r>
      <w:r>
        <w:rPr>
          <w:sz w:val="22"/>
        </w:rPr>
        <w:t>ultrastructure.</w:t>
      </w:r>
      <w:r>
        <w:rPr>
          <w:spacing w:val="13"/>
          <w:sz w:val="22"/>
        </w:rPr>
        <w:t> </w:t>
      </w:r>
      <w:r>
        <w:rPr>
          <w:i/>
          <w:sz w:val="22"/>
        </w:rPr>
        <w:t>Climacteric</w:t>
      </w:r>
      <w:r>
        <w:rPr>
          <w:sz w:val="22"/>
        </w:rPr>
        <w:t>.</w:t>
      </w:r>
      <w:r>
        <w:rPr>
          <w:spacing w:val="14"/>
          <w:sz w:val="22"/>
        </w:rPr>
        <w:t> </w:t>
      </w:r>
      <w:r>
        <w:rPr>
          <w:spacing w:val="-2"/>
          <w:sz w:val="22"/>
        </w:rPr>
        <w:t>1999;2:13.</w:t>
      </w:r>
    </w:p>
    <w:p>
      <w:pPr>
        <w:pStyle w:val="ListParagraph"/>
        <w:numPr>
          <w:ilvl w:val="0"/>
          <w:numId w:val="19"/>
        </w:numPr>
        <w:tabs>
          <w:tab w:pos="709" w:val="left" w:leader="none"/>
          <w:tab w:pos="718" w:val="left" w:leader="none"/>
        </w:tabs>
        <w:spacing w:line="256" w:lineRule="auto" w:before="17" w:after="0"/>
        <w:ind w:left="718" w:right="100" w:hanging="507"/>
        <w:jc w:val="both"/>
        <w:rPr>
          <w:sz w:val="22"/>
        </w:rPr>
      </w:pPr>
      <w:r>
        <w:rPr>
          <w:sz w:val="22"/>
        </w:rPr>
        <w:t>de Kleijn MJ, Wilmink HW, Bots ML, et al. Hormone replacement therapy and endothelial function: results of a randomized controlled trial in healthy postmenopausal women. </w:t>
      </w:r>
      <w:r>
        <w:rPr>
          <w:i/>
          <w:sz w:val="22"/>
        </w:rPr>
        <w:t>Atherosclerosis</w:t>
      </w:r>
      <w:r>
        <w:rPr>
          <w:sz w:val="22"/>
        </w:rPr>
        <w:t>. 2001;159:357.</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Ceballos C, Ribes C, Amado JA, de Mier I, de Rozas LS, Berrazueta JR. Venous endothelial function</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after</w:t>
      </w:r>
      <w:r>
        <w:rPr>
          <w:spacing w:val="40"/>
          <w:sz w:val="22"/>
        </w:rPr>
        <w:t> </w:t>
      </w:r>
      <w:r>
        <w:rPr>
          <w:sz w:val="22"/>
        </w:rPr>
        <w:t>six</w:t>
      </w:r>
      <w:r>
        <w:rPr>
          <w:spacing w:val="40"/>
          <w:sz w:val="22"/>
        </w:rPr>
        <w:t> </w:t>
      </w:r>
      <w:r>
        <w:rPr>
          <w:sz w:val="22"/>
        </w:rPr>
        <w:t>months</w:t>
      </w:r>
      <w:r>
        <w:rPr>
          <w:spacing w:val="40"/>
          <w:sz w:val="22"/>
        </w:rPr>
        <w:t> </w:t>
      </w:r>
      <w:r>
        <w:rPr>
          <w:sz w:val="22"/>
        </w:rPr>
        <w:t>of</w:t>
      </w:r>
      <w:r>
        <w:rPr>
          <w:spacing w:val="40"/>
          <w:sz w:val="22"/>
        </w:rPr>
        <w:t> </w:t>
      </w:r>
      <w:r>
        <w:rPr>
          <w:sz w:val="22"/>
        </w:rPr>
        <w:t>tibolone</w:t>
      </w:r>
      <w:r>
        <w:rPr>
          <w:spacing w:val="40"/>
          <w:sz w:val="22"/>
        </w:rPr>
        <w:t> </w:t>
      </w:r>
      <w:r>
        <w:rPr>
          <w:sz w:val="22"/>
        </w:rPr>
        <w:t>therapy.</w:t>
      </w:r>
      <w:r>
        <w:rPr>
          <w:spacing w:val="40"/>
          <w:sz w:val="22"/>
        </w:rPr>
        <w:t> </w:t>
      </w:r>
      <w:r>
        <w:rPr>
          <w:i/>
          <w:sz w:val="22"/>
        </w:rPr>
        <w:t>Maturitas</w:t>
      </w:r>
      <w:r>
        <w:rPr>
          <w:sz w:val="22"/>
        </w:rPr>
        <w:t>. </w:t>
      </w:r>
      <w:r>
        <w:rPr>
          <w:spacing w:val="-2"/>
          <w:sz w:val="22"/>
        </w:rPr>
        <w:t>2001;39:63.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Manzella D, Fornaro F, Carbonella M, Picardi C, Paolisso G, Colacurci N. Effect of </w:t>
      </w:r>
      <w:r>
        <w:rPr>
          <w:sz w:val="22"/>
        </w:rPr>
        <w:t>tibolone administration on heart rate variability and free fatty acid levels in postmenopausal women. </w:t>
      </w:r>
      <w:r>
        <w:rPr>
          <w:i/>
          <w:sz w:val="22"/>
        </w:rPr>
        <w:t>Fertil Steril</w:t>
      </w:r>
      <w:r>
        <w:rPr>
          <w:sz w:val="22"/>
        </w:rPr>
        <w:t>. 2002;78:1005.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Simoncini T, Genazzani AR. Tibolone inhibits leukocyte adhesion molecule expression </w:t>
      </w:r>
      <w:r>
        <w:rPr>
          <w:sz w:val="22"/>
        </w:rPr>
        <w:t>in human endothelial cells. </w:t>
      </w:r>
      <w:r>
        <w:rPr>
          <w:i/>
          <w:sz w:val="22"/>
        </w:rPr>
        <w:t>Mol Cell Endocrinol</w:t>
      </w:r>
      <w:r>
        <w:rPr>
          <w:sz w:val="22"/>
        </w:rPr>
        <w:t>. 2000;162:87.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Bots ML, Evans GW, Riley W, et al. The effect of tibolone and continuous combined</w:t>
      </w:r>
      <w:r>
        <w:rPr>
          <w:spacing w:val="80"/>
          <w:sz w:val="22"/>
        </w:rPr>
        <w:t> </w:t>
      </w:r>
      <w:r>
        <w:rPr>
          <w:sz w:val="22"/>
        </w:rPr>
        <w:t>conjugated equine oestrogens plus medroxyprogesterone acetate on progression of </w:t>
      </w:r>
      <w:r>
        <w:rPr>
          <w:sz w:val="22"/>
        </w:rPr>
        <w:t>carotid intima-media thickness. </w:t>
      </w:r>
      <w:r>
        <w:rPr>
          <w:i/>
          <w:sz w:val="22"/>
        </w:rPr>
        <w:t>Eur Heart J</w:t>
      </w:r>
      <w:r>
        <w:rPr>
          <w:sz w:val="22"/>
        </w:rPr>
        <w:t>. 2006;27:746.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Renoux C, Dell’Aniello S, Suissa S. Hormone replacement therapy and the risk of venous thromboembolism: population-based study. </w:t>
      </w:r>
      <w:r>
        <w:rPr>
          <w:i/>
          <w:sz w:val="22"/>
        </w:rPr>
        <w:t>J Thromb Haemost</w:t>
      </w:r>
      <w:r>
        <w:rPr>
          <w:sz w:val="22"/>
        </w:rPr>
        <w:t>. 2010;8:979.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De</w:t>
      </w:r>
      <w:r>
        <w:rPr>
          <w:spacing w:val="32"/>
          <w:sz w:val="22"/>
        </w:rPr>
        <w:t> </w:t>
      </w:r>
      <w:r>
        <w:rPr>
          <w:sz w:val="22"/>
        </w:rPr>
        <w:t>Beer</w:t>
      </w:r>
      <w:r>
        <w:rPr>
          <w:spacing w:val="32"/>
          <w:sz w:val="22"/>
        </w:rPr>
        <w:t> </w:t>
      </w:r>
      <w:r>
        <w:rPr>
          <w:sz w:val="22"/>
        </w:rPr>
        <w:t>F,</w:t>
      </w:r>
      <w:r>
        <w:rPr>
          <w:spacing w:val="32"/>
          <w:sz w:val="22"/>
        </w:rPr>
        <w:t> </w:t>
      </w:r>
      <w:r>
        <w:rPr>
          <w:sz w:val="22"/>
        </w:rPr>
        <w:t>Smelt</w:t>
      </w:r>
      <w:r>
        <w:rPr>
          <w:spacing w:val="32"/>
          <w:sz w:val="22"/>
        </w:rPr>
        <w:t> </w:t>
      </w:r>
      <w:r>
        <w:rPr>
          <w:sz w:val="22"/>
        </w:rPr>
        <w:t>AHM,</w:t>
      </w:r>
      <w:r>
        <w:rPr>
          <w:spacing w:val="32"/>
          <w:sz w:val="22"/>
        </w:rPr>
        <w:t> </w:t>
      </w:r>
      <w:r>
        <w:rPr>
          <w:sz w:val="22"/>
        </w:rPr>
        <w:t>Van</w:t>
      </w:r>
      <w:r>
        <w:rPr>
          <w:spacing w:val="32"/>
          <w:sz w:val="22"/>
        </w:rPr>
        <w:t> </w:t>
      </w:r>
      <w:r>
        <w:rPr>
          <w:sz w:val="22"/>
        </w:rPr>
        <w:t>Vark</w:t>
      </w:r>
      <w:r>
        <w:rPr>
          <w:spacing w:val="32"/>
          <w:sz w:val="22"/>
        </w:rPr>
        <w:t> </w:t>
      </w:r>
      <w:r>
        <w:rPr>
          <w:sz w:val="22"/>
        </w:rPr>
        <w:t>LC,</w:t>
      </w:r>
      <w:r>
        <w:rPr>
          <w:spacing w:val="32"/>
          <w:sz w:val="22"/>
        </w:rPr>
        <w:t> </w:t>
      </w:r>
      <w:r>
        <w:rPr>
          <w:sz w:val="22"/>
        </w:rPr>
        <w:t>Hoogerbrugge</w:t>
      </w:r>
      <w:r>
        <w:rPr>
          <w:spacing w:val="32"/>
          <w:sz w:val="22"/>
        </w:rPr>
        <w:t> </w:t>
      </w:r>
      <w:r>
        <w:rPr>
          <w:sz w:val="22"/>
        </w:rPr>
        <w:t>N,</w:t>
      </w:r>
      <w:r>
        <w:rPr>
          <w:spacing w:val="32"/>
          <w:sz w:val="22"/>
        </w:rPr>
        <w:t> </w:t>
      </w:r>
      <w:r>
        <w:rPr>
          <w:sz w:val="22"/>
        </w:rPr>
        <w:t>Havekes</w:t>
      </w:r>
      <w:r>
        <w:rPr>
          <w:spacing w:val="32"/>
          <w:sz w:val="22"/>
        </w:rPr>
        <w:t> </w:t>
      </w:r>
      <w:r>
        <w:rPr>
          <w:sz w:val="22"/>
        </w:rPr>
        <w:t>LM,</w:t>
      </w:r>
      <w:r>
        <w:rPr>
          <w:spacing w:val="32"/>
          <w:sz w:val="22"/>
        </w:rPr>
        <w:t> </w:t>
      </w:r>
      <w:r>
        <w:rPr>
          <w:sz w:val="22"/>
        </w:rPr>
        <w:t>Gevers</w:t>
      </w:r>
      <w:r>
        <w:rPr>
          <w:spacing w:val="32"/>
          <w:sz w:val="22"/>
        </w:rPr>
        <w:t> </w:t>
      </w:r>
      <w:r>
        <w:rPr>
          <w:sz w:val="22"/>
        </w:rPr>
        <w:t>Leuven</w:t>
      </w:r>
      <w:r>
        <w:rPr>
          <w:spacing w:val="32"/>
          <w:sz w:val="22"/>
        </w:rPr>
        <w:t> </w:t>
      </w:r>
      <w:r>
        <w:rPr>
          <w:sz w:val="22"/>
        </w:rPr>
        <w:t>JA. The effect of tibolone on the lipoprotein profile of postmenopausal women with type III hyperlipoproteinemia. </w:t>
      </w:r>
      <w:r>
        <w:rPr>
          <w:i/>
          <w:sz w:val="22"/>
        </w:rPr>
        <w:t>J Int Med</w:t>
      </w:r>
      <w:r>
        <w:rPr>
          <w:sz w:val="22"/>
        </w:rPr>
        <w:t>. 2002;251:148.</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Prelevic GM, Beljic T, Balint-Peric L, Ginsburg J. Metabolic effects of tibolone in postmenopausal</w:t>
      </w:r>
      <w:r>
        <w:rPr>
          <w:spacing w:val="40"/>
          <w:sz w:val="22"/>
        </w:rPr>
        <w:t> </w:t>
      </w:r>
      <w:r>
        <w:rPr>
          <w:sz w:val="22"/>
        </w:rPr>
        <w:t>women</w:t>
      </w:r>
      <w:r>
        <w:rPr>
          <w:spacing w:val="40"/>
          <w:sz w:val="22"/>
        </w:rPr>
        <w:t> </w:t>
      </w:r>
      <w:r>
        <w:rPr>
          <w:sz w:val="22"/>
        </w:rPr>
        <w:t>with</w:t>
      </w:r>
      <w:r>
        <w:rPr>
          <w:spacing w:val="40"/>
          <w:sz w:val="22"/>
        </w:rPr>
        <w:t> </w:t>
      </w:r>
      <w:r>
        <w:rPr>
          <w:sz w:val="22"/>
        </w:rPr>
        <w:t>non-insulin</w:t>
      </w:r>
      <w:r>
        <w:rPr>
          <w:spacing w:val="40"/>
          <w:sz w:val="22"/>
        </w:rPr>
        <w:t> </w:t>
      </w:r>
      <w:r>
        <w:rPr>
          <w:sz w:val="22"/>
        </w:rPr>
        <w:t>dependent</w:t>
      </w:r>
      <w:r>
        <w:rPr>
          <w:spacing w:val="40"/>
          <w:sz w:val="22"/>
        </w:rPr>
        <w:t> </w:t>
      </w:r>
      <w:r>
        <w:rPr>
          <w:sz w:val="22"/>
        </w:rPr>
        <w:t>diabetes</w:t>
      </w:r>
      <w:r>
        <w:rPr>
          <w:spacing w:val="40"/>
          <w:sz w:val="22"/>
        </w:rPr>
        <w:t> </w:t>
      </w:r>
      <w:r>
        <w:rPr>
          <w:sz w:val="22"/>
        </w:rPr>
        <w:t>mellitus.</w:t>
      </w:r>
      <w:r>
        <w:rPr>
          <w:spacing w:val="40"/>
          <w:sz w:val="22"/>
        </w:rPr>
        <w:t> </w:t>
      </w:r>
      <w:r>
        <w:rPr>
          <w:i/>
          <w:sz w:val="22"/>
        </w:rPr>
        <w:t>Maturitas</w:t>
      </w:r>
      <w:r>
        <w:rPr>
          <w:sz w:val="22"/>
        </w:rPr>
        <w:t>. </w:t>
      </w:r>
      <w:r>
        <w:rPr>
          <w:spacing w:val="-2"/>
          <w:sz w:val="22"/>
        </w:rPr>
        <w:t>1998;28:271.</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Wiegratz I, Starflinger F, Tetzloff W, et al. Effect of tibolone compared with sequential</w:t>
      </w:r>
      <w:r>
        <w:rPr>
          <w:spacing w:val="80"/>
          <w:sz w:val="22"/>
        </w:rPr>
        <w:t> </w:t>
      </w:r>
      <w:r>
        <w:rPr>
          <w:sz w:val="22"/>
        </w:rPr>
        <w:t>hormone replacement therapy on carbohydrate metabolism in postmenopausal </w:t>
      </w:r>
      <w:r>
        <w:rPr>
          <w:sz w:val="22"/>
        </w:rPr>
        <w:t>women. </w:t>
      </w:r>
      <w:r>
        <w:rPr>
          <w:i/>
          <w:sz w:val="22"/>
        </w:rPr>
        <w:t>Maturitas</w:t>
      </w:r>
      <w:r>
        <w:rPr>
          <w:sz w:val="22"/>
        </w:rPr>
        <w:t>. 2002;41:133.</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Ginsburg J, Prelevic G, Butler D, Okolo S. Clinical experience with tibolone (Livial) over </w:t>
      </w:r>
      <w:r>
        <w:rPr>
          <w:sz w:val="22"/>
        </w:rPr>
        <w:t>8 years. </w:t>
      </w:r>
      <w:r>
        <w:rPr>
          <w:i/>
          <w:sz w:val="22"/>
        </w:rPr>
        <w:t>Maturitas</w:t>
      </w:r>
      <w:r>
        <w:rPr>
          <w:sz w:val="22"/>
        </w:rPr>
        <w:t>. 1995;21:71.</w:t>
      </w:r>
    </w:p>
    <w:p>
      <w:pPr>
        <w:pStyle w:val="ListParagraph"/>
        <w:numPr>
          <w:ilvl w:val="0"/>
          <w:numId w:val="19"/>
        </w:numPr>
        <w:tabs>
          <w:tab w:pos="699" w:val="left" w:leader="none"/>
          <w:tab w:pos="718" w:val="left" w:leader="none"/>
        </w:tabs>
        <w:spacing w:line="256" w:lineRule="auto" w:before="0" w:after="0"/>
        <w:ind w:left="718" w:right="107" w:hanging="507"/>
        <w:jc w:val="both"/>
        <w:rPr>
          <w:sz w:val="22"/>
        </w:rPr>
      </w:pPr>
      <w:r>
        <w:rPr>
          <w:sz w:val="22"/>
        </w:rPr>
        <w:t>Meuwissen J, Wiegerinck M, Haverkorn M. Regression on endometrial thickness in</w:t>
      </w:r>
      <w:r>
        <w:rPr>
          <w:spacing w:val="80"/>
          <w:sz w:val="22"/>
        </w:rPr>
        <w:t> </w:t>
      </w:r>
      <w:r>
        <w:rPr>
          <w:sz w:val="22"/>
        </w:rPr>
        <w:t>combination with reduced withdrawal bleeding as a progestational effect of tibolone in postmenopausal women on oestrogen replacement therapy. </w:t>
      </w:r>
      <w:r>
        <w:rPr>
          <w:i/>
          <w:sz w:val="22"/>
        </w:rPr>
        <w:t>Maturitas</w:t>
      </w:r>
      <w:r>
        <w:rPr>
          <w:sz w:val="22"/>
        </w:rPr>
        <w:t>. 1995;21:121.</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Egarter C, Sator M, Berghammer P, Huber J. Efficacy tolerability, and rare side effects of tibolone treatment in postmenopausal women. </w:t>
      </w:r>
      <w:r>
        <w:rPr>
          <w:i/>
          <w:sz w:val="22"/>
        </w:rPr>
        <w:t>Int J Gynaecol Obstet</w:t>
      </w:r>
      <w:r>
        <w:rPr>
          <w:sz w:val="22"/>
        </w:rPr>
        <w:t>. 1999;64:281.</w:t>
      </w:r>
    </w:p>
    <w:p>
      <w:pPr>
        <w:pStyle w:val="ListParagraph"/>
        <w:numPr>
          <w:ilvl w:val="0"/>
          <w:numId w:val="19"/>
        </w:numPr>
        <w:tabs>
          <w:tab w:pos="710" w:val="left" w:leader="none"/>
        </w:tabs>
        <w:spacing w:line="252" w:lineRule="exact" w:before="0" w:after="0"/>
        <w:ind w:left="710" w:right="0" w:hanging="498"/>
        <w:jc w:val="both"/>
        <w:rPr>
          <w:sz w:val="22"/>
        </w:rPr>
      </w:pPr>
      <w:r>
        <w:rPr>
          <w:sz w:val="22"/>
        </w:rPr>
        <w:t>Völker</w:t>
      </w:r>
      <w:r>
        <w:rPr>
          <w:spacing w:val="46"/>
          <w:sz w:val="22"/>
        </w:rPr>
        <w:t> </w:t>
      </w:r>
      <w:r>
        <w:rPr>
          <w:sz w:val="22"/>
        </w:rPr>
        <w:t>W,</w:t>
      </w:r>
      <w:r>
        <w:rPr>
          <w:spacing w:val="46"/>
          <w:sz w:val="22"/>
        </w:rPr>
        <w:t> </w:t>
      </w:r>
      <w:r>
        <w:rPr>
          <w:sz w:val="22"/>
        </w:rPr>
        <w:t>Coelingh</w:t>
      </w:r>
      <w:r>
        <w:rPr>
          <w:spacing w:val="46"/>
          <w:sz w:val="22"/>
        </w:rPr>
        <w:t> </w:t>
      </w:r>
      <w:r>
        <w:rPr>
          <w:sz w:val="22"/>
        </w:rPr>
        <w:t>Bennink</w:t>
      </w:r>
      <w:r>
        <w:rPr>
          <w:spacing w:val="46"/>
          <w:sz w:val="22"/>
        </w:rPr>
        <w:t> </w:t>
      </w:r>
      <w:r>
        <w:rPr>
          <w:sz w:val="22"/>
        </w:rPr>
        <w:t>HJT,</w:t>
      </w:r>
      <w:r>
        <w:rPr>
          <w:spacing w:val="46"/>
          <w:sz w:val="22"/>
        </w:rPr>
        <w:t> </w:t>
      </w:r>
      <w:r>
        <w:rPr>
          <w:sz w:val="22"/>
        </w:rPr>
        <w:t>Helmond</w:t>
      </w:r>
      <w:r>
        <w:rPr>
          <w:spacing w:val="46"/>
          <w:sz w:val="22"/>
        </w:rPr>
        <w:t> </w:t>
      </w:r>
      <w:r>
        <w:rPr>
          <w:sz w:val="22"/>
        </w:rPr>
        <w:t>FA.</w:t>
      </w:r>
      <w:r>
        <w:rPr>
          <w:spacing w:val="46"/>
          <w:sz w:val="22"/>
        </w:rPr>
        <w:t> </w:t>
      </w:r>
      <w:r>
        <w:rPr>
          <w:sz w:val="22"/>
        </w:rPr>
        <w:t>Effects</w:t>
      </w:r>
      <w:r>
        <w:rPr>
          <w:spacing w:val="48"/>
          <w:sz w:val="22"/>
        </w:rPr>
        <w:t> </w:t>
      </w:r>
      <w:r>
        <w:rPr>
          <w:sz w:val="22"/>
        </w:rPr>
        <w:t>of</w:t>
      </w:r>
      <w:r>
        <w:rPr>
          <w:spacing w:val="48"/>
          <w:sz w:val="22"/>
        </w:rPr>
        <w:t> </w:t>
      </w:r>
      <w:r>
        <w:rPr>
          <w:sz w:val="22"/>
        </w:rPr>
        <w:t>tibolone</w:t>
      </w:r>
      <w:r>
        <w:rPr>
          <w:spacing w:val="48"/>
          <w:sz w:val="22"/>
        </w:rPr>
        <w:t> </w:t>
      </w:r>
      <w:r>
        <w:rPr>
          <w:sz w:val="22"/>
        </w:rPr>
        <w:t>on</w:t>
      </w:r>
      <w:r>
        <w:rPr>
          <w:spacing w:val="48"/>
          <w:sz w:val="22"/>
        </w:rPr>
        <w:t> </w:t>
      </w:r>
      <w:r>
        <w:rPr>
          <w:sz w:val="22"/>
        </w:rPr>
        <w:t>the</w:t>
      </w:r>
      <w:r>
        <w:rPr>
          <w:spacing w:val="48"/>
          <w:sz w:val="22"/>
        </w:rPr>
        <w:t> </w:t>
      </w:r>
      <w:r>
        <w:rPr>
          <w:spacing w:val="-2"/>
          <w:sz w:val="22"/>
        </w:rPr>
        <w:t>endometrium.</w:t>
      </w:r>
    </w:p>
    <w:p>
      <w:pPr>
        <w:spacing w:before="0"/>
        <w:ind w:left="718" w:right="0" w:firstLine="0"/>
        <w:jc w:val="both"/>
        <w:rPr>
          <w:sz w:val="22"/>
        </w:rPr>
      </w:pPr>
      <w:r>
        <w:rPr>
          <w:i/>
          <w:sz w:val="22"/>
        </w:rPr>
        <w:t>Climacteric</w:t>
      </w:r>
      <w:r>
        <w:rPr>
          <w:sz w:val="22"/>
        </w:rPr>
        <w:t>.</w:t>
      </w:r>
      <w:r>
        <w:rPr>
          <w:spacing w:val="21"/>
          <w:sz w:val="22"/>
        </w:rPr>
        <w:t> </w:t>
      </w:r>
      <w:r>
        <w:rPr>
          <w:spacing w:val="-2"/>
          <w:sz w:val="22"/>
        </w:rPr>
        <w:t>2001;4:203.</w:t>
      </w:r>
    </w:p>
    <w:p>
      <w:pPr>
        <w:pStyle w:val="ListParagraph"/>
        <w:numPr>
          <w:ilvl w:val="0"/>
          <w:numId w:val="19"/>
        </w:numPr>
        <w:tabs>
          <w:tab w:pos="709" w:val="left" w:leader="none"/>
          <w:tab w:pos="718" w:val="left" w:leader="none"/>
        </w:tabs>
        <w:spacing w:line="256" w:lineRule="auto" w:before="14" w:after="0"/>
        <w:ind w:left="718" w:right="106" w:hanging="507"/>
        <w:jc w:val="both"/>
        <w:rPr>
          <w:sz w:val="22"/>
        </w:rPr>
      </w:pPr>
      <w:r>
        <w:rPr>
          <w:sz w:val="22"/>
        </w:rPr>
        <w:t>Ginsburg</w:t>
      </w:r>
      <w:r>
        <w:rPr>
          <w:spacing w:val="40"/>
          <w:sz w:val="22"/>
        </w:rPr>
        <w:t> </w:t>
      </w:r>
      <w:r>
        <w:rPr>
          <w:sz w:val="22"/>
        </w:rPr>
        <w:t>J,</w:t>
      </w:r>
      <w:r>
        <w:rPr>
          <w:spacing w:val="40"/>
          <w:sz w:val="22"/>
        </w:rPr>
        <w:t> </w:t>
      </w:r>
      <w:r>
        <w:rPr>
          <w:sz w:val="22"/>
        </w:rPr>
        <w:t>Prelevic</w:t>
      </w:r>
      <w:r>
        <w:rPr>
          <w:spacing w:val="40"/>
          <w:sz w:val="22"/>
        </w:rPr>
        <w:t> </w:t>
      </w:r>
      <w:r>
        <w:rPr>
          <w:sz w:val="22"/>
        </w:rPr>
        <w:t>GM.</w:t>
      </w:r>
      <w:r>
        <w:rPr>
          <w:spacing w:val="40"/>
          <w:sz w:val="22"/>
        </w:rPr>
        <w:t> </w:t>
      </w:r>
      <w:r>
        <w:rPr>
          <w:sz w:val="22"/>
        </w:rPr>
        <w:t>Cause</w:t>
      </w:r>
      <w:r>
        <w:rPr>
          <w:spacing w:val="40"/>
          <w:sz w:val="22"/>
        </w:rPr>
        <w:t> </w:t>
      </w:r>
      <w:r>
        <w:rPr>
          <w:sz w:val="22"/>
        </w:rPr>
        <w:t>of</w:t>
      </w:r>
      <w:r>
        <w:rPr>
          <w:spacing w:val="40"/>
          <w:sz w:val="22"/>
        </w:rPr>
        <w:t> </w:t>
      </w:r>
      <w:r>
        <w:rPr>
          <w:sz w:val="22"/>
        </w:rPr>
        <w:t>vaginal</w:t>
      </w:r>
      <w:r>
        <w:rPr>
          <w:spacing w:val="40"/>
          <w:sz w:val="22"/>
        </w:rPr>
        <w:t> </w:t>
      </w:r>
      <w:r>
        <w:rPr>
          <w:sz w:val="22"/>
        </w:rPr>
        <w:t>bleeding</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taking tibolone. </w:t>
      </w:r>
      <w:r>
        <w:rPr>
          <w:i/>
          <w:sz w:val="22"/>
        </w:rPr>
        <w:t>Maturitas</w:t>
      </w:r>
      <w:r>
        <w:rPr>
          <w:sz w:val="22"/>
        </w:rPr>
        <w:t>. 1996;24:1.</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Archer DF, Henddrix S, Gallagher JC, et al. Endometrial effects of tibolone. </w:t>
      </w:r>
      <w:r>
        <w:rPr>
          <w:i/>
          <w:sz w:val="22"/>
        </w:rPr>
        <w:t>J Clin </w:t>
      </w:r>
      <w:r>
        <w:rPr>
          <w:i/>
          <w:sz w:val="22"/>
        </w:rPr>
        <w:t>Endocrinol</w:t>
      </w:r>
      <w:r>
        <w:rPr>
          <w:i/>
          <w:sz w:val="22"/>
        </w:rPr>
        <w:t> Metab</w:t>
      </w:r>
      <w:r>
        <w:rPr>
          <w:sz w:val="22"/>
        </w:rPr>
        <w:t>. 2007;92:911.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Wu</w:t>
      </w:r>
      <w:r>
        <w:rPr>
          <w:spacing w:val="40"/>
          <w:sz w:val="22"/>
        </w:rPr>
        <w:t> </w:t>
      </w:r>
      <w:r>
        <w:rPr>
          <w:sz w:val="22"/>
        </w:rPr>
        <w:t>M-H,</w:t>
      </w:r>
      <w:r>
        <w:rPr>
          <w:spacing w:val="40"/>
          <w:sz w:val="22"/>
        </w:rPr>
        <w:t> </w:t>
      </w:r>
      <w:r>
        <w:rPr>
          <w:sz w:val="22"/>
        </w:rPr>
        <w:t>Pan</w:t>
      </w:r>
      <w:r>
        <w:rPr>
          <w:spacing w:val="40"/>
          <w:sz w:val="22"/>
        </w:rPr>
        <w:t> </w:t>
      </w:r>
      <w:r>
        <w:rPr>
          <w:sz w:val="22"/>
        </w:rPr>
        <w:t>H-A,</w:t>
      </w:r>
      <w:r>
        <w:rPr>
          <w:spacing w:val="40"/>
          <w:sz w:val="22"/>
        </w:rPr>
        <w:t> </w:t>
      </w:r>
      <w:r>
        <w:rPr>
          <w:sz w:val="22"/>
        </w:rPr>
        <w:t>Wang</w:t>
      </w:r>
      <w:r>
        <w:rPr>
          <w:spacing w:val="40"/>
          <w:sz w:val="22"/>
        </w:rPr>
        <w:t> </w:t>
      </w:r>
      <w:r>
        <w:rPr>
          <w:sz w:val="22"/>
        </w:rPr>
        <w:t>S-T,</w:t>
      </w:r>
      <w:r>
        <w:rPr>
          <w:spacing w:val="40"/>
          <w:sz w:val="22"/>
        </w:rPr>
        <w:t> </w:t>
      </w:r>
      <w:r>
        <w:rPr>
          <w:sz w:val="22"/>
        </w:rPr>
        <w:t>Hsu</w:t>
      </w:r>
      <w:r>
        <w:rPr>
          <w:spacing w:val="40"/>
          <w:sz w:val="22"/>
        </w:rPr>
        <w:t> </w:t>
      </w:r>
      <w:r>
        <w:rPr>
          <w:sz w:val="22"/>
        </w:rPr>
        <w:t>C-C,</w:t>
      </w:r>
      <w:r>
        <w:rPr>
          <w:spacing w:val="40"/>
          <w:sz w:val="22"/>
        </w:rPr>
        <w:t> </w:t>
      </w:r>
      <w:r>
        <w:rPr>
          <w:sz w:val="22"/>
        </w:rPr>
        <w:t>Chang</w:t>
      </w:r>
      <w:r>
        <w:rPr>
          <w:spacing w:val="40"/>
          <w:sz w:val="22"/>
        </w:rPr>
        <w:t> </w:t>
      </w:r>
      <w:r>
        <w:rPr>
          <w:sz w:val="22"/>
        </w:rPr>
        <w:t>F-M,</w:t>
      </w:r>
      <w:r>
        <w:rPr>
          <w:spacing w:val="40"/>
          <w:sz w:val="22"/>
        </w:rPr>
        <w:t> </w:t>
      </w:r>
      <w:r>
        <w:rPr>
          <w:sz w:val="22"/>
        </w:rPr>
        <w:t>Huang</w:t>
      </w:r>
      <w:r>
        <w:rPr>
          <w:spacing w:val="40"/>
          <w:sz w:val="22"/>
        </w:rPr>
        <w:t> </w:t>
      </w:r>
      <w:r>
        <w:rPr>
          <w:sz w:val="22"/>
        </w:rPr>
        <w:t>K-E.</w:t>
      </w:r>
      <w:r>
        <w:rPr>
          <w:spacing w:val="40"/>
          <w:sz w:val="22"/>
        </w:rPr>
        <w:t> </w:t>
      </w:r>
      <w:r>
        <w:rPr>
          <w:sz w:val="22"/>
        </w:rPr>
        <w:t>Quality</w:t>
      </w:r>
      <w:r>
        <w:rPr>
          <w:spacing w:val="40"/>
          <w:sz w:val="22"/>
        </w:rPr>
        <w:t> </w:t>
      </w:r>
      <w:r>
        <w:rPr>
          <w:sz w:val="22"/>
        </w:rPr>
        <w:t>of</w:t>
      </w:r>
      <w:r>
        <w:rPr>
          <w:spacing w:val="40"/>
          <w:sz w:val="22"/>
        </w:rPr>
        <w:t> </w:t>
      </w:r>
      <w:r>
        <w:rPr>
          <w:sz w:val="22"/>
        </w:rPr>
        <w:t>life</w:t>
      </w:r>
      <w:r>
        <w:rPr>
          <w:spacing w:val="40"/>
          <w:sz w:val="22"/>
        </w:rPr>
        <w:t> </w:t>
      </w:r>
      <w:r>
        <w:rPr>
          <w:sz w:val="22"/>
        </w:rPr>
        <w:t>and sexuality changes in postmenopausal women receiving tibolone therapy. </w:t>
      </w:r>
      <w:r>
        <w:rPr>
          <w:i/>
          <w:sz w:val="22"/>
        </w:rPr>
        <w:t>Climacteric</w:t>
      </w:r>
      <w:r>
        <w:rPr>
          <w:sz w:val="22"/>
        </w:rPr>
        <w:t>. </w:t>
      </w:r>
      <w:r>
        <w:rPr>
          <w:spacing w:val="-2"/>
          <w:sz w:val="22"/>
        </w:rPr>
        <w:t>2001;4:314.</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Nijland EA, Nathorst-Böös J, Palacios S, et al. Improved bleeding profile and tolerability of tibolone</w:t>
      </w:r>
      <w:r>
        <w:rPr>
          <w:spacing w:val="40"/>
          <w:sz w:val="22"/>
        </w:rPr>
        <w:t> </w:t>
      </w:r>
      <w:r>
        <w:rPr>
          <w:sz w:val="22"/>
        </w:rPr>
        <w:t>versus</w:t>
      </w:r>
      <w:r>
        <w:rPr>
          <w:spacing w:val="40"/>
          <w:sz w:val="22"/>
        </w:rPr>
        <w:t> </w:t>
      </w:r>
      <w:r>
        <w:rPr>
          <w:sz w:val="22"/>
        </w:rPr>
        <w:t>transdermal</w:t>
      </w:r>
      <w:r>
        <w:rPr>
          <w:spacing w:val="40"/>
          <w:sz w:val="22"/>
        </w:rPr>
        <w:t> </w:t>
      </w:r>
      <w:r>
        <w:rPr>
          <w:sz w:val="22"/>
        </w:rPr>
        <w:t>E2/NETA</w:t>
      </w:r>
      <w:r>
        <w:rPr>
          <w:spacing w:val="40"/>
          <w:sz w:val="22"/>
        </w:rPr>
        <w:t> </w:t>
      </w:r>
      <w:r>
        <w:rPr>
          <w:sz w:val="22"/>
        </w:rPr>
        <w:t>treatment</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female sexual dysfunction. </w:t>
      </w:r>
      <w:r>
        <w:rPr>
          <w:i/>
          <w:sz w:val="22"/>
        </w:rPr>
        <w:t>Climacteric</w:t>
      </w:r>
      <w:r>
        <w:rPr>
          <w:sz w:val="22"/>
        </w:rPr>
        <w:t>. 2009;12:114.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Rymer J, Fogelman I, Champman MG. The incidence of vaginal bleeding with </w:t>
      </w:r>
      <w:r>
        <w:rPr>
          <w:sz w:val="22"/>
        </w:rPr>
        <w:t>tibolone treatment. </w:t>
      </w:r>
      <w:r>
        <w:rPr>
          <w:i/>
          <w:sz w:val="22"/>
        </w:rPr>
        <w:t>Br J Obstet Gynaecol</w:t>
      </w:r>
      <w:r>
        <w:rPr>
          <w:sz w:val="22"/>
        </w:rPr>
        <w:t>. 1994;101:53.</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Berning B, van Kuijk C, Coelingh Benink HJT, Fauser BCJM. Absent correlation between vaginal bleeding and oestradiol levels or endometrial morphology during tibolone use in early postmenopausal women. </w:t>
      </w:r>
      <w:r>
        <w:rPr>
          <w:i/>
          <w:sz w:val="22"/>
        </w:rPr>
        <w:t>Maturitas</w:t>
      </w:r>
      <w:r>
        <w:rPr>
          <w:sz w:val="22"/>
        </w:rPr>
        <w:t>. 2000;35:81.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Hanggi W, Lippuner K, Riesen W, Jaeger P, Birkauser MH. Long-term influence of different postmenopausal hormone replacement regimens on serum lipids and lipoprotein(a): </w:t>
      </w:r>
      <w:r>
        <w:rPr>
          <w:sz w:val="22"/>
        </w:rPr>
        <w:t>a randomised trial. </w:t>
      </w:r>
      <w:r>
        <w:rPr>
          <w:i/>
          <w:sz w:val="22"/>
        </w:rPr>
        <w:t>Br J Obstet Gynaecol</w:t>
      </w:r>
      <w:r>
        <w:rPr>
          <w:sz w:val="22"/>
        </w:rPr>
        <w:t>. 1997;104:708.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Fedele L, Bianchi S, Raffaelli R, Zanconato G. A randomized study of the effects of tibolone</w:t>
      </w:r>
      <w:r>
        <w:rPr>
          <w:spacing w:val="40"/>
          <w:sz w:val="22"/>
        </w:rPr>
        <w:t> </w:t>
      </w:r>
      <w:r>
        <w:rPr>
          <w:sz w:val="22"/>
        </w:rPr>
        <w:t>and</w:t>
      </w:r>
      <w:r>
        <w:rPr>
          <w:spacing w:val="40"/>
          <w:sz w:val="22"/>
        </w:rPr>
        <w:t> </w:t>
      </w:r>
      <w:r>
        <w:rPr>
          <w:sz w:val="22"/>
        </w:rPr>
        <w:t>transdermal</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uterine myomas. </w:t>
      </w:r>
      <w:r>
        <w:rPr>
          <w:i/>
          <w:sz w:val="22"/>
        </w:rPr>
        <w:t>Eur J Obstet Gynecol Reprod Biol</w:t>
      </w:r>
      <w:r>
        <w:rPr>
          <w:sz w:val="22"/>
        </w:rPr>
        <w:t>. 2000;88:91.</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Gregoriou O, Konidaris S, Botsis D, Papadias C, Makrakis E, Creatsas G. Long term effects </w:t>
      </w:r>
      <w:r>
        <w:rPr>
          <w:sz w:val="22"/>
        </w:rPr>
        <w:t>of tibolone on postmenopausal women with uterine myomas. </w:t>
      </w:r>
      <w:r>
        <w:rPr>
          <w:i/>
          <w:sz w:val="22"/>
        </w:rPr>
        <w:t>Maturitas</w:t>
      </w:r>
      <w:r>
        <w:rPr>
          <w:sz w:val="22"/>
        </w:rPr>
        <w:t>. 2001;40:95.</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Simsek T, Karakus C, Trak B. Impact of different hormone replacement therapy regimens on</w:t>
      </w:r>
      <w:r>
        <w:rPr>
          <w:spacing w:val="80"/>
          <w:sz w:val="22"/>
        </w:rPr>
        <w:t> </w:t>
      </w:r>
      <w:r>
        <w:rPr>
          <w:sz w:val="22"/>
        </w:rPr>
        <w:t>the size of myoma uteri in postmenopausal period: tibolone versus transdermal hormonal replacement system. </w:t>
      </w:r>
      <w:r>
        <w:rPr>
          <w:i/>
          <w:sz w:val="22"/>
        </w:rPr>
        <w:t>Maturitas</w:t>
      </w:r>
      <w:r>
        <w:rPr>
          <w:sz w:val="22"/>
        </w:rPr>
        <w:t>. 2002;42:243.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Palomba S, Affinito P, Tommaselli GA, Nappi C. A clinical trial of the effects of tibolone administered with gonadotropin-releasing hormone analogues for the treatment of </w:t>
      </w:r>
      <w:r>
        <w:rPr>
          <w:sz w:val="22"/>
        </w:rPr>
        <w:t>uterine leiomyomata. </w:t>
      </w:r>
      <w:r>
        <w:rPr>
          <w:i/>
          <w:sz w:val="22"/>
        </w:rPr>
        <w:t>Fertil Steril</w:t>
      </w:r>
      <w:r>
        <w:rPr>
          <w:sz w:val="22"/>
        </w:rPr>
        <w:t>. 1998;70:111.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Santner SJ, Feil PD, Santen RJ. In situ estrogen production via estrone sulfatase pathway in breast tumors: relative importance versus aromatase pathway. </w:t>
      </w:r>
      <w:r>
        <w:rPr>
          <w:i/>
          <w:sz w:val="22"/>
        </w:rPr>
        <w:t>J Clin Endocrinol </w:t>
      </w:r>
      <w:r>
        <w:rPr>
          <w:i/>
          <w:sz w:val="22"/>
        </w:rPr>
        <w:t>Metab</w:t>
      </w:r>
      <w:r>
        <w:rPr>
          <w:sz w:val="22"/>
        </w:rPr>
        <w:t>. </w:t>
      </w:r>
      <w:r>
        <w:rPr>
          <w:spacing w:val="-2"/>
          <w:sz w:val="22"/>
        </w:rPr>
        <w:t>1984;59:29.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Chetrite GS, Cortes-Prieto J, Philippe JC, Wright F, Pasqualini JR. Comparison of estrogen concentrations, estrone sulfatase and aromatase activities in normal, and in cancerous, human breast tissues. </w:t>
      </w:r>
      <w:r>
        <w:rPr>
          <w:i/>
          <w:sz w:val="22"/>
        </w:rPr>
        <w:t>J Steroid Biochem Mol Biol</w:t>
      </w:r>
      <w:r>
        <w:rPr>
          <w:sz w:val="22"/>
        </w:rPr>
        <w:t>. 2000;72:23.</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Chetrite G, Kloosterboer HJ, Pasqualini JR. Effect of tibolone (Org OD14) and its metabolites</w:t>
      </w:r>
      <w:r>
        <w:rPr>
          <w:spacing w:val="40"/>
          <w:sz w:val="22"/>
        </w:rPr>
        <w:t> </w:t>
      </w:r>
      <w:r>
        <w:rPr>
          <w:sz w:val="22"/>
        </w:rPr>
        <w:t>on estrone sulphatase activity in MCF-7 and T-47D mammary cancer cells. </w:t>
      </w:r>
      <w:r>
        <w:rPr>
          <w:i/>
          <w:sz w:val="22"/>
        </w:rPr>
        <w:t>Anticancer Res</w:t>
      </w:r>
      <w:r>
        <w:rPr>
          <w:sz w:val="22"/>
        </w:rPr>
        <w:t>. </w:t>
      </w:r>
      <w:r>
        <w:rPr>
          <w:spacing w:val="-2"/>
          <w:sz w:val="22"/>
        </w:rPr>
        <w:t>1997;17:135.</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Chetrite</w:t>
      </w:r>
      <w:r>
        <w:rPr>
          <w:spacing w:val="29"/>
          <w:sz w:val="22"/>
        </w:rPr>
        <w:t> </w:t>
      </w:r>
      <w:r>
        <w:rPr>
          <w:sz w:val="22"/>
        </w:rPr>
        <w:t>GS,</w:t>
      </w:r>
      <w:r>
        <w:rPr>
          <w:spacing w:val="29"/>
          <w:sz w:val="22"/>
        </w:rPr>
        <w:t> </w:t>
      </w:r>
      <w:r>
        <w:rPr>
          <w:sz w:val="22"/>
        </w:rPr>
        <w:t>Kloosterboer</w:t>
      </w:r>
      <w:r>
        <w:rPr>
          <w:spacing w:val="29"/>
          <w:sz w:val="22"/>
        </w:rPr>
        <w:t> </w:t>
      </w:r>
      <w:r>
        <w:rPr>
          <w:sz w:val="22"/>
        </w:rPr>
        <w:t>HJ,</w:t>
      </w:r>
      <w:r>
        <w:rPr>
          <w:spacing w:val="29"/>
          <w:sz w:val="22"/>
        </w:rPr>
        <w:t> </w:t>
      </w:r>
      <w:r>
        <w:rPr>
          <w:sz w:val="22"/>
        </w:rPr>
        <w:t>Philippe</w:t>
      </w:r>
      <w:r>
        <w:rPr>
          <w:spacing w:val="29"/>
          <w:sz w:val="22"/>
        </w:rPr>
        <w:t> </w:t>
      </w:r>
      <w:r>
        <w:rPr>
          <w:sz w:val="22"/>
        </w:rPr>
        <w:t>JC,</w:t>
      </w:r>
      <w:r>
        <w:rPr>
          <w:spacing w:val="29"/>
          <w:sz w:val="22"/>
        </w:rPr>
        <w:t> </w:t>
      </w:r>
      <w:r>
        <w:rPr>
          <w:sz w:val="22"/>
        </w:rPr>
        <w:t>Pasqualini</w:t>
      </w:r>
      <w:r>
        <w:rPr>
          <w:spacing w:val="29"/>
          <w:sz w:val="22"/>
        </w:rPr>
        <w:t> </w:t>
      </w:r>
      <w:r>
        <w:rPr>
          <w:sz w:val="22"/>
        </w:rPr>
        <w:t>JR.</w:t>
      </w:r>
      <w:r>
        <w:rPr>
          <w:spacing w:val="28"/>
          <w:sz w:val="22"/>
        </w:rPr>
        <w:t> </w:t>
      </w:r>
      <w:r>
        <w:rPr>
          <w:sz w:val="22"/>
        </w:rPr>
        <w:t>Effects</w:t>
      </w:r>
      <w:r>
        <w:rPr>
          <w:spacing w:val="32"/>
          <w:sz w:val="22"/>
        </w:rPr>
        <w:t> </w:t>
      </w:r>
      <w:r>
        <w:rPr>
          <w:sz w:val="22"/>
        </w:rPr>
        <w:t>of</w:t>
      </w:r>
      <w:r>
        <w:rPr>
          <w:spacing w:val="32"/>
          <w:sz w:val="22"/>
        </w:rPr>
        <w:t> </w:t>
      </w:r>
      <w:r>
        <w:rPr>
          <w:sz w:val="22"/>
        </w:rPr>
        <w:t>Org</w:t>
      </w:r>
      <w:r>
        <w:rPr>
          <w:spacing w:val="32"/>
          <w:sz w:val="22"/>
        </w:rPr>
        <w:t> </w:t>
      </w:r>
      <w:r>
        <w:rPr>
          <w:sz w:val="22"/>
        </w:rPr>
        <w:t>OD14</w:t>
      </w:r>
      <w:r>
        <w:rPr>
          <w:spacing w:val="32"/>
          <w:sz w:val="22"/>
        </w:rPr>
        <w:t> </w:t>
      </w:r>
      <w:r>
        <w:rPr>
          <w:sz w:val="22"/>
        </w:rPr>
        <w:t>(Livial)</w:t>
      </w:r>
      <w:r>
        <w:rPr>
          <w:spacing w:val="32"/>
          <w:sz w:val="22"/>
        </w:rPr>
        <w:t> </w:t>
      </w:r>
      <w:r>
        <w:rPr>
          <w:sz w:val="22"/>
        </w:rPr>
        <w:t>and its</w:t>
      </w:r>
      <w:r>
        <w:rPr>
          <w:spacing w:val="40"/>
          <w:sz w:val="22"/>
        </w:rPr>
        <w:t> </w:t>
      </w:r>
      <w:r>
        <w:rPr>
          <w:sz w:val="22"/>
        </w:rPr>
        <w:t>metabolites</w:t>
      </w:r>
      <w:r>
        <w:rPr>
          <w:spacing w:val="40"/>
          <w:sz w:val="22"/>
        </w:rPr>
        <w:t> </w:t>
      </w:r>
      <w:r>
        <w:rPr>
          <w:sz w:val="22"/>
        </w:rPr>
        <w:t>on</w:t>
      </w:r>
      <w:r>
        <w:rPr>
          <w:spacing w:val="40"/>
          <w:sz w:val="22"/>
        </w:rPr>
        <w:t> </w:t>
      </w:r>
      <w:r>
        <w:rPr>
          <w:sz w:val="22"/>
        </w:rPr>
        <w:t>17-beta-hydroxysteroid</w:t>
      </w:r>
      <w:r>
        <w:rPr>
          <w:spacing w:val="40"/>
          <w:sz w:val="22"/>
        </w:rPr>
        <w:t> </w:t>
      </w:r>
      <w:r>
        <w:rPr>
          <w:sz w:val="22"/>
        </w:rPr>
        <w:t>dehydrogenase</w:t>
      </w:r>
      <w:r>
        <w:rPr>
          <w:spacing w:val="40"/>
          <w:sz w:val="22"/>
        </w:rPr>
        <w:t> </w:t>
      </w:r>
      <w:r>
        <w:rPr>
          <w:sz w:val="22"/>
        </w:rPr>
        <w:t>activity</w:t>
      </w:r>
      <w:r>
        <w:rPr>
          <w:spacing w:val="40"/>
          <w:sz w:val="22"/>
        </w:rPr>
        <w:t> </w:t>
      </w:r>
      <w:r>
        <w:rPr>
          <w:sz w:val="22"/>
        </w:rPr>
        <w:t>in</w:t>
      </w:r>
      <w:r>
        <w:rPr>
          <w:spacing w:val="40"/>
          <w:sz w:val="22"/>
        </w:rPr>
        <w:t> </w:t>
      </w:r>
      <w:r>
        <w:rPr>
          <w:sz w:val="22"/>
        </w:rPr>
        <w:t>hormone-dependent MDF-7 and T-47D breast cancer cells. </w:t>
      </w:r>
      <w:r>
        <w:rPr>
          <w:i/>
          <w:sz w:val="22"/>
        </w:rPr>
        <w:t>Anticancer Res</w:t>
      </w:r>
      <w:r>
        <w:rPr>
          <w:sz w:val="22"/>
        </w:rPr>
        <w:t>. 1999;19:261.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van</w:t>
      </w:r>
      <w:r>
        <w:rPr>
          <w:spacing w:val="36"/>
          <w:sz w:val="22"/>
        </w:rPr>
        <w:t> </w:t>
      </w:r>
      <w:r>
        <w:rPr>
          <w:sz w:val="22"/>
        </w:rPr>
        <w:t>de</w:t>
      </w:r>
      <w:r>
        <w:rPr>
          <w:spacing w:val="36"/>
          <w:sz w:val="22"/>
        </w:rPr>
        <w:t> </w:t>
      </w:r>
      <w:r>
        <w:rPr>
          <w:sz w:val="22"/>
        </w:rPr>
        <w:t>Ven</w:t>
      </w:r>
      <w:r>
        <w:rPr>
          <w:spacing w:val="36"/>
          <w:sz w:val="22"/>
        </w:rPr>
        <w:t> </w:t>
      </w:r>
      <w:r>
        <w:rPr>
          <w:sz w:val="22"/>
        </w:rPr>
        <w:t>J,</w:t>
      </w:r>
      <w:r>
        <w:rPr>
          <w:spacing w:val="36"/>
          <w:sz w:val="22"/>
        </w:rPr>
        <w:t> </w:t>
      </w:r>
      <w:r>
        <w:rPr>
          <w:sz w:val="22"/>
        </w:rPr>
        <w:t>Donker</w:t>
      </w:r>
      <w:r>
        <w:rPr>
          <w:spacing w:val="36"/>
          <w:sz w:val="22"/>
        </w:rPr>
        <w:t> </w:t>
      </w:r>
      <w:r>
        <w:rPr>
          <w:sz w:val="22"/>
        </w:rPr>
        <w:t>GH,</w:t>
      </w:r>
      <w:r>
        <w:rPr>
          <w:spacing w:val="36"/>
          <w:sz w:val="22"/>
        </w:rPr>
        <w:t> </w:t>
      </w:r>
      <w:r>
        <w:rPr>
          <w:sz w:val="22"/>
        </w:rPr>
        <w:t>Spsrong</w:t>
      </w:r>
      <w:r>
        <w:rPr>
          <w:spacing w:val="36"/>
          <w:sz w:val="22"/>
        </w:rPr>
        <w:t> </w:t>
      </w:r>
      <w:r>
        <w:rPr>
          <w:sz w:val="22"/>
        </w:rPr>
        <w:t>M,</w:t>
      </w:r>
      <w:r>
        <w:rPr>
          <w:spacing w:val="36"/>
          <w:sz w:val="22"/>
        </w:rPr>
        <w:t> </w:t>
      </w:r>
      <w:r>
        <w:rPr>
          <w:sz w:val="22"/>
        </w:rPr>
        <w:t>Blankenstein</w:t>
      </w:r>
      <w:r>
        <w:rPr>
          <w:spacing w:val="36"/>
          <w:sz w:val="22"/>
        </w:rPr>
        <w:t> </w:t>
      </w:r>
      <w:r>
        <w:rPr>
          <w:sz w:val="22"/>
        </w:rPr>
        <w:t>MA,</w:t>
      </w:r>
      <w:r>
        <w:rPr>
          <w:spacing w:val="36"/>
          <w:sz w:val="22"/>
        </w:rPr>
        <w:t> </w:t>
      </w:r>
      <w:r>
        <w:rPr>
          <w:sz w:val="22"/>
        </w:rPr>
        <w:t>Thijssen</w:t>
      </w:r>
      <w:r>
        <w:rPr>
          <w:spacing w:val="36"/>
          <w:sz w:val="22"/>
        </w:rPr>
        <w:t> </w:t>
      </w:r>
      <w:r>
        <w:rPr>
          <w:sz w:val="22"/>
        </w:rPr>
        <w:t>JHH.</w:t>
      </w:r>
      <w:r>
        <w:rPr>
          <w:spacing w:val="36"/>
          <w:sz w:val="22"/>
        </w:rPr>
        <w:t> </w:t>
      </w:r>
      <w:r>
        <w:rPr>
          <w:sz w:val="22"/>
        </w:rPr>
        <w:t>Effect of tibolone (Org OD14) and its metabolites on aromatase and estrone sulfatase activity in human </w:t>
      </w:r>
      <w:r>
        <w:rPr>
          <w:sz w:val="22"/>
        </w:rPr>
        <w:t>breast adipose</w:t>
      </w:r>
      <w:r>
        <w:rPr>
          <w:spacing w:val="40"/>
          <w:sz w:val="22"/>
        </w:rPr>
        <w:t> </w:t>
      </w:r>
      <w:r>
        <w:rPr>
          <w:sz w:val="22"/>
        </w:rPr>
        <w:t>stromal</w:t>
      </w:r>
      <w:r>
        <w:rPr>
          <w:spacing w:val="40"/>
          <w:sz w:val="22"/>
        </w:rPr>
        <w:t> </w:t>
      </w:r>
      <w:r>
        <w:rPr>
          <w:sz w:val="22"/>
        </w:rPr>
        <w:t>cells</w:t>
      </w:r>
      <w:r>
        <w:rPr>
          <w:spacing w:val="40"/>
          <w:sz w:val="22"/>
        </w:rPr>
        <w:t> </w:t>
      </w:r>
      <w:r>
        <w:rPr>
          <w:sz w:val="22"/>
        </w:rPr>
        <w:t>and</w:t>
      </w:r>
      <w:r>
        <w:rPr>
          <w:spacing w:val="40"/>
          <w:sz w:val="22"/>
        </w:rPr>
        <w:t> </w:t>
      </w:r>
      <w:r>
        <w:rPr>
          <w:sz w:val="22"/>
        </w:rPr>
        <w:t>in</w:t>
      </w:r>
      <w:r>
        <w:rPr>
          <w:spacing w:val="40"/>
          <w:sz w:val="22"/>
        </w:rPr>
        <w:t> </w:t>
      </w:r>
      <w:r>
        <w:rPr>
          <w:sz w:val="22"/>
        </w:rPr>
        <w:t>MCF-7</w:t>
      </w:r>
      <w:r>
        <w:rPr>
          <w:spacing w:val="40"/>
          <w:sz w:val="22"/>
        </w:rPr>
        <w:t> </w:t>
      </w:r>
      <w:r>
        <w:rPr>
          <w:sz w:val="22"/>
        </w:rPr>
        <w:t>and</w:t>
      </w:r>
      <w:r>
        <w:rPr>
          <w:spacing w:val="40"/>
          <w:sz w:val="22"/>
        </w:rPr>
        <w:t> </w:t>
      </w:r>
      <w:r>
        <w:rPr>
          <w:sz w:val="22"/>
        </w:rPr>
        <w:t>T47D</w:t>
      </w:r>
      <w:r>
        <w:rPr>
          <w:spacing w:val="40"/>
          <w:sz w:val="22"/>
        </w:rPr>
        <w:t> </w:t>
      </w:r>
      <w:r>
        <w:rPr>
          <w:sz w:val="22"/>
        </w:rPr>
        <w:t>breast</w:t>
      </w:r>
      <w:r>
        <w:rPr>
          <w:spacing w:val="40"/>
          <w:sz w:val="22"/>
        </w:rPr>
        <w:t> </w:t>
      </w:r>
      <w:r>
        <w:rPr>
          <w:sz w:val="22"/>
        </w:rPr>
        <w:t>cancer</w:t>
      </w:r>
      <w:r>
        <w:rPr>
          <w:spacing w:val="40"/>
          <w:sz w:val="22"/>
        </w:rPr>
        <w:t> </w:t>
      </w:r>
      <w:r>
        <w:rPr>
          <w:sz w:val="22"/>
        </w:rPr>
        <w:t>cells.</w:t>
      </w:r>
      <w:r>
        <w:rPr>
          <w:spacing w:val="40"/>
          <w:sz w:val="22"/>
        </w:rPr>
        <w:t> </w:t>
      </w:r>
      <w:r>
        <w:rPr>
          <w:i/>
          <w:sz w:val="22"/>
        </w:rPr>
        <w:t>J</w:t>
      </w:r>
      <w:r>
        <w:rPr>
          <w:i/>
          <w:spacing w:val="40"/>
          <w:sz w:val="22"/>
        </w:rPr>
        <w:t> </w:t>
      </w:r>
      <w:r>
        <w:rPr>
          <w:i/>
          <w:sz w:val="22"/>
        </w:rPr>
        <w:t>Steroid</w:t>
      </w:r>
      <w:r>
        <w:rPr>
          <w:i/>
          <w:spacing w:val="40"/>
          <w:sz w:val="22"/>
        </w:rPr>
        <w:t> </w:t>
      </w:r>
      <w:r>
        <w:rPr>
          <w:i/>
          <w:sz w:val="22"/>
        </w:rPr>
        <w:t>Biochem</w:t>
      </w:r>
      <w:r>
        <w:rPr>
          <w:i/>
          <w:spacing w:val="40"/>
          <w:sz w:val="22"/>
        </w:rPr>
        <w:t> </w:t>
      </w:r>
      <w:r>
        <w:rPr>
          <w:i/>
          <w:sz w:val="22"/>
        </w:rPr>
        <w:t>Mol</w:t>
      </w:r>
      <w:r>
        <w:rPr>
          <w:i/>
          <w:sz w:val="22"/>
        </w:rPr>
        <w:t> Biol</w:t>
      </w:r>
      <w:r>
        <w:rPr>
          <w:sz w:val="22"/>
        </w:rPr>
        <w:t>. 2002;81:237.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Purohit A, Malini B, Hooymans C, Newman SP. Inhibition of oestrone sulphatase activity </w:t>
      </w:r>
      <w:r>
        <w:rPr>
          <w:sz w:val="22"/>
        </w:rPr>
        <w:t>by tibolone and its metabolites. </w:t>
      </w:r>
      <w:r>
        <w:rPr>
          <w:i/>
          <w:sz w:val="22"/>
        </w:rPr>
        <w:t>Horm Metab Res</w:t>
      </w:r>
      <w:r>
        <w:rPr>
          <w:sz w:val="22"/>
        </w:rPr>
        <w:t>. 2002;1:1.</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Chetrite GS, Kloosterboer HJ, Philippe JC, Pasqualini JR. Effect of Org OD14 (Livial) and its metabolites on human estrogen sulphotransferase activity in the hormone-dependent MDF-</w:t>
      </w:r>
      <w:r>
        <w:rPr>
          <w:sz w:val="22"/>
        </w:rPr>
        <w:t>7</w:t>
      </w:r>
      <w:r>
        <w:rPr>
          <w:spacing w:val="80"/>
          <w:w w:val="150"/>
          <w:sz w:val="22"/>
        </w:rPr>
        <w:t> </w:t>
      </w:r>
      <w:r>
        <w:rPr>
          <w:sz w:val="22"/>
        </w:rPr>
        <w:t>and T-47D, and hormone-independent MDA-MB-231, breast cancer cell lines. </w:t>
      </w:r>
      <w:r>
        <w:rPr>
          <w:i/>
          <w:sz w:val="22"/>
        </w:rPr>
        <w:t>Anticancer Res</w:t>
      </w:r>
      <w:r>
        <w:rPr>
          <w:sz w:val="22"/>
        </w:rPr>
        <w:t>. </w:t>
      </w:r>
      <w:r>
        <w:rPr>
          <w:spacing w:val="-2"/>
          <w:sz w:val="22"/>
        </w:rPr>
        <w:t>1999;19:269.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Kloosterboer HJ. Endocrine prevention of breast: any role for tibolone? </w:t>
      </w:r>
      <w:r>
        <w:rPr>
          <w:i/>
          <w:sz w:val="22"/>
        </w:rPr>
        <w:t>Eur J Cancer </w:t>
      </w:r>
      <w:r>
        <w:rPr>
          <w:i/>
          <w:sz w:val="22"/>
        </w:rPr>
        <w:t>Suppl</w:t>
      </w:r>
      <w:r>
        <w:rPr>
          <w:sz w:val="22"/>
        </w:rPr>
        <w:t>. </w:t>
      </w:r>
      <w:r>
        <w:rPr>
          <w:spacing w:val="-2"/>
          <w:sz w:val="22"/>
        </w:rPr>
        <w:t>2002;6:S24.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Gompel A, Siromachkova M, Lombet A, Kloosterboer HJ, Rostene W. Tibolone actions </w:t>
      </w:r>
      <w:r>
        <w:rPr>
          <w:sz w:val="22"/>
        </w:rPr>
        <w:t>on normal and breast cancer cells. </w:t>
      </w:r>
      <w:r>
        <w:rPr>
          <w:i/>
          <w:sz w:val="22"/>
        </w:rPr>
        <w:t>Eur J Cancer</w:t>
      </w:r>
      <w:r>
        <w:rPr>
          <w:sz w:val="22"/>
        </w:rPr>
        <w:t>. 2000;36:76.</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de Gooyer ME, Overklift Vaupel Kleyn GT, Smits KC, Ederveen AGH, Verheul HAM, Kloosterboer</w:t>
      </w:r>
      <w:r>
        <w:rPr>
          <w:spacing w:val="40"/>
          <w:sz w:val="22"/>
        </w:rPr>
        <w:t> </w:t>
      </w:r>
      <w:r>
        <w:rPr>
          <w:sz w:val="22"/>
        </w:rPr>
        <w:t>HJ.</w:t>
      </w:r>
      <w:r>
        <w:rPr>
          <w:spacing w:val="40"/>
          <w:sz w:val="22"/>
        </w:rPr>
        <w:t> </w:t>
      </w:r>
      <w:r>
        <w:rPr>
          <w:sz w:val="22"/>
        </w:rPr>
        <w:t>Tibolone:</w:t>
      </w:r>
      <w:r>
        <w:rPr>
          <w:spacing w:val="40"/>
          <w:sz w:val="22"/>
        </w:rPr>
        <w:t> </w:t>
      </w:r>
      <w:r>
        <w:rPr>
          <w:sz w:val="22"/>
        </w:rPr>
        <w:t>a</w:t>
      </w:r>
      <w:r>
        <w:rPr>
          <w:spacing w:val="40"/>
          <w:sz w:val="22"/>
        </w:rPr>
        <w:t> </w:t>
      </w:r>
      <w:r>
        <w:rPr>
          <w:sz w:val="22"/>
        </w:rPr>
        <w:t>compound</w:t>
      </w:r>
      <w:r>
        <w:rPr>
          <w:spacing w:val="40"/>
          <w:sz w:val="22"/>
        </w:rPr>
        <w:t> </w:t>
      </w:r>
      <w:r>
        <w:rPr>
          <w:sz w:val="22"/>
        </w:rPr>
        <w:t>with</w:t>
      </w:r>
      <w:r>
        <w:rPr>
          <w:spacing w:val="40"/>
          <w:sz w:val="22"/>
        </w:rPr>
        <w:t> </w:t>
      </w:r>
      <w:r>
        <w:rPr>
          <w:sz w:val="22"/>
        </w:rPr>
        <w:t>tissue</w:t>
      </w:r>
      <w:r>
        <w:rPr>
          <w:spacing w:val="40"/>
          <w:sz w:val="22"/>
        </w:rPr>
        <w:t> </w:t>
      </w:r>
      <w:r>
        <w:rPr>
          <w:sz w:val="22"/>
        </w:rPr>
        <w:t>specific</w:t>
      </w:r>
      <w:r>
        <w:rPr>
          <w:spacing w:val="40"/>
          <w:sz w:val="22"/>
        </w:rPr>
        <w:t> </w:t>
      </w:r>
      <w:r>
        <w:rPr>
          <w:sz w:val="22"/>
        </w:rPr>
        <w:t>inhibitory</w:t>
      </w:r>
      <w:r>
        <w:rPr>
          <w:spacing w:val="40"/>
          <w:sz w:val="22"/>
        </w:rPr>
        <w:t> </w:t>
      </w:r>
      <w:r>
        <w:rPr>
          <w:sz w:val="22"/>
        </w:rPr>
        <w:t>effects</w:t>
      </w:r>
      <w:r>
        <w:rPr>
          <w:spacing w:val="40"/>
          <w:sz w:val="22"/>
        </w:rPr>
        <w:t> </w:t>
      </w:r>
      <w:r>
        <w:rPr>
          <w:sz w:val="22"/>
        </w:rPr>
        <w:t>on</w:t>
      </w:r>
      <w:r>
        <w:rPr>
          <w:spacing w:val="40"/>
          <w:sz w:val="22"/>
        </w:rPr>
        <w:t> </w:t>
      </w:r>
      <w:r>
        <w:rPr>
          <w:sz w:val="22"/>
        </w:rPr>
        <w:t>sulfatase. </w:t>
      </w:r>
      <w:r>
        <w:rPr>
          <w:i/>
          <w:sz w:val="22"/>
        </w:rPr>
        <w:t>Mol Cell Endocrinol</w:t>
      </w:r>
      <w:r>
        <w:rPr>
          <w:sz w:val="22"/>
        </w:rPr>
        <w:t>. 2001;183:55.</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Valdivia I, Ortega D. Mammographic density in postmenopausal women treated with </w:t>
      </w:r>
      <w:r>
        <w:rPr>
          <w:sz w:val="22"/>
        </w:rPr>
        <w:t>tibolone, estriol or conventional hormone replacement therapy. </w:t>
      </w:r>
      <w:r>
        <w:rPr>
          <w:i/>
          <w:sz w:val="22"/>
        </w:rPr>
        <w:t>Clin Drug Invest</w:t>
      </w:r>
      <w:r>
        <w:rPr>
          <w:sz w:val="22"/>
        </w:rPr>
        <w:t>. 2000;20:101.</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8" w:hanging="507"/>
        <w:jc w:val="both"/>
        <w:rPr>
          <w:sz w:val="22"/>
        </w:rPr>
      </w:pPr>
      <w:r>
        <w:rPr>
          <w:sz w:val="22"/>
        </w:rPr>
        <w:t>Colacurci N, Fornaro F, De Franciscis P, Palermo M, del Vecchio W. Effects of different types of hormone replacement therapy on mammographic density. </w:t>
      </w:r>
      <w:r>
        <w:rPr>
          <w:i/>
          <w:sz w:val="22"/>
        </w:rPr>
        <w:t>Maturitas</w:t>
      </w:r>
      <w:r>
        <w:rPr>
          <w:sz w:val="22"/>
        </w:rPr>
        <w:t>. 2001;40:159.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Sendag F, Terek MC, Ozsener S, et al. Mammographic density changes during different postmenopausal hormone replacement therapies. </w:t>
      </w:r>
      <w:r>
        <w:rPr>
          <w:i/>
          <w:sz w:val="22"/>
        </w:rPr>
        <w:t>Fertil Steril</w:t>
      </w:r>
      <w:r>
        <w:rPr>
          <w:sz w:val="22"/>
        </w:rPr>
        <w:t>. 2001;76:445.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Lundström</w:t>
      </w:r>
      <w:r>
        <w:rPr>
          <w:spacing w:val="40"/>
          <w:sz w:val="22"/>
        </w:rPr>
        <w:t> </w:t>
      </w:r>
      <w:r>
        <w:rPr>
          <w:sz w:val="22"/>
        </w:rPr>
        <w:t>E,</w:t>
      </w:r>
      <w:r>
        <w:rPr>
          <w:spacing w:val="40"/>
          <w:sz w:val="22"/>
        </w:rPr>
        <w:t> </w:t>
      </w:r>
      <w:r>
        <w:rPr>
          <w:sz w:val="22"/>
        </w:rPr>
        <w:t>Christow</w:t>
      </w:r>
      <w:r>
        <w:rPr>
          <w:spacing w:val="40"/>
          <w:sz w:val="22"/>
        </w:rPr>
        <w:t> </w:t>
      </w:r>
      <w:r>
        <w:rPr>
          <w:sz w:val="22"/>
        </w:rPr>
        <w:t>A,</w:t>
      </w:r>
      <w:r>
        <w:rPr>
          <w:spacing w:val="40"/>
          <w:sz w:val="22"/>
        </w:rPr>
        <w:t> </w:t>
      </w:r>
      <w:r>
        <w:rPr>
          <w:sz w:val="22"/>
        </w:rPr>
        <w:t>Kersemaekers</w:t>
      </w:r>
      <w:r>
        <w:rPr>
          <w:spacing w:val="40"/>
          <w:sz w:val="22"/>
        </w:rPr>
        <w:t> </w:t>
      </w:r>
      <w:r>
        <w:rPr>
          <w:sz w:val="22"/>
        </w:rPr>
        <w:t>W,</w:t>
      </w:r>
      <w:r>
        <w:rPr>
          <w:spacing w:val="40"/>
          <w:sz w:val="22"/>
        </w:rPr>
        <w:t> </w:t>
      </w:r>
      <w:r>
        <w:rPr>
          <w:sz w:val="22"/>
        </w:rPr>
        <w:t>et</w:t>
      </w:r>
      <w:r>
        <w:rPr>
          <w:spacing w:val="40"/>
          <w:sz w:val="22"/>
        </w:rPr>
        <w:t> </w:t>
      </w:r>
      <w:r>
        <w:rPr>
          <w:sz w:val="22"/>
        </w:rPr>
        <w:t>al.</w:t>
      </w:r>
      <w:r>
        <w:rPr>
          <w:spacing w:val="40"/>
          <w:sz w:val="22"/>
        </w:rPr>
        <w:t> </w:t>
      </w:r>
      <w:r>
        <w:rPr>
          <w:sz w:val="22"/>
        </w:rPr>
        <w:t>Effects</w:t>
      </w:r>
      <w:r>
        <w:rPr>
          <w:spacing w:val="40"/>
          <w:sz w:val="22"/>
        </w:rPr>
        <w:t> </w:t>
      </w:r>
      <w:r>
        <w:rPr>
          <w:sz w:val="22"/>
        </w:rPr>
        <w:t>of</w:t>
      </w:r>
      <w:r>
        <w:rPr>
          <w:spacing w:val="40"/>
          <w:sz w:val="22"/>
        </w:rPr>
        <w:t> </w:t>
      </w:r>
      <w:r>
        <w:rPr>
          <w:sz w:val="22"/>
        </w:rPr>
        <w:t>tibolone</w:t>
      </w:r>
      <w:r>
        <w:rPr>
          <w:spacing w:val="40"/>
          <w:sz w:val="22"/>
        </w:rPr>
        <w:t> </w:t>
      </w:r>
      <w:r>
        <w:rPr>
          <w:sz w:val="22"/>
        </w:rPr>
        <w:t>and</w:t>
      </w:r>
      <w:r>
        <w:rPr>
          <w:spacing w:val="40"/>
          <w:sz w:val="22"/>
        </w:rPr>
        <w:t> </w:t>
      </w:r>
      <w:r>
        <w:rPr>
          <w:sz w:val="22"/>
        </w:rPr>
        <w:t>continuous combined hormone replacement therapy on mammographic breast density. </w:t>
      </w:r>
      <w:r>
        <w:rPr>
          <w:i/>
          <w:sz w:val="22"/>
        </w:rPr>
        <w:t>Am J Obstet</w:t>
      </w:r>
      <w:r>
        <w:rPr>
          <w:i/>
          <w:spacing w:val="40"/>
          <w:sz w:val="22"/>
        </w:rPr>
        <w:t> </w:t>
      </w:r>
      <w:r>
        <w:rPr>
          <w:i/>
          <w:sz w:val="22"/>
        </w:rPr>
        <w:t>Gynecol</w:t>
      </w:r>
      <w:r>
        <w:rPr>
          <w:sz w:val="22"/>
        </w:rPr>
        <w:t>. 2002;186:717.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van Barele M, Buis CCM, Brood-van Zanten MMA, et al. The effect of hormone therapy on breast</w:t>
      </w:r>
      <w:r>
        <w:rPr>
          <w:spacing w:val="40"/>
          <w:sz w:val="22"/>
        </w:rPr>
        <w:t> </w:t>
      </w:r>
      <w:r>
        <w:rPr>
          <w:sz w:val="22"/>
        </w:rPr>
        <w:t>density</w:t>
      </w:r>
      <w:r>
        <w:rPr>
          <w:spacing w:val="40"/>
          <w:sz w:val="22"/>
        </w:rPr>
        <w:t> </w:t>
      </w:r>
      <w:r>
        <w:rPr>
          <w:sz w:val="22"/>
        </w:rPr>
        <w:t>following</w:t>
      </w:r>
      <w:r>
        <w:rPr>
          <w:spacing w:val="40"/>
          <w:sz w:val="22"/>
        </w:rPr>
        <w:t> </w:t>
      </w:r>
      <w:r>
        <w:rPr>
          <w:sz w:val="22"/>
        </w:rPr>
        <w:t>risk-reducing</w:t>
      </w:r>
      <w:r>
        <w:rPr>
          <w:spacing w:val="40"/>
          <w:sz w:val="22"/>
        </w:rPr>
        <w:t> </w:t>
      </w:r>
      <w:r>
        <w:rPr>
          <w:sz w:val="22"/>
        </w:rPr>
        <w:t>salpingo-oophorectomy</w:t>
      </w:r>
      <w:r>
        <w:rPr>
          <w:spacing w:val="40"/>
          <w:sz w:val="22"/>
        </w:rPr>
        <w:t> </w:t>
      </w:r>
      <w:r>
        <w:rPr>
          <w:sz w:val="22"/>
        </w:rPr>
        <w:t>in</w:t>
      </w:r>
      <w:r>
        <w:rPr>
          <w:spacing w:val="40"/>
          <w:sz w:val="22"/>
        </w:rPr>
        <w:t> </w:t>
      </w:r>
      <w:r>
        <w:rPr>
          <w:sz w:val="22"/>
        </w:rPr>
        <w:t>women</w:t>
      </w:r>
      <w:r>
        <w:rPr>
          <w:spacing w:val="40"/>
          <w:sz w:val="22"/>
        </w:rPr>
        <w:t> </w:t>
      </w:r>
      <w:r>
        <w:rPr>
          <w:sz w:val="22"/>
        </w:rPr>
        <w:t>with</w:t>
      </w:r>
      <w:r>
        <w:rPr>
          <w:spacing w:val="40"/>
          <w:sz w:val="22"/>
        </w:rPr>
        <w:t> </w:t>
      </w:r>
      <w:r>
        <w:rPr>
          <w:sz w:val="22"/>
        </w:rPr>
        <w:t>an</w:t>
      </w:r>
      <w:r>
        <w:rPr>
          <w:spacing w:val="40"/>
          <w:sz w:val="22"/>
        </w:rPr>
        <w:t> </w:t>
      </w:r>
      <w:r>
        <w:rPr>
          <w:sz w:val="22"/>
        </w:rPr>
        <w:t>increased risk for breast and ovarian cancer. </w:t>
      </w:r>
      <w:r>
        <w:rPr>
          <w:i/>
          <w:sz w:val="22"/>
        </w:rPr>
        <w:t>Menopause</w:t>
      </w:r>
      <w:r>
        <w:rPr>
          <w:sz w:val="22"/>
        </w:rPr>
        <w:t>. 2021;28(11):1307-1312.</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Egarter C, Eppel W, Vogel S, Wolf G. A pilot study of hormone replacement therapy </w:t>
      </w:r>
      <w:r>
        <w:rPr>
          <w:sz w:val="22"/>
        </w:rPr>
        <w:t>with tibolone in women with mastopathic breasts. </w:t>
      </w:r>
      <w:r>
        <w:rPr>
          <w:i/>
          <w:sz w:val="22"/>
        </w:rPr>
        <w:t>Maturitas</w:t>
      </w:r>
      <w:r>
        <w:rPr>
          <w:sz w:val="22"/>
        </w:rPr>
        <w:t>. 2001;40:165.</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Kenemans P, Bundred NJ, Foidart J-M, et al. Safety and efficacy of tibolone in breast-cancer patients with vasomotor symptoms: a double-blind, randomised, non-inferiority trial. </w:t>
      </w:r>
      <w:r>
        <w:rPr>
          <w:i/>
          <w:sz w:val="22"/>
        </w:rPr>
        <w:t>Lancet</w:t>
      </w:r>
      <w:r>
        <w:rPr>
          <w:i/>
          <w:sz w:val="22"/>
        </w:rPr>
        <w:t> Oncol</w:t>
      </w:r>
      <w:r>
        <w:rPr>
          <w:sz w:val="22"/>
        </w:rPr>
        <w:t>. 2009;10:135.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Cummings SR, Ettinger B, Delmas PD, et al. The effects of tibolone in older postmenopausal women. </w:t>
      </w:r>
      <w:r>
        <w:rPr>
          <w:i/>
          <w:sz w:val="22"/>
        </w:rPr>
        <w:t>N Engl J Med</w:t>
      </w:r>
      <w:r>
        <w:rPr>
          <w:sz w:val="22"/>
        </w:rPr>
        <w:t>. 2008;359:697.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Wierik EJ, Hendricks PT, Boerstoel-Streefland M. Clinical background of women </w:t>
      </w:r>
      <w:r>
        <w:rPr>
          <w:sz w:val="22"/>
        </w:rPr>
        <w:t>prescribed tibolone or combined estrogen + progestogen therapies: a UK MediPlus study. </w:t>
      </w:r>
      <w:r>
        <w:rPr>
          <w:i/>
          <w:sz w:val="22"/>
        </w:rPr>
        <w:t>Climacteric</w:t>
      </w:r>
      <w:r>
        <w:rPr>
          <w:sz w:val="22"/>
        </w:rPr>
        <w:t>. </w:t>
      </w:r>
      <w:r>
        <w:rPr>
          <w:spacing w:val="-2"/>
          <w:sz w:val="22"/>
        </w:rPr>
        <w:t>2004;7:197.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Lee MS, Kim JI, Ha JY, Boccy K, Ernst E. Yoga for menopausal symptoms: a systematic review. </w:t>
      </w:r>
      <w:r>
        <w:rPr>
          <w:i/>
          <w:sz w:val="22"/>
        </w:rPr>
        <w:t>Menopause</w:t>
      </w:r>
      <w:r>
        <w:rPr>
          <w:sz w:val="22"/>
        </w:rPr>
        <w:t>. 2009;16:602.</w:t>
      </w:r>
    </w:p>
    <w:p>
      <w:pPr>
        <w:pStyle w:val="ListParagraph"/>
        <w:numPr>
          <w:ilvl w:val="0"/>
          <w:numId w:val="19"/>
        </w:numPr>
        <w:tabs>
          <w:tab w:pos="710" w:val="left" w:leader="none"/>
        </w:tabs>
        <w:spacing w:line="252" w:lineRule="exact" w:before="0" w:after="0"/>
        <w:ind w:left="710" w:right="0" w:hanging="498"/>
        <w:jc w:val="both"/>
        <w:rPr>
          <w:sz w:val="22"/>
        </w:rPr>
      </w:pPr>
      <w:r>
        <w:rPr>
          <w:sz w:val="22"/>
        </w:rPr>
        <w:t>Krause</w:t>
      </w:r>
      <w:r>
        <w:rPr>
          <w:spacing w:val="49"/>
          <w:sz w:val="22"/>
        </w:rPr>
        <w:t> </w:t>
      </w:r>
      <w:r>
        <w:rPr>
          <w:sz w:val="22"/>
        </w:rPr>
        <w:t>MS,</w:t>
      </w:r>
      <w:r>
        <w:rPr>
          <w:spacing w:val="49"/>
          <w:sz w:val="22"/>
        </w:rPr>
        <w:t> </w:t>
      </w:r>
      <w:r>
        <w:rPr>
          <w:sz w:val="22"/>
        </w:rPr>
        <w:t>Nakajima</w:t>
      </w:r>
      <w:r>
        <w:rPr>
          <w:spacing w:val="49"/>
          <w:sz w:val="22"/>
        </w:rPr>
        <w:t> </w:t>
      </w:r>
      <w:r>
        <w:rPr>
          <w:sz w:val="22"/>
        </w:rPr>
        <w:t>ST.</w:t>
      </w:r>
      <w:r>
        <w:rPr>
          <w:spacing w:val="50"/>
          <w:sz w:val="22"/>
        </w:rPr>
        <w:t> </w:t>
      </w:r>
      <w:r>
        <w:rPr>
          <w:sz w:val="22"/>
        </w:rPr>
        <w:t>Hormonal</w:t>
      </w:r>
      <w:r>
        <w:rPr>
          <w:spacing w:val="49"/>
          <w:sz w:val="22"/>
        </w:rPr>
        <w:t> </w:t>
      </w:r>
      <w:r>
        <w:rPr>
          <w:sz w:val="22"/>
        </w:rPr>
        <w:t>and</w:t>
      </w:r>
      <w:r>
        <w:rPr>
          <w:spacing w:val="49"/>
          <w:sz w:val="22"/>
        </w:rPr>
        <w:t> </w:t>
      </w:r>
      <w:r>
        <w:rPr>
          <w:sz w:val="22"/>
        </w:rPr>
        <w:t>nonhormonal</w:t>
      </w:r>
      <w:r>
        <w:rPr>
          <w:spacing w:val="49"/>
          <w:sz w:val="22"/>
        </w:rPr>
        <w:t> </w:t>
      </w:r>
      <w:r>
        <w:rPr>
          <w:sz w:val="22"/>
        </w:rPr>
        <w:t>treatment</w:t>
      </w:r>
      <w:r>
        <w:rPr>
          <w:spacing w:val="50"/>
          <w:sz w:val="22"/>
        </w:rPr>
        <w:t> </w:t>
      </w:r>
      <w:r>
        <w:rPr>
          <w:sz w:val="22"/>
        </w:rPr>
        <w:t>of</w:t>
      </w:r>
      <w:r>
        <w:rPr>
          <w:spacing w:val="49"/>
          <w:sz w:val="22"/>
        </w:rPr>
        <w:t> </w:t>
      </w:r>
      <w:r>
        <w:rPr>
          <w:sz w:val="22"/>
        </w:rPr>
        <w:t>vasomotor</w:t>
      </w:r>
      <w:r>
        <w:rPr>
          <w:spacing w:val="49"/>
          <w:sz w:val="22"/>
        </w:rPr>
        <w:t> </w:t>
      </w:r>
      <w:r>
        <w:rPr>
          <w:spacing w:val="-2"/>
          <w:sz w:val="22"/>
        </w:rPr>
        <w:t>symptoms.</w:t>
      </w:r>
    </w:p>
    <w:p>
      <w:pPr>
        <w:spacing w:before="4"/>
        <w:ind w:left="718" w:right="0" w:firstLine="0"/>
        <w:jc w:val="both"/>
        <w:rPr>
          <w:sz w:val="22"/>
        </w:rPr>
      </w:pPr>
      <w:r>
        <w:rPr>
          <w:i/>
          <w:sz w:val="22"/>
        </w:rPr>
        <w:t>Obstet</w:t>
      </w:r>
      <w:r>
        <w:rPr>
          <w:i/>
          <w:spacing w:val="11"/>
          <w:sz w:val="22"/>
        </w:rPr>
        <w:t> </w:t>
      </w:r>
      <w:r>
        <w:rPr>
          <w:i/>
          <w:sz w:val="22"/>
        </w:rPr>
        <w:t>Gynecol</w:t>
      </w:r>
      <w:r>
        <w:rPr>
          <w:i/>
          <w:spacing w:val="10"/>
          <w:sz w:val="22"/>
        </w:rPr>
        <w:t> </w:t>
      </w:r>
      <w:r>
        <w:rPr>
          <w:i/>
          <w:sz w:val="22"/>
        </w:rPr>
        <w:t>Clin</w:t>
      </w:r>
      <w:r>
        <w:rPr>
          <w:i/>
          <w:spacing w:val="11"/>
          <w:sz w:val="22"/>
        </w:rPr>
        <w:t> </w:t>
      </w:r>
      <w:r>
        <w:rPr>
          <w:i/>
          <w:sz w:val="22"/>
        </w:rPr>
        <w:t>North</w:t>
      </w:r>
      <w:r>
        <w:rPr>
          <w:i/>
          <w:spacing w:val="11"/>
          <w:sz w:val="22"/>
        </w:rPr>
        <w:t> </w:t>
      </w:r>
      <w:r>
        <w:rPr>
          <w:i/>
          <w:sz w:val="22"/>
        </w:rPr>
        <w:t>Am</w:t>
      </w:r>
      <w:r>
        <w:rPr>
          <w:sz w:val="22"/>
        </w:rPr>
        <w:t>.</w:t>
      </w:r>
      <w:r>
        <w:rPr>
          <w:spacing w:val="11"/>
          <w:sz w:val="22"/>
        </w:rPr>
        <w:t> </w:t>
      </w:r>
      <w:r>
        <w:rPr>
          <w:spacing w:val="-2"/>
          <w:sz w:val="22"/>
        </w:rPr>
        <w:t>2015;42(1):163.</w:t>
      </w:r>
    </w:p>
    <w:p>
      <w:pPr>
        <w:pStyle w:val="ListParagraph"/>
        <w:numPr>
          <w:ilvl w:val="0"/>
          <w:numId w:val="19"/>
        </w:numPr>
        <w:tabs>
          <w:tab w:pos="709" w:val="left" w:leader="none"/>
          <w:tab w:pos="718" w:val="left" w:leader="none"/>
        </w:tabs>
        <w:spacing w:line="256" w:lineRule="auto" w:before="17" w:after="0"/>
        <w:ind w:left="718" w:right="98" w:hanging="507"/>
        <w:jc w:val="both"/>
        <w:rPr>
          <w:sz w:val="22"/>
        </w:rPr>
      </w:pPr>
      <w:r>
        <w:rPr>
          <w:sz w:val="22"/>
        </w:rPr>
        <w:t>Velthuis-Te Wierik EJ, Hendricks PT, Martinez C. Preferential prescribing of tibolone and combined estrogen plus progestogen therapy in postmenopausal women. </w:t>
      </w:r>
      <w:r>
        <w:rPr>
          <w:i/>
          <w:sz w:val="22"/>
        </w:rPr>
        <w:t>Menopause</w:t>
      </w:r>
      <w:r>
        <w:rPr>
          <w:sz w:val="22"/>
        </w:rPr>
        <w:t>. </w:t>
      </w:r>
      <w:r>
        <w:rPr>
          <w:spacing w:val="-2"/>
          <w:sz w:val="22"/>
        </w:rPr>
        <w:t>2007;14:518.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Lebherz TB, French LT. Nonhormonal treatment of the menopausal syndrome: a double-blind evaluation of an autonomic system stabilizer. </w:t>
      </w:r>
      <w:r>
        <w:rPr>
          <w:i/>
          <w:sz w:val="22"/>
        </w:rPr>
        <w:t>Obstet Gynecol</w:t>
      </w:r>
      <w:r>
        <w:rPr>
          <w:sz w:val="22"/>
        </w:rPr>
        <w:t>. 1969;33:795.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Bergmans MG, Merkus JM, Corbey RS, Schellekens LA, Ubachs JM. Effect</w:t>
      </w:r>
      <w:r>
        <w:rPr>
          <w:spacing w:val="40"/>
          <w:sz w:val="22"/>
        </w:rPr>
        <w:t> </w:t>
      </w:r>
      <w:r>
        <w:rPr>
          <w:sz w:val="22"/>
        </w:rPr>
        <w:t>of</w:t>
      </w:r>
      <w:r>
        <w:rPr>
          <w:spacing w:val="40"/>
          <w:sz w:val="22"/>
        </w:rPr>
        <w:t> </w:t>
      </w:r>
      <w:r>
        <w:rPr>
          <w:sz w:val="22"/>
        </w:rPr>
        <w:t>Bellergal</w:t>
      </w:r>
      <w:r>
        <w:rPr>
          <w:spacing w:val="40"/>
          <w:sz w:val="22"/>
        </w:rPr>
        <w:t> </w:t>
      </w:r>
      <w:r>
        <w:rPr>
          <w:sz w:val="22"/>
        </w:rPr>
        <w:t>Retard on climacteric complaints: a double-blind, placebo-controlled study. </w:t>
      </w:r>
      <w:r>
        <w:rPr>
          <w:i/>
          <w:sz w:val="22"/>
        </w:rPr>
        <w:t>Maturitas</w:t>
      </w:r>
      <w:r>
        <w:rPr>
          <w:sz w:val="22"/>
        </w:rPr>
        <w:t>. </w:t>
      </w:r>
      <w:r>
        <w:rPr>
          <w:spacing w:val="-2"/>
          <w:sz w:val="22"/>
        </w:rPr>
        <w:t>1987;9:227.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David A, Don R, Tajchner G, Weissglas L. Veralipride: alternative antidopaminergic </w:t>
      </w:r>
      <w:r>
        <w:rPr>
          <w:sz w:val="22"/>
        </w:rPr>
        <w:t>treatment for menopausal symptoms. </w:t>
      </w:r>
      <w:r>
        <w:rPr>
          <w:i/>
          <w:sz w:val="22"/>
        </w:rPr>
        <w:t>Am J Obstet Gynecol</w:t>
      </w:r>
      <w:r>
        <w:rPr>
          <w:sz w:val="22"/>
        </w:rPr>
        <w:t>. 1988;158:1107.</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Melis GB, Bambacciani M, Cagnacci A, Paoletti AM, Mais V, Fioretti P. Effects of the dopamine antagonist veralipride on hot flushes and luteinizing hormone secretion </w:t>
      </w:r>
      <w:r>
        <w:rPr>
          <w:sz w:val="22"/>
        </w:rPr>
        <w:t>in postmenopausal women. </w:t>
      </w:r>
      <w:r>
        <w:rPr>
          <w:i/>
          <w:sz w:val="22"/>
        </w:rPr>
        <w:t>Obstet Gynecol</w:t>
      </w:r>
      <w:r>
        <w:rPr>
          <w:sz w:val="22"/>
        </w:rPr>
        <w:t>. 1988;72:688.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Wesel S, Bourguignon RP, Bosuma WB. Veralipride versus conjugated oestrogens: a </w:t>
      </w:r>
      <w:r>
        <w:rPr>
          <w:sz w:val="22"/>
        </w:rPr>
        <w:t>double-blind study in the management of menopausal hot flushes. </w:t>
      </w:r>
      <w:r>
        <w:rPr>
          <w:i/>
          <w:sz w:val="22"/>
        </w:rPr>
        <w:t>Curr Med Res Opin</w:t>
      </w:r>
      <w:r>
        <w:rPr>
          <w:sz w:val="22"/>
        </w:rPr>
        <w:t>. 1984;8:696.</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Barton</w:t>
      </w:r>
      <w:r>
        <w:rPr>
          <w:spacing w:val="17"/>
          <w:sz w:val="22"/>
        </w:rPr>
        <w:t> </w:t>
      </w:r>
      <w:r>
        <w:rPr>
          <w:sz w:val="22"/>
        </w:rPr>
        <w:t>DL,</w:t>
      </w:r>
      <w:r>
        <w:rPr>
          <w:spacing w:val="17"/>
          <w:sz w:val="22"/>
        </w:rPr>
        <w:t> </w:t>
      </w:r>
      <w:r>
        <w:rPr>
          <w:sz w:val="22"/>
        </w:rPr>
        <w:t>Loprinzi</w:t>
      </w:r>
      <w:r>
        <w:rPr>
          <w:spacing w:val="17"/>
          <w:sz w:val="22"/>
        </w:rPr>
        <w:t> </w:t>
      </w:r>
      <w:r>
        <w:rPr>
          <w:sz w:val="22"/>
        </w:rPr>
        <w:t>CL,</w:t>
      </w:r>
      <w:r>
        <w:rPr>
          <w:spacing w:val="17"/>
          <w:sz w:val="22"/>
        </w:rPr>
        <w:t> </w:t>
      </w:r>
      <w:r>
        <w:rPr>
          <w:sz w:val="22"/>
        </w:rPr>
        <w:t>Quella</w:t>
      </w:r>
      <w:r>
        <w:rPr>
          <w:spacing w:val="17"/>
          <w:sz w:val="22"/>
        </w:rPr>
        <w:t> </w:t>
      </w:r>
      <w:r>
        <w:rPr>
          <w:sz w:val="22"/>
        </w:rPr>
        <w:t>SK,</w:t>
      </w:r>
      <w:r>
        <w:rPr>
          <w:spacing w:val="17"/>
          <w:sz w:val="22"/>
        </w:rPr>
        <w:t> </w:t>
      </w:r>
      <w:r>
        <w:rPr>
          <w:sz w:val="22"/>
        </w:rPr>
        <w:t>et</w:t>
      </w:r>
      <w:r>
        <w:rPr>
          <w:spacing w:val="17"/>
          <w:sz w:val="22"/>
        </w:rPr>
        <w:t> </w:t>
      </w:r>
      <w:r>
        <w:rPr>
          <w:sz w:val="22"/>
        </w:rPr>
        <w:t>al.</w:t>
      </w:r>
      <w:r>
        <w:rPr>
          <w:spacing w:val="17"/>
          <w:sz w:val="22"/>
        </w:rPr>
        <w:t> </w:t>
      </w:r>
      <w:r>
        <w:rPr>
          <w:sz w:val="22"/>
        </w:rPr>
        <w:t>Prospective</w:t>
      </w:r>
      <w:r>
        <w:rPr>
          <w:spacing w:val="18"/>
          <w:sz w:val="22"/>
        </w:rPr>
        <w:t> </w:t>
      </w:r>
      <w:r>
        <w:rPr>
          <w:sz w:val="22"/>
        </w:rPr>
        <w:t>evaluation</w:t>
      </w:r>
      <w:r>
        <w:rPr>
          <w:spacing w:val="18"/>
          <w:sz w:val="22"/>
        </w:rPr>
        <w:t> </w:t>
      </w:r>
      <w:r>
        <w:rPr>
          <w:sz w:val="22"/>
        </w:rPr>
        <w:t>of</w:t>
      </w:r>
      <w:r>
        <w:rPr>
          <w:spacing w:val="18"/>
          <w:sz w:val="22"/>
        </w:rPr>
        <w:t> </w:t>
      </w:r>
      <w:r>
        <w:rPr>
          <w:sz w:val="22"/>
        </w:rPr>
        <w:t>vitamin</w:t>
      </w:r>
      <w:r>
        <w:rPr>
          <w:spacing w:val="18"/>
          <w:sz w:val="22"/>
        </w:rPr>
        <w:t> </w:t>
      </w:r>
      <w:r>
        <w:rPr>
          <w:sz w:val="22"/>
        </w:rPr>
        <w:t>E</w:t>
      </w:r>
      <w:r>
        <w:rPr>
          <w:spacing w:val="18"/>
          <w:sz w:val="22"/>
        </w:rPr>
        <w:t> </w:t>
      </w:r>
      <w:r>
        <w:rPr>
          <w:sz w:val="22"/>
        </w:rPr>
        <w:t>for</w:t>
      </w:r>
      <w:r>
        <w:rPr>
          <w:spacing w:val="18"/>
          <w:sz w:val="22"/>
        </w:rPr>
        <w:t> </w:t>
      </w:r>
      <w:r>
        <w:rPr>
          <w:sz w:val="22"/>
        </w:rPr>
        <w:t>hot</w:t>
      </w:r>
      <w:r>
        <w:rPr>
          <w:spacing w:val="18"/>
          <w:sz w:val="22"/>
        </w:rPr>
        <w:t> </w:t>
      </w:r>
      <w:r>
        <w:rPr>
          <w:sz w:val="22"/>
        </w:rPr>
        <w:t>flashes in breast cancer survivors. </w:t>
      </w:r>
      <w:r>
        <w:rPr>
          <w:i/>
          <w:sz w:val="22"/>
        </w:rPr>
        <w:t>J Clin Oncol</w:t>
      </w:r>
      <w:r>
        <w:rPr>
          <w:sz w:val="22"/>
        </w:rPr>
        <w:t>. 1998;16:495.</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Hirata JD, Swiersz LM, Zell B, Small R, Ettinger B. Does dong quai have estrogenic effects in postmenopausal women? A double-blind, placebo-controlled trial. </w:t>
      </w:r>
      <w:r>
        <w:rPr>
          <w:i/>
          <w:sz w:val="22"/>
        </w:rPr>
        <w:t>Fertil Steril</w:t>
      </w:r>
      <w:r>
        <w:rPr>
          <w:sz w:val="22"/>
        </w:rPr>
        <w:t>. 1997;68:981.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Wiklund IK, Mattsson LA, Lindgren R, Limoni C. Effects of a standardized ginseng extract on quality</w:t>
      </w:r>
      <w:r>
        <w:rPr>
          <w:spacing w:val="40"/>
          <w:sz w:val="22"/>
        </w:rPr>
        <w:t> </w:t>
      </w:r>
      <w:r>
        <w:rPr>
          <w:sz w:val="22"/>
        </w:rPr>
        <w:t>of</w:t>
      </w:r>
      <w:r>
        <w:rPr>
          <w:spacing w:val="40"/>
          <w:sz w:val="22"/>
        </w:rPr>
        <w:t> </w:t>
      </w:r>
      <w:r>
        <w:rPr>
          <w:sz w:val="22"/>
        </w:rPr>
        <w:t>life</w:t>
      </w:r>
      <w:r>
        <w:rPr>
          <w:spacing w:val="40"/>
          <w:sz w:val="22"/>
        </w:rPr>
        <w:t> </w:t>
      </w:r>
      <w:r>
        <w:rPr>
          <w:sz w:val="22"/>
        </w:rPr>
        <w:t>and</w:t>
      </w:r>
      <w:r>
        <w:rPr>
          <w:spacing w:val="40"/>
          <w:sz w:val="22"/>
        </w:rPr>
        <w:t> </w:t>
      </w:r>
      <w:r>
        <w:rPr>
          <w:sz w:val="22"/>
        </w:rPr>
        <w:t>physiological</w:t>
      </w:r>
      <w:r>
        <w:rPr>
          <w:spacing w:val="40"/>
          <w:sz w:val="22"/>
        </w:rPr>
        <w:t> </w:t>
      </w:r>
      <w:r>
        <w:rPr>
          <w:sz w:val="22"/>
        </w:rPr>
        <w:t>parameters</w:t>
      </w:r>
      <w:r>
        <w:rPr>
          <w:spacing w:val="40"/>
          <w:sz w:val="22"/>
        </w:rPr>
        <w:t> </w:t>
      </w:r>
      <w:r>
        <w:rPr>
          <w:sz w:val="22"/>
        </w:rPr>
        <w:t>in</w:t>
      </w:r>
      <w:r>
        <w:rPr>
          <w:spacing w:val="40"/>
          <w:sz w:val="22"/>
        </w:rPr>
        <w:t> </w:t>
      </w:r>
      <w:r>
        <w:rPr>
          <w:sz w:val="22"/>
        </w:rPr>
        <w:t>symptomatic</w:t>
      </w:r>
      <w:r>
        <w:rPr>
          <w:spacing w:val="40"/>
          <w:sz w:val="22"/>
        </w:rPr>
        <w:t> </w:t>
      </w:r>
      <w:r>
        <w:rPr>
          <w:sz w:val="22"/>
        </w:rPr>
        <w:t>postmenopausal</w:t>
      </w:r>
      <w:r>
        <w:rPr>
          <w:spacing w:val="40"/>
          <w:sz w:val="22"/>
        </w:rPr>
        <w:t> </w:t>
      </w:r>
      <w:r>
        <w:rPr>
          <w:sz w:val="22"/>
        </w:rPr>
        <w:t>women:</w:t>
      </w:r>
      <w:r>
        <w:rPr>
          <w:spacing w:val="40"/>
          <w:sz w:val="22"/>
        </w:rPr>
        <w:t> </w:t>
      </w:r>
      <w:r>
        <w:rPr>
          <w:sz w:val="22"/>
        </w:rPr>
        <w:t>a double-blind, placebo-controlled trial: Swedish alternative medicine group. </w:t>
      </w:r>
      <w:r>
        <w:rPr>
          <w:i/>
          <w:sz w:val="22"/>
        </w:rPr>
        <w:t>Int J Clin</w:t>
      </w:r>
      <w:r>
        <w:rPr>
          <w:i/>
          <w:spacing w:val="40"/>
          <w:sz w:val="22"/>
        </w:rPr>
        <w:t> </w:t>
      </w:r>
      <w:r>
        <w:rPr>
          <w:i/>
          <w:sz w:val="22"/>
        </w:rPr>
        <w:t>Pharmacol Res</w:t>
      </w:r>
      <w:r>
        <w:rPr>
          <w:sz w:val="22"/>
        </w:rPr>
        <w:t>. 1999;19:89.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2" w:hanging="507"/>
        <w:jc w:val="both"/>
        <w:rPr>
          <w:sz w:val="22"/>
        </w:rPr>
      </w:pPr>
      <w:r>
        <w:rPr>
          <w:sz w:val="22"/>
        </w:rPr>
        <w:t>Jacobson JS, Troxel AB, Evans J, et al. Randomized trial of black cohosh for the treatment of</w:t>
      </w:r>
      <w:r>
        <w:rPr>
          <w:spacing w:val="40"/>
          <w:sz w:val="22"/>
        </w:rPr>
        <w:t> </w:t>
      </w:r>
      <w:r>
        <w:rPr>
          <w:sz w:val="22"/>
        </w:rPr>
        <w:t>hot flashes among women with a history of breast cancer. </w:t>
      </w:r>
      <w:r>
        <w:rPr>
          <w:i/>
          <w:sz w:val="22"/>
        </w:rPr>
        <w:t>J Clin Oncol</w:t>
      </w:r>
      <w:r>
        <w:rPr>
          <w:sz w:val="22"/>
        </w:rPr>
        <w:t>. 2001;19:2739.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Quella</w:t>
      </w:r>
      <w:r>
        <w:rPr>
          <w:spacing w:val="18"/>
          <w:sz w:val="22"/>
        </w:rPr>
        <w:t> </w:t>
      </w:r>
      <w:r>
        <w:rPr>
          <w:sz w:val="22"/>
        </w:rPr>
        <w:t>SK,</w:t>
      </w:r>
      <w:r>
        <w:rPr>
          <w:spacing w:val="18"/>
          <w:sz w:val="22"/>
        </w:rPr>
        <w:t> </w:t>
      </w:r>
      <w:r>
        <w:rPr>
          <w:sz w:val="22"/>
        </w:rPr>
        <w:t>Loprinzi</w:t>
      </w:r>
      <w:r>
        <w:rPr>
          <w:spacing w:val="18"/>
          <w:sz w:val="22"/>
        </w:rPr>
        <w:t> </w:t>
      </w:r>
      <w:r>
        <w:rPr>
          <w:sz w:val="22"/>
        </w:rPr>
        <w:t>CL,</w:t>
      </w:r>
      <w:r>
        <w:rPr>
          <w:spacing w:val="18"/>
          <w:sz w:val="22"/>
        </w:rPr>
        <w:t> </w:t>
      </w:r>
      <w:r>
        <w:rPr>
          <w:sz w:val="22"/>
        </w:rPr>
        <w:t>Barton</w:t>
      </w:r>
      <w:r>
        <w:rPr>
          <w:spacing w:val="18"/>
          <w:sz w:val="22"/>
        </w:rPr>
        <w:t> </w:t>
      </w:r>
      <w:r>
        <w:rPr>
          <w:sz w:val="22"/>
        </w:rPr>
        <w:t>DL,</w:t>
      </w:r>
      <w:r>
        <w:rPr>
          <w:spacing w:val="18"/>
          <w:sz w:val="22"/>
        </w:rPr>
        <w:t> </w:t>
      </w:r>
      <w:r>
        <w:rPr>
          <w:sz w:val="22"/>
        </w:rPr>
        <w:t>et</w:t>
      </w:r>
      <w:r>
        <w:rPr>
          <w:spacing w:val="18"/>
          <w:sz w:val="22"/>
        </w:rPr>
        <w:t> </w:t>
      </w:r>
      <w:r>
        <w:rPr>
          <w:sz w:val="22"/>
        </w:rPr>
        <w:t>al.</w:t>
      </w:r>
      <w:r>
        <w:rPr>
          <w:spacing w:val="18"/>
          <w:sz w:val="22"/>
        </w:rPr>
        <w:t> </w:t>
      </w:r>
      <w:r>
        <w:rPr>
          <w:sz w:val="22"/>
        </w:rPr>
        <w:t>Evaluation</w:t>
      </w:r>
      <w:r>
        <w:rPr>
          <w:spacing w:val="21"/>
          <w:sz w:val="22"/>
        </w:rPr>
        <w:t> </w:t>
      </w:r>
      <w:r>
        <w:rPr>
          <w:sz w:val="22"/>
        </w:rPr>
        <w:t>of</w:t>
      </w:r>
      <w:r>
        <w:rPr>
          <w:spacing w:val="21"/>
          <w:sz w:val="22"/>
        </w:rPr>
        <w:t> </w:t>
      </w:r>
      <w:r>
        <w:rPr>
          <w:sz w:val="22"/>
        </w:rPr>
        <w:t>soy</w:t>
      </w:r>
      <w:r>
        <w:rPr>
          <w:spacing w:val="21"/>
          <w:sz w:val="22"/>
        </w:rPr>
        <w:t> </w:t>
      </w:r>
      <w:r>
        <w:rPr>
          <w:sz w:val="22"/>
        </w:rPr>
        <w:t>phytoestrogens</w:t>
      </w:r>
      <w:r>
        <w:rPr>
          <w:spacing w:val="21"/>
          <w:sz w:val="22"/>
        </w:rPr>
        <w:t> </w:t>
      </w:r>
      <w:r>
        <w:rPr>
          <w:sz w:val="22"/>
        </w:rPr>
        <w:t>for</w:t>
      </w:r>
      <w:r>
        <w:rPr>
          <w:spacing w:val="21"/>
          <w:sz w:val="22"/>
        </w:rPr>
        <w:t> </w:t>
      </w:r>
      <w:r>
        <w:rPr>
          <w:sz w:val="22"/>
        </w:rPr>
        <w:t>the</w:t>
      </w:r>
      <w:r>
        <w:rPr>
          <w:spacing w:val="21"/>
          <w:sz w:val="22"/>
        </w:rPr>
        <w:t> </w:t>
      </w:r>
      <w:r>
        <w:rPr>
          <w:sz w:val="22"/>
        </w:rPr>
        <w:t>treatment of hot flashes in breast cancer survivors: a North Central Cancer Treatment Group trial. </w:t>
      </w:r>
      <w:r>
        <w:rPr>
          <w:i/>
          <w:sz w:val="22"/>
        </w:rPr>
        <w:t>J Clin</w:t>
      </w:r>
      <w:r>
        <w:rPr>
          <w:i/>
          <w:sz w:val="22"/>
        </w:rPr>
        <w:t> Oncol</w:t>
      </w:r>
      <w:r>
        <w:rPr>
          <w:sz w:val="22"/>
        </w:rPr>
        <w:t>. 2000;18:1068.</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St. Germain A, Peterson CT, Robinson JG, Alekel DL. Isoflavone-rich or isoflavone-poor soy protein does not reduce menopausal symptoms during 24 weeks of treatment. </w:t>
      </w:r>
      <w:r>
        <w:rPr>
          <w:i/>
          <w:sz w:val="22"/>
        </w:rPr>
        <w:t>Menopause</w:t>
      </w:r>
      <w:r>
        <w:rPr>
          <w:sz w:val="22"/>
        </w:rPr>
        <w:t>. </w:t>
      </w:r>
      <w:r>
        <w:rPr>
          <w:spacing w:val="-2"/>
          <w:sz w:val="22"/>
        </w:rPr>
        <w:t>2001;8:17.</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Van</w:t>
      </w:r>
      <w:r>
        <w:rPr>
          <w:spacing w:val="19"/>
          <w:sz w:val="22"/>
        </w:rPr>
        <w:t> </w:t>
      </w:r>
      <w:r>
        <w:rPr>
          <w:sz w:val="22"/>
        </w:rPr>
        <w:t>Patten</w:t>
      </w:r>
      <w:r>
        <w:rPr>
          <w:spacing w:val="19"/>
          <w:sz w:val="22"/>
        </w:rPr>
        <w:t> </w:t>
      </w:r>
      <w:r>
        <w:rPr>
          <w:sz w:val="22"/>
        </w:rPr>
        <w:t>CL,</w:t>
      </w:r>
      <w:r>
        <w:rPr>
          <w:spacing w:val="19"/>
          <w:sz w:val="22"/>
        </w:rPr>
        <w:t> </w:t>
      </w:r>
      <w:r>
        <w:rPr>
          <w:sz w:val="22"/>
        </w:rPr>
        <w:t>Olivotto</w:t>
      </w:r>
      <w:r>
        <w:rPr>
          <w:spacing w:val="19"/>
          <w:sz w:val="22"/>
        </w:rPr>
        <w:t> </w:t>
      </w:r>
      <w:r>
        <w:rPr>
          <w:sz w:val="22"/>
        </w:rPr>
        <w:t>IA,</w:t>
      </w:r>
      <w:r>
        <w:rPr>
          <w:spacing w:val="19"/>
          <w:sz w:val="22"/>
        </w:rPr>
        <w:t> </w:t>
      </w:r>
      <w:r>
        <w:rPr>
          <w:sz w:val="22"/>
        </w:rPr>
        <w:t>Chambers</w:t>
      </w:r>
      <w:r>
        <w:rPr>
          <w:spacing w:val="19"/>
          <w:sz w:val="22"/>
        </w:rPr>
        <w:t> </w:t>
      </w:r>
      <w:r>
        <w:rPr>
          <w:sz w:val="22"/>
        </w:rPr>
        <w:t>GK,</w:t>
      </w:r>
      <w:r>
        <w:rPr>
          <w:spacing w:val="19"/>
          <w:sz w:val="22"/>
        </w:rPr>
        <w:t> </w:t>
      </w:r>
      <w:r>
        <w:rPr>
          <w:sz w:val="22"/>
        </w:rPr>
        <w:t>et</w:t>
      </w:r>
      <w:r>
        <w:rPr>
          <w:spacing w:val="19"/>
          <w:sz w:val="22"/>
        </w:rPr>
        <w:t> </w:t>
      </w:r>
      <w:r>
        <w:rPr>
          <w:sz w:val="22"/>
        </w:rPr>
        <w:t>al.</w:t>
      </w:r>
      <w:r>
        <w:rPr>
          <w:spacing w:val="19"/>
          <w:sz w:val="22"/>
        </w:rPr>
        <w:t> </w:t>
      </w:r>
      <w:r>
        <w:rPr>
          <w:sz w:val="22"/>
        </w:rPr>
        <w:t>Effect</w:t>
      </w:r>
      <w:r>
        <w:rPr>
          <w:spacing w:val="20"/>
          <w:sz w:val="22"/>
        </w:rPr>
        <w:t> </w:t>
      </w:r>
      <w:r>
        <w:rPr>
          <w:sz w:val="22"/>
        </w:rPr>
        <w:t>of</w:t>
      </w:r>
      <w:r>
        <w:rPr>
          <w:spacing w:val="20"/>
          <w:sz w:val="22"/>
        </w:rPr>
        <w:t> </w:t>
      </w:r>
      <w:r>
        <w:rPr>
          <w:sz w:val="22"/>
        </w:rPr>
        <w:t>soy</w:t>
      </w:r>
      <w:r>
        <w:rPr>
          <w:spacing w:val="20"/>
          <w:sz w:val="22"/>
        </w:rPr>
        <w:t> </w:t>
      </w:r>
      <w:r>
        <w:rPr>
          <w:sz w:val="22"/>
        </w:rPr>
        <w:t>phytoestrogens</w:t>
      </w:r>
      <w:r>
        <w:rPr>
          <w:spacing w:val="20"/>
          <w:sz w:val="22"/>
        </w:rPr>
        <w:t> </w:t>
      </w:r>
      <w:r>
        <w:rPr>
          <w:sz w:val="22"/>
        </w:rPr>
        <w:t>on</w:t>
      </w:r>
      <w:r>
        <w:rPr>
          <w:spacing w:val="20"/>
          <w:sz w:val="22"/>
        </w:rPr>
        <w:t> </w:t>
      </w:r>
      <w:r>
        <w:rPr>
          <w:sz w:val="22"/>
        </w:rPr>
        <w:t>hot</w:t>
      </w:r>
      <w:r>
        <w:rPr>
          <w:spacing w:val="20"/>
          <w:sz w:val="22"/>
        </w:rPr>
        <w:t> </w:t>
      </w:r>
      <w:r>
        <w:rPr>
          <w:sz w:val="22"/>
        </w:rPr>
        <w:t>flashes in postmenopausal women with breast cancer: a randomized, controlled clinical trial. </w:t>
      </w:r>
      <w:r>
        <w:rPr>
          <w:i/>
          <w:sz w:val="22"/>
        </w:rPr>
        <w:t>J Clin</w:t>
      </w:r>
      <w:r>
        <w:rPr>
          <w:i/>
          <w:sz w:val="22"/>
        </w:rPr>
        <w:t> Oncol</w:t>
      </w:r>
      <w:r>
        <w:rPr>
          <w:sz w:val="22"/>
        </w:rPr>
        <w:t>. 2002;20:1449.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Pockaj BA, Gallagher JG, Loprinzi CL, et al. Phase III double-blind, randomized, </w:t>
      </w:r>
      <w:r>
        <w:rPr>
          <w:sz w:val="22"/>
        </w:rPr>
        <w:t>placebo-controlled crossover trial of black cohosh in the management of hot flashes: NCCTG trial NO1CC1. </w:t>
      </w:r>
      <w:r>
        <w:rPr>
          <w:i/>
          <w:sz w:val="22"/>
        </w:rPr>
        <w:t>J Clin Oncol</w:t>
      </w:r>
      <w:r>
        <w:rPr>
          <w:sz w:val="22"/>
        </w:rPr>
        <w:t>. 2006;24:2836.</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Krebs E, Ensrud KE, MacDonald R, Wilt T. Phytoestrogens for treatment of </w:t>
      </w:r>
      <w:r>
        <w:rPr>
          <w:sz w:val="22"/>
        </w:rPr>
        <w:t>menopausal symptoms: a systematic review. </w:t>
      </w:r>
      <w:r>
        <w:rPr>
          <w:i/>
          <w:sz w:val="22"/>
        </w:rPr>
        <w:t>Obstet Gynecol</w:t>
      </w:r>
      <w:r>
        <w:rPr>
          <w:sz w:val="22"/>
        </w:rPr>
        <w:t>. 2004;104:824.</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Vincent A, Barton DL, Mandrekar JN, et al. Acupuncture for hot flashes: a randomized, sham-controlled clinical study. </w:t>
      </w:r>
      <w:r>
        <w:rPr>
          <w:i/>
          <w:sz w:val="22"/>
        </w:rPr>
        <w:t>Menopause</w:t>
      </w:r>
      <w:r>
        <w:rPr>
          <w:sz w:val="22"/>
        </w:rPr>
        <w:t>. 2007;14:45.</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Deng G, Vickers A, Yeung S, et al. Randomized, controlled trial of acupuncture for the</w:t>
      </w:r>
      <w:r>
        <w:rPr>
          <w:spacing w:val="40"/>
          <w:sz w:val="22"/>
        </w:rPr>
        <w:t> </w:t>
      </w:r>
      <w:r>
        <w:rPr>
          <w:sz w:val="22"/>
        </w:rPr>
        <w:t>treatment of hot flashes in breast cancer patients. </w:t>
      </w:r>
      <w:r>
        <w:rPr>
          <w:i/>
          <w:sz w:val="22"/>
        </w:rPr>
        <w:t>J Clin Oncol</w:t>
      </w:r>
      <w:r>
        <w:rPr>
          <w:sz w:val="22"/>
        </w:rPr>
        <w:t>. 2007;25:5584.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Palma F, Fontanesi F, Facchinetti F, Cagnacci A. Acupuncture or phy(F)itoestrogens </w:t>
      </w:r>
      <w:r>
        <w:rPr>
          <w:i/>
          <w:sz w:val="22"/>
        </w:rPr>
        <w:t>vs.</w:t>
      </w:r>
      <w:r>
        <w:rPr>
          <w:i/>
          <w:sz w:val="22"/>
        </w:rPr>
        <w:t> </w:t>
      </w:r>
      <w:r>
        <w:rPr>
          <w:sz w:val="22"/>
        </w:rPr>
        <w:t>(E)strogen plus progestin on menopausal symptoms: a randomized study. </w:t>
      </w:r>
      <w:r>
        <w:rPr>
          <w:i/>
          <w:sz w:val="22"/>
        </w:rPr>
        <w:t>Gynecol Endocrinol</w:t>
      </w:r>
      <w:r>
        <w:rPr>
          <w:sz w:val="22"/>
        </w:rPr>
        <w:t>. </w:t>
      </w:r>
      <w:r>
        <w:rPr>
          <w:spacing w:val="-2"/>
          <w:sz w:val="22"/>
        </w:rPr>
        <w:t>2019;35(11):995-998.</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Pandya</w:t>
      </w:r>
      <w:r>
        <w:rPr>
          <w:spacing w:val="40"/>
          <w:sz w:val="22"/>
        </w:rPr>
        <w:t> </w:t>
      </w:r>
      <w:r>
        <w:rPr>
          <w:sz w:val="22"/>
        </w:rPr>
        <w:t>KJ,</w:t>
      </w:r>
      <w:r>
        <w:rPr>
          <w:spacing w:val="40"/>
          <w:sz w:val="22"/>
        </w:rPr>
        <w:t> </w:t>
      </w:r>
      <w:r>
        <w:rPr>
          <w:sz w:val="22"/>
        </w:rPr>
        <w:t>Raubertas</w:t>
      </w:r>
      <w:r>
        <w:rPr>
          <w:spacing w:val="40"/>
          <w:sz w:val="22"/>
        </w:rPr>
        <w:t> </w:t>
      </w:r>
      <w:r>
        <w:rPr>
          <w:sz w:val="22"/>
        </w:rPr>
        <w:t>RF,</w:t>
      </w:r>
      <w:r>
        <w:rPr>
          <w:spacing w:val="40"/>
          <w:sz w:val="22"/>
        </w:rPr>
        <w:t> </w:t>
      </w:r>
      <w:r>
        <w:rPr>
          <w:sz w:val="22"/>
        </w:rPr>
        <w:t>Flynn</w:t>
      </w:r>
      <w:r>
        <w:rPr>
          <w:spacing w:val="40"/>
          <w:sz w:val="22"/>
        </w:rPr>
        <w:t> </w:t>
      </w:r>
      <w:r>
        <w:rPr>
          <w:sz w:val="22"/>
        </w:rPr>
        <w:t>PJ,</w:t>
      </w:r>
      <w:r>
        <w:rPr>
          <w:spacing w:val="40"/>
          <w:sz w:val="22"/>
        </w:rPr>
        <w:t> </w:t>
      </w:r>
      <w:r>
        <w:rPr>
          <w:sz w:val="22"/>
        </w:rPr>
        <w:t>et</w:t>
      </w:r>
      <w:r>
        <w:rPr>
          <w:spacing w:val="40"/>
          <w:sz w:val="22"/>
        </w:rPr>
        <w:t> </w:t>
      </w:r>
      <w:r>
        <w:rPr>
          <w:sz w:val="22"/>
        </w:rPr>
        <w:t>al.</w:t>
      </w:r>
      <w:r>
        <w:rPr>
          <w:spacing w:val="40"/>
          <w:sz w:val="22"/>
        </w:rPr>
        <w:t> </w:t>
      </w:r>
      <w:r>
        <w:rPr>
          <w:sz w:val="22"/>
        </w:rPr>
        <w:t>Oral</w:t>
      </w:r>
      <w:r>
        <w:rPr>
          <w:spacing w:val="40"/>
          <w:sz w:val="22"/>
        </w:rPr>
        <w:t> </w:t>
      </w:r>
      <w:r>
        <w:rPr>
          <w:sz w:val="22"/>
        </w:rPr>
        <w:t>clonidine</w:t>
      </w:r>
      <w:r>
        <w:rPr>
          <w:spacing w:val="40"/>
          <w:sz w:val="22"/>
        </w:rPr>
        <w:t> </w:t>
      </w:r>
      <w:r>
        <w:rPr>
          <w:sz w:val="22"/>
        </w:rPr>
        <w:t>in</w:t>
      </w:r>
      <w:r>
        <w:rPr>
          <w:spacing w:val="40"/>
          <w:sz w:val="22"/>
        </w:rPr>
        <w:t> </w:t>
      </w:r>
      <w:r>
        <w:rPr>
          <w:sz w:val="22"/>
        </w:rPr>
        <w:t>postmenopausal</w:t>
      </w:r>
      <w:r>
        <w:rPr>
          <w:spacing w:val="40"/>
          <w:sz w:val="22"/>
        </w:rPr>
        <w:t> </w:t>
      </w:r>
      <w:r>
        <w:rPr>
          <w:sz w:val="22"/>
        </w:rPr>
        <w:t>patients</w:t>
      </w:r>
      <w:r>
        <w:rPr>
          <w:spacing w:val="40"/>
          <w:sz w:val="22"/>
        </w:rPr>
        <w:t> </w:t>
      </w:r>
      <w:r>
        <w:rPr>
          <w:sz w:val="22"/>
        </w:rPr>
        <w:t>with breast cancer experiencing tamoxifen-induced hot flashes: a University of Rochester </w:t>
      </w:r>
      <w:r>
        <w:rPr>
          <w:sz w:val="22"/>
        </w:rPr>
        <w:t>Cancer Center Community Clinical Oncology Program Study. </w:t>
      </w:r>
      <w:r>
        <w:rPr>
          <w:i/>
          <w:sz w:val="22"/>
        </w:rPr>
        <w:t>Ann Intern Med</w:t>
      </w:r>
      <w:r>
        <w:rPr>
          <w:sz w:val="22"/>
        </w:rPr>
        <w:t>. 2000;132(10):788.</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Lobo RA, McCormick W, Singer F, Roy S. Depo-medroxyprogesterone acetate compared </w:t>
      </w:r>
      <w:r>
        <w:rPr>
          <w:sz w:val="22"/>
        </w:rPr>
        <w:t>with conjugated estrogens for the treatment of postmenopausal women. </w:t>
      </w:r>
      <w:r>
        <w:rPr>
          <w:i/>
          <w:sz w:val="22"/>
        </w:rPr>
        <w:t>Am J Obstet Gynecol</w:t>
      </w:r>
      <w:r>
        <w:rPr>
          <w:sz w:val="22"/>
        </w:rPr>
        <w:t>. </w:t>
      </w:r>
      <w:r>
        <w:rPr>
          <w:spacing w:val="-2"/>
          <w:sz w:val="22"/>
        </w:rPr>
        <w:t>1984;63:1.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Loprinzi</w:t>
      </w:r>
      <w:r>
        <w:rPr>
          <w:spacing w:val="40"/>
          <w:sz w:val="22"/>
        </w:rPr>
        <w:t> </w:t>
      </w:r>
      <w:r>
        <w:rPr>
          <w:sz w:val="22"/>
        </w:rPr>
        <w:t>CL,</w:t>
      </w:r>
      <w:r>
        <w:rPr>
          <w:spacing w:val="40"/>
          <w:sz w:val="22"/>
        </w:rPr>
        <w:t> </w:t>
      </w:r>
      <w:r>
        <w:rPr>
          <w:sz w:val="22"/>
        </w:rPr>
        <w:t>Michalak</w:t>
      </w:r>
      <w:r>
        <w:rPr>
          <w:spacing w:val="40"/>
          <w:sz w:val="22"/>
        </w:rPr>
        <w:t> </w:t>
      </w:r>
      <w:r>
        <w:rPr>
          <w:sz w:val="22"/>
        </w:rPr>
        <w:t>JC,</w:t>
      </w:r>
      <w:r>
        <w:rPr>
          <w:spacing w:val="40"/>
          <w:sz w:val="22"/>
        </w:rPr>
        <w:t> </w:t>
      </w:r>
      <w:r>
        <w:rPr>
          <w:sz w:val="22"/>
        </w:rPr>
        <w:t>Quella</w:t>
      </w:r>
      <w:r>
        <w:rPr>
          <w:spacing w:val="40"/>
          <w:sz w:val="22"/>
        </w:rPr>
        <w:t> </w:t>
      </w:r>
      <w:r>
        <w:rPr>
          <w:sz w:val="22"/>
        </w:rPr>
        <w:t>SK,</w:t>
      </w:r>
      <w:r>
        <w:rPr>
          <w:spacing w:val="40"/>
          <w:sz w:val="22"/>
        </w:rPr>
        <w:t> </w:t>
      </w:r>
      <w:r>
        <w:rPr>
          <w:sz w:val="22"/>
        </w:rPr>
        <w:t>et</w:t>
      </w:r>
      <w:r>
        <w:rPr>
          <w:spacing w:val="40"/>
          <w:sz w:val="22"/>
        </w:rPr>
        <w:t> </w:t>
      </w:r>
      <w:r>
        <w:rPr>
          <w:sz w:val="22"/>
        </w:rPr>
        <w:t>al.</w:t>
      </w:r>
      <w:r>
        <w:rPr>
          <w:spacing w:val="40"/>
          <w:sz w:val="22"/>
        </w:rPr>
        <w:t> </w:t>
      </w:r>
      <w:r>
        <w:rPr>
          <w:sz w:val="22"/>
        </w:rPr>
        <w:t>Megestrol</w:t>
      </w:r>
      <w:r>
        <w:rPr>
          <w:spacing w:val="40"/>
          <w:sz w:val="22"/>
        </w:rPr>
        <w:t> </w:t>
      </w:r>
      <w:r>
        <w:rPr>
          <w:sz w:val="22"/>
        </w:rPr>
        <w:t>acetate</w:t>
      </w:r>
      <w:r>
        <w:rPr>
          <w:spacing w:val="40"/>
          <w:sz w:val="22"/>
        </w:rPr>
        <w:t> </w:t>
      </w:r>
      <w:r>
        <w:rPr>
          <w:sz w:val="22"/>
        </w:rPr>
        <w:t>for</w:t>
      </w:r>
      <w:r>
        <w:rPr>
          <w:spacing w:val="40"/>
          <w:sz w:val="22"/>
        </w:rPr>
        <w:t> </w:t>
      </w:r>
      <w:r>
        <w:rPr>
          <w:sz w:val="22"/>
        </w:rPr>
        <w:t>the</w:t>
      </w:r>
      <w:r>
        <w:rPr>
          <w:spacing w:val="40"/>
          <w:sz w:val="22"/>
        </w:rPr>
        <w:t> </w:t>
      </w:r>
      <w:r>
        <w:rPr>
          <w:sz w:val="22"/>
        </w:rPr>
        <w:t>prevention</w:t>
      </w:r>
      <w:r>
        <w:rPr>
          <w:spacing w:val="40"/>
          <w:sz w:val="22"/>
        </w:rPr>
        <w:t> </w:t>
      </w:r>
      <w:r>
        <w:rPr>
          <w:sz w:val="22"/>
        </w:rPr>
        <w:t>of</w:t>
      </w:r>
      <w:r>
        <w:rPr>
          <w:spacing w:val="40"/>
          <w:sz w:val="22"/>
        </w:rPr>
        <w:t> </w:t>
      </w:r>
      <w:r>
        <w:rPr>
          <w:sz w:val="22"/>
        </w:rPr>
        <w:t>hot flashes. </w:t>
      </w:r>
      <w:r>
        <w:rPr>
          <w:i/>
          <w:sz w:val="22"/>
        </w:rPr>
        <w:t>N Engl J Med</w:t>
      </w:r>
      <w:r>
        <w:rPr>
          <w:sz w:val="22"/>
        </w:rPr>
        <w:t>. 1994;331:347.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Goodwin JW, Green SJ, Moinpour CM, et al. Phase III randomized placebo-controlled trial of two doses of megestrol acetate as treatment for menopausal symptoms in women with breast cancer: Southwest Oncology Group Study 9626. </w:t>
      </w:r>
      <w:r>
        <w:rPr>
          <w:i/>
          <w:sz w:val="22"/>
        </w:rPr>
        <w:t>J Clin Oncol</w:t>
      </w:r>
      <w:r>
        <w:rPr>
          <w:sz w:val="22"/>
        </w:rPr>
        <w:t>. 2008;26:1650.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Simon JA, Portman DJ, Kaunitz AM, et al. Low-dose paroxetine 7.5 mg for </w:t>
      </w:r>
      <w:r>
        <w:rPr>
          <w:sz w:val="22"/>
        </w:rPr>
        <w:t>menopausal vasomotor symptoms: two randomized controlled trials. </w:t>
      </w:r>
      <w:r>
        <w:rPr>
          <w:i/>
          <w:sz w:val="22"/>
        </w:rPr>
        <w:t>Menopause</w:t>
      </w:r>
      <w:r>
        <w:rPr>
          <w:sz w:val="22"/>
        </w:rPr>
        <w:t>. 2013;20(10):1027.</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Loprinzi CL, Pisansky TM, Fonseca R, et al. Pilot evaluation of venlafaxine hydrochloride </w:t>
      </w:r>
      <w:r>
        <w:rPr>
          <w:sz w:val="22"/>
        </w:rPr>
        <w:t>for the therapy of hot flashes in cancer survivors. </w:t>
      </w:r>
      <w:r>
        <w:rPr>
          <w:i/>
          <w:sz w:val="22"/>
        </w:rPr>
        <w:t>J Clin Oncol</w:t>
      </w:r>
      <w:r>
        <w:rPr>
          <w:sz w:val="22"/>
        </w:rPr>
        <w:t>. 1998;16:2377.</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Loprinzi CL, Kugler JW, Sloan JA, et al. Venlafaxine</w:t>
      </w:r>
      <w:r>
        <w:rPr>
          <w:spacing w:val="40"/>
          <w:sz w:val="22"/>
        </w:rPr>
        <w:t> </w:t>
      </w:r>
      <w:r>
        <w:rPr>
          <w:sz w:val="22"/>
        </w:rPr>
        <w:t>in</w:t>
      </w:r>
      <w:r>
        <w:rPr>
          <w:spacing w:val="40"/>
          <w:sz w:val="22"/>
        </w:rPr>
        <w:t> </w:t>
      </w:r>
      <w:r>
        <w:rPr>
          <w:sz w:val="22"/>
        </w:rPr>
        <w:t>management</w:t>
      </w:r>
      <w:r>
        <w:rPr>
          <w:spacing w:val="40"/>
          <w:sz w:val="22"/>
        </w:rPr>
        <w:t> </w:t>
      </w:r>
      <w:r>
        <w:rPr>
          <w:sz w:val="22"/>
        </w:rPr>
        <w:t>of</w:t>
      </w:r>
      <w:r>
        <w:rPr>
          <w:spacing w:val="40"/>
          <w:sz w:val="22"/>
        </w:rPr>
        <w:t> </w:t>
      </w:r>
      <w:r>
        <w:rPr>
          <w:sz w:val="22"/>
        </w:rPr>
        <w:t>hot</w:t>
      </w:r>
      <w:r>
        <w:rPr>
          <w:spacing w:val="40"/>
          <w:sz w:val="22"/>
        </w:rPr>
        <w:t> </w:t>
      </w:r>
      <w:r>
        <w:rPr>
          <w:sz w:val="22"/>
        </w:rPr>
        <w:t>flashes</w:t>
      </w:r>
      <w:r>
        <w:rPr>
          <w:spacing w:val="40"/>
          <w:sz w:val="22"/>
        </w:rPr>
        <w:t> </w:t>
      </w:r>
      <w:r>
        <w:rPr>
          <w:sz w:val="22"/>
        </w:rPr>
        <w:t>in survivors of breast cancer: a randomised controlled trial. </w:t>
      </w:r>
      <w:r>
        <w:rPr>
          <w:i/>
          <w:sz w:val="22"/>
        </w:rPr>
        <w:t>Lancet</w:t>
      </w:r>
      <w:r>
        <w:rPr>
          <w:sz w:val="22"/>
        </w:rPr>
        <w:t>. 2000;356:2059.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Evans ML, Pritts E, Vittinghoff E, McClish K, Morgan KS, Jaffe RB. Management of postmenopausal hot flushes with venlafaxine hydrochloride: a randomized, controlled trial. </w:t>
      </w:r>
      <w:r>
        <w:rPr>
          <w:i/>
          <w:sz w:val="22"/>
        </w:rPr>
        <w:t>Obstet Gynecol</w:t>
      </w:r>
      <w:r>
        <w:rPr>
          <w:sz w:val="22"/>
        </w:rPr>
        <w:t>. 2005;105(1):161.</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Speroff</w:t>
      </w:r>
      <w:r>
        <w:rPr>
          <w:spacing w:val="40"/>
          <w:sz w:val="22"/>
        </w:rPr>
        <w:t> </w:t>
      </w:r>
      <w:r>
        <w:rPr>
          <w:sz w:val="22"/>
        </w:rPr>
        <w:t>L,</w:t>
      </w:r>
      <w:r>
        <w:rPr>
          <w:spacing w:val="40"/>
          <w:sz w:val="22"/>
        </w:rPr>
        <w:t> </w:t>
      </w:r>
      <w:r>
        <w:rPr>
          <w:sz w:val="22"/>
        </w:rPr>
        <w:t>Gass</w:t>
      </w:r>
      <w:r>
        <w:rPr>
          <w:spacing w:val="40"/>
          <w:sz w:val="22"/>
        </w:rPr>
        <w:t> </w:t>
      </w:r>
      <w:r>
        <w:rPr>
          <w:sz w:val="22"/>
        </w:rPr>
        <w:t>M,</w:t>
      </w:r>
      <w:r>
        <w:rPr>
          <w:spacing w:val="40"/>
          <w:sz w:val="22"/>
        </w:rPr>
        <w:t> </w:t>
      </w:r>
      <w:r>
        <w:rPr>
          <w:sz w:val="22"/>
        </w:rPr>
        <w:t>Constantine</w:t>
      </w:r>
      <w:r>
        <w:rPr>
          <w:spacing w:val="40"/>
          <w:sz w:val="22"/>
        </w:rPr>
        <w:t> </w:t>
      </w:r>
      <w:r>
        <w:rPr>
          <w:sz w:val="22"/>
        </w:rPr>
        <w:t>G,</w:t>
      </w:r>
      <w:r>
        <w:rPr>
          <w:spacing w:val="40"/>
          <w:sz w:val="22"/>
        </w:rPr>
        <w:t> </w:t>
      </w:r>
      <w:r>
        <w:rPr>
          <w:sz w:val="22"/>
        </w:rPr>
        <w:t>Olivier</w:t>
      </w:r>
      <w:r>
        <w:rPr>
          <w:spacing w:val="40"/>
          <w:sz w:val="22"/>
        </w:rPr>
        <w:t> </w:t>
      </w:r>
      <w:r>
        <w:rPr>
          <w:sz w:val="22"/>
        </w:rPr>
        <w:t>S;</w:t>
      </w:r>
      <w:r>
        <w:rPr>
          <w:spacing w:val="40"/>
          <w:sz w:val="22"/>
        </w:rPr>
        <w:t> </w:t>
      </w:r>
      <w:r>
        <w:rPr>
          <w:sz w:val="22"/>
        </w:rPr>
        <w:t>Study</w:t>
      </w:r>
      <w:r>
        <w:rPr>
          <w:spacing w:val="40"/>
          <w:sz w:val="22"/>
        </w:rPr>
        <w:t> </w:t>
      </w:r>
      <w:r>
        <w:rPr>
          <w:sz w:val="22"/>
        </w:rPr>
        <w:t>315</w:t>
      </w:r>
      <w:r>
        <w:rPr>
          <w:spacing w:val="40"/>
          <w:sz w:val="22"/>
        </w:rPr>
        <w:t> </w:t>
      </w:r>
      <w:r>
        <w:rPr>
          <w:sz w:val="22"/>
        </w:rPr>
        <w:t>Investigators.</w:t>
      </w:r>
      <w:r>
        <w:rPr>
          <w:spacing w:val="40"/>
          <w:sz w:val="22"/>
        </w:rPr>
        <w:t> </w:t>
      </w:r>
      <w:r>
        <w:rPr>
          <w:sz w:val="22"/>
        </w:rPr>
        <w:t>Efficacy</w:t>
      </w:r>
      <w:r>
        <w:rPr>
          <w:spacing w:val="40"/>
          <w:sz w:val="22"/>
        </w:rPr>
        <w:t> </w:t>
      </w:r>
      <w:r>
        <w:rPr>
          <w:sz w:val="22"/>
        </w:rPr>
        <w:t>and tolerability of desvenlafaxine succinate treatment for menopausal vasomotor symptoms: </w:t>
      </w:r>
      <w:r>
        <w:rPr>
          <w:sz w:val="22"/>
        </w:rPr>
        <w:t>a randomized controlled trial. </w:t>
      </w:r>
      <w:r>
        <w:rPr>
          <w:i/>
          <w:sz w:val="22"/>
        </w:rPr>
        <w:t>Obstet Gynecol</w:t>
      </w:r>
      <w:r>
        <w:rPr>
          <w:sz w:val="22"/>
        </w:rPr>
        <w:t>. 2008;111:77.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Archer DF, Dupont CM, Constantine GD, Pickar JH, Olivier S, Study 319 Investigators. Desvenlafaxine</w:t>
      </w:r>
      <w:r>
        <w:rPr>
          <w:spacing w:val="76"/>
          <w:sz w:val="22"/>
        </w:rPr>
        <w:t> </w:t>
      </w:r>
      <w:r>
        <w:rPr>
          <w:sz w:val="22"/>
        </w:rPr>
        <w:t>for</w:t>
      </w:r>
      <w:r>
        <w:rPr>
          <w:spacing w:val="76"/>
          <w:sz w:val="22"/>
        </w:rPr>
        <w:t> </w:t>
      </w:r>
      <w:r>
        <w:rPr>
          <w:sz w:val="22"/>
        </w:rPr>
        <w:t>the</w:t>
      </w:r>
      <w:r>
        <w:rPr>
          <w:spacing w:val="76"/>
          <w:sz w:val="22"/>
        </w:rPr>
        <w:t> </w:t>
      </w:r>
      <w:r>
        <w:rPr>
          <w:sz w:val="22"/>
        </w:rPr>
        <w:t>treatment</w:t>
      </w:r>
      <w:r>
        <w:rPr>
          <w:spacing w:val="76"/>
          <w:sz w:val="22"/>
        </w:rPr>
        <w:t> </w:t>
      </w:r>
      <w:r>
        <w:rPr>
          <w:sz w:val="22"/>
        </w:rPr>
        <w:t>of</w:t>
      </w:r>
      <w:r>
        <w:rPr>
          <w:spacing w:val="76"/>
          <w:sz w:val="22"/>
        </w:rPr>
        <w:t> </w:t>
      </w:r>
      <w:r>
        <w:rPr>
          <w:sz w:val="22"/>
        </w:rPr>
        <w:t>vasomotor</w:t>
      </w:r>
      <w:r>
        <w:rPr>
          <w:spacing w:val="76"/>
          <w:sz w:val="22"/>
        </w:rPr>
        <w:t> </w:t>
      </w:r>
      <w:r>
        <w:rPr>
          <w:sz w:val="22"/>
        </w:rPr>
        <w:t>symptoms</w:t>
      </w:r>
      <w:r>
        <w:rPr>
          <w:spacing w:val="76"/>
          <w:sz w:val="22"/>
        </w:rPr>
        <w:t> </w:t>
      </w:r>
      <w:r>
        <w:rPr>
          <w:sz w:val="22"/>
        </w:rPr>
        <w:t>associated</w:t>
      </w:r>
      <w:r>
        <w:rPr>
          <w:spacing w:val="76"/>
          <w:sz w:val="22"/>
        </w:rPr>
        <w:t> </w:t>
      </w:r>
      <w:r>
        <w:rPr>
          <w:sz w:val="22"/>
        </w:rPr>
        <w:t>with</w:t>
      </w:r>
      <w:r>
        <w:rPr>
          <w:spacing w:val="76"/>
          <w:sz w:val="22"/>
        </w:rPr>
        <w:t> </w:t>
      </w:r>
      <w:r>
        <w:rPr>
          <w:sz w:val="22"/>
        </w:rPr>
        <w:t>menopause:</w:t>
      </w:r>
      <w:r>
        <w:rPr>
          <w:spacing w:val="76"/>
          <w:sz w:val="22"/>
        </w:rPr>
        <w:t> </w:t>
      </w:r>
      <w:r>
        <w:rPr>
          <w:sz w:val="22"/>
        </w:rPr>
        <w:t>a</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109" w:firstLine="0"/>
        <w:jc w:val="both"/>
        <w:rPr>
          <w:sz w:val="22"/>
        </w:rPr>
      </w:pPr>
      <w:r>
        <w:rPr>
          <w:sz w:val="22"/>
        </w:rPr>
        <w:t>double-blind,</w:t>
      </w:r>
      <w:r>
        <w:rPr>
          <w:spacing w:val="40"/>
          <w:sz w:val="22"/>
        </w:rPr>
        <w:t> </w:t>
      </w:r>
      <w:r>
        <w:rPr>
          <w:sz w:val="22"/>
        </w:rPr>
        <w:t>randomized,</w:t>
      </w:r>
      <w:r>
        <w:rPr>
          <w:spacing w:val="40"/>
          <w:sz w:val="22"/>
        </w:rPr>
        <w:t> </w:t>
      </w:r>
      <w:r>
        <w:rPr>
          <w:sz w:val="22"/>
        </w:rPr>
        <w:t>placebo-controlled</w:t>
      </w:r>
      <w:r>
        <w:rPr>
          <w:spacing w:val="40"/>
          <w:sz w:val="22"/>
        </w:rPr>
        <w:t> </w:t>
      </w:r>
      <w:r>
        <w:rPr>
          <w:sz w:val="22"/>
        </w:rPr>
        <w:t>trial</w:t>
      </w:r>
      <w:r>
        <w:rPr>
          <w:spacing w:val="40"/>
          <w:sz w:val="22"/>
        </w:rPr>
        <w:t> </w:t>
      </w:r>
      <w:r>
        <w:rPr>
          <w:sz w:val="22"/>
        </w:rPr>
        <w:t>of</w:t>
      </w:r>
      <w:r>
        <w:rPr>
          <w:spacing w:val="40"/>
          <w:sz w:val="22"/>
        </w:rPr>
        <w:t> </w:t>
      </w:r>
      <w:r>
        <w:rPr>
          <w:sz w:val="22"/>
        </w:rPr>
        <w:t>efficacy</w:t>
      </w:r>
      <w:r>
        <w:rPr>
          <w:spacing w:val="40"/>
          <w:sz w:val="22"/>
        </w:rPr>
        <w:t> </w:t>
      </w:r>
      <w:r>
        <w:rPr>
          <w:sz w:val="22"/>
        </w:rPr>
        <w:t>and</w:t>
      </w:r>
      <w:r>
        <w:rPr>
          <w:spacing w:val="40"/>
          <w:sz w:val="22"/>
        </w:rPr>
        <w:t> </w:t>
      </w:r>
      <w:r>
        <w:rPr>
          <w:sz w:val="22"/>
        </w:rPr>
        <w:t>safety.</w:t>
      </w:r>
      <w:r>
        <w:rPr>
          <w:spacing w:val="40"/>
          <w:sz w:val="22"/>
        </w:rPr>
        <w:t> </w:t>
      </w:r>
      <w:r>
        <w:rPr>
          <w:i/>
          <w:sz w:val="22"/>
        </w:rPr>
        <w:t>Am</w:t>
      </w:r>
      <w:r>
        <w:rPr>
          <w:i/>
          <w:spacing w:val="40"/>
          <w:sz w:val="22"/>
        </w:rPr>
        <w:t> </w:t>
      </w:r>
      <w:r>
        <w:rPr>
          <w:i/>
          <w:sz w:val="22"/>
        </w:rPr>
        <w:t>J</w:t>
      </w:r>
      <w:r>
        <w:rPr>
          <w:i/>
          <w:spacing w:val="40"/>
          <w:sz w:val="22"/>
        </w:rPr>
        <w:t> </w:t>
      </w:r>
      <w:r>
        <w:rPr>
          <w:i/>
          <w:sz w:val="22"/>
        </w:rPr>
        <w:t>Obstet</w:t>
      </w:r>
      <w:r>
        <w:rPr>
          <w:i/>
          <w:sz w:val="22"/>
        </w:rPr>
        <w:t> Gynecol</w:t>
      </w:r>
      <w:r>
        <w:rPr>
          <w:sz w:val="22"/>
        </w:rPr>
        <w:t>. 2009;200:238.e1.</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Loprinzi CL, Sloan JA, Perez EA, et al. Phase III evaluation of fluoxetine for treatment of hot flashes. </w:t>
      </w:r>
      <w:r>
        <w:rPr>
          <w:i/>
          <w:sz w:val="22"/>
        </w:rPr>
        <w:t>J Clin Oncol</w:t>
      </w:r>
      <w:r>
        <w:rPr>
          <w:sz w:val="22"/>
        </w:rPr>
        <w:t>. 2002;20:1578.</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Kalay AE, Demir B, Haberal A, Kalay M, Kandemir O. Efficacy of citalopram on climacteric symptoms. </w:t>
      </w:r>
      <w:r>
        <w:rPr>
          <w:i/>
          <w:sz w:val="22"/>
        </w:rPr>
        <w:t>Menopause</w:t>
      </w:r>
      <w:r>
        <w:rPr>
          <w:sz w:val="22"/>
        </w:rPr>
        <w:t>. 2007;14:223.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Suvanto-Luukkonen E, Koivunen R, Sundström H, et al. Citalopram and fluoxetine in the treatment of postmenopausal symptoms: a prospective, randomized, 9-month, </w:t>
      </w:r>
      <w:r>
        <w:rPr>
          <w:sz w:val="22"/>
        </w:rPr>
        <w:t>placebo-controlled, double-blind study. </w:t>
      </w:r>
      <w:r>
        <w:rPr>
          <w:i/>
          <w:sz w:val="22"/>
        </w:rPr>
        <w:t>Menopause</w:t>
      </w:r>
      <w:r>
        <w:rPr>
          <w:sz w:val="22"/>
        </w:rPr>
        <w:t>. 2005;12:18.</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Kimmick GG, Lovato J, McQuellon R, Robinson E, Muss HB. Randomized, double-</w:t>
      </w:r>
      <w:r>
        <w:rPr>
          <w:sz w:val="22"/>
        </w:rPr>
        <w:t>blind, placebo-controlled, crossover study of sertraline (Zoloft) for the treatment of hot flashes in women with early stage breast cancer taking tamoxifen. </w:t>
      </w:r>
      <w:r>
        <w:rPr>
          <w:i/>
          <w:sz w:val="22"/>
        </w:rPr>
        <w:t>Breast J</w:t>
      </w:r>
      <w:r>
        <w:rPr>
          <w:sz w:val="22"/>
        </w:rPr>
        <w:t>. 2006;12:114.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Handley AP, Williams M. The efficacy and tolerability of SSRI/SNRIs in the treatment of vasomotor symptoms in menopausal women: a systematic review. </w:t>
      </w:r>
      <w:r>
        <w:rPr>
          <w:i/>
          <w:sz w:val="22"/>
        </w:rPr>
        <w:t>J Am Assoc Nurse Pract</w:t>
      </w:r>
      <w:r>
        <w:rPr>
          <w:sz w:val="22"/>
        </w:rPr>
        <w:t>. </w:t>
      </w:r>
      <w:r>
        <w:rPr>
          <w:spacing w:val="-2"/>
          <w:sz w:val="22"/>
        </w:rPr>
        <w:t>2015;27(1):54-61.</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Rios-Espinosa</w:t>
      </w:r>
      <w:r>
        <w:rPr>
          <w:spacing w:val="40"/>
          <w:sz w:val="22"/>
        </w:rPr>
        <w:t> </w:t>
      </w:r>
      <w:r>
        <w:rPr>
          <w:sz w:val="22"/>
        </w:rPr>
        <w:t>A,</w:t>
      </w:r>
      <w:r>
        <w:rPr>
          <w:spacing w:val="40"/>
          <w:sz w:val="22"/>
        </w:rPr>
        <w:t> </w:t>
      </w:r>
      <w:r>
        <w:rPr>
          <w:sz w:val="22"/>
        </w:rPr>
        <w:t>Cruz-Luna</w:t>
      </w:r>
      <w:r>
        <w:rPr>
          <w:spacing w:val="40"/>
          <w:sz w:val="22"/>
        </w:rPr>
        <w:t> </w:t>
      </w:r>
      <w:r>
        <w:rPr>
          <w:sz w:val="22"/>
        </w:rPr>
        <w:t>M,</w:t>
      </w:r>
      <w:r>
        <w:rPr>
          <w:spacing w:val="40"/>
          <w:sz w:val="22"/>
        </w:rPr>
        <w:t> </w:t>
      </w:r>
      <w:r>
        <w:rPr>
          <w:sz w:val="22"/>
        </w:rPr>
        <w:t>Garmendia-Gallardo</w:t>
      </w:r>
      <w:r>
        <w:rPr>
          <w:spacing w:val="40"/>
          <w:sz w:val="22"/>
        </w:rPr>
        <w:t> </w:t>
      </w:r>
      <w:r>
        <w:rPr>
          <w:sz w:val="22"/>
        </w:rPr>
        <w:t>C,</w:t>
      </w:r>
      <w:r>
        <w:rPr>
          <w:spacing w:val="40"/>
          <w:sz w:val="22"/>
        </w:rPr>
        <w:t> </w:t>
      </w:r>
      <w:r>
        <w:rPr>
          <w:sz w:val="22"/>
        </w:rPr>
        <w:t>et</w:t>
      </w:r>
      <w:r>
        <w:rPr>
          <w:spacing w:val="40"/>
          <w:sz w:val="22"/>
        </w:rPr>
        <w:t> </w:t>
      </w:r>
      <w:r>
        <w:rPr>
          <w:sz w:val="22"/>
        </w:rPr>
        <w:t>al.</w:t>
      </w:r>
      <w:r>
        <w:rPr>
          <w:spacing w:val="40"/>
          <w:sz w:val="22"/>
        </w:rPr>
        <w:t> </w:t>
      </w:r>
      <w:r>
        <w:rPr>
          <w:sz w:val="22"/>
        </w:rPr>
        <w:t>Citalopram</w:t>
      </w:r>
      <w:r>
        <w:rPr>
          <w:spacing w:val="40"/>
          <w:sz w:val="22"/>
        </w:rPr>
        <w:t> </w:t>
      </w:r>
      <w:r>
        <w:rPr>
          <w:sz w:val="22"/>
        </w:rPr>
        <w:t>improves vasomotor</w:t>
      </w:r>
      <w:r>
        <w:rPr>
          <w:spacing w:val="40"/>
          <w:sz w:val="22"/>
        </w:rPr>
        <w:t> </w:t>
      </w:r>
      <w:r>
        <w:rPr>
          <w:sz w:val="22"/>
        </w:rPr>
        <w:t>syndrome</w:t>
      </w:r>
      <w:r>
        <w:rPr>
          <w:spacing w:val="40"/>
          <w:sz w:val="22"/>
        </w:rPr>
        <w:t> </w:t>
      </w:r>
      <w:r>
        <w:rPr>
          <w:sz w:val="22"/>
        </w:rPr>
        <w:t>and</w:t>
      </w:r>
      <w:r>
        <w:rPr>
          <w:spacing w:val="40"/>
          <w:sz w:val="22"/>
        </w:rPr>
        <w:t> </w:t>
      </w:r>
      <w:r>
        <w:rPr>
          <w:sz w:val="22"/>
        </w:rPr>
        <w:t>urogenital</w:t>
      </w:r>
      <w:r>
        <w:rPr>
          <w:spacing w:val="40"/>
          <w:sz w:val="22"/>
        </w:rPr>
        <w:t> </w:t>
      </w:r>
      <w:r>
        <w:rPr>
          <w:sz w:val="22"/>
        </w:rPr>
        <w:t>syndrome</w:t>
      </w:r>
      <w:r>
        <w:rPr>
          <w:spacing w:val="40"/>
          <w:sz w:val="22"/>
        </w:rPr>
        <w:t> </w:t>
      </w:r>
      <w:r>
        <w:rPr>
          <w:sz w:val="22"/>
        </w:rPr>
        <w:t>of</w:t>
      </w:r>
      <w:r>
        <w:rPr>
          <w:spacing w:val="40"/>
          <w:sz w:val="22"/>
        </w:rPr>
        <w:t> </w:t>
      </w:r>
      <w:r>
        <w:rPr>
          <w:sz w:val="22"/>
        </w:rPr>
        <w:t>menopause</w:t>
      </w:r>
      <w:r>
        <w:rPr>
          <w:spacing w:val="40"/>
          <w:sz w:val="22"/>
        </w:rPr>
        <w:t> </w:t>
      </w:r>
      <w:r>
        <w:rPr>
          <w:sz w:val="22"/>
        </w:rPr>
        <w:t>in</w:t>
      </w:r>
      <w:r>
        <w:rPr>
          <w:spacing w:val="40"/>
          <w:sz w:val="22"/>
        </w:rPr>
        <w:t> </w:t>
      </w:r>
      <w:r>
        <w:rPr>
          <w:sz w:val="22"/>
        </w:rPr>
        <w:t>Mexican</w:t>
      </w:r>
      <w:r>
        <w:rPr>
          <w:spacing w:val="40"/>
          <w:sz w:val="22"/>
        </w:rPr>
        <w:t> </w:t>
      </w:r>
      <w:r>
        <w:rPr>
          <w:sz w:val="22"/>
        </w:rPr>
        <w:t>women:</w:t>
      </w:r>
      <w:r>
        <w:rPr>
          <w:spacing w:val="40"/>
          <w:sz w:val="22"/>
        </w:rPr>
        <w:t> </w:t>
      </w:r>
      <w:r>
        <w:rPr>
          <w:sz w:val="22"/>
        </w:rPr>
        <w:t>a randomized clinical trial. </w:t>
      </w:r>
      <w:r>
        <w:rPr>
          <w:i/>
          <w:sz w:val="22"/>
        </w:rPr>
        <w:t>Arch Gynecol Obstet</w:t>
      </w:r>
      <w:r>
        <w:rPr>
          <w:sz w:val="22"/>
        </w:rPr>
        <w:t>. 2022;306(6):2035-2045.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Grady D, Cohen B, Tice J, Kristof M, Olyaie A, Sawaya GF. Ineffectiveness of sertraline </w:t>
      </w:r>
      <w:r>
        <w:rPr>
          <w:sz w:val="22"/>
        </w:rPr>
        <w:t>for treatment of menopausal hot flushes: a randomized controlled trial. </w:t>
      </w:r>
      <w:r>
        <w:rPr>
          <w:i/>
          <w:sz w:val="22"/>
        </w:rPr>
        <w:t>Obstet Gynecol</w:t>
      </w:r>
      <w:r>
        <w:rPr>
          <w:sz w:val="22"/>
        </w:rPr>
        <w:t>. </w:t>
      </w:r>
      <w:r>
        <w:rPr>
          <w:spacing w:val="-2"/>
          <w:sz w:val="22"/>
        </w:rPr>
        <w:t>2007;109:823.</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Guttuso T Jr, Kurlan R, McDermott MP, Kieburtz K. Gabapentin’s effects on hot flashes </w:t>
      </w:r>
      <w:r>
        <w:rPr>
          <w:sz w:val="22"/>
        </w:rPr>
        <w:t>in postmenopausal women: a randomized controlled trial. </w:t>
      </w:r>
      <w:r>
        <w:rPr>
          <w:i/>
          <w:sz w:val="22"/>
        </w:rPr>
        <w:t>Obstet Gynecol</w:t>
      </w:r>
      <w:r>
        <w:rPr>
          <w:sz w:val="22"/>
        </w:rPr>
        <w:t>. 2003;101:337.</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Butt</w:t>
      </w:r>
      <w:r>
        <w:rPr>
          <w:spacing w:val="40"/>
          <w:sz w:val="22"/>
        </w:rPr>
        <w:t> </w:t>
      </w:r>
      <w:r>
        <w:rPr>
          <w:sz w:val="22"/>
        </w:rPr>
        <w:t>DA,</w:t>
      </w:r>
      <w:r>
        <w:rPr>
          <w:spacing w:val="40"/>
          <w:sz w:val="22"/>
        </w:rPr>
        <w:t> </w:t>
      </w:r>
      <w:r>
        <w:rPr>
          <w:sz w:val="22"/>
        </w:rPr>
        <w:t>Lock</w:t>
      </w:r>
      <w:r>
        <w:rPr>
          <w:spacing w:val="40"/>
          <w:sz w:val="22"/>
        </w:rPr>
        <w:t> </w:t>
      </w:r>
      <w:r>
        <w:rPr>
          <w:sz w:val="22"/>
        </w:rPr>
        <w:t>M,</w:t>
      </w:r>
      <w:r>
        <w:rPr>
          <w:spacing w:val="40"/>
          <w:sz w:val="22"/>
        </w:rPr>
        <w:t> </w:t>
      </w:r>
      <w:r>
        <w:rPr>
          <w:sz w:val="22"/>
        </w:rPr>
        <w:t>Lewis</w:t>
      </w:r>
      <w:r>
        <w:rPr>
          <w:spacing w:val="40"/>
          <w:sz w:val="22"/>
        </w:rPr>
        <w:t> </w:t>
      </w:r>
      <w:r>
        <w:rPr>
          <w:sz w:val="22"/>
        </w:rPr>
        <w:t>JE,</w:t>
      </w:r>
      <w:r>
        <w:rPr>
          <w:spacing w:val="40"/>
          <w:sz w:val="22"/>
        </w:rPr>
        <w:t> </w:t>
      </w:r>
      <w:r>
        <w:rPr>
          <w:sz w:val="22"/>
        </w:rPr>
        <w:t>Ross</w:t>
      </w:r>
      <w:r>
        <w:rPr>
          <w:spacing w:val="40"/>
          <w:sz w:val="22"/>
        </w:rPr>
        <w:t> </w:t>
      </w:r>
      <w:r>
        <w:rPr>
          <w:sz w:val="22"/>
        </w:rPr>
        <w:t>S,</w:t>
      </w:r>
      <w:r>
        <w:rPr>
          <w:spacing w:val="40"/>
          <w:sz w:val="22"/>
        </w:rPr>
        <w:t> </w:t>
      </w:r>
      <w:r>
        <w:rPr>
          <w:sz w:val="22"/>
        </w:rPr>
        <w:t>Moineddin</w:t>
      </w:r>
      <w:r>
        <w:rPr>
          <w:spacing w:val="40"/>
          <w:sz w:val="22"/>
        </w:rPr>
        <w:t> </w:t>
      </w:r>
      <w:r>
        <w:rPr>
          <w:sz w:val="22"/>
        </w:rPr>
        <w:t>R.</w:t>
      </w:r>
      <w:r>
        <w:rPr>
          <w:spacing w:val="40"/>
          <w:sz w:val="22"/>
        </w:rPr>
        <w:t> </w:t>
      </w:r>
      <w:r>
        <w:rPr>
          <w:sz w:val="22"/>
        </w:rPr>
        <w:t>Gabapentin</w:t>
      </w:r>
      <w:r>
        <w:rPr>
          <w:spacing w:val="40"/>
          <w:sz w:val="22"/>
        </w:rPr>
        <w:t> </w:t>
      </w:r>
      <w:r>
        <w:rPr>
          <w:sz w:val="22"/>
        </w:rPr>
        <w:t>for</w:t>
      </w:r>
      <w:r>
        <w:rPr>
          <w:spacing w:val="40"/>
          <w:sz w:val="22"/>
        </w:rPr>
        <w:t> </w:t>
      </w:r>
      <w:r>
        <w:rPr>
          <w:sz w:val="22"/>
        </w:rPr>
        <w:t>the</w:t>
      </w:r>
      <w:r>
        <w:rPr>
          <w:spacing w:val="40"/>
          <w:sz w:val="22"/>
        </w:rPr>
        <w:t> </w:t>
      </w:r>
      <w:r>
        <w:rPr>
          <w:sz w:val="22"/>
        </w:rPr>
        <w:t>treatment</w:t>
      </w:r>
      <w:r>
        <w:rPr>
          <w:spacing w:val="40"/>
          <w:sz w:val="22"/>
        </w:rPr>
        <w:t> </w:t>
      </w:r>
      <w:r>
        <w:rPr>
          <w:sz w:val="22"/>
        </w:rPr>
        <w:t>of menopausal hot flashes: a randomized controlled trial. </w:t>
      </w:r>
      <w:r>
        <w:rPr>
          <w:i/>
          <w:sz w:val="22"/>
        </w:rPr>
        <w:t>Menopause</w:t>
      </w:r>
      <w:r>
        <w:rPr>
          <w:sz w:val="22"/>
        </w:rPr>
        <w:t>. 2008;15:310.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Toulis KA, Tzellos T, Kouvelas D, Goulis DG. Gabapentin for the treatment of hot flashes in women with natural or tamoxifen-induced menopause: a systematic review and meta-analysis. </w:t>
      </w:r>
      <w:r>
        <w:rPr>
          <w:i/>
          <w:sz w:val="22"/>
        </w:rPr>
        <w:t>Clin Ther</w:t>
      </w:r>
      <w:r>
        <w:rPr>
          <w:sz w:val="22"/>
        </w:rPr>
        <w:t>. 2009;31:221.</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Reddy SY, Warner H, Guttuso T Jr, et al. Gabapentin, estrogen, and placebo for treating </w:t>
      </w:r>
      <w:r>
        <w:rPr>
          <w:sz w:val="22"/>
        </w:rPr>
        <w:t>hot flushes: a randomized controlled trial. </w:t>
      </w:r>
      <w:r>
        <w:rPr>
          <w:i/>
          <w:sz w:val="22"/>
        </w:rPr>
        <w:t>Obstet Gynecol</w:t>
      </w:r>
      <w:r>
        <w:rPr>
          <w:sz w:val="22"/>
        </w:rPr>
        <w:t>. 2006;108:41.</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Saadati N, Mohammadjafari R, Natanj S, Abedi P. The effect of gabapentin on intensity and duration</w:t>
      </w:r>
      <w:r>
        <w:rPr>
          <w:spacing w:val="40"/>
          <w:sz w:val="22"/>
        </w:rPr>
        <w:t> </w:t>
      </w:r>
      <w:r>
        <w:rPr>
          <w:sz w:val="22"/>
        </w:rPr>
        <w:t>of</w:t>
      </w:r>
      <w:r>
        <w:rPr>
          <w:spacing w:val="40"/>
          <w:sz w:val="22"/>
        </w:rPr>
        <w:t> </w:t>
      </w:r>
      <w:r>
        <w:rPr>
          <w:sz w:val="22"/>
        </w:rPr>
        <w:t>hot</w:t>
      </w:r>
      <w:r>
        <w:rPr>
          <w:spacing w:val="40"/>
          <w:sz w:val="22"/>
        </w:rPr>
        <w:t> </w:t>
      </w:r>
      <w:r>
        <w:rPr>
          <w:sz w:val="22"/>
        </w:rPr>
        <w:t>flashes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w:t>
      </w:r>
      <w:r>
        <w:rPr>
          <w:spacing w:val="40"/>
          <w:sz w:val="22"/>
        </w:rPr>
        <w:t> </w:t>
      </w:r>
      <w:r>
        <w:rPr>
          <w:sz w:val="22"/>
        </w:rPr>
        <w:t>randomized</w:t>
      </w:r>
      <w:r>
        <w:rPr>
          <w:spacing w:val="40"/>
          <w:sz w:val="22"/>
        </w:rPr>
        <w:t> </w:t>
      </w:r>
      <w:r>
        <w:rPr>
          <w:sz w:val="22"/>
        </w:rPr>
        <w:t>controlled</w:t>
      </w:r>
      <w:r>
        <w:rPr>
          <w:spacing w:val="40"/>
          <w:sz w:val="22"/>
        </w:rPr>
        <w:t> </w:t>
      </w:r>
      <w:r>
        <w:rPr>
          <w:sz w:val="22"/>
        </w:rPr>
        <w:t>trial.</w:t>
      </w:r>
      <w:r>
        <w:rPr>
          <w:spacing w:val="40"/>
          <w:sz w:val="22"/>
        </w:rPr>
        <w:t> </w:t>
      </w:r>
      <w:r>
        <w:rPr>
          <w:i/>
          <w:sz w:val="22"/>
        </w:rPr>
        <w:t>Glob</w:t>
      </w:r>
      <w:r>
        <w:rPr>
          <w:i/>
          <w:spacing w:val="40"/>
          <w:sz w:val="22"/>
        </w:rPr>
        <w:t> </w:t>
      </w:r>
      <w:r>
        <w:rPr>
          <w:i/>
          <w:sz w:val="22"/>
        </w:rPr>
        <w:t>J</w:t>
      </w:r>
      <w:r>
        <w:rPr>
          <w:i/>
          <w:sz w:val="22"/>
        </w:rPr>
        <w:t> Health Sci</w:t>
      </w:r>
      <w:r>
        <w:rPr>
          <w:sz w:val="22"/>
        </w:rPr>
        <w:t>. 2013;5(6):126.</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Loprinzi</w:t>
      </w:r>
      <w:r>
        <w:rPr>
          <w:spacing w:val="40"/>
          <w:sz w:val="22"/>
        </w:rPr>
        <w:t> </w:t>
      </w:r>
      <w:r>
        <w:rPr>
          <w:sz w:val="22"/>
        </w:rPr>
        <w:t>CL,</w:t>
      </w:r>
      <w:r>
        <w:rPr>
          <w:spacing w:val="40"/>
          <w:sz w:val="22"/>
        </w:rPr>
        <w:t> </w:t>
      </w:r>
      <w:r>
        <w:rPr>
          <w:sz w:val="22"/>
        </w:rPr>
        <w:t>Qin</w:t>
      </w:r>
      <w:r>
        <w:rPr>
          <w:spacing w:val="40"/>
          <w:sz w:val="22"/>
        </w:rPr>
        <w:t> </w:t>
      </w:r>
      <w:r>
        <w:rPr>
          <w:sz w:val="22"/>
        </w:rPr>
        <w:t>R,</w:t>
      </w:r>
      <w:r>
        <w:rPr>
          <w:spacing w:val="40"/>
          <w:sz w:val="22"/>
        </w:rPr>
        <w:t> </w:t>
      </w:r>
      <w:r>
        <w:rPr>
          <w:sz w:val="22"/>
        </w:rPr>
        <w:t>Baclueva</w:t>
      </w:r>
      <w:r>
        <w:rPr>
          <w:spacing w:val="40"/>
          <w:sz w:val="22"/>
        </w:rPr>
        <w:t> </w:t>
      </w:r>
      <w:r>
        <w:rPr>
          <w:sz w:val="22"/>
        </w:rPr>
        <w:t>EP,</w:t>
      </w:r>
      <w:r>
        <w:rPr>
          <w:spacing w:val="40"/>
          <w:sz w:val="22"/>
        </w:rPr>
        <w:t> </w:t>
      </w:r>
      <w:r>
        <w:rPr>
          <w:sz w:val="22"/>
        </w:rPr>
        <w:t>et</w:t>
      </w:r>
      <w:r>
        <w:rPr>
          <w:spacing w:val="40"/>
          <w:sz w:val="22"/>
        </w:rPr>
        <w:t> </w:t>
      </w:r>
      <w:r>
        <w:rPr>
          <w:sz w:val="22"/>
        </w:rPr>
        <w:t>al.</w:t>
      </w:r>
      <w:r>
        <w:rPr>
          <w:spacing w:val="40"/>
          <w:sz w:val="22"/>
        </w:rPr>
        <w:t> </w:t>
      </w:r>
      <w:r>
        <w:rPr>
          <w:sz w:val="22"/>
        </w:rPr>
        <w:t>Phase</w:t>
      </w:r>
      <w:r>
        <w:rPr>
          <w:spacing w:val="40"/>
          <w:sz w:val="22"/>
        </w:rPr>
        <w:t> </w:t>
      </w:r>
      <w:r>
        <w:rPr>
          <w:sz w:val="22"/>
        </w:rPr>
        <w:t>III,</w:t>
      </w:r>
      <w:r>
        <w:rPr>
          <w:spacing w:val="40"/>
          <w:sz w:val="22"/>
        </w:rPr>
        <w:t> </w:t>
      </w:r>
      <w:r>
        <w:rPr>
          <w:sz w:val="22"/>
        </w:rPr>
        <w:t>randomized,</w:t>
      </w:r>
      <w:r>
        <w:rPr>
          <w:spacing w:val="40"/>
          <w:sz w:val="22"/>
        </w:rPr>
        <w:t> </w:t>
      </w:r>
      <w:r>
        <w:rPr>
          <w:sz w:val="22"/>
        </w:rPr>
        <w:t>double-blind,</w:t>
      </w:r>
      <w:r>
        <w:rPr>
          <w:spacing w:val="40"/>
          <w:sz w:val="22"/>
        </w:rPr>
        <w:t> </w:t>
      </w:r>
      <w:r>
        <w:rPr>
          <w:sz w:val="22"/>
        </w:rPr>
        <w:t>placebo-controlled evaluation of pregabalin for alleviating hot flashes, N07C1. </w:t>
      </w:r>
      <w:r>
        <w:rPr>
          <w:i/>
          <w:sz w:val="22"/>
        </w:rPr>
        <w:t>J Clin Oncol</w:t>
      </w:r>
      <w:r>
        <w:rPr>
          <w:sz w:val="22"/>
        </w:rPr>
        <w:t>. </w:t>
      </w:r>
      <w:r>
        <w:rPr>
          <w:spacing w:val="-2"/>
          <w:sz w:val="22"/>
        </w:rPr>
        <w:t>2010;28:641.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Bardia A, Novotny PJ, Sloan JA, Barton D, Loprinzi C. Efficacy of nonestrogenic hot flash therapies among women stratified by breast cancer history and tamoxifen use: a pooled</w:t>
      </w:r>
      <w:r>
        <w:rPr>
          <w:spacing w:val="80"/>
          <w:w w:val="150"/>
          <w:sz w:val="22"/>
        </w:rPr>
        <w:t> </w:t>
      </w:r>
      <w:r>
        <w:rPr>
          <w:sz w:val="22"/>
        </w:rPr>
        <w:t>analysis. </w:t>
      </w:r>
      <w:r>
        <w:rPr>
          <w:i/>
          <w:sz w:val="22"/>
        </w:rPr>
        <w:t>Menopause</w:t>
      </w:r>
      <w:r>
        <w:rPr>
          <w:sz w:val="22"/>
        </w:rPr>
        <w:t>. 2009;16:477.</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Stearns V, Johnson MD, Raae JM, et al. Active tamoxifen metabolite plasma concentrations</w:t>
      </w:r>
      <w:r>
        <w:rPr>
          <w:spacing w:val="40"/>
          <w:sz w:val="22"/>
        </w:rPr>
        <w:t> </w:t>
      </w:r>
      <w:r>
        <w:rPr>
          <w:sz w:val="22"/>
        </w:rPr>
        <w:t>after coadministration of tamoxifen and the selective serotonin reuptake inhibitor paroxetine. </w:t>
      </w:r>
      <w:r>
        <w:rPr>
          <w:i/>
          <w:sz w:val="22"/>
        </w:rPr>
        <w:t>J</w:t>
      </w:r>
      <w:r>
        <w:rPr>
          <w:i/>
          <w:sz w:val="22"/>
        </w:rPr>
        <w:t> Natl Cancer Inst</w:t>
      </w:r>
      <w:r>
        <w:rPr>
          <w:sz w:val="22"/>
        </w:rPr>
        <w:t>. 2003;95:1758.</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Jin Y, Desta Z, Stearns V, et al. CYP2D6 genotype, antidepressant use, and </w:t>
      </w:r>
      <w:r>
        <w:rPr>
          <w:sz w:val="22"/>
        </w:rPr>
        <w:t>tamoxifen metabolism during adjuvant breast cancer treatment. </w:t>
      </w:r>
      <w:r>
        <w:rPr>
          <w:i/>
          <w:sz w:val="22"/>
        </w:rPr>
        <w:t>J Natl Cancer Inst</w:t>
      </w:r>
      <w:r>
        <w:rPr>
          <w:sz w:val="22"/>
        </w:rPr>
        <w:t>. 2005;97:30.</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Elnaga</w:t>
      </w:r>
      <w:r>
        <w:rPr>
          <w:spacing w:val="40"/>
          <w:sz w:val="22"/>
        </w:rPr>
        <w:t> </w:t>
      </w:r>
      <w:r>
        <w:rPr>
          <w:sz w:val="22"/>
        </w:rPr>
        <w:t>AAA,</w:t>
      </w:r>
      <w:r>
        <w:rPr>
          <w:spacing w:val="40"/>
          <w:sz w:val="22"/>
        </w:rPr>
        <w:t> </w:t>
      </w:r>
      <w:r>
        <w:rPr>
          <w:sz w:val="22"/>
        </w:rPr>
        <w:t>Alsaied</w:t>
      </w:r>
      <w:r>
        <w:rPr>
          <w:spacing w:val="40"/>
          <w:sz w:val="22"/>
        </w:rPr>
        <w:t> </w:t>
      </w:r>
      <w:r>
        <w:rPr>
          <w:sz w:val="22"/>
        </w:rPr>
        <w:t>MA,</w:t>
      </w:r>
      <w:r>
        <w:rPr>
          <w:spacing w:val="40"/>
          <w:sz w:val="22"/>
        </w:rPr>
        <w:t> </w:t>
      </w:r>
      <w:r>
        <w:rPr>
          <w:sz w:val="22"/>
        </w:rPr>
        <w:t>Elettreby</w:t>
      </w:r>
      <w:r>
        <w:rPr>
          <w:spacing w:val="40"/>
          <w:sz w:val="22"/>
        </w:rPr>
        <w:t> </w:t>
      </w:r>
      <w:r>
        <w:rPr>
          <w:sz w:val="22"/>
        </w:rPr>
        <w:t>AM,</w:t>
      </w:r>
      <w:r>
        <w:rPr>
          <w:spacing w:val="40"/>
          <w:sz w:val="22"/>
        </w:rPr>
        <w:t> </w:t>
      </w:r>
      <w:r>
        <w:rPr>
          <w:sz w:val="22"/>
        </w:rPr>
        <w:t>Ramadan</w:t>
      </w:r>
      <w:r>
        <w:rPr>
          <w:spacing w:val="40"/>
          <w:sz w:val="22"/>
        </w:rPr>
        <w:t> </w:t>
      </w:r>
      <w:r>
        <w:rPr>
          <w:sz w:val="22"/>
        </w:rPr>
        <w:t>A.</w:t>
      </w:r>
      <w:r>
        <w:rPr>
          <w:spacing w:val="40"/>
          <w:sz w:val="22"/>
        </w:rPr>
        <w:t> </w:t>
      </w:r>
      <w:r>
        <w:rPr>
          <w:sz w:val="22"/>
        </w:rPr>
        <w:t>Effectiveness</w:t>
      </w:r>
      <w:r>
        <w:rPr>
          <w:spacing w:val="40"/>
          <w:sz w:val="22"/>
        </w:rPr>
        <w:t> </w:t>
      </w:r>
      <w:r>
        <w:rPr>
          <w:sz w:val="22"/>
        </w:rPr>
        <w:t>and</w:t>
      </w:r>
      <w:r>
        <w:rPr>
          <w:spacing w:val="40"/>
          <w:sz w:val="22"/>
        </w:rPr>
        <w:t> </w:t>
      </w:r>
      <w:r>
        <w:rPr>
          <w:sz w:val="22"/>
        </w:rPr>
        <w:t>safety</w:t>
      </w:r>
      <w:r>
        <w:rPr>
          <w:spacing w:val="40"/>
          <w:sz w:val="22"/>
        </w:rPr>
        <w:t> </w:t>
      </w:r>
      <w:r>
        <w:rPr>
          <w:sz w:val="22"/>
        </w:rPr>
        <w:t>of fezolinetant</w:t>
      </w:r>
      <w:r>
        <w:rPr>
          <w:spacing w:val="40"/>
          <w:sz w:val="22"/>
        </w:rPr>
        <w:t> </w:t>
      </w:r>
      <w:r>
        <w:rPr>
          <w:sz w:val="22"/>
        </w:rPr>
        <w:t>in</w:t>
      </w:r>
      <w:r>
        <w:rPr>
          <w:spacing w:val="40"/>
          <w:sz w:val="22"/>
        </w:rPr>
        <w:t> </w:t>
      </w:r>
      <w:r>
        <w:rPr>
          <w:sz w:val="22"/>
        </w:rPr>
        <w:t>alleviating</w:t>
      </w:r>
      <w:r>
        <w:rPr>
          <w:spacing w:val="40"/>
          <w:sz w:val="22"/>
        </w:rPr>
        <w:t> </w:t>
      </w:r>
      <w:r>
        <w:rPr>
          <w:sz w:val="22"/>
        </w:rPr>
        <w:t>vasomotor</w:t>
      </w:r>
      <w:r>
        <w:rPr>
          <w:spacing w:val="40"/>
          <w:sz w:val="22"/>
        </w:rPr>
        <w:t> </w:t>
      </w:r>
      <w:r>
        <w:rPr>
          <w:sz w:val="22"/>
        </w:rPr>
        <w:t>symptoms</w:t>
      </w:r>
      <w:r>
        <w:rPr>
          <w:spacing w:val="40"/>
          <w:sz w:val="22"/>
        </w:rPr>
        <w:t> </w:t>
      </w:r>
      <w:r>
        <w:rPr>
          <w:sz w:val="22"/>
        </w:rPr>
        <w:t>linked</w:t>
      </w:r>
      <w:r>
        <w:rPr>
          <w:spacing w:val="40"/>
          <w:sz w:val="22"/>
        </w:rPr>
        <w:t> </w:t>
      </w:r>
      <w:r>
        <w:rPr>
          <w:sz w:val="22"/>
        </w:rPr>
        <w:t>to</w:t>
      </w:r>
      <w:r>
        <w:rPr>
          <w:spacing w:val="40"/>
          <w:sz w:val="22"/>
        </w:rPr>
        <w:t> </w:t>
      </w:r>
      <w:r>
        <w:rPr>
          <w:sz w:val="22"/>
        </w:rPr>
        <w:t>Menopause.:</w:t>
      </w:r>
      <w:r>
        <w:rPr>
          <w:spacing w:val="40"/>
          <w:sz w:val="22"/>
        </w:rPr>
        <w:t> </w:t>
      </w:r>
      <w:r>
        <w:rPr>
          <w:sz w:val="22"/>
        </w:rPr>
        <w:t>A</w:t>
      </w:r>
      <w:r>
        <w:rPr>
          <w:spacing w:val="40"/>
          <w:sz w:val="22"/>
        </w:rPr>
        <w:t> </w:t>
      </w:r>
      <w:r>
        <w:rPr>
          <w:sz w:val="22"/>
        </w:rPr>
        <w:t>systematic</w:t>
      </w:r>
      <w:r>
        <w:rPr>
          <w:spacing w:val="40"/>
          <w:sz w:val="22"/>
        </w:rPr>
        <w:t> </w:t>
      </w:r>
      <w:r>
        <w:rPr>
          <w:sz w:val="22"/>
        </w:rPr>
        <w:t>review and meta-analysis. </w:t>
      </w:r>
      <w:r>
        <w:rPr>
          <w:i/>
          <w:sz w:val="22"/>
        </w:rPr>
        <w:t>Eur J Obstet Gynecol Reprod Biol</w:t>
      </w:r>
      <w:r>
        <w:rPr>
          <w:sz w:val="22"/>
        </w:rPr>
        <w:t>. 2024;297:142-152.</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3" w:hanging="507"/>
        <w:jc w:val="both"/>
        <w:rPr>
          <w:sz w:val="22"/>
        </w:rPr>
      </w:pPr>
      <w:r>
        <w:rPr>
          <w:sz w:val="22"/>
        </w:rPr>
        <w:t>Rani P, Zehra D, Mansoor M, Rani P. FDA approved fezolinetant (Veozah): a critical</w:t>
      </w:r>
      <w:r>
        <w:rPr>
          <w:spacing w:val="80"/>
          <w:sz w:val="22"/>
        </w:rPr>
        <w:t> </w:t>
      </w:r>
      <w:r>
        <w:rPr>
          <w:sz w:val="22"/>
        </w:rPr>
        <w:t>evaluation of its efficacy and safety for menopausal vasomotor symptoms, calling for prospective research. </w:t>
      </w:r>
      <w:r>
        <w:rPr>
          <w:i/>
          <w:sz w:val="22"/>
        </w:rPr>
        <w:t>Arch Womens Ment Health</w:t>
      </w:r>
      <w:r>
        <w:rPr>
          <w:sz w:val="22"/>
        </w:rPr>
        <w:t>. 2024;27:943-946.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Lederman S, Ottery FD, Cano A, et al. Fezolinetant for treatment of moderate-to-severe vasomotor symptoms associated with menopause (SKYLIGHT 1): a phase 3 </w:t>
      </w:r>
      <w:r>
        <w:rPr>
          <w:sz w:val="22"/>
        </w:rPr>
        <w:t>randomised controlled study. </w:t>
      </w:r>
      <w:r>
        <w:rPr>
          <w:i/>
          <w:sz w:val="22"/>
        </w:rPr>
        <w:t>Lancet</w:t>
      </w:r>
      <w:r>
        <w:rPr>
          <w:sz w:val="22"/>
        </w:rPr>
        <w:t>. 2023;401(10382):1091-1102.</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Gonzales GF, Villena A. Age at menopause in Central Andean Peruvian women. </w:t>
      </w:r>
      <w:r>
        <w:rPr>
          <w:i/>
          <w:sz w:val="22"/>
        </w:rPr>
        <w:t>Menopause</w:t>
      </w:r>
      <w:r>
        <w:rPr>
          <w:sz w:val="22"/>
        </w:rPr>
        <w:t>. </w:t>
      </w:r>
      <w:r>
        <w:rPr>
          <w:spacing w:val="-2"/>
          <w:sz w:val="22"/>
        </w:rPr>
        <w:t>1997;4:32.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Kelly CM, Juurlink DN, Gomes T, et al. Risk of death due to breast cancer in women treated with selective serotonin reuptake inhibitor antidepressants and tamoxifen. Paper presented </w:t>
      </w:r>
      <w:r>
        <w:rPr>
          <w:sz w:val="22"/>
        </w:rPr>
        <w:t>at: San Antonio Breast Cancer Symposium, Abstract 2049; December 9-13, 2009; San Antonio,</w:t>
      </w:r>
      <w:r>
        <w:rPr>
          <w:spacing w:val="40"/>
          <w:sz w:val="22"/>
        </w:rPr>
        <w:t> </w:t>
      </w:r>
      <w:r>
        <w:rPr>
          <w:spacing w:val="-4"/>
          <w:sz w:val="22"/>
        </w:rPr>
        <w:t>TX.</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Stuenkel CA. Menopausal hormone therapy: current considerations. </w:t>
      </w:r>
      <w:r>
        <w:rPr>
          <w:i/>
          <w:sz w:val="22"/>
        </w:rPr>
        <w:t>Endocrinol Metab </w:t>
      </w:r>
      <w:r>
        <w:rPr>
          <w:i/>
          <w:sz w:val="22"/>
        </w:rPr>
        <w:t>Clin</w:t>
      </w:r>
      <w:r>
        <w:rPr>
          <w:i/>
          <w:sz w:val="22"/>
        </w:rPr>
        <w:t> North Am</w:t>
      </w:r>
      <w:r>
        <w:rPr>
          <w:sz w:val="22"/>
        </w:rPr>
        <w:t>. 2015;44(3):565.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Gann PH, Giovanazzi S, Van Horn L, Branning A, Chatterton RT Jr. Saliva as a medium for investigating intra- and interindividual differences in sex hormone levels in premenopausal women. </w:t>
      </w:r>
      <w:r>
        <w:rPr>
          <w:i/>
          <w:sz w:val="22"/>
        </w:rPr>
        <w:t>Cancer Epidemiol Biomarkers Prev</w:t>
      </w:r>
      <w:r>
        <w:rPr>
          <w:sz w:val="22"/>
        </w:rPr>
        <w:t>. 2001;10:59.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Chatterton RT Jr, Mateo ET, Lu D, Ling FJ. Interpopulational differences in the concentrations and ratios of salivary and serum progesterone. </w:t>
      </w:r>
      <w:r>
        <w:rPr>
          <w:i/>
          <w:sz w:val="22"/>
        </w:rPr>
        <w:t>Fertil Steril</w:t>
      </w:r>
      <w:r>
        <w:rPr>
          <w:sz w:val="22"/>
        </w:rPr>
        <w:t>. 2006;86:723.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Flyckt RL, Liu J, Frasure H, Wekselman K, Buch A, Kinsberg SA. Comparison of salivary versus serum testosterone levels in postmenopausal women receiving transdermal </w:t>
      </w:r>
      <w:r>
        <w:rPr>
          <w:sz w:val="22"/>
        </w:rPr>
        <w:t>testosterone supplementation versus placebo. </w:t>
      </w:r>
      <w:r>
        <w:rPr>
          <w:i/>
          <w:sz w:val="22"/>
        </w:rPr>
        <w:t>Menopause</w:t>
      </w:r>
      <w:r>
        <w:rPr>
          <w:sz w:val="22"/>
        </w:rPr>
        <w:t>. 2009;16:680.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American College of Obstetricians and Gynecologists Committee on Gynecologic Practice, American Society for Reproductive Medicine Practice Committee. Compounded </w:t>
      </w:r>
      <w:r>
        <w:rPr>
          <w:sz w:val="22"/>
        </w:rPr>
        <w:t>bioidentical menopausal hormone therapy. </w:t>
      </w:r>
      <w:r>
        <w:rPr>
          <w:i/>
          <w:sz w:val="22"/>
        </w:rPr>
        <w:t>Fertil Steril</w:t>
      </w:r>
      <w:r>
        <w:rPr>
          <w:sz w:val="22"/>
        </w:rPr>
        <w:t>. 2012;98(2):308.</w:t>
      </w:r>
    </w:p>
    <w:p>
      <w:pPr>
        <w:pStyle w:val="ListParagraph"/>
        <w:numPr>
          <w:ilvl w:val="0"/>
          <w:numId w:val="19"/>
        </w:numPr>
        <w:tabs>
          <w:tab w:pos="709" w:val="left" w:leader="none"/>
          <w:tab w:pos="718" w:val="left" w:leader="none"/>
        </w:tabs>
        <w:spacing w:line="256" w:lineRule="auto" w:before="0" w:after="0"/>
        <w:ind w:left="718" w:right="101" w:hanging="507"/>
        <w:jc w:val="both"/>
        <w:rPr>
          <w:i/>
          <w:sz w:val="22"/>
        </w:rPr>
      </w:pPr>
      <w:r>
        <w:rPr>
          <w:sz w:val="22"/>
        </w:rPr>
        <w:t>Patsner B. Pharmacy compounding of bioidentical hormone replacement therapy (BHRT): </w:t>
      </w:r>
      <w:r>
        <w:rPr>
          <w:sz w:val="22"/>
        </w:rPr>
        <w:t>a proposed</w:t>
      </w:r>
      <w:r>
        <w:rPr>
          <w:spacing w:val="16"/>
          <w:sz w:val="22"/>
        </w:rPr>
        <w:t> </w:t>
      </w:r>
      <w:r>
        <w:rPr>
          <w:sz w:val="22"/>
        </w:rPr>
        <w:t>new</w:t>
      </w:r>
      <w:r>
        <w:rPr>
          <w:spacing w:val="16"/>
          <w:sz w:val="22"/>
        </w:rPr>
        <w:t> </w:t>
      </w:r>
      <w:r>
        <w:rPr>
          <w:sz w:val="22"/>
        </w:rPr>
        <w:t>approach</w:t>
      </w:r>
      <w:r>
        <w:rPr>
          <w:spacing w:val="16"/>
          <w:sz w:val="22"/>
        </w:rPr>
        <w:t> </w:t>
      </w:r>
      <w:r>
        <w:rPr>
          <w:sz w:val="22"/>
        </w:rPr>
        <w:t>to</w:t>
      </w:r>
      <w:r>
        <w:rPr>
          <w:spacing w:val="16"/>
          <w:sz w:val="22"/>
        </w:rPr>
        <w:t> </w:t>
      </w:r>
      <w:r>
        <w:rPr>
          <w:sz w:val="22"/>
        </w:rPr>
        <w:t>justify</w:t>
      </w:r>
      <w:r>
        <w:rPr>
          <w:spacing w:val="16"/>
          <w:sz w:val="22"/>
        </w:rPr>
        <w:t> </w:t>
      </w:r>
      <w:r>
        <w:rPr>
          <w:sz w:val="22"/>
        </w:rPr>
        <w:t>FDA</w:t>
      </w:r>
      <w:r>
        <w:rPr>
          <w:spacing w:val="16"/>
          <w:sz w:val="22"/>
        </w:rPr>
        <w:t> </w:t>
      </w:r>
      <w:r>
        <w:rPr>
          <w:sz w:val="22"/>
        </w:rPr>
        <w:t>regulation</w:t>
      </w:r>
      <w:r>
        <w:rPr>
          <w:spacing w:val="16"/>
          <w:sz w:val="22"/>
        </w:rPr>
        <w:t> </w:t>
      </w:r>
      <w:r>
        <w:rPr>
          <w:sz w:val="22"/>
        </w:rPr>
        <w:t>of</w:t>
      </w:r>
      <w:r>
        <w:rPr>
          <w:spacing w:val="16"/>
          <w:sz w:val="22"/>
        </w:rPr>
        <w:t> </w:t>
      </w:r>
      <w:r>
        <w:rPr>
          <w:sz w:val="22"/>
        </w:rPr>
        <w:t>these</w:t>
      </w:r>
      <w:r>
        <w:rPr>
          <w:spacing w:val="16"/>
          <w:sz w:val="22"/>
        </w:rPr>
        <w:t> </w:t>
      </w:r>
      <w:r>
        <w:rPr>
          <w:sz w:val="22"/>
        </w:rPr>
        <w:t>prescription</w:t>
      </w:r>
      <w:r>
        <w:rPr>
          <w:spacing w:val="16"/>
          <w:sz w:val="22"/>
        </w:rPr>
        <w:t> </w:t>
      </w:r>
      <w:r>
        <w:rPr>
          <w:sz w:val="22"/>
        </w:rPr>
        <w:t>drugs.</w:t>
      </w:r>
      <w:r>
        <w:rPr>
          <w:spacing w:val="16"/>
          <w:sz w:val="22"/>
        </w:rPr>
        <w:t> </w:t>
      </w:r>
      <w:r>
        <w:rPr>
          <w:i/>
          <w:sz w:val="22"/>
        </w:rPr>
        <w:t>Food Drug Law</w:t>
      </w:r>
    </w:p>
    <w:p>
      <w:pPr>
        <w:spacing w:line="252" w:lineRule="exact" w:before="0"/>
        <w:ind w:left="718" w:right="0" w:firstLine="0"/>
        <w:jc w:val="both"/>
        <w:rPr>
          <w:sz w:val="22"/>
        </w:rPr>
      </w:pPr>
      <w:r>
        <w:rPr>
          <w:i/>
          <w:sz w:val="22"/>
        </w:rPr>
        <w:t>J</w:t>
      </w:r>
      <w:r>
        <w:rPr>
          <w:sz w:val="22"/>
        </w:rPr>
        <w:t>.</w:t>
      </w:r>
      <w:r>
        <w:rPr>
          <w:spacing w:val="3"/>
          <w:sz w:val="22"/>
        </w:rPr>
        <w:t> </w:t>
      </w:r>
      <w:r>
        <w:rPr>
          <w:spacing w:val="-2"/>
          <w:sz w:val="22"/>
        </w:rPr>
        <w:t>2008;63:459.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Weiderpass E, Baron JA, Adami HO, et al. Low-potency oestrogen and risk of </w:t>
      </w:r>
      <w:r>
        <w:rPr>
          <w:sz w:val="22"/>
        </w:rPr>
        <w:t>endometrial cancer: a case-control study. </w:t>
      </w:r>
      <w:r>
        <w:rPr>
          <w:i/>
          <w:sz w:val="22"/>
        </w:rPr>
        <w:t>Lancet</w:t>
      </w:r>
      <w:r>
        <w:rPr>
          <w:sz w:val="22"/>
        </w:rPr>
        <w:t>. 1999;353:1824.</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Cole MR, Fetrow CW. Adulteration of dietary supplements. </w:t>
      </w:r>
      <w:r>
        <w:rPr>
          <w:i/>
          <w:sz w:val="22"/>
        </w:rPr>
        <w:t>Am J Health Syst Pharm</w:t>
      </w:r>
      <w:r>
        <w:rPr>
          <w:sz w:val="22"/>
        </w:rPr>
        <w:t>. </w:t>
      </w:r>
      <w:r>
        <w:rPr>
          <w:spacing w:val="-2"/>
          <w:sz w:val="22"/>
        </w:rPr>
        <w:t>2003;60:1576.</w:t>
      </w:r>
    </w:p>
    <w:p>
      <w:pPr>
        <w:pStyle w:val="ListParagraph"/>
        <w:numPr>
          <w:ilvl w:val="0"/>
          <w:numId w:val="19"/>
        </w:numPr>
        <w:tabs>
          <w:tab w:pos="710" w:val="left" w:leader="none"/>
        </w:tabs>
        <w:spacing w:line="252" w:lineRule="exact" w:before="0" w:after="0"/>
        <w:ind w:left="710" w:right="0" w:hanging="498"/>
        <w:jc w:val="both"/>
        <w:rPr>
          <w:sz w:val="22"/>
        </w:rPr>
      </w:pPr>
      <w:r>
        <w:rPr>
          <w:sz w:val="22"/>
        </w:rPr>
        <w:t>Murkies</w:t>
      </w:r>
      <w:r>
        <w:rPr>
          <w:spacing w:val="11"/>
          <w:sz w:val="22"/>
        </w:rPr>
        <w:t> </w:t>
      </w:r>
      <w:r>
        <w:rPr>
          <w:sz w:val="22"/>
        </w:rPr>
        <w:t>AL,</w:t>
      </w:r>
      <w:r>
        <w:rPr>
          <w:spacing w:val="11"/>
          <w:sz w:val="22"/>
        </w:rPr>
        <w:t> </w:t>
      </w:r>
      <w:r>
        <w:rPr>
          <w:sz w:val="22"/>
        </w:rPr>
        <w:t>Wilcox</w:t>
      </w:r>
      <w:r>
        <w:rPr>
          <w:spacing w:val="12"/>
          <w:sz w:val="22"/>
        </w:rPr>
        <w:t> </w:t>
      </w:r>
      <w:r>
        <w:rPr>
          <w:sz w:val="22"/>
        </w:rPr>
        <w:t>G,</w:t>
      </w:r>
      <w:r>
        <w:rPr>
          <w:spacing w:val="11"/>
          <w:sz w:val="22"/>
        </w:rPr>
        <w:t> </w:t>
      </w:r>
      <w:r>
        <w:rPr>
          <w:sz w:val="22"/>
        </w:rPr>
        <w:t>Davis</w:t>
      </w:r>
      <w:r>
        <w:rPr>
          <w:spacing w:val="12"/>
          <w:sz w:val="22"/>
        </w:rPr>
        <w:t> </w:t>
      </w:r>
      <w:r>
        <w:rPr>
          <w:sz w:val="22"/>
        </w:rPr>
        <w:t>SR.</w:t>
      </w:r>
      <w:r>
        <w:rPr>
          <w:spacing w:val="11"/>
          <w:sz w:val="22"/>
        </w:rPr>
        <w:t> </w:t>
      </w:r>
      <w:r>
        <w:rPr>
          <w:sz w:val="22"/>
        </w:rPr>
        <w:t>Phytoestrogens.</w:t>
      </w:r>
      <w:r>
        <w:rPr>
          <w:spacing w:val="12"/>
          <w:sz w:val="22"/>
        </w:rPr>
        <w:t> </w:t>
      </w:r>
      <w:r>
        <w:rPr>
          <w:i/>
          <w:sz w:val="22"/>
        </w:rPr>
        <w:t>J</w:t>
      </w:r>
      <w:r>
        <w:rPr>
          <w:i/>
          <w:spacing w:val="11"/>
          <w:sz w:val="22"/>
        </w:rPr>
        <w:t> </w:t>
      </w:r>
      <w:r>
        <w:rPr>
          <w:i/>
          <w:sz w:val="22"/>
        </w:rPr>
        <w:t>Clin</w:t>
      </w:r>
      <w:r>
        <w:rPr>
          <w:i/>
          <w:spacing w:val="12"/>
          <w:sz w:val="22"/>
        </w:rPr>
        <w:t> </w:t>
      </w:r>
      <w:r>
        <w:rPr>
          <w:i/>
          <w:sz w:val="22"/>
        </w:rPr>
        <w:t>Endocrinol</w:t>
      </w:r>
      <w:r>
        <w:rPr>
          <w:i/>
          <w:spacing w:val="11"/>
          <w:sz w:val="22"/>
        </w:rPr>
        <w:t> </w:t>
      </w:r>
      <w:r>
        <w:rPr>
          <w:i/>
          <w:sz w:val="22"/>
        </w:rPr>
        <w:t>Metab</w:t>
      </w:r>
      <w:r>
        <w:rPr>
          <w:sz w:val="22"/>
        </w:rPr>
        <w:t>.</w:t>
      </w:r>
      <w:r>
        <w:rPr>
          <w:spacing w:val="12"/>
          <w:sz w:val="22"/>
        </w:rPr>
        <w:t> </w:t>
      </w:r>
      <w:r>
        <w:rPr>
          <w:spacing w:val="-2"/>
          <w:sz w:val="22"/>
        </w:rPr>
        <w:t>1998;83:297.</w:t>
      </w:r>
    </w:p>
    <w:p>
      <w:pPr>
        <w:pStyle w:val="ListParagraph"/>
        <w:numPr>
          <w:ilvl w:val="0"/>
          <w:numId w:val="19"/>
        </w:numPr>
        <w:tabs>
          <w:tab w:pos="709" w:val="left" w:leader="none"/>
          <w:tab w:pos="718" w:val="left" w:leader="none"/>
        </w:tabs>
        <w:spacing w:line="256" w:lineRule="auto" w:before="16" w:after="0"/>
        <w:ind w:left="718" w:right="100" w:hanging="507"/>
        <w:jc w:val="both"/>
        <w:rPr>
          <w:sz w:val="22"/>
        </w:rPr>
      </w:pPr>
      <w:r>
        <w:rPr>
          <w:sz w:val="22"/>
        </w:rPr>
        <w:t>Tham DM, Gardner CD, Haskell WL. Potential health benefits of dietary phytoestrogens: a review of the clinical, epidemiological, and mechanistic evidence. </w:t>
      </w:r>
      <w:r>
        <w:rPr>
          <w:i/>
          <w:sz w:val="22"/>
        </w:rPr>
        <w:t>J Clin Endocrinol Metab</w:t>
      </w:r>
      <w:r>
        <w:rPr>
          <w:sz w:val="22"/>
        </w:rPr>
        <w:t>. </w:t>
      </w:r>
      <w:r>
        <w:rPr>
          <w:spacing w:val="-2"/>
          <w:sz w:val="22"/>
        </w:rPr>
        <w:t>1998;83:2223.</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Kuiper</w:t>
      </w:r>
      <w:r>
        <w:rPr>
          <w:spacing w:val="37"/>
          <w:sz w:val="22"/>
        </w:rPr>
        <w:t> </w:t>
      </w:r>
      <w:r>
        <w:rPr>
          <w:sz w:val="22"/>
        </w:rPr>
        <w:t>GGJM,</w:t>
      </w:r>
      <w:r>
        <w:rPr>
          <w:spacing w:val="37"/>
          <w:sz w:val="22"/>
        </w:rPr>
        <w:t> </w:t>
      </w:r>
      <w:r>
        <w:rPr>
          <w:sz w:val="22"/>
        </w:rPr>
        <w:t>Carlsson</w:t>
      </w:r>
      <w:r>
        <w:rPr>
          <w:spacing w:val="37"/>
          <w:sz w:val="22"/>
        </w:rPr>
        <w:t> </w:t>
      </w:r>
      <w:r>
        <w:rPr>
          <w:sz w:val="22"/>
        </w:rPr>
        <w:t>B,</w:t>
      </w:r>
      <w:r>
        <w:rPr>
          <w:spacing w:val="37"/>
          <w:sz w:val="22"/>
        </w:rPr>
        <w:t> </w:t>
      </w:r>
      <w:r>
        <w:rPr>
          <w:sz w:val="22"/>
        </w:rPr>
        <w:t>Grandien</w:t>
      </w:r>
      <w:r>
        <w:rPr>
          <w:spacing w:val="37"/>
          <w:sz w:val="22"/>
        </w:rPr>
        <w:t> </w:t>
      </w:r>
      <w:r>
        <w:rPr>
          <w:sz w:val="22"/>
        </w:rPr>
        <w:t>K,</w:t>
      </w:r>
      <w:r>
        <w:rPr>
          <w:spacing w:val="37"/>
          <w:sz w:val="22"/>
        </w:rPr>
        <w:t> </w:t>
      </w:r>
      <w:r>
        <w:rPr>
          <w:sz w:val="22"/>
        </w:rPr>
        <w:t>et</w:t>
      </w:r>
      <w:r>
        <w:rPr>
          <w:spacing w:val="37"/>
          <w:sz w:val="22"/>
        </w:rPr>
        <w:t> </w:t>
      </w:r>
      <w:r>
        <w:rPr>
          <w:sz w:val="22"/>
        </w:rPr>
        <w:t>al.</w:t>
      </w:r>
      <w:r>
        <w:rPr>
          <w:spacing w:val="37"/>
          <w:sz w:val="22"/>
        </w:rPr>
        <w:t> </w:t>
      </w:r>
      <w:r>
        <w:rPr>
          <w:sz w:val="22"/>
        </w:rPr>
        <w:t>Comparison</w:t>
      </w:r>
      <w:r>
        <w:rPr>
          <w:spacing w:val="35"/>
          <w:sz w:val="22"/>
        </w:rPr>
        <w:t> </w:t>
      </w:r>
      <w:r>
        <w:rPr>
          <w:sz w:val="22"/>
        </w:rPr>
        <w:t>of</w:t>
      </w:r>
      <w:r>
        <w:rPr>
          <w:spacing w:val="35"/>
          <w:sz w:val="22"/>
        </w:rPr>
        <w:t> </w:t>
      </w:r>
      <w:r>
        <w:rPr>
          <w:sz w:val="22"/>
        </w:rPr>
        <w:t>the</w:t>
      </w:r>
      <w:r>
        <w:rPr>
          <w:spacing w:val="35"/>
          <w:sz w:val="22"/>
        </w:rPr>
        <w:t> </w:t>
      </w:r>
      <w:r>
        <w:rPr>
          <w:sz w:val="22"/>
        </w:rPr>
        <w:t>ligand</w:t>
      </w:r>
      <w:r>
        <w:rPr>
          <w:spacing w:val="35"/>
          <w:sz w:val="22"/>
        </w:rPr>
        <w:t> </w:t>
      </w:r>
      <w:r>
        <w:rPr>
          <w:sz w:val="22"/>
        </w:rPr>
        <w:t>binding</w:t>
      </w:r>
      <w:r>
        <w:rPr>
          <w:spacing w:val="35"/>
          <w:sz w:val="22"/>
        </w:rPr>
        <w:t> </w:t>
      </w:r>
      <w:r>
        <w:rPr>
          <w:sz w:val="22"/>
        </w:rPr>
        <w:t>specificity and transcript tissue distribution of estrogen receptors a and b. </w:t>
      </w:r>
      <w:r>
        <w:rPr>
          <w:i/>
          <w:sz w:val="22"/>
        </w:rPr>
        <w:t>Endocrinology</w:t>
      </w:r>
      <w:r>
        <w:rPr>
          <w:sz w:val="22"/>
        </w:rPr>
        <w:t>. 1997;138:863.</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Anderson</w:t>
      </w:r>
      <w:r>
        <w:rPr>
          <w:spacing w:val="40"/>
          <w:sz w:val="22"/>
        </w:rPr>
        <w:t> </w:t>
      </w:r>
      <w:r>
        <w:rPr>
          <w:sz w:val="22"/>
        </w:rPr>
        <w:t>RL,</w:t>
      </w:r>
      <w:r>
        <w:rPr>
          <w:spacing w:val="40"/>
          <w:sz w:val="22"/>
        </w:rPr>
        <w:t> </w:t>
      </w:r>
      <w:r>
        <w:rPr>
          <w:sz w:val="22"/>
        </w:rPr>
        <w:t>Wolf</w:t>
      </w:r>
      <w:r>
        <w:rPr>
          <w:spacing w:val="40"/>
          <w:sz w:val="22"/>
        </w:rPr>
        <w:t> </w:t>
      </w:r>
      <w:r>
        <w:rPr>
          <w:sz w:val="22"/>
        </w:rPr>
        <w:t>WJ.</w:t>
      </w:r>
      <w:r>
        <w:rPr>
          <w:spacing w:val="40"/>
          <w:sz w:val="22"/>
        </w:rPr>
        <w:t> </w:t>
      </w:r>
      <w:r>
        <w:rPr>
          <w:sz w:val="22"/>
        </w:rPr>
        <w:t>Compositional</w:t>
      </w:r>
      <w:r>
        <w:rPr>
          <w:spacing w:val="40"/>
          <w:sz w:val="22"/>
        </w:rPr>
        <w:t> </w:t>
      </w:r>
      <w:r>
        <w:rPr>
          <w:sz w:val="22"/>
        </w:rPr>
        <w:t>changes</w:t>
      </w:r>
      <w:r>
        <w:rPr>
          <w:spacing w:val="40"/>
          <w:sz w:val="22"/>
        </w:rPr>
        <w:t> </w:t>
      </w:r>
      <w:r>
        <w:rPr>
          <w:sz w:val="22"/>
        </w:rPr>
        <w:t>in</w:t>
      </w:r>
      <w:r>
        <w:rPr>
          <w:spacing w:val="40"/>
          <w:sz w:val="22"/>
        </w:rPr>
        <w:t> </w:t>
      </w:r>
      <w:r>
        <w:rPr>
          <w:sz w:val="22"/>
        </w:rPr>
        <w:t>trypsin</w:t>
      </w:r>
      <w:r>
        <w:rPr>
          <w:spacing w:val="40"/>
          <w:sz w:val="22"/>
        </w:rPr>
        <w:t> </w:t>
      </w:r>
      <w:r>
        <w:rPr>
          <w:sz w:val="22"/>
        </w:rPr>
        <w:t>inhibitors,</w:t>
      </w:r>
      <w:r>
        <w:rPr>
          <w:spacing w:val="40"/>
          <w:sz w:val="22"/>
        </w:rPr>
        <w:t> </w:t>
      </w:r>
      <w:r>
        <w:rPr>
          <w:sz w:val="22"/>
        </w:rPr>
        <w:t>phytic</w:t>
      </w:r>
      <w:r>
        <w:rPr>
          <w:spacing w:val="40"/>
          <w:sz w:val="22"/>
        </w:rPr>
        <w:t> </w:t>
      </w:r>
      <w:r>
        <w:rPr>
          <w:sz w:val="22"/>
        </w:rPr>
        <w:t>acid,</w:t>
      </w:r>
      <w:r>
        <w:rPr>
          <w:spacing w:val="40"/>
          <w:sz w:val="22"/>
        </w:rPr>
        <w:t> </w:t>
      </w:r>
      <w:r>
        <w:rPr>
          <w:sz w:val="22"/>
        </w:rPr>
        <w:t>saponins and isoflavones related to soybean processing. </w:t>
      </w:r>
      <w:r>
        <w:rPr>
          <w:i/>
          <w:sz w:val="22"/>
        </w:rPr>
        <w:t>J Nutr</w:t>
      </w:r>
      <w:r>
        <w:rPr>
          <w:sz w:val="22"/>
        </w:rPr>
        <w:t>. 1995;125(suppl):581S.</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Messina M. Isoflavone intakes by Japanese were overestimated (letter to the editor). </w:t>
      </w:r>
      <w:r>
        <w:rPr>
          <w:i/>
          <w:sz w:val="22"/>
        </w:rPr>
        <w:t>Am J </w:t>
      </w:r>
      <w:r>
        <w:rPr>
          <w:i/>
          <w:sz w:val="22"/>
        </w:rPr>
        <w:t>Clin</w:t>
      </w:r>
      <w:r>
        <w:rPr>
          <w:i/>
          <w:sz w:val="22"/>
        </w:rPr>
        <w:t> Nutr</w:t>
      </w:r>
      <w:r>
        <w:rPr>
          <w:sz w:val="22"/>
        </w:rPr>
        <w:t>. 1995;62:645.</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Coward L, Barnes NC, Setchell KDR, Barnes S. The isoflavones genistein and daidzein</w:t>
      </w:r>
      <w:r>
        <w:rPr>
          <w:spacing w:val="80"/>
          <w:sz w:val="22"/>
        </w:rPr>
        <w:t> </w:t>
      </w:r>
      <w:r>
        <w:rPr>
          <w:sz w:val="22"/>
        </w:rPr>
        <w:t>soybean foods from American and Asian diets. </w:t>
      </w:r>
      <w:r>
        <w:rPr>
          <w:i/>
          <w:sz w:val="22"/>
        </w:rPr>
        <w:t>J Agric Food Chem</w:t>
      </w:r>
      <w:r>
        <w:rPr>
          <w:sz w:val="22"/>
        </w:rPr>
        <w:t>. 1993;41:1961.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Cassidy A, Bingham S, Setchell KDR. Biological effects of a diet of soy protein rich in isoflavones on the menstrual cycle of premenopausal women. </w:t>
      </w:r>
      <w:r>
        <w:rPr>
          <w:i/>
          <w:sz w:val="22"/>
        </w:rPr>
        <w:t>Am J Clin Nutr</w:t>
      </w:r>
      <w:r>
        <w:rPr>
          <w:sz w:val="22"/>
        </w:rPr>
        <w:t>. 1994;60:333.</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Lethaby A, Marjoribanks J, Kronenberg F, Roberts H, Eden J, Brown J. Phytoestrogens for menopausal vasomotor symptoms. </w:t>
      </w:r>
      <w:r>
        <w:rPr>
          <w:i/>
          <w:sz w:val="22"/>
        </w:rPr>
        <w:t>Cochrane Database Syst Rev</w:t>
      </w:r>
      <w:r>
        <w:rPr>
          <w:sz w:val="22"/>
        </w:rPr>
        <w:t>. 2013;12:Cd001395.</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699" w:val="left" w:leader="none"/>
          <w:tab w:pos="718" w:val="left" w:leader="none"/>
        </w:tabs>
        <w:spacing w:line="256" w:lineRule="auto" w:before="84" w:after="0"/>
        <w:ind w:left="718" w:right="108" w:hanging="507"/>
        <w:jc w:val="both"/>
        <w:rPr>
          <w:sz w:val="22"/>
        </w:rPr>
      </w:pPr>
      <w:r>
        <w:rPr>
          <w:sz w:val="22"/>
        </w:rPr>
        <w:t>Baber RJ, Templeman C, Morton T, Kelly GE, West L. Randomized placebo-controlled trial </w:t>
      </w:r>
      <w:r>
        <w:rPr>
          <w:sz w:val="22"/>
        </w:rPr>
        <w:t>of an isoflavone supplement and menopausal symptoms in women. </w:t>
      </w:r>
      <w:r>
        <w:rPr>
          <w:i/>
          <w:sz w:val="22"/>
        </w:rPr>
        <w:t>Climacteric</w:t>
      </w:r>
      <w:r>
        <w:rPr>
          <w:sz w:val="22"/>
        </w:rPr>
        <w:t>. 1999;2:85.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Knight DC, Howes JB, Eden JA. The effect of Promensil™, an isoflavone extract, on menopausal symptoms. </w:t>
      </w:r>
      <w:r>
        <w:rPr>
          <w:i/>
          <w:sz w:val="22"/>
        </w:rPr>
        <w:t>Climacteric</w:t>
      </w:r>
      <w:r>
        <w:rPr>
          <w:sz w:val="22"/>
        </w:rPr>
        <w:t>. 1999;2:79.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van</w:t>
      </w:r>
      <w:r>
        <w:rPr>
          <w:spacing w:val="40"/>
          <w:sz w:val="22"/>
        </w:rPr>
        <w:t> </w:t>
      </w:r>
      <w:r>
        <w:rPr>
          <w:sz w:val="22"/>
        </w:rPr>
        <w:t>de</w:t>
      </w:r>
      <w:r>
        <w:rPr>
          <w:spacing w:val="40"/>
          <w:sz w:val="22"/>
        </w:rPr>
        <w:t> </w:t>
      </w:r>
      <w:r>
        <w:rPr>
          <w:sz w:val="22"/>
        </w:rPr>
        <w:t>Wijer</w:t>
      </w:r>
      <w:r>
        <w:rPr>
          <w:spacing w:val="40"/>
          <w:sz w:val="22"/>
        </w:rPr>
        <w:t> </w:t>
      </w:r>
      <w:r>
        <w:rPr>
          <w:sz w:val="22"/>
        </w:rPr>
        <w:t>PHM,</w:t>
      </w:r>
      <w:r>
        <w:rPr>
          <w:spacing w:val="40"/>
          <w:sz w:val="22"/>
        </w:rPr>
        <w:t> </w:t>
      </w:r>
      <w:r>
        <w:rPr>
          <w:sz w:val="22"/>
        </w:rPr>
        <w:t>Barentsen</w:t>
      </w:r>
      <w:r>
        <w:rPr>
          <w:spacing w:val="40"/>
          <w:sz w:val="22"/>
        </w:rPr>
        <w:t> </w:t>
      </w:r>
      <w:r>
        <w:rPr>
          <w:sz w:val="22"/>
        </w:rPr>
        <w:t>R.</w:t>
      </w:r>
      <w:r>
        <w:rPr>
          <w:spacing w:val="40"/>
          <w:sz w:val="22"/>
        </w:rPr>
        <w:t> </w:t>
      </w:r>
      <w:r>
        <w:rPr>
          <w:sz w:val="22"/>
        </w:rPr>
        <w:t>Isoflavones</w:t>
      </w:r>
      <w:r>
        <w:rPr>
          <w:spacing w:val="40"/>
          <w:sz w:val="22"/>
        </w:rPr>
        <w:t> </w:t>
      </w:r>
      <w:r>
        <w:rPr>
          <w:sz w:val="22"/>
        </w:rPr>
        <w:t>form</w:t>
      </w:r>
      <w:r>
        <w:rPr>
          <w:spacing w:val="40"/>
          <w:sz w:val="22"/>
        </w:rPr>
        <w:t> </w:t>
      </w:r>
      <w:r>
        <w:rPr>
          <w:sz w:val="22"/>
        </w:rPr>
        <w:t>red</w:t>
      </w:r>
      <w:r>
        <w:rPr>
          <w:spacing w:val="40"/>
          <w:sz w:val="22"/>
        </w:rPr>
        <w:t> </w:t>
      </w:r>
      <w:r>
        <w:rPr>
          <w:sz w:val="22"/>
        </w:rPr>
        <w:t>clover</w:t>
      </w:r>
      <w:r>
        <w:rPr>
          <w:spacing w:val="40"/>
          <w:sz w:val="22"/>
        </w:rPr>
        <w:t> </w:t>
      </w:r>
      <w:r>
        <w:rPr>
          <w:sz w:val="22"/>
        </w:rPr>
        <w:t>(Promensil®)</w:t>
      </w:r>
      <w:r>
        <w:rPr>
          <w:spacing w:val="40"/>
          <w:sz w:val="22"/>
        </w:rPr>
        <w:t> </w:t>
      </w:r>
      <w:r>
        <w:rPr>
          <w:sz w:val="22"/>
        </w:rPr>
        <w:t>significantly reduce menopausal hot flush symptoms compared with placebo. </w:t>
      </w:r>
      <w:r>
        <w:rPr>
          <w:i/>
          <w:sz w:val="22"/>
        </w:rPr>
        <w:t>Maturitas</w:t>
      </w:r>
      <w:r>
        <w:rPr>
          <w:sz w:val="22"/>
        </w:rPr>
        <w:t>. 2002;42:187.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Tice JA, Ettinger B, Ensrud K, Wallace R, Blackwell T, Cummings SR. </w:t>
      </w:r>
      <w:r>
        <w:rPr>
          <w:sz w:val="22"/>
        </w:rPr>
        <w:t>Phytoestrogen supplements for the treatment of hot flashes: the Isoflavone Clover Extract (ICE) study: a randomized controlled trial. </w:t>
      </w:r>
      <w:r>
        <w:rPr>
          <w:i/>
          <w:sz w:val="22"/>
        </w:rPr>
        <w:t>JAMA</w:t>
      </w:r>
      <w:r>
        <w:rPr>
          <w:sz w:val="22"/>
        </w:rPr>
        <w:t>. 2003;290:207.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Geller SE, Shulman LP, van Breemen RB, et al. Safety and efficacy of black cohosh and </w:t>
      </w:r>
      <w:r>
        <w:rPr>
          <w:sz w:val="22"/>
        </w:rPr>
        <w:t>red clover</w:t>
      </w:r>
      <w:r>
        <w:rPr>
          <w:spacing w:val="40"/>
          <w:sz w:val="22"/>
        </w:rPr>
        <w:t> </w:t>
      </w:r>
      <w:r>
        <w:rPr>
          <w:sz w:val="22"/>
        </w:rPr>
        <w:t>for</w:t>
      </w:r>
      <w:r>
        <w:rPr>
          <w:spacing w:val="40"/>
          <w:sz w:val="22"/>
        </w:rPr>
        <w:t> </w:t>
      </w:r>
      <w:r>
        <w:rPr>
          <w:sz w:val="22"/>
        </w:rPr>
        <w:t>the</w:t>
      </w:r>
      <w:r>
        <w:rPr>
          <w:spacing w:val="40"/>
          <w:sz w:val="22"/>
        </w:rPr>
        <w:t> </w:t>
      </w:r>
      <w:r>
        <w:rPr>
          <w:sz w:val="22"/>
        </w:rPr>
        <w:t>management</w:t>
      </w:r>
      <w:r>
        <w:rPr>
          <w:spacing w:val="40"/>
          <w:sz w:val="22"/>
        </w:rPr>
        <w:t> </w:t>
      </w:r>
      <w:r>
        <w:rPr>
          <w:sz w:val="22"/>
        </w:rPr>
        <w:t>of</w:t>
      </w:r>
      <w:r>
        <w:rPr>
          <w:spacing w:val="40"/>
          <w:sz w:val="22"/>
        </w:rPr>
        <w:t> </w:t>
      </w:r>
      <w:r>
        <w:rPr>
          <w:sz w:val="22"/>
        </w:rPr>
        <w:t>vasomotor</w:t>
      </w:r>
      <w:r>
        <w:rPr>
          <w:spacing w:val="40"/>
          <w:sz w:val="22"/>
        </w:rPr>
        <w:t> </w:t>
      </w:r>
      <w:r>
        <w:rPr>
          <w:sz w:val="22"/>
        </w:rPr>
        <w:t>symptoms:</w:t>
      </w:r>
      <w:r>
        <w:rPr>
          <w:spacing w:val="40"/>
          <w:sz w:val="22"/>
        </w:rPr>
        <w:t> </w:t>
      </w:r>
      <w:r>
        <w:rPr>
          <w:sz w:val="22"/>
        </w:rPr>
        <w:t>a</w:t>
      </w:r>
      <w:r>
        <w:rPr>
          <w:spacing w:val="40"/>
          <w:sz w:val="22"/>
        </w:rPr>
        <w:t> </w:t>
      </w:r>
      <w:r>
        <w:rPr>
          <w:sz w:val="22"/>
        </w:rPr>
        <w:t>randomized</w:t>
      </w:r>
      <w:r>
        <w:rPr>
          <w:spacing w:val="40"/>
          <w:sz w:val="22"/>
        </w:rPr>
        <w:t> </w:t>
      </w:r>
      <w:r>
        <w:rPr>
          <w:sz w:val="22"/>
        </w:rPr>
        <w:t>controlled</w:t>
      </w:r>
      <w:r>
        <w:rPr>
          <w:spacing w:val="40"/>
          <w:sz w:val="22"/>
        </w:rPr>
        <w:t> </w:t>
      </w:r>
      <w:r>
        <w:rPr>
          <w:sz w:val="22"/>
        </w:rPr>
        <w:t>trial. </w:t>
      </w:r>
      <w:r>
        <w:rPr>
          <w:i/>
          <w:sz w:val="22"/>
        </w:rPr>
        <w:t>Menopause</w:t>
      </w:r>
      <w:r>
        <w:rPr>
          <w:sz w:val="22"/>
        </w:rPr>
        <w:t>. 2009;16:1156.</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Khoo SK, Munro C, Battistutta D. Evening primrose oil and treatment of </w:t>
      </w:r>
      <w:r>
        <w:rPr>
          <w:sz w:val="22"/>
        </w:rPr>
        <w:t>premenstrual syndrome. </w:t>
      </w:r>
      <w:r>
        <w:rPr>
          <w:i/>
          <w:sz w:val="22"/>
        </w:rPr>
        <w:t>Med J Aust</w:t>
      </w:r>
      <w:r>
        <w:rPr>
          <w:sz w:val="22"/>
        </w:rPr>
        <w:t>. 1990;153:189.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Collins A, Cerin A, Coleman G, Landgren B-M. Essential fatty acids in the treatment </w:t>
      </w:r>
      <w:r>
        <w:rPr>
          <w:sz w:val="22"/>
        </w:rPr>
        <w:t>of premenstrual syndrome. </w:t>
      </w:r>
      <w:r>
        <w:rPr>
          <w:i/>
          <w:sz w:val="22"/>
        </w:rPr>
        <w:t>Obstet Gynecol</w:t>
      </w:r>
      <w:r>
        <w:rPr>
          <w:sz w:val="22"/>
        </w:rPr>
        <w:t>. 1993;81:93.</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Chenoy R, Hussain S, Tayob Y, O’Brien PM, Moss MY, Morse PF. Effect of oral gamolenic acid from evening primrose oil on menopausal flushing. </w:t>
      </w:r>
      <w:r>
        <w:rPr>
          <w:i/>
          <w:sz w:val="22"/>
        </w:rPr>
        <w:t>Br Med J</w:t>
      </w:r>
      <w:r>
        <w:rPr>
          <w:sz w:val="22"/>
        </w:rPr>
        <w:t>. 1994;308:501.</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Jiang B, Kronenberg F, Balick MJ, Kennelly EJ. Analysis of formononetin from black cohosh (Actaea racemosa). </w:t>
      </w:r>
      <w:r>
        <w:rPr>
          <w:i/>
          <w:sz w:val="22"/>
        </w:rPr>
        <w:t>Phytomedicine</w:t>
      </w:r>
      <w:r>
        <w:rPr>
          <w:sz w:val="22"/>
        </w:rPr>
        <w:t>. 2006;13:477.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Newton KM, Reed SD, Grothaus L, et al. The Herbal Alternatives for Menopause </w:t>
      </w:r>
      <w:r>
        <w:rPr>
          <w:sz w:val="22"/>
        </w:rPr>
        <w:t>(HALT)</w:t>
      </w:r>
      <w:r>
        <w:rPr>
          <w:spacing w:val="40"/>
          <w:sz w:val="22"/>
        </w:rPr>
        <w:t> </w:t>
      </w:r>
      <w:r>
        <w:rPr>
          <w:sz w:val="22"/>
        </w:rPr>
        <w:t>study: background and study design. </w:t>
      </w:r>
      <w:r>
        <w:rPr>
          <w:i/>
          <w:sz w:val="22"/>
        </w:rPr>
        <w:t>Maturitas</w:t>
      </w:r>
      <w:r>
        <w:rPr>
          <w:sz w:val="22"/>
        </w:rPr>
        <w:t>. 2005;52:134.</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Newton KM, Reed SD, Grothaus L, Lee K, Ehrlich K, LaCroix AZ. The impact of hormone therapy and herbal remedies for menopause symptoms on sleep quality: the HALT trial (7th European Congress on Menopause, Abstract FCO8.5). </w:t>
      </w:r>
      <w:r>
        <w:rPr>
          <w:i/>
          <w:sz w:val="22"/>
        </w:rPr>
        <w:t>Maturitas</w:t>
      </w:r>
      <w:r>
        <w:rPr>
          <w:sz w:val="22"/>
        </w:rPr>
        <w:t>. 2006;54S:S52.</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Maki</w:t>
      </w:r>
      <w:r>
        <w:rPr>
          <w:spacing w:val="29"/>
          <w:sz w:val="22"/>
        </w:rPr>
        <w:t> </w:t>
      </w:r>
      <w:r>
        <w:rPr>
          <w:sz w:val="22"/>
        </w:rPr>
        <w:t>PM,</w:t>
      </w:r>
      <w:r>
        <w:rPr>
          <w:spacing w:val="29"/>
          <w:sz w:val="22"/>
        </w:rPr>
        <w:t> </w:t>
      </w:r>
      <w:r>
        <w:rPr>
          <w:sz w:val="22"/>
        </w:rPr>
        <w:t>Rugin</w:t>
      </w:r>
      <w:r>
        <w:rPr>
          <w:spacing w:val="29"/>
          <w:sz w:val="22"/>
        </w:rPr>
        <w:t> </w:t>
      </w:r>
      <w:r>
        <w:rPr>
          <w:sz w:val="22"/>
        </w:rPr>
        <w:t>LH,</w:t>
      </w:r>
      <w:r>
        <w:rPr>
          <w:spacing w:val="29"/>
          <w:sz w:val="22"/>
        </w:rPr>
        <w:t> </w:t>
      </w:r>
      <w:r>
        <w:rPr>
          <w:sz w:val="22"/>
        </w:rPr>
        <w:t>Fornelli</w:t>
      </w:r>
      <w:r>
        <w:rPr>
          <w:spacing w:val="29"/>
          <w:sz w:val="22"/>
        </w:rPr>
        <w:t> </w:t>
      </w:r>
      <w:r>
        <w:rPr>
          <w:sz w:val="22"/>
        </w:rPr>
        <w:t>D,</w:t>
      </w:r>
      <w:r>
        <w:rPr>
          <w:spacing w:val="29"/>
          <w:sz w:val="22"/>
        </w:rPr>
        <w:t> </w:t>
      </w:r>
      <w:r>
        <w:rPr>
          <w:sz w:val="22"/>
        </w:rPr>
        <w:t>et</w:t>
      </w:r>
      <w:r>
        <w:rPr>
          <w:spacing w:val="29"/>
          <w:sz w:val="22"/>
        </w:rPr>
        <w:t> </w:t>
      </w:r>
      <w:r>
        <w:rPr>
          <w:sz w:val="22"/>
        </w:rPr>
        <w:t>al.</w:t>
      </w:r>
      <w:r>
        <w:rPr>
          <w:spacing w:val="28"/>
          <w:sz w:val="22"/>
        </w:rPr>
        <w:t> </w:t>
      </w:r>
      <w:r>
        <w:rPr>
          <w:sz w:val="22"/>
        </w:rPr>
        <w:t>Effects</w:t>
      </w:r>
      <w:r>
        <w:rPr>
          <w:spacing w:val="27"/>
          <w:sz w:val="22"/>
        </w:rPr>
        <w:t> </w:t>
      </w:r>
      <w:r>
        <w:rPr>
          <w:sz w:val="22"/>
        </w:rPr>
        <w:t>of</w:t>
      </w:r>
      <w:r>
        <w:rPr>
          <w:spacing w:val="27"/>
          <w:sz w:val="22"/>
        </w:rPr>
        <w:t> </w:t>
      </w:r>
      <w:r>
        <w:rPr>
          <w:sz w:val="22"/>
        </w:rPr>
        <w:t>botanicals</w:t>
      </w:r>
      <w:r>
        <w:rPr>
          <w:spacing w:val="27"/>
          <w:sz w:val="22"/>
        </w:rPr>
        <w:t> </w:t>
      </w:r>
      <w:r>
        <w:rPr>
          <w:sz w:val="22"/>
        </w:rPr>
        <w:t>and</w:t>
      </w:r>
      <w:r>
        <w:rPr>
          <w:spacing w:val="27"/>
          <w:sz w:val="22"/>
        </w:rPr>
        <w:t> </w:t>
      </w:r>
      <w:r>
        <w:rPr>
          <w:sz w:val="22"/>
        </w:rPr>
        <w:t>combined</w:t>
      </w:r>
      <w:r>
        <w:rPr>
          <w:spacing w:val="27"/>
          <w:sz w:val="22"/>
        </w:rPr>
        <w:t> </w:t>
      </w:r>
      <w:r>
        <w:rPr>
          <w:sz w:val="22"/>
        </w:rPr>
        <w:t>hormone</w:t>
      </w:r>
      <w:r>
        <w:rPr>
          <w:spacing w:val="27"/>
          <w:sz w:val="22"/>
        </w:rPr>
        <w:t> </w:t>
      </w:r>
      <w:r>
        <w:rPr>
          <w:sz w:val="22"/>
        </w:rPr>
        <w:t>therapy on cognition in postmenopausal women. </w:t>
      </w:r>
      <w:r>
        <w:rPr>
          <w:i/>
          <w:sz w:val="22"/>
        </w:rPr>
        <w:t>Menopause</w:t>
      </w:r>
      <w:r>
        <w:rPr>
          <w:sz w:val="22"/>
        </w:rPr>
        <w:t>. 2009;16:1167.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van der Sluijs CP, Bensoussan A, Chang S, Baber R. A randomized placebo-controlled trial on the effectiveness of an herbal formula to alleviate menopausal vasomotor symptoms. </w:t>
      </w:r>
      <w:r>
        <w:rPr>
          <w:i/>
          <w:sz w:val="22"/>
        </w:rPr>
        <w:t>Menopause</w:t>
      </w:r>
      <w:r>
        <w:rPr>
          <w:sz w:val="22"/>
        </w:rPr>
        <w:t>. 2009;16:336.</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Mahady GB, Low Dog T, Barrett ML, et al. United States pharmacopeia review of the black cohosh case reports of hepatotoxicity. </w:t>
      </w:r>
      <w:r>
        <w:rPr>
          <w:i/>
          <w:sz w:val="22"/>
        </w:rPr>
        <w:t>Menopause</w:t>
      </w:r>
      <w:r>
        <w:rPr>
          <w:sz w:val="22"/>
        </w:rPr>
        <w:t>. 2008;15:628.</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Teschke R, Bahre R, Fuchs J, Wolff A. Black cohosh hepatotoxicity: quantitative </w:t>
      </w:r>
      <w:r>
        <w:rPr>
          <w:sz w:val="22"/>
        </w:rPr>
        <w:t>causality evaluation in nine suspected cases. </w:t>
      </w:r>
      <w:r>
        <w:rPr>
          <w:i/>
          <w:sz w:val="22"/>
        </w:rPr>
        <w:t>Menopause</w:t>
      </w:r>
      <w:r>
        <w:rPr>
          <w:sz w:val="22"/>
        </w:rPr>
        <w:t>. 2009;16:956.</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DeKosky</w:t>
      </w:r>
      <w:r>
        <w:rPr>
          <w:spacing w:val="13"/>
          <w:sz w:val="22"/>
        </w:rPr>
        <w:t> </w:t>
      </w:r>
      <w:r>
        <w:rPr>
          <w:sz w:val="22"/>
        </w:rPr>
        <w:t>ST,</w:t>
      </w:r>
      <w:r>
        <w:rPr>
          <w:spacing w:val="13"/>
          <w:sz w:val="22"/>
        </w:rPr>
        <w:t> </w:t>
      </w:r>
      <w:r>
        <w:rPr>
          <w:sz w:val="22"/>
        </w:rPr>
        <w:t>Williamson</w:t>
      </w:r>
      <w:r>
        <w:rPr>
          <w:spacing w:val="13"/>
          <w:sz w:val="22"/>
        </w:rPr>
        <w:t> </w:t>
      </w:r>
      <w:r>
        <w:rPr>
          <w:sz w:val="22"/>
        </w:rPr>
        <w:t>JD,</w:t>
      </w:r>
      <w:r>
        <w:rPr>
          <w:spacing w:val="13"/>
          <w:sz w:val="22"/>
        </w:rPr>
        <w:t> </w:t>
      </w:r>
      <w:r>
        <w:rPr>
          <w:sz w:val="22"/>
        </w:rPr>
        <w:t>Fitzpatrick</w:t>
      </w:r>
      <w:r>
        <w:rPr>
          <w:spacing w:val="13"/>
          <w:sz w:val="22"/>
        </w:rPr>
        <w:t> </w:t>
      </w:r>
      <w:r>
        <w:rPr>
          <w:sz w:val="22"/>
        </w:rPr>
        <w:t>AL,</w:t>
      </w:r>
      <w:r>
        <w:rPr>
          <w:spacing w:val="13"/>
          <w:sz w:val="22"/>
        </w:rPr>
        <w:t> </w:t>
      </w:r>
      <w:r>
        <w:rPr>
          <w:sz w:val="22"/>
        </w:rPr>
        <w:t>et</w:t>
      </w:r>
      <w:r>
        <w:rPr>
          <w:spacing w:val="13"/>
          <w:sz w:val="22"/>
        </w:rPr>
        <w:t> </w:t>
      </w:r>
      <w:r>
        <w:rPr>
          <w:sz w:val="22"/>
        </w:rPr>
        <w:t>al. Ginkgo</w:t>
      </w:r>
      <w:r>
        <w:rPr>
          <w:spacing w:val="15"/>
          <w:sz w:val="22"/>
        </w:rPr>
        <w:t> </w:t>
      </w:r>
      <w:r>
        <w:rPr>
          <w:sz w:val="22"/>
        </w:rPr>
        <w:t>biloba</w:t>
      </w:r>
      <w:r>
        <w:rPr>
          <w:spacing w:val="15"/>
          <w:sz w:val="22"/>
        </w:rPr>
        <w:t> </w:t>
      </w:r>
      <w:r>
        <w:rPr>
          <w:sz w:val="22"/>
        </w:rPr>
        <w:t>for</w:t>
      </w:r>
      <w:r>
        <w:rPr>
          <w:spacing w:val="15"/>
          <w:sz w:val="22"/>
        </w:rPr>
        <w:t> </w:t>
      </w:r>
      <w:r>
        <w:rPr>
          <w:sz w:val="22"/>
        </w:rPr>
        <w:t>prevention</w:t>
      </w:r>
      <w:r>
        <w:rPr>
          <w:spacing w:val="15"/>
          <w:sz w:val="22"/>
        </w:rPr>
        <w:t> </w:t>
      </w:r>
      <w:r>
        <w:rPr>
          <w:sz w:val="22"/>
        </w:rPr>
        <w:t>of</w:t>
      </w:r>
      <w:r>
        <w:rPr>
          <w:spacing w:val="15"/>
          <w:sz w:val="22"/>
        </w:rPr>
        <w:t> </w:t>
      </w:r>
      <w:r>
        <w:rPr>
          <w:sz w:val="22"/>
        </w:rPr>
        <w:t>dementia: a randomized controlled trial. </w:t>
      </w:r>
      <w:r>
        <w:rPr>
          <w:i/>
          <w:sz w:val="22"/>
        </w:rPr>
        <w:t>JAMA</w:t>
      </w:r>
      <w:r>
        <w:rPr>
          <w:sz w:val="22"/>
        </w:rPr>
        <w:t>. 2008;300:2253.</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Snitz BE, O’Meara ES, Carlson MC, et al. Ginkgo biloba for preventing cognitive decline </w:t>
      </w:r>
      <w:r>
        <w:rPr>
          <w:sz w:val="22"/>
        </w:rPr>
        <w:t>in older adults: a randomized trial. </w:t>
      </w:r>
      <w:r>
        <w:rPr>
          <w:i/>
          <w:sz w:val="22"/>
        </w:rPr>
        <w:t>JAMA</w:t>
      </w:r>
      <w:r>
        <w:rPr>
          <w:sz w:val="22"/>
        </w:rPr>
        <w:t>. 2009;302:2663.</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van Dongen MC, van Rossum E, Kessels AG, Sielhorst HJ, Knipschild PG. The efficacy of ginkgo</w:t>
      </w:r>
      <w:r>
        <w:rPr>
          <w:spacing w:val="25"/>
          <w:sz w:val="22"/>
        </w:rPr>
        <w:t> </w:t>
      </w:r>
      <w:r>
        <w:rPr>
          <w:sz w:val="22"/>
        </w:rPr>
        <w:t>for</w:t>
      </w:r>
      <w:r>
        <w:rPr>
          <w:spacing w:val="25"/>
          <w:sz w:val="22"/>
        </w:rPr>
        <w:t> </w:t>
      </w:r>
      <w:r>
        <w:rPr>
          <w:sz w:val="22"/>
        </w:rPr>
        <w:t>elderly</w:t>
      </w:r>
      <w:r>
        <w:rPr>
          <w:spacing w:val="25"/>
          <w:sz w:val="22"/>
        </w:rPr>
        <w:t> </w:t>
      </w:r>
      <w:r>
        <w:rPr>
          <w:sz w:val="22"/>
        </w:rPr>
        <w:t>people</w:t>
      </w:r>
      <w:r>
        <w:rPr>
          <w:spacing w:val="25"/>
          <w:sz w:val="22"/>
        </w:rPr>
        <w:t> </w:t>
      </w:r>
      <w:r>
        <w:rPr>
          <w:sz w:val="22"/>
        </w:rPr>
        <w:t>with</w:t>
      </w:r>
      <w:r>
        <w:rPr>
          <w:spacing w:val="25"/>
          <w:sz w:val="22"/>
        </w:rPr>
        <w:t> </w:t>
      </w:r>
      <w:r>
        <w:rPr>
          <w:sz w:val="22"/>
        </w:rPr>
        <w:t>dementia</w:t>
      </w:r>
      <w:r>
        <w:rPr>
          <w:spacing w:val="25"/>
          <w:sz w:val="22"/>
        </w:rPr>
        <w:t> </w:t>
      </w:r>
      <w:r>
        <w:rPr>
          <w:sz w:val="22"/>
        </w:rPr>
        <w:t>and</w:t>
      </w:r>
      <w:r>
        <w:rPr>
          <w:spacing w:val="25"/>
          <w:sz w:val="22"/>
        </w:rPr>
        <w:t> </w:t>
      </w:r>
      <w:r>
        <w:rPr>
          <w:sz w:val="22"/>
        </w:rPr>
        <w:t>age-associated</w:t>
      </w:r>
      <w:r>
        <w:rPr>
          <w:spacing w:val="25"/>
          <w:sz w:val="22"/>
        </w:rPr>
        <w:t> </w:t>
      </w:r>
      <w:r>
        <w:rPr>
          <w:sz w:val="22"/>
        </w:rPr>
        <w:t>memory</w:t>
      </w:r>
      <w:r>
        <w:rPr>
          <w:spacing w:val="25"/>
          <w:sz w:val="22"/>
        </w:rPr>
        <w:t> </w:t>
      </w:r>
      <w:r>
        <w:rPr>
          <w:sz w:val="22"/>
        </w:rPr>
        <w:t>impairment:</w:t>
      </w:r>
      <w:r>
        <w:rPr>
          <w:spacing w:val="25"/>
          <w:sz w:val="22"/>
        </w:rPr>
        <w:t> </w:t>
      </w:r>
      <w:r>
        <w:rPr>
          <w:sz w:val="22"/>
        </w:rPr>
        <w:t>new</w:t>
      </w:r>
      <w:r>
        <w:rPr>
          <w:spacing w:val="25"/>
          <w:sz w:val="22"/>
        </w:rPr>
        <w:t> </w:t>
      </w:r>
      <w:r>
        <w:rPr>
          <w:sz w:val="22"/>
        </w:rPr>
        <w:t>results of a randomized clinical trial. </w:t>
      </w:r>
      <w:r>
        <w:rPr>
          <w:i/>
          <w:sz w:val="22"/>
        </w:rPr>
        <w:t>J Am Geriatr Soc</w:t>
      </w:r>
      <w:r>
        <w:rPr>
          <w:sz w:val="22"/>
        </w:rPr>
        <w:t>. 2000;48:1183.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Solomon PR, Adams F, Silver A, Zimmer J, DeVeaux R. Ginkgo for memory enhancement: a randomized controlled trial. </w:t>
      </w:r>
      <w:r>
        <w:rPr>
          <w:i/>
          <w:sz w:val="22"/>
        </w:rPr>
        <w:t>JAMA</w:t>
      </w:r>
      <w:r>
        <w:rPr>
          <w:sz w:val="22"/>
        </w:rPr>
        <w:t>. 2002;288:835.</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Pfister O, Sticherling C, Schaer B, Osswald S. Electrical storm caused by complementary medication with Ginkgo biloba extract. </w:t>
      </w:r>
      <w:r>
        <w:rPr>
          <w:i/>
          <w:sz w:val="22"/>
        </w:rPr>
        <w:t>Am J Med</w:t>
      </w:r>
      <w:r>
        <w:rPr>
          <w:sz w:val="22"/>
        </w:rPr>
        <w:t>. 2008;121:e3.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Băjenaru O, Prada G, Antochi F, et al. Effectiveness and safety profile of Ginkgo </w:t>
      </w:r>
      <w:r>
        <w:rPr>
          <w:sz w:val="22"/>
        </w:rPr>
        <w:t>biloba standardized extract (EGb761®) in patients with amnestic mild cognitive impairment. </w:t>
      </w:r>
      <w:r>
        <w:rPr>
          <w:i/>
          <w:sz w:val="22"/>
        </w:rPr>
        <w:t>CNS</w:t>
      </w:r>
      <w:r>
        <w:rPr>
          <w:i/>
          <w:sz w:val="22"/>
        </w:rPr>
        <w:t> Neurol Disord Drug Targets</w:t>
      </w:r>
      <w:r>
        <w:rPr>
          <w:sz w:val="22"/>
        </w:rPr>
        <w:t>. 2021;20(4):378-384.</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Birks J, Grimley Evans J. Ginkgo biloba for cognitive impairment and dementia. </w:t>
      </w:r>
      <w:r>
        <w:rPr>
          <w:i/>
          <w:sz w:val="22"/>
        </w:rPr>
        <w:t>Cochrane</w:t>
      </w:r>
      <w:r>
        <w:rPr>
          <w:i/>
          <w:sz w:val="22"/>
        </w:rPr>
        <w:t> Database Syst Rev</w:t>
      </w:r>
      <w:r>
        <w:rPr>
          <w:sz w:val="22"/>
        </w:rPr>
        <w:t>. 2007;1:CD003120.</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Gaster B, Holroyd J. St. John’s wort for depression: a systematic review. </w:t>
      </w:r>
      <w:r>
        <w:rPr>
          <w:i/>
          <w:sz w:val="22"/>
        </w:rPr>
        <w:t>Arch Intern Med</w:t>
      </w:r>
      <w:r>
        <w:rPr>
          <w:sz w:val="22"/>
        </w:rPr>
        <w:t>. </w:t>
      </w:r>
      <w:r>
        <w:rPr>
          <w:spacing w:val="-2"/>
          <w:sz w:val="22"/>
        </w:rPr>
        <w:t>2000;160:152.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Kim</w:t>
      </w:r>
      <w:r>
        <w:rPr>
          <w:spacing w:val="40"/>
          <w:sz w:val="22"/>
        </w:rPr>
        <w:t> </w:t>
      </w:r>
      <w:r>
        <w:rPr>
          <w:sz w:val="22"/>
        </w:rPr>
        <w:t>HL,</w:t>
      </w:r>
      <w:r>
        <w:rPr>
          <w:spacing w:val="40"/>
          <w:sz w:val="22"/>
        </w:rPr>
        <w:t> </w:t>
      </w:r>
      <w:r>
        <w:rPr>
          <w:sz w:val="22"/>
        </w:rPr>
        <w:t>Streitzer</w:t>
      </w:r>
      <w:r>
        <w:rPr>
          <w:spacing w:val="40"/>
          <w:sz w:val="22"/>
        </w:rPr>
        <w:t> </w:t>
      </w:r>
      <w:r>
        <w:rPr>
          <w:sz w:val="22"/>
        </w:rPr>
        <w:t>J,</w:t>
      </w:r>
      <w:r>
        <w:rPr>
          <w:spacing w:val="40"/>
          <w:sz w:val="22"/>
        </w:rPr>
        <w:t> </w:t>
      </w:r>
      <w:r>
        <w:rPr>
          <w:sz w:val="22"/>
        </w:rPr>
        <w:t>Goebert</w:t>
      </w:r>
      <w:r>
        <w:rPr>
          <w:spacing w:val="40"/>
          <w:sz w:val="22"/>
        </w:rPr>
        <w:t> </w:t>
      </w:r>
      <w:r>
        <w:rPr>
          <w:sz w:val="22"/>
        </w:rPr>
        <w:t>D.</w:t>
      </w:r>
      <w:r>
        <w:rPr>
          <w:spacing w:val="40"/>
          <w:sz w:val="22"/>
        </w:rPr>
        <w:t> </w:t>
      </w:r>
      <w:r>
        <w:rPr>
          <w:sz w:val="22"/>
        </w:rPr>
        <w:t>St.</w:t>
      </w:r>
      <w:r>
        <w:rPr>
          <w:spacing w:val="40"/>
          <w:sz w:val="22"/>
        </w:rPr>
        <w:t> </w:t>
      </w:r>
      <w:r>
        <w:rPr>
          <w:sz w:val="22"/>
        </w:rPr>
        <w:t>John’s</w:t>
      </w:r>
      <w:r>
        <w:rPr>
          <w:spacing w:val="40"/>
          <w:sz w:val="22"/>
        </w:rPr>
        <w:t> </w:t>
      </w:r>
      <w:r>
        <w:rPr>
          <w:sz w:val="22"/>
        </w:rPr>
        <w:t>wort</w:t>
      </w:r>
      <w:r>
        <w:rPr>
          <w:spacing w:val="40"/>
          <w:sz w:val="22"/>
        </w:rPr>
        <w:t> </w:t>
      </w:r>
      <w:r>
        <w:rPr>
          <w:sz w:val="22"/>
        </w:rPr>
        <w:t>for</w:t>
      </w:r>
      <w:r>
        <w:rPr>
          <w:spacing w:val="40"/>
          <w:sz w:val="22"/>
        </w:rPr>
        <w:t> </w:t>
      </w:r>
      <w:r>
        <w:rPr>
          <w:sz w:val="22"/>
        </w:rPr>
        <w:t>depression:</w:t>
      </w:r>
      <w:r>
        <w:rPr>
          <w:spacing w:val="40"/>
          <w:sz w:val="22"/>
        </w:rPr>
        <w:t> </w:t>
      </w:r>
      <w:r>
        <w:rPr>
          <w:sz w:val="22"/>
        </w:rPr>
        <w:t>a</w:t>
      </w:r>
      <w:r>
        <w:rPr>
          <w:spacing w:val="40"/>
          <w:sz w:val="22"/>
        </w:rPr>
        <w:t> </w:t>
      </w:r>
      <w:r>
        <w:rPr>
          <w:sz w:val="22"/>
        </w:rPr>
        <w:t>meta-analysis</w:t>
      </w:r>
      <w:r>
        <w:rPr>
          <w:spacing w:val="40"/>
          <w:sz w:val="22"/>
        </w:rPr>
        <w:t> </w:t>
      </w:r>
      <w:r>
        <w:rPr>
          <w:sz w:val="22"/>
        </w:rPr>
        <w:t>of</w:t>
      </w:r>
      <w:r>
        <w:rPr>
          <w:spacing w:val="40"/>
          <w:sz w:val="22"/>
        </w:rPr>
        <w:t> </w:t>
      </w:r>
      <w:r>
        <w:rPr>
          <w:sz w:val="22"/>
        </w:rPr>
        <w:t>well-defined clinical trials. </w:t>
      </w:r>
      <w:r>
        <w:rPr>
          <w:i/>
          <w:sz w:val="22"/>
        </w:rPr>
        <w:t>J Nerv Ment Dis</w:t>
      </w:r>
      <w:r>
        <w:rPr>
          <w:sz w:val="22"/>
        </w:rPr>
        <w:t>. 1999;187:532.</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Linde K, Mulrow CD. St John’s wort for depression. </w:t>
      </w:r>
      <w:r>
        <w:rPr>
          <w:i/>
          <w:sz w:val="22"/>
        </w:rPr>
        <w:t>Cochrane Database Syst </w:t>
      </w:r>
      <w:r>
        <w:rPr>
          <w:i/>
          <w:sz w:val="22"/>
        </w:rPr>
        <w:t>Rev</w:t>
      </w:r>
      <w:r>
        <w:rPr>
          <w:sz w:val="22"/>
        </w:rPr>
        <w:t>. </w:t>
      </w:r>
      <w:r>
        <w:rPr>
          <w:spacing w:val="-2"/>
          <w:sz w:val="22"/>
        </w:rPr>
        <w:t>2000;2:CD000448.</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Shelton RC, Keller MB, Glelenberg A, et al. Effectiveness of St John’s Wort in major depression: a randomized controlled trial. </w:t>
      </w:r>
      <w:r>
        <w:rPr>
          <w:i/>
          <w:sz w:val="22"/>
        </w:rPr>
        <w:t>JAMA</w:t>
      </w:r>
      <w:r>
        <w:rPr>
          <w:sz w:val="22"/>
        </w:rPr>
        <w:t>. 2001;285:1978.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Eatemadnia A, Ansari S, Abedi P, Najar S. The effect of Hypericum perforatum on postmenopausal symptoms and depression: a randomized controlled trial. </w:t>
      </w:r>
      <w:r>
        <w:rPr>
          <w:i/>
          <w:sz w:val="22"/>
        </w:rPr>
        <w:t>Complement </w:t>
      </w:r>
      <w:r>
        <w:rPr>
          <w:i/>
          <w:sz w:val="22"/>
        </w:rPr>
        <w:t>Ther</w:t>
      </w:r>
      <w:r>
        <w:rPr>
          <w:i/>
          <w:sz w:val="22"/>
        </w:rPr>
        <w:t> Med</w:t>
      </w:r>
      <w:r>
        <w:rPr>
          <w:sz w:val="22"/>
        </w:rPr>
        <w:t>. 2019;45:109-113.</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Hypericum</w:t>
      </w:r>
      <w:r>
        <w:rPr>
          <w:spacing w:val="27"/>
          <w:sz w:val="22"/>
        </w:rPr>
        <w:t> </w:t>
      </w:r>
      <w:r>
        <w:rPr>
          <w:sz w:val="22"/>
        </w:rPr>
        <w:t>Depression</w:t>
      </w:r>
      <w:r>
        <w:rPr>
          <w:spacing w:val="27"/>
          <w:sz w:val="22"/>
        </w:rPr>
        <w:t> </w:t>
      </w:r>
      <w:r>
        <w:rPr>
          <w:sz w:val="22"/>
        </w:rPr>
        <w:t>Trial</w:t>
      </w:r>
      <w:r>
        <w:rPr>
          <w:spacing w:val="27"/>
          <w:sz w:val="22"/>
        </w:rPr>
        <w:t> </w:t>
      </w:r>
      <w:r>
        <w:rPr>
          <w:sz w:val="22"/>
        </w:rPr>
        <w:t>Study</w:t>
      </w:r>
      <w:r>
        <w:rPr>
          <w:spacing w:val="27"/>
          <w:sz w:val="22"/>
        </w:rPr>
        <w:t> </w:t>
      </w:r>
      <w:r>
        <w:rPr>
          <w:sz w:val="22"/>
        </w:rPr>
        <w:t>Group.</w:t>
      </w:r>
      <w:r>
        <w:rPr>
          <w:spacing w:val="27"/>
          <w:sz w:val="22"/>
        </w:rPr>
        <w:t> </w:t>
      </w:r>
      <w:r>
        <w:rPr>
          <w:sz w:val="22"/>
        </w:rPr>
        <w:t>Effect</w:t>
      </w:r>
      <w:r>
        <w:rPr>
          <w:spacing w:val="29"/>
          <w:sz w:val="22"/>
        </w:rPr>
        <w:t> </w:t>
      </w:r>
      <w:r>
        <w:rPr>
          <w:sz w:val="22"/>
        </w:rPr>
        <w:t>of</w:t>
      </w:r>
      <w:r>
        <w:rPr>
          <w:spacing w:val="29"/>
          <w:sz w:val="22"/>
        </w:rPr>
        <w:t> </w:t>
      </w:r>
      <w:r>
        <w:rPr>
          <w:sz w:val="22"/>
        </w:rPr>
        <w:t>Hypericum</w:t>
      </w:r>
      <w:r>
        <w:rPr>
          <w:spacing w:val="29"/>
          <w:sz w:val="22"/>
        </w:rPr>
        <w:t> </w:t>
      </w:r>
      <w:r>
        <w:rPr>
          <w:sz w:val="22"/>
        </w:rPr>
        <w:t>perforatum</w:t>
      </w:r>
      <w:r>
        <w:rPr>
          <w:spacing w:val="29"/>
          <w:sz w:val="22"/>
        </w:rPr>
        <w:t> </w:t>
      </w:r>
      <w:r>
        <w:rPr>
          <w:sz w:val="22"/>
        </w:rPr>
        <w:t>(St</w:t>
      </w:r>
      <w:r>
        <w:rPr>
          <w:spacing w:val="29"/>
          <w:sz w:val="22"/>
        </w:rPr>
        <w:t> </w:t>
      </w:r>
      <w:r>
        <w:rPr>
          <w:sz w:val="22"/>
        </w:rPr>
        <w:t>John’s</w:t>
      </w:r>
      <w:r>
        <w:rPr>
          <w:spacing w:val="29"/>
          <w:sz w:val="22"/>
        </w:rPr>
        <w:t> </w:t>
      </w:r>
      <w:r>
        <w:rPr>
          <w:sz w:val="22"/>
        </w:rPr>
        <w:t>Wort) in major depressive disorder: a randomized controlled trial. </w:t>
      </w:r>
      <w:r>
        <w:rPr>
          <w:i/>
          <w:sz w:val="22"/>
        </w:rPr>
        <w:t>JAMA</w:t>
      </w:r>
      <w:r>
        <w:rPr>
          <w:sz w:val="22"/>
        </w:rPr>
        <w:t>. 2002;287:1807.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Food and Drug Administration. Risk</w:t>
      </w:r>
      <w:r>
        <w:rPr>
          <w:spacing w:val="31"/>
          <w:sz w:val="22"/>
        </w:rPr>
        <w:t> </w:t>
      </w:r>
      <w:r>
        <w:rPr>
          <w:sz w:val="22"/>
        </w:rPr>
        <w:t>of</w:t>
      </w:r>
      <w:r>
        <w:rPr>
          <w:spacing w:val="31"/>
          <w:sz w:val="22"/>
        </w:rPr>
        <w:t> </w:t>
      </w:r>
      <w:r>
        <w:rPr>
          <w:sz w:val="22"/>
        </w:rPr>
        <w:t>drug</w:t>
      </w:r>
      <w:r>
        <w:rPr>
          <w:spacing w:val="31"/>
          <w:sz w:val="22"/>
        </w:rPr>
        <w:t> </w:t>
      </w:r>
      <w:r>
        <w:rPr>
          <w:sz w:val="22"/>
        </w:rPr>
        <w:t>interactions</w:t>
      </w:r>
      <w:r>
        <w:rPr>
          <w:spacing w:val="31"/>
          <w:sz w:val="22"/>
        </w:rPr>
        <w:t> </w:t>
      </w:r>
      <w:r>
        <w:rPr>
          <w:sz w:val="22"/>
        </w:rPr>
        <w:t>with</w:t>
      </w:r>
      <w:r>
        <w:rPr>
          <w:spacing w:val="31"/>
          <w:sz w:val="22"/>
        </w:rPr>
        <w:t> </w:t>
      </w:r>
      <w:r>
        <w:rPr>
          <w:sz w:val="22"/>
        </w:rPr>
        <w:t>St.</w:t>
      </w:r>
      <w:r>
        <w:rPr>
          <w:spacing w:val="31"/>
          <w:sz w:val="22"/>
        </w:rPr>
        <w:t> </w:t>
      </w:r>
      <w:r>
        <w:rPr>
          <w:sz w:val="22"/>
        </w:rPr>
        <w:t>John’s</w:t>
      </w:r>
      <w:r>
        <w:rPr>
          <w:spacing w:val="34"/>
          <w:sz w:val="22"/>
        </w:rPr>
        <w:t> </w:t>
      </w:r>
      <w:r>
        <w:rPr>
          <w:sz w:val="22"/>
        </w:rPr>
        <w:t>Wort</w:t>
      </w:r>
      <w:r>
        <w:rPr>
          <w:spacing w:val="34"/>
          <w:sz w:val="22"/>
        </w:rPr>
        <w:t> </w:t>
      </w:r>
      <w:r>
        <w:rPr>
          <w:sz w:val="22"/>
        </w:rPr>
        <w:t>and</w:t>
      </w:r>
      <w:r>
        <w:rPr>
          <w:spacing w:val="34"/>
          <w:sz w:val="22"/>
        </w:rPr>
        <w:t> </w:t>
      </w:r>
      <w:r>
        <w:rPr>
          <w:sz w:val="22"/>
        </w:rPr>
        <w:t>indinavir and other drugs. FDA Public Health Advisory. February 10, 2000. </w:t>
      </w:r>
      <w:hyperlink r:id="rId36">
        <w:r>
          <w:rPr>
            <w:spacing w:val="-2"/>
            <w:sz w:val="22"/>
          </w:rPr>
          <w:t>https://www.accessdata.fda.gov/drugsatfda_docs/label/2003/20685slr057_crixivan_lbl.pdf</w:t>
        </w:r>
      </w:hyperlink>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Chen XW, Serag ES, Sneed KB, et al. Clinical herbal interactions with conventional </w:t>
      </w:r>
      <w:r>
        <w:rPr>
          <w:sz w:val="22"/>
        </w:rPr>
        <w:t>drugs:</w:t>
      </w:r>
      <w:r>
        <w:rPr>
          <w:spacing w:val="80"/>
          <w:sz w:val="22"/>
        </w:rPr>
        <w:t> </w:t>
      </w:r>
      <w:r>
        <w:rPr>
          <w:sz w:val="22"/>
        </w:rPr>
        <w:t>from molecules to maladies. </w:t>
      </w:r>
      <w:r>
        <w:rPr>
          <w:i/>
          <w:sz w:val="22"/>
        </w:rPr>
        <w:t>Curr Med Chem</w:t>
      </w:r>
      <w:r>
        <w:rPr>
          <w:sz w:val="22"/>
        </w:rPr>
        <w:t>. 2011;18(31):4836.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Moore L, Goodwin B, Jones SA, et al. St. John’s Wort induces hepatic drug </w:t>
      </w:r>
      <w:r>
        <w:rPr>
          <w:sz w:val="22"/>
        </w:rPr>
        <w:t>metabolism</w:t>
      </w:r>
      <w:r>
        <w:rPr>
          <w:spacing w:val="80"/>
          <w:w w:val="150"/>
          <w:sz w:val="22"/>
        </w:rPr>
        <w:t> </w:t>
      </w:r>
      <w:r>
        <w:rPr>
          <w:sz w:val="22"/>
        </w:rPr>
        <w:t>through activation of the pregnane X receptor. </w:t>
      </w:r>
      <w:r>
        <w:rPr>
          <w:i/>
          <w:sz w:val="22"/>
        </w:rPr>
        <w:t>Proc Natl Acad Sci U S A</w:t>
      </w:r>
      <w:r>
        <w:rPr>
          <w:sz w:val="22"/>
        </w:rPr>
        <w:t>. 2000;97:7500.</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Anderson JW, Johnstone B, Cook-Newell ME. Meta-analysis of the effects of soy </w:t>
      </w:r>
      <w:r>
        <w:rPr>
          <w:sz w:val="22"/>
        </w:rPr>
        <w:t>protein</w:t>
      </w:r>
      <w:r>
        <w:rPr>
          <w:spacing w:val="80"/>
          <w:w w:val="150"/>
          <w:sz w:val="22"/>
        </w:rPr>
        <w:t> </w:t>
      </w:r>
      <w:r>
        <w:rPr>
          <w:sz w:val="22"/>
        </w:rPr>
        <w:t>intake on serum lipids. </w:t>
      </w:r>
      <w:r>
        <w:rPr>
          <w:i/>
          <w:sz w:val="22"/>
        </w:rPr>
        <w:t>N Engl J Med</w:t>
      </w:r>
      <w:r>
        <w:rPr>
          <w:sz w:val="22"/>
        </w:rPr>
        <w:t>. 1995;333:276.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Clarkson TB, Anthony M, Morgan TM. Inhibition of postmenopausal atherosclerosis progression: a comparison of the effects of conjugated equine estrogens and soy</w:t>
      </w:r>
      <w:r>
        <w:rPr>
          <w:spacing w:val="80"/>
          <w:w w:val="150"/>
          <w:sz w:val="22"/>
        </w:rPr>
        <w:t> </w:t>
      </w:r>
      <w:r>
        <w:rPr>
          <w:sz w:val="22"/>
        </w:rPr>
        <w:t>phytoestrogens. </w:t>
      </w:r>
      <w:r>
        <w:rPr>
          <w:i/>
          <w:sz w:val="22"/>
        </w:rPr>
        <w:t>J Clin Endocrinol Metab</w:t>
      </w:r>
      <w:r>
        <w:rPr>
          <w:sz w:val="22"/>
        </w:rPr>
        <w:t>. 2001;86:41.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Greaves KA, Parks JS, Williams JK, Wagner JD. Intact dietary soy protein, but not adding an isoflavone-rich soy extract to casein, improves plasma lipids in ovariectomized cynomolgus monkeys. </w:t>
      </w:r>
      <w:r>
        <w:rPr>
          <w:i/>
          <w:sz w:val="22"/>
        </w:rPr>
        <w:t>J Nutr</w:t>
      </w:r>
      <w:r>
        <w:rPr>
          <w:sz w:val="22"/>
        </w:rPr>
        <w:t>. 1999;129:1585.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Greaves KA, Wilson MD, Rudel L, Williams JK, Wagner JD. Consumption of soy </w:t>
      </w:r>
      <w:r>
        <w:rPr>
          <w:sz w:val="22"/>
        </w:rPr>
        <w:t>protein reduces cholesterol absorption compared to casein protein alone or supplemented with an isoflavone extract or conjugated equine estrogen in ovariectomized cynomolgus monkeys. </w:t>
      </w:r>
      <w:r>
        <w:rPr>
          <w:i/>
          <w:sz w:val="22"/>
        </w:rPr>
        <w:t>J</w:t>
      </w:r>
      <w:r>
        <w:rPr>
          <w:i/>
          <w:sz w:val="22"/>
        </w:rPr>
        <w:t> Nutr</w:t>
      </w:r>
      <w:r>
        <w:rPr>
          <w:sz w:val="22"/>
        </w:rPr>
        <w:t>. 2000;130:820.</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Anthony MS, Clarkson TB, Williams JK. Effects of soy isoflavones on atherosclerosis:</w:t>
      </w:r>
      <w:r>
        <w:rPr>
          <w:spacing w:val="80"/>
          <w:sz w:val="22"/>
        </w:rPr>
        <w:t> </w:t>
      </w:r>
      <w:r>
        <w:rPr>
          <w:sz w:val="22"/>
        </w:rPr>
        <w:t>potential mechanisms. </w:t>
      </w:r>
      <w:r>
        <w:rPr>
          <w:i/>
          <w:sz w:val="22"/>
        </w:rPr>
        <w:t>Am J Clin Nutr</w:t>
      </w:r>
      <w:r>
        <w:rPr>
          <w:sz w:val="22"/>
        </w:rPr>
        <w:t>. 1998;68:1390S.</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Anthony MS, Clarkson TB, Hughes CL Jr, Morgan TM, Burke GL. Soybean isoflavones improve cardiovascular risk factors without affecting the reproductive system of peripubertal Rhesus monkeys. </w:t>
      </w:r>
      <w:r>
        <w:rPr>
          <w:i/>
          <w:sz w:val="22"/>
        </w:rPr>
        <w:t>J Nutr</w:t>
      </w:r>
      <w:r>
        <w:rPr>
          <w:sz w:val="22"/>
        </w:rPr>
        <w:t>. 1996;126:43.</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Anthony</w:t>
      </w:r>
      <w:r>
        <w:rPr>
          <w:spacing w:val="40"/>
          <w:sz w:val="22"/>
        </w:rPr>
        <w:t> </w:t>
      </w:r>
      <w:r>
        <w:rPr>
          <w:sz w:val="22"/>
        </w:rPr>
        <w:t>MS,</w:t>
      </w:r>
      <w:r>
        <w:rPr>
          <w:spacing w:val="40"/>
          <w:sz w:val="22"/>
        </w:rPr>
        <w:t> </w:t>
      </w:r>
      <w:r>
        <w:rPr>
          <w:sz w:val="22"/>
        </w:rPr>
        <w:t>Clarkson</w:t>
      </w:r>
      <w:r>
        <w:rPr>
          <w:spacing w:val="40"/>
          <w:sz w:val="22"/>
        </w:rPr>
        <w:t> </w:t>
      </w:r>
      <w:r>
        <w:rPr>
          <w:sz w:val="22"/>
        </w:rPr>
        <w:t>TB.</w:t>
      </w:r>
      <w:r>
        <w:rPr>
          <w:spacing w:val="40"/>
          <w:sz w:val="22"/>
        </w:rPr>
        <w:t> </w:t>
      </w:r>
      <w:r>
        <w:rPr>
          <w:sz w:val="22"/>
        </w:rPr>
        <w:t>Comparison</w:t>
      </w:r>
      <w:r>
        <w:rPr>
          <w:spacing w:val="40"/>
          <w:sz w:val="22"/>
        </w:rPr>
        <w:t> </w:t>
      </w:r>
      <w:r>
        <w:rPr>
          <w:sz w:val="22"/>
        </w:rPr>
        <w:t>of</w:t>
      </w:r>
      <w:r>
        <w:rPr>
          <w:spacing w:val="40"/>
          <w:sz w:val="22"/>
        </w:rPr>
        <w:t> </w:t>
      </w:r>
      <w:r>
        <w:rPr>
          <w:sz w:val="22"/>
        </w:rPr>
        <w:t>soy</w:t>
      </w:r>
      <w:r>
        <w:rPr>
          <w:spacing w:val="40"/>
          <w:sz w:val="22"/>
        </w:rPr>
        <w:t> </w:t>
      </w:r>
      <w:r>
        <w:rPr>
          <w:sz w:val="22"/>
        </w:rPr>
        <w:t>phytoestrogens</w:t>
      </w:r>
      <w:r>
        <w:rPr>
          <w:spacing w:val="40"/>
          <w:sz w:val="22"/>
        </w:rPr>
        <w:t> </w:t>
      </w:r>
      <w:r>
        <w:rPr>
          <w:sz w:val="22"/>
        </w:rPr>
        <w:t>and</w:t>
      </w:r>
      <w:r>
        <w:rPr>
          <w:spacing w:val="40"/>
          <w:sz w:val="22"/>
        </w:rPr>
        <w:t> </w:t>
      </w:r>
      <w:r>
        <w:rPr>
          <w:sz w:val="22"/>
        </w:rPr>
        <w:t>conjugated</w:t>
      </w:r>
      <w:r>
        <w:rPr>
          <w:spacing w:val="40"/>
          <w:sz w:val="22"/>
        </w:rPr>
        <w:t> </w:t>
      </w:r>
      <w:r>
        <w:rPr>
          <w:sz w:val="22"/>
        </w:rPr>
        <w:t>equine estrogens on atherosclerosis progression in postmenopausal monkeys (abstract). </w:t>
      </w:r>
      <w:r>
        <w:rPr>
          <w:i/>
          <w:sz w:val="22"/>
        </w:rPr>
        <w:t>Circulation</w:t>
      </w:r>
      <w:r>
        <w:rPr>
          <w:sz w:val="22"/>
        </w:rPr>
        <w:t>. </w:t>
      </w:r>
      <w:r>
        <w:rPr>
          <w:spacing w:val="-2"/>
          <w:sz w:val="22"/>
        </w:rPr>
        <w:t>1998;90:829.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Honoré EK, Williams JK, Anthony MS, Clarkson TB. Soy isoflavones enhance </w:t>
      </w:r>
      <w:r>
        <w:rPr>
          <w:sz w:val="22"/>
        </w:rPr>
        <w:t>coronary vascular reactivity in atherosclerotic female macaques. </w:t>
      </w:r>
      <w:r>
        <w:rPr>
          <w:i/>
          <w:sz w:val="22"/>
        </w:rPr>
        <w:t>Fertil Steril</w:t>
      </w:r>
      <w:r>
        <w:rPr>
          <w:sz w:val="22"/>
        </w:rPr>
        <w:t>. 1997;67:148.</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Williams JK, Anthony MS, Clarkson TB. Interactive effects of soy protein and estradiol </w:t>
      </w:r>
      <w:r>
        <w:rPr>
          <w:sz w:val="22"/>
        </w:rPr>
        <w:t>on coronary</w:t>
      </w:r>
      <w:r>
        <w:rPr>
          <w:spacing w:val="40"/>
          <w:sz w:val="22"/>
        </w:rPr>
        <w:t> </w:t>
      </w:r>
      <w:r>
        <w:rPr>
          <w:sz w:val="22"/>
        </w:rPr>
        <w:t>artery</w:t>
      </w:r>
      <w:r>
        <w:rPr>
          <w:spacing w:val="40"/>
          <w:sz w:val="22"/>
        </w:rPr>
        <w:t> </w:t>
      </w:r>
      <w:r>
        <w:rPr>
          <w:sz w:val="22"/>
        </w:rPr>
        <w:t>reactivity</w:t>
      </w:r>
      <w:r>
        <w:rPr>
          <w:spacing w:val="40"/>
          <w:sz w:val="22"/>
        </w:rPr>
        <w:t> </w:t>
      </w:r>
      <w:r>
        <w:rPr>
          <w:sz w:val="22"/>
        </w:rPr>
        <w:t>in</w:t>
      </w:r>
      <w:r>
        <w:rPr>
          <w:spacing w:val="40"/>
          <w:sz w:val="22"/>
        </w:rPr>
        <w:t> </w:t>
      </w:r>
      <w:r>
        <w:rPr>
          <w:sz w:val="22"/>
        </w:rPr>
        <w:t>atherosclerotic,</w:t>
      </w:r>
      <w:r>
        <w:rPr>
          <w:spacing w:val="40"/>
          <w:sz w:val="22"/>
        </w:rPr>
        <w:t> </w:t>
      </w:r>
      <w:r>
        <w:rPr>
          <w:sz w:val="22"/>
        </w:rPr>
        <w:t>ovariectomized</w:t>
      </w:r>
      <w:r>
        <w:rPr>
          <w:spacing w:val="40"/>
          <w:sz w:val="22"/>
        </w:rPr>
        <w:t> </w:t>
      </w:r>
      <w:r>
        <w:rPr>
          <w:sz w:val="22"/>
        </w:rPr>
        <w:t>monkeys.</w:t>
      </w:r>
      <w:r>
        <w:rPr>
          <w:spacing w:val="40"/>
          <w:sz w:val="22"/>
        </w:rPr>
        <w:t> </w:t>
      </w:r>
      <w:r>
        <w:rPr>
          <w:i/>
          <w:sz w:val="22"/>
        </w:rPr>
        <w:t>Menopause</w:t>
      </w:r>
      <w:r>
        <w:rPr>
          <w:sz w:val="22"/>
        </w:rPr>
        <w:t>. </w:t>
      </w:r>
      <w:r>
        <w:rPr>
          <w:spacing w:val="-2"/>
          <w:sz w:val="22"/>
        </w:rPr>
        <w:t>2001;8:307.</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Crouse JR III, Morgan T, Terry JG, Ellis J, Vitolins M, Burke GL. A randomized trial</w:t>
      </w:r>
      <w:r>
        <w:rPr>
          <w:spacing w:val="40"/>
          <w:sz w:val="22"/>
        </w:rPr>
        <w:t> </w:t>
      </w:r>
      <w:r>
        <w:rPr>
          <w:sz w:val="22"/>
        </w:rPr>
        <w:t>comparing the effect of casein with that of soy protein containing varying amounts of</w:t>
      </w:r>
      <w:r>
        <w:rPr>
          <w:spacing w:val="40"/>
          <w:sz w:val="22"/>
        </w:rPr>
        <w:t> </w:t>
      </w:r>
      <w:r>
        <w:rPr>
          <w:sz w:val="22"/>
        </w:rPr>
        <w:t>isoflavones on plasma concentrations of lipids and lipoproteins. </w:t>
      </w:r>
      <w:r>
        <w:rPr>
          <w:i/>
          <w:sz w:val="22"/>
        </w:rPr>
        <w:t>Arch Intern </w:t>
      </w:r>
      <w:r>
        <w:rPr>
          <w:i/>
          <w:sz w:val="22"/>
        </w:rPr>
        <w:t>Med</w:t>
      </w:r>
      <w:r>
        <w:rPr>
          <w:sz w:val="22"/>
        </w:rPr>
        <w:t>. </w:t>
      </w:r>
      <w:r>
        <w:rPr>
          <w:spacing w:val="-2"/>
          <w:sz w:val="22"/>
        </w:rPr>
        <w:t>1999;159:2070.</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Potter SM, Baum JA, Teng H, Stillman RJ, Shay NF, Erdman JW Jr. Soy protein and isoflavones:</w:t>
      </w:r>
      <w:r>
        <w:rPr>
          <w:spacing w:val="34"/>
          <w:sz w:val="22"/>
        </w:rPr>
        <w:t> </w:t>
      </w:r>
      <w:r>
        <w:rPr>
          <w:sz w:val="22"/>
        </w:rPr>
        <w:t>their</w:t>
      </w:r>
      <w:r>
        <w:rPr>
          <w:spacing w:val="34"/>
          <w:sz w:val="22"/>
        </w:rPr>
        <w:t> </w:t>
      </w:r>
      <w:r>
        <w:rPr>
          <w:sz w:val="22"/>
        </w:rPr>
        <w:t>effects</w:t>
      </w:r>
      <w:r>
        <w:rPr>
          <w:spacing w:val="34"/>
          <w:sz w:val="22"/>
        </w:rPr>
        <w:t> </w:t>
      </w:r>
      <w:r>
        <w:rPr>
          <w:sz w:val="22"/>
        </w:rPr>
        <w:t>on</w:t>
      </w:r>
      <w:r>
        <w:rPr>
          <w:spacing w:val="34"/>
          <w:sz w:val="22"/>
        </w:rPr>
        <w:t> </w:t>
      </w:r>
      <w:r>
        <w:rPr>
          <w:sz w:val="22"/>
        </w:rPr>
        <w:t>blood</w:t>
      </w:r>
      <w:r>
        <w:rPr>
          <w:spacing w:val="34"/>
          <w:sz w:val="22"/>
        </w:rPr>
        <w:t> </w:t>
      </w:r>
      <w:r>
        <w:rPr>
          <w:sz w:val="22"/>
        </w:rPr>
        <w:t>lipids</w:t>
      </w:r>
      <w:r>
        <w:rPr>
          <w:spacing w:val="34"/>
          <w:sz w:val="22"/>
        </w:rPr>
        <w:t> </w:t>
      </w:r>
      <w:r>
        <w:rPr>
          <w:sz w:val="22"/>
        </w:rPr>
        <w:t>and</w:t>
      </w:r>
      <w:r>
        <w:rPr>
          <w:spacing w:val="34"/>
          <w:sz w:val="22"/>
        </w:rPr>
        <w:t> </w:t>
      </w:r>
      <w:r>
        <w:rPr>
          <w:sz w:val="22"/>
        </w:rPr>
        <w:t>bone</w:t>
      </w:r>
      <w:r>
        <w:rPr>
          <w:spacing w:val="34"/>
          <w:sz w:val="22"/>
        </w:rPr>
        <w:t> </w:t>
      </w:r>
      <w:r>
        <w:rPr>
          <w:sz w:val="22"/>
        </w:rPr>
        <w:t>density</w:t>
      </w:r>
      <w:r>
        <w:rPr>
          <w:spacing w:val="34"/>
          <w:sz w:val="22"/>
        </w:rPr>
        <w:t> </w:t>
      </w:r>
      <w:r>
        <w:rPr>
          <w:sz w:val="22"/>
        </w:rPr>
        <w:t>in</w:t>
      </w:r>
      <w:r>
        <w:rPr>
          <w:spacing w:val="34"/>
          <w:sz w:val="22"/>
        </w:rPr>
        <w:t> </w:t>
      </w:r>
      <w:r>
        <w:rPr>
          <w:sz w:val="22"/>
        </w:rPr>
        <w:t>postmenopausal</w:t>
      </w:r>
      <w:r>
        <w:rPr>
          <w:spacing w:val="34"/>
          <w:sz w:val="22"/>
        </w:rPr>
        <w:t> </w:t>
      </w:r>
      <w:r>
        <w:rPr>
          <w:sz w:val="22"/>
        </w:rPr>
        <w:t>women. </w:t>
      </w:r>
      <w:r>
        <w:rPr>
          <w:i/>
          <w:sz w:val="22"/>
        </w:rPr>
        <w:t>Am</w:t>
      </w:r>
      <w:r>
        <w:rPr>
          <w:i/>
          <w:spacing w:val="40"/>
          <w:sz w:val="22"/>
        </w:rPr>
        <w:t> </w:t>
      </w:r>
      <w:r>
        <w:rPr>
          <w:i/>
          <w:sz w:val="22"/>
        </w:rPr>
        <w:t>J</w:t>
      </w:r>
      <w:r>
        <w:rPr>
          <w:i/>
          <w:sz w:val="22"/>
        </w:rPr>
        <w:t> Clin Nutr</w:t>
      </w:r>
      <w:r>
        <w:rPr>
          <w:sz w:val="22"/>
        </w:rPr>
        <w:t>. 1998;68(suppl):1375S.</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Washburn S, Burke GL, Morgan T, Anthony M. Effect</w:t>
      </w:r>
      <w:r>
        <w:rPr>
          <w:spacing w:val="40"/>
          <w:sz w:val="22"/>
        </w:rPr>
        <w:t> </w:t>
      </w:r>
      <w:r>
        <w:rPr>
          <w:sz w:val="22"/>
        </w:rPr>
        <w:t>of</w:t>
      </w:r>
      <w:r>
        <w:rPr>
          <w:spacing w:val="40"/>
          <w:sz w:val="22"/>
        </w:rPr>
        <w:t> </w:t>
      </w:r>
      <w:r>
        <w:rPr>
          <w:sz w:val="22"/>
        </w:rPr>
        <w:t>soy</w:t>
      </w:r>
      <w:r>
        <w:rPr>
          <w:spacing w:val="40"/>
          <w:sz w:val="22"/>
        </w:rPr>
        <w:t> </w:t>
      </w:r>
      <w:r>
        <w:rPr>
          <w:sz w:val="22"/>
        </w:rPr>
        <w:t>protein</w:t>
      </w:r>
      <w:r>
        <w:rPr>
          <w:spacing w:val="40"/>
          <w:sz w:val="22"/>
        </w:rPr>
        <w:t> </w:t>
      </w:r>
      <w:r>
        <w:rPr>
          <w:sz w:val="22"/>
        </w:rPr>
        <w:t>supplementation</w:t>
      </w:r>
      <w:r>
        <w:rPr>
          <w:spacing w:val="40"/>
          <w:sz w:val="22"/>
        </w:rPr>
        <w:t> </w:t>
      </w:r>
      <w:r>
        <w:rPr>
          <w:sz w:val="22"/>
        </w:rPr>
        <w:t>on serum lipoproteins, blood pressure, and menopausal symptoms in perimenopausal </w:t>
      </w:r>
      <w:r>
        <w:rPr>
          <w:sz w:val="22"/>
        </w:rPr>
        <w:t>women. </w:t>
      </w:r>
      <w:r>
        <w:rPr>
          <w:i/>
          <w:sz w:val="22"/>
        </w:rPr>
        <w:t>Menopause</w:t>
      </w:r>
      <w:r>
        <w:rPr>
          <w:sz w:val="22"/>
        </w:rPr>
        <w:t>. 1999;6:7.</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Merz-Demlow BE, Duncan AM, Wangen KE, et al. Soy isoflavones improve plasma lipids in normocholesterolemic, premenopausal women. </w:t>
      </w:r>
      <w:r>
        <w:rPr>
          <w:i/>
          <w:sz w:val="22"/>
        </w:rPr>
        <w:t>Am J Clin Nutr</w:t>
      </w:r>
      <w:r>
        <w:rPr>
          <w:sz w:val="22"/>
        </w:rPr>
        <w:t>. 2000;71:1462.</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Teixeira SR, Potter SM, Weigel R, Hannum S, Erdman JW Jr, Hasler CM. Effects of feeding 4 levels of soy protein for 3 and 6 week on blood lipids and apolipoproteins in moderately hypercholesterolemic men. </w:t>
      </w:r>
      <w:r>
        <w:rPr>
          <w:i/>
          <w:sz w:val="22"/>
        </w:rPr>
        <w:t>Am J Clin Nutr</w:t>
      </w:r>
      <w:r>
        <w:rPr>
          <w:sz w:val="22"/>
        </w:rPr>
        <w:t>. 2000;71:1077.</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Simons LA, von Konigsmark M, Simons J, Celermajer DS. Phytoestrogens do not </w:t>
      </w:r>
      <w:r>
        <w:rPr>
          <w:sz w:val="22"/>
        </w:rPr>
        <w:t>influence lipoprotein levels or endothelial function in healthy, postmenopausal women. </w:t>
      </w:r>
      <w:r>
        <w:rPr>
          <w:i/>
          <w:sz w:val="22"/>
        </w:rPr>
        <w:t>Am J Cardiol</w:t>
      </w:r>
      <w:r>
        <w:rPr>
          <w:sz w:val="22"/>
        </w:rPr>
        <w:t>. </w:t>
      </w:r>
      <w:r>
        <w:rPr>
          <w:spacing w:val="-2"/>
          <w:sz w:val="22"/>
        </w:rPr>
        <w:t>2000;11:1297.</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Lichtenstein AH, Jalbert SM, Adlercreutz H, et al. Lipoprotein response to diets high in soy </w:t>
      </w:r>
      <w:r>
        <w:rPr>
          <w:sz w:val="22"/>
        </w:rPr>
        <w:t>or animal protein with and without isoflavones in moderately hypercholesterolemic subjects. </w:t>
      </w:r>
      <w:r>
        <w:rPr>
          <w:i/>
          <w:sz w:val="22"/>
        </w:rPr>
        <w:t>Arterioscler Thromb Vasc Biol</w:t>
      </w:r>
      <w:r>
        <w:rPr>
          <w:sz w:val="22"/>
        </w:rPr>
        <w:t>. 2002;22:1852.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Kreijkamp-Kaspers S, Kok L, Grobbee DE, et al. Effect of soy protein containing isoflavones</w:t>
      </w:r>
      <w:r>
        <w:rPr>
          <w:spacing w:val="80"/>
          <w:sz w:val="22"/>
        </w:rPr>
        <w:t> </w:t>
      </w:r>
      <w:r>
        <w:rPr>
          <w:sz w:val="22"/>
        </w:rPr>
        <w:t>on cognitive function, bone mineral density, and plasma lipids in postmenopausal women: a randomized controlled trial. </w:t>
      </w:r>
      <w:r>
        <w:rPr>
          <w:i/>
          <w:sz w:val="22"/>
        </w:rPr>
        <w:t>JAMA</w:t>
      </w:r>
      <w:r>
        <w:rPr>
          <w:sz w:val="22"/>
        </w:rPr>
        <w:t>. 2004;292:65.</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Jayagopal</w:t>
      </w:r>
      <w:r>
        <w:rPr>
          <w:spacing w:val="20"/>
          <w:sz w:val="22"/>
        </w:rPr>
        <w:t> </w:t>
      </w:r>
      <w:r>
        <w:rPr>
          <w:sz w:val="22"/>
        </w:rPr>
        <w:t>V,</w:t>
      </w:r>
      <w:r>
        <w:rPr>
          <w:spacing w:val="20"/>
          <w:sz w:val="22"/>
        </w:rPr>
        <w:t> </w:t>
      </w:r>
      <w:r>
        <w:rPr>
          <w:sz w:val="22"/>
        </w:rPr>
        <w:t>Albertazzi</w:t>
      </w:r>
      <w:r>
        <w:rPr>
          <w:spacing w:val="20"/>
          <w:sz w:val="22"/>
        </w:rPr>
        <w:t> </w:t>
      </w:r>
      <w:r>
        <w:rPr>
          <w:sz w:val="22"/>
        </w:rPr>
        <w:t>P,</w:t>
      </w:r>
      <w:r>
        <w:rPr>
          <w:spacing w:val="20"/>
          <w:sz w:val="22"/>
        </w:rPr>
        <w:t> </w:t>
      </w:r>
      <w:r>
        <w:rPr>
          <w:sz w:val="22"/>
        </w:rPr>
        <w:t>Kilpatrick</w:t>
      </w:r>
      <w:r>
        <w:rPr>
          <w:spacing w:val="20"/>
          <w:sz w:val="22"/>
        </w:rPr>
        <w:t> </w:t>
      </w:r>
      <w:r>
        <w:rPr>
          <w:sz w:val="22"/>
        </w:rPr>
        <w:t>ES,</w:t>
      </w:r>
      <w:r>
        <w:rPr>
          <w:spacing w:val="20"/>
          <w:sz w:val="22"/>
        </w:rPr>
        <w:t> </w:t>
      </w:r>
      <w:r>
        <w:rPr>
          <w:sz w:val="22"/>
        </w:rPr>
        <w:t>et</w:t>
      </w:r>
      <w:r>
        <w:rPr>
          <w:spacing w:val="20"/>
          <w:sz w:val="22"/>
        </w:rPr>
        <w:t> </w:t>
      </w:r>
      <w:r>
        <w:rPr>
          <w:sz w:val="22"/>
        </w:rPr>
        <w:t>al.</w:t>
      </w:r>
      <w:r>
        <w:rPr>
          <w:spacing w:val="20"/>
          <w:sz w:val="22"/>
        </w:rPr>
        <w:t> </w:t>
      </w:r>
      <w:r>
        <w:rPr>
          <w:sz w:val="22"/>
        </w:rPr>
        <w:t>Beneficial</w:t>
      </w:r>
      <w:r>
        <w:rPr>
          <w:spacing w:val="19"/>
          <w:sz w:val="22"/>
        </w:rPr>
        <w:t> </w:t>
      </w:r>
      <w:r>
        <w:rPr>
          <w:sz w:val="22"/>
        </w:rPr>
        <w:t>effects</w:t>
      </w:r>
      <w:r>
        <w:rPr>
          <w:spacing w:val="19"/>
          <w:sz w:val="22"/>
        </w:rPr>
        <w:t> </w:t>
      </w:r>
      <w:r>
        <w:rPr>
          <w:sz w:val="22"/>
        </w:rPr>
        <w:t>of</w:t>
      </w:r>
      <w:r>
        <w:rPr>
          <w:spacing w:val="19"/>
          <w:sz w:val="22"/>
        </w:rPr>
        <w:t> </w:t>
      </w:r>
      <w:r>
        <w:rPr>
          <w:sz w:val="22"/>
        </w:rPr>
        <w:t>soy</w:t>
      </w:r>
      <w:r>
        <w:rPr>
          <w:spacing w:val="19"/>
          <w:sz w:val="22"/>
        </w:rPr>
        <w:t> </w:t>
      </w:r>
      <w:r>
        <w:rPr>
          <w:sz w:val="22"/>
        </w:rPr>
        <w:t>phytoestrogen</w:t>
      </w:r>
      <w:r>
        <w:rPr>
          <w:spacing w:val="19"/>
          <w:sz w:val="22"/>
        </w:rPr>
        <w:t> </w:t>
      </w:r>
      <w:r>
        <w:rPr>
          <w:sz w:val="22"/>
        </w:rPr>
        <w:t>intake in postmenopausal women with type 2 diabetes. </w:t>
      </w:r>
      <w:r>
        <w:rPr>
          <w:i/>
          <w:sz w:val="22"/>
        </w:rPr>
        <w:t>Diabetes Care</w:t>
      </w:r>
      <w:r>
        <w:rPr>
          <w:sz w:val="22"/>
        </w:rPr>
        <w:t>. 2002;25:1709.</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Jenkens</w:t>
      </w:r>
      <w:r>
        <w:rPr>
          <w:spacing w:val="40"/>
          <w:sz w:val="22"/>
        </w:rPr>
        <w:t> </w:t>
      </w:r>
      <w:r>
        <w:rPr>
          <w:sz w:val="22"/>
        </w:rPr>
        <w:t>DJA,</w:t>
      </w:r>
      <w:r>
        <w:rPr>
          <w:spacing w:val="40"/>
          <w:sz w:val="22"/>
        </w:rPr>
        <w:t> </w:t>
      </w:r>
      <w:r>
        <w:rPr>
          <w:sz w:val="22"/>
        </w:rPr>
        <w:t>Kendall</w:t>
      </w:r>
      <w:r>
        <w:rPr>
          <w:spacing w:val="40"/>
          <w:sz w:val="22"/>
        </w:rPr>
        <w:t> </w:t>
      </w:r>
      <w:r>
        <w:rPr>
          <w:sz w:val="22"/>
        </w:rPr>
        <w:t>CW,</w:t>
      </w:r>
      <w:r>
        <w:rPr>
          <w:spacing w:val="40"/>
          <w:sz w:val="22"/>
        </w:rPr>
        <w:t> </w:t>
      </w:r>
      <w:r>
        <w:rPr>
          <w:sz w:val="22"/>
        </w:rPr>
        <w:t>Vidgen</w:t>
      </w:r>
      <w:r>
        <w:rPr>
          <w:spacing w:val="40"/>
          <w:sz w:val="22"/>
        </w:rPr>
        <w:t> </w:t>
      </w:r>
      <w:r>
        <w:rPr>
          <w:sz w:val="22"/>
        </w:rPr>
        <w:t>E,</w:t>
      </w:r>
      <w:r>
        <w:rPr>
          <w:spacing w:val="40"/>
          <w:sz w:val="22"/>
        </w:rPr>
        <w:t> </w:t>
      </w:r>
      <w:r>
        <w:rPr>
          <w:sz w:val="22"/>
        </w:rPr>
        <w:t>et</w:t>
      </w:r>
      <w:r>
        <w:rPr>
          <w:spacing w:val="40"/>
          <w:sz w:val="22"/>
        </w:rPr>
        <w:t> </w:t>
      </w:r>
      <w:r>
        <w:rPr>
          <w:sz w:val="22"/>
        </w:rPr>
        <w:t>al.</w:t>
      </w:r>
      <w:r>
        <w:rPr>
          <w:spacing w:val="40"/>
          <w:sz w:val="22"/>
        </w:rPr>
        <w:t> </w:t>
      </w:r>
      <w:r>
        <w:rPr>
          <w:sz w:val="22"/>
        </w:rPr>
        <w:t>Effect</w:t>
      </w:r>
      <w:r>
        <w:rPr>
          <w:spacing w:val="40"/>
          <w:sz w:val="22"/>
        </w:rPr>
        <w:t> </w:t>
      </w:r>
      <w:r>
        <w:rPr>
          <w:sz w:val="22"/>
        </w:rPr>
        <w:t>of</w:t>
      </w:r>
      <w:r>
        <w:rPr>
          <w:spacing w:val="40"/>
          <w:sz w:val="22"/>
        </w:rPr>
        <w:t> </w:t>
      </w:r>
      <w:r>
        <w:rPr>
          <w:sz w:val="22"/>
        </w:rPr>
        <w:t>soy</w:t>
      </w:r>
      <w:r>
        <w:rPr>
          <w:spacing w:val="40"/>
          <w:sz w:val="22"/>
        </w:rPr>
        <w:t> </w:t>
      </w:r>
      <w:r>
        <w:rPr>
          <w:sz w:val="22"/>
        </w:rPr>
        <w:t>based</w:t>
      </w:r>
      <w:r>
        <w:rPr>
          <w:spacing w:val="40"/>
          <w:sz w:val="22"/>
        </w:rPr>
        <w:t> </w:t>
      </w:r>
      <w:r>
        <w:rPr>
          <w:sz w:val="22"/>
        </w:rPr>
        <w:t>breakfast</w:t>
      </w:r>
      <w:r>
        <w:rPr>
          <w:spacing w:val="40"/>
          <w:sz w:val="22"/>
        </w:rPr>
        <w:t> </w:t>
      </w:r>
      <w:r>
        <w:rPr>
          <w:sz w:val="22"/>
        </w:rPr>
        <w:t>cereal</w:t>
      </w:r>
      <w:r>
        <w:rPr>
          <w:spacing w:val="40"/>
          <w:sz w:val="22"/>
        </w:rPr>
        <w:t> </w:t>
      </w:r>
      <w:r>
        <w:rPr>
          <w:sz w:val="22"/>
        </w:rPr>
        <w:t>on</w:t>
      </w:r>
      <w:r>
        <w:rPr>
          <w:spacing w:val="40"/>
          <w:sz w:val="22"/>
        </w:rPr>
        <w:t> </w:t>
      </w:r>
      <w:r>
        <w:rPr>
          <w:sz w:val="22"/>
        </w:rPr>
        <w:t>blood lipids and oxidized low density lipoprotein. </w:t>
      </w:r>
      <w:r>
        <w:rPr>
          <w:i/>
          <w:sz w:val="22"/>
        </w:rPr>
        <w:t>Metabolism</w:t>
      </w:r>
      <w:r>
        <w:rPr>
          <w:sz w:val="22"/>
        </w:rPr>
        <w:t>. 2000;49:1496.</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Hodis HN, Mack WJ, Henderson VW, et al; ELITE Research Group. Vascular effects of </w:t>
      </w:r>
      <w:r>
        <w:rPr>
          <w:sz w:val="22"/>
        </w:rPr>
        <w:t>early versus</w:t>
      </w:r>
      <w:r>
        <w:rPr>
          <w:spacing w:val="24"/>
          <w:sz w:val="22"/>
        </w:rPr>
        <w:t> </w:t>
      </w:r>
      <w:r>
        <w:rPr>
          <w:sz w:val="22"/>
        </w:rPr>
        <w:t>late</w:t>
      </w:r>
      <w:r>
        <w:rPr>
          <w:spacing w:val="24"/>
          <w:sz w:val="22"/>
        </w:rPr>
        <w:t> </w:t>
      </w:r>
      <w:r>
        <w:rPr>
          <w:sz w:val="22"/>
        </w:rPr>
        <w:t>postmenopausal</w:t>
      </w:r>
      <w:r>
        <w:rPr>
          <w:spacing w:val="24"/>
          <w:sz w:val="22"/>
        </w:rPr>
        <w:t> </w:t>
      </w:r>
      <w:r>
        <w:rPr>
          <w:sz w:val="22"/>
        </w:rPr>
        <w:t>treatment</w:t>
      </w:r>
      <w:r>
        <w:rPr>
          <w:spacing w:val="24"/>
          <w:sz w:val="22"/>
        </w:rPr>
        <w:t> </w:t>
      </w:r>
      <w:r>
        <w:rPr>
          <w:sz w:val="22"/>
        </w:rPr>
        <w:t>with</w:t>
      </w:r>
      <w:r>
        <w:rPr>
          <w:spacing w:val="24"/>
          <w:sz w:val="22"/>
        </w:rPr>
        <w:t> </w:t>
      </w:r>
      <w:r>
        <w:rPr>
          <w:sz w:val="22"/>
        </w:rPr>
        <w:t>estradiol.</w:t>
      </w:r>
      <w:r>
        <w:rPr>
          <w:spacing w:val="24"/>
          <w:sz w:val="22"/>
        </w:rPr>
        <w:t> </w:t>
      </w:r>
      <w:r>
        <w:rPr>
          <w:i/>
          <w:sz w:val="22"/>
        </w:rPr>
        <w:t>N</w:t>
      </w:r>
      <w:r>
        <w:rPr>
          <w:i/>
          <w:spacing w:val="24"/>
          <w:sz w:val="22"/>
        </w:rPr>
        <w:t> </w:t>
      </w:r>
      <w:r>
        <w:rPr>
          <w:i/>
          <w:sz w:val="22"/>
        </w:rPr>
        <w:t>Engl</w:t>
      </w:r>
      <w:r>
        <w:rPr>
          <w:i/>
          <w:spacing w:val="24"/>
          <w:sz w:val="22"/>
        </w:rPr>
        <w:t> </w:t>
      </w:r>
      <w:r>
        <w:rPr>
          <w:i/>
          <w:sz w:val="22"/>
        </w:rPr>
        <w:t>J</w:t>
      </w:r>
      <w:r>
        <w:rPr>
          <w:i/>
          <w:spacing w:val="24"/>
          <w:sz w:val="22"/>
        </w:rPr>
        <w:t> </w:t>
      </w:r>
      <w:r>
        <w:rPr>
          <w:i/>
          <w:sz w:val="22"/>
        </w:rPr>
        <w:t>Med</w:t>
      </w:r>
      <w:r>
        <w:rPr>
          <w:sz w:val="22"/>
        </w:rPr>
        <w:t>.</w:t>
      </w:r>
      <w:r>
        <w:rPr>
          <w:spacing w:val="24"/>
          <w:sz w:val="22"/>
        </w:rPr>
        <w:t> </w:t>
      </w:r>
      <w:r>
        <w:rPr>
          <w:sz w:val="22"/>
        </w:rPr>
        <w:t>2016;374(13):1221-1231.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Nestel PJ, Pomeroy S, Kay S, et al. Isoflavones from red clover improve systemic </w:t>
      </w:r>
      <w:r>
        <w:rPr>
          <w:sz w:val="22"/>
        </w:rPr>
        <w:t>arterial compliance but not plasma lipids in menopausal women. </w:t>
      </w:r>
      <w:r>
        <w:rPr>
          <w:i/>
          <w:sz w:val="22"/>
        </w:rPr>
        <w:t>J Clin Endocrinol Metab</w:t>
      </w:r>
      <w:r>
        <w:rPr>
          <w:sz w:val="22"/>
        </w:rPr>
        <w:t>.</w:t>
      </w:r>
      <w:r>
        <w:rPr>
          <w:spacing w:val="80"/>
          <w:sz w:val="22"/>
        </w:rPr>
        <w:t> </w:t>
      </w:r>
      <w:r>
        <w:rPr>
          <w:spacing w:val="-2"/>
          <w:sz w:val="22"/>
        </w:rPr>
        <w:t>1999;84:895.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Food and Drug Administration. Food labelling: health claims; soy protein and coronary </w:t>
      </w:r>
      <w:r>
        <w:rPr>
          <w:sz w:val="22"/>
        </w:rPr>
        <w:t>heart disease. </w:t>
      </w:r>
      <w:r>
        <w:rPr>
          <w:i/>
          <w:sz w:val="22"/>
        </w:rPr>
        <w:t>Fed Regist</w:t>
      </w:r>
      <w:r>
        <w:rPr>
          <w:sz w:val="22"/>
        </w:rPr>
        <w:t>. 1999;64:57699.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Upmalis DH, Lobo R, Bradley L, Warren M, Cone FL, Camia CA. Vasomotor symptom </w:t>
      </w:r>
      <w:r>
        <w:rPr>
          <w:sz w:val="22"/>
        </w:rPr>
        <w:t>relief by soy isoflavone extract tablets in postmenopausal women: a multicenter, double-blind, randomized, placebo-controlled study. </w:t>
      </w:r>
      <w:r>
        <w:rPr>
          <w:i/>
          <w:sz w:val="22"/>
        </w:rPr>
        <w:t>Menopause</w:t>
      </w:r>
      <w:r>
        <w:rPr>
          <w:sz w:val="22"/>
        </w:rPr>
        <w:t>. 2000;7:236.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Hodgson JM, Puddey IB, Beilin LJ, Mori TA, Croft KD. Supplementation with isoflavonoid phytoestrogens does not alter serum lipid concentr-ations: a randomized controlled trial in humans. </w:t>
      </w:r>
      <w:r>
        <w:rPr>
          <w:i/>
          <w:sz w:val="22"/>
        </w:rPr>
        <w:t>J Nutr</w:t>
      </w:r>
      <w:r>
        <w:rPr>
          <w:sz w:val="22"/>
        </w:rPr>
        <w:t>. 1998;128:728.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Ye YB, He KY, Li WL, et al. Effects of daidzein and genistein on markers of </w:t>
      </w:r>
      <w:r>
        <w:rPr>
          <w:sz w:val="22"/>
        </w:rPr>
        <w:t>cardiovascular disease risk among women with impaired glucose regulation: a double-blind, randomized, placebo-controlled trial. </w:t>
      </w:r>
      <w:r>
        <w:rPr>
          <w:i/>
          <w:sz w:val="22"/>
        </w:rPr>
        <w:t>Food Funct</w:t>
      </w:r>
      <w:r>
        <w:rPr>
          <w:sz w:val="22"/>
        </w:rPr>
        <w:t>. 2021;12(17):7997-7006.</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Haddad Tabrizi S, Haddad E, Rajaram S, Oda K, Kaur A, Sabaté J. The effect of soybean</w:t>
      </w:r>
      <w:r>
        <w:rPr>
          <w:spacing w:val="40"/>
          <w:sz w:val="22"/>
        </w:rPr>
        <w:t> </w:t>
      </w:r>
      <w:r>
        <w:rPr>
          <w:sz w:val="22"/>
        </w:rPr>
        <w:t>lunasin on cardiometabolic risk factors: a randomized clinical trial. </w:t>
      </w:r>
      <w:r>
        <w:rPr>
          <w:i/>
          <w:sz w:val="22"/>
        </w:rPr>
        <w:t>J Diet Suppl</w:t>
      </w:r>
      <w:r>
        <w:rPr>
          <w:sz w:val="22"/>
        </w:rPr>
        <w:t>.</w:t>
      </w:r>
      <w:r>
        <w:rPr>
          <w:spacing w:val="40"/>
          <w:sz w:val="22"/>
        </w:rPr>
        <w:t> </w:t>
      </w:r>
      <w:r>
        <w:rPr>
          <w:spacing w:val="-2"/>
          <w:sz w:val="22"/>
        </w:rPr>
        <w:t>2020;17(3):286-299.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8" w:hanging="507"/>
        <w:jc w:val="both"/>
        <w:rPr>
          <w:sz w:val="22"/>
        </w:rPr>
      </w:pPr>
      <w:r>
        <w:rPr>
          <w:sz w:val="22"/>
        </w:rPr>
        <w:t>Dewell</w:t>
      </w:r>
      <w:r>
        <w:rPr>
          <w:spacing w:val="40"/>
          <w:sz w:val="22"/>
        </w:rPr>
        <w:t> </w:t>
      </w:r>
      <w:r>
        <w:rPr>
          <w:sz w:val="22"/>
        </w:rPr>
        <w:t>A,</w:t>
      </w:r>
      <w:r>
        <w:rPr>
          <w:spacing w:val="40"/>
          <w:sz w:val="22"/>
        </w:rPr>
        <w:t> </w:t>
      </w:r>
      <w:r>
        <w:rPr>
          <w:sz w:val="22"/>
        </w:rPr>
        <w:t>Hollenbeck</w:t>
      </w:r>
      <w:r>
        <w:rPr>
          <w:spacing w:val="40"/>
          <w:sz w:val="22"/>
        </w:rPr>
        <w:t> </w:t>
      </w:r>
      <w:r>
        <w:rPr>
          <w:sz w:val="22"/>
        </w:rPr>
        <w:t>CB,</w:t>
      </w:r>
      <w:r>
        <w:rPr>
          <w:spacing w:val="40"/>
          <w:sz w:val="22"/>
        </w:rPr>
        <w:t> </w:t>
      </w:r>
      <w:r>
        <w:rPr>
          <w:sz w:val="22"/>
        </w:rPr>
        <w:t>Bruce</w:t>
      </w:r>
      <w:r>
        <w:rPr>
          <w:spacing w:val="40"/>
          <w:sz w:val="22"/>
        </w:rPr>
        <w:t> </w:t>
      </w:r>
      <w:r>
        <w:rPr>
          <w:sz w:val="22"/>
        </w:rPr>
        <w:t>B.</w:t>
      </w:r>
      <w:r>
        <w:rPr>
          <w:spacing w:val="40"/>
          <w:sz w:val="22"/>
        </w:rPr>
        <w:t> </w:t>
      </w:r>
      <w:r>
        <w:rPr>
          <w:sz w:val="22"/>
        </w:rPr>
        <w:t>The</w:t>
      </w:r>
      <w:r>
        <w:rPr>
          <w:spacing w:val="40"/>
          <w:sz w:val="22"/>
        </w:rPr>
        <w:t> </w:t>
      </w:r>
      <w:r>
        <w:rPr>
          <w:sz w:val="22"/>
        </w:rPr>
        <w:t>effects</w:t>
      </w:r>
      <w:r>
        <w:rPr>
          <w:spacing w:val="40"/>
          <w:sz w:val="22"/>
        </w:rPr>
        <w:t> </w:t>
      </w:r>
      <w:r>
        <w:rPr>
          <w:sz w:val="22"/>
        </w:rPr>
        <w:t>of</w:t>
      </w:r>
      <w:r>
        <w:rPr>
          <w:spacing w:val="40"/>
          <w:sz w:val="22"/>
        </w:rPr>
        <w:t> </w:t>
      </w:r>
      <w:r>
        <w:rPr>
          <w:sz w:val="22"/>
        </w:rPr>
        <w:t>soy-derived</w:t>
      </w:r>
      <w:r>
        <w:rPr>
          <w:spacing w:val="40"/>
          <w:sz w:val="22"/>
        </w:rPr>
        <w:t> </w:t>
      </w:r>
      <w:r>
        <w:rPr>
          <w:sz w:val="22"/>
        </w:rPr>
        <w:t>phytoestrogens</w:t>
      </w:r>
      <w:r>
        <w:rPr>
          <w:spacing w:val="40"/>
          <w:sz w:val="22"/>
        </w:rPr>
        <w:t> </w:t>
      </w:r>
      <w:r>
        <w:rPr>
          <w:sz w:val="22"/>
        </w:rPr>
        <w:t>on</w:t>
      </w:r>
      <w:r>
        <w:rPr>
          <w:spacing w:val="40"/>
          <w:sz w:val="22"/>
        </w:rPr>
        <w:t> </w:t>
      </w:r>
      <w:r>
        <w:rPr>
          <w:sz w:val="22"/>
        </w:rPr>
        <w:t>serum lipids and lipoproteins in moderately hypercholesterolemic postmenopausal women. </w:t>
      </w:r>
      <w:r>
        <w:rPr>
          <w:i/>
          <w:sz w:val="22"/>
        </w:rPr>
        <w:t>J </w:t>
      </w:r>
      <w:r>
        <w:rPr>
          <w:i/>
          <w:sz w:val="22"/>
        </w:rPr>
        <w:t>Clin</w:t>
      </w:r>
      <w:r>
        <w:rPr>
          <w:i/>
          <w:sz w:val="22"/>
        </w:rPr>
        <w:t> Endocrinol Metab</w:t>
      </w:r>
      <w:r>
        <w:rPr>
          <w:sz w:val="22"/>
        </w:rPr>
        <w:t>. 2002;87:118.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Pan Y, Anthony M, Clarkson TB. Effect of estradiol and soy phytoestrogens on choline acetyltransferase and nerve growth factor mRNAs in the frontal cortex and hippocampus </w:t>
      </w:r>
      <w:r>
        <w:rPr>
          <w:sz w:val="22"/>
        </w:rPr>
        <w:t>of female rats. </w:t>
      </w:r>
      <w:r>
        <w:rPr>
          <w:i/>
          <w:sz w:val="22"/>
        </w:rPr>
        <w:t>Proc Soc Exp Biol Med</w:t>
      </w:r>
      <w:r>
        <w:rPr>
          <w:sz w:val="22"/>
        </w:rPr>
        <w:t>. 1999;221:118.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Pan Y, Anthony M, Watson S, Clarkson TB. Soy phytoestrogens improve radial arm </w:t>
      </w:r>
      <w:r>
        <w:rPr>
          <w:sz w:val="22"/>
        </w:rPr>
        <w:t>maze performance in ovariectomized retired breeder rats and do not attenuate benefits of 17beta-estradiol treatment. </w:t>
      </w:r>
      <w:r>
        <w:rPr>
          <w:i/>
          <w:sz w:val="22"/>
        </w:rPr>
        <w:t>Menopause</w:t>
      </w:r>
      <w:r>
        <w:rPr>
          <w:sz w:val="22"/>
        </w:rPr>
        <w:t>. 2000;7:230.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Kritz-Silverstin D, Von Muhlen D, Barrett-Conner E. Isoflavones and cognitive function in</w:t>
      </w:r>
      <w:r>
        <w:rPr>
          <w:spacing w:val="80"/>
          <w:sz w:val="22"/>
        </w:rPr>
        <w:t> </w:t>
      </w:r>
      <w:r>
        <w:rPr>
          <w:sz w:val="22"/>
        </w:rPr>
        <w:t>older women: the SOy and Postmenopausal Health in Aging (SOPHIA) study. </w:t>
      </w:r>
      <w:r>
        <w:rPr>
          <w:i/>
          <w:sz w:val="22"/>
        </w:rPr>
        <w:t>Menopause</w:t>
      </w:r>
      <w:r>
        <w:rPr>
          <w:sz w:val="22"/>
        </w:rPr>
        <w:t>. </w:t>
      </w:r>
      <w:r>
        <w:rPr>
          <w:spacing w:val="-2"/>
          <w:sz w:val="22"/>
        </w:rPr>
        <w:t>2003;10:196.</w:t>
      </w:r>
    </w:p>
    <w:p>
      <w:pPr>
        <w:pStyle w:val="ListParagraph"/>
        <w:numPr>
          <w:ilvl w:val="0"/>
          <w:numId w:val="19"/>
        </w:numPr>
        <w:tabs>
          <w:tab w:pos="710" w:val="left" w:leader="none"/>
        </w:tabs>
        <w:spacing w:line="251" w:lineRule="exact" w:before="0" w:after="0"/>
        <w:ind w:left="710" w:right="0" w:hanging="498"/>
        <w:jc w:val="both"/>
        <w:rPr>
          <w:sz w:val="22"/>
        </w:rPr>
      </w:pPr>
      <w:r>
        <w:rPr>
          <w:sz w:val="22"/>
        </w:rPr>
        <w:t>Duffy</w:t>
      </w:r>
      <w:r>
        <w:rPr>
          <w:spacing w:val="31"/>
          <w:sz w:val="22"/>
        </w:rPr>
        <w:t> </w:t>
      </w:r>
      <w:r>
        <w:rPr>
          <w:sz w:val="22"/>
        </w:rPr>
        <w:t>R,</w:t>
      </w:r>
      <w:r>
        <w:rPr>
          <w:spacing w:val="32"/>
          <w:sz w:val="22"/>
        </w:rPr>
        <w:t> </w:t>
      </w:r>
      <w:r>
        <w:rPr>
          <w:sz w:val="22"/>
        </w:rPr>
        <w:t>Wiseman</w:t>
      </w:r>
      <w:r>
        <w:rPr>
          <w:spacing w:val="31"/>
          <w:sz w:val="22"/>
        </w:rPr>
        <w:t> </w:t>
      </w:r>
      <w:r>
        <w:rPr>
          <w:sz w:val="22"/>
        </w:rPr>
        <w:t>H,</w:t>
      </w:r>
      <w:r>
        <w:rPr>
          <w:spacing w:val="32"/>
          <w:sz w:val="22"/>
        </w:rPr>
        <w:t> </w:t>
      </w:r>
      <w:r>
        <w:rPr>
          <w:sz w:val="22"/>
        </w:rPr>
        <w:t>File</w:t>
      </w:r>
      <w:r>
        <w:rPr>
          <w:spacing w:val="32"/>
          <w:sz w:val="22"/>
        </w:rPr>
        <w:t> </w:t>
      </w:r>
      <w:r>
        <w:rPr>
          <w:sz w:val="22"/>
        </w:rPr>
        <w:t>SE.</w:t>
      </w:r>
      <w:r>
        <w:rPr>
          <w:spacing w:val="31"/>
          <w:sz w:val="22"/>
        </w:rPr>
        <w:t> </w:t>
      </w:r>
      <w:r>
        <w:rPr>
          <w:sz w:val="22"/>
        </w:rPr>
        <w:t>Improved</w:t>
      </w:r>
      <w:r>
        <w:rPr>
          <w:spacing w:val="32"/>
          <w:sz w:val="22"/>
        </w:rPr>
        <w:t> </w:t>
      </w:r>
      <w:r>
        <w:rPr>
          <w:sz w:val="22"/>
        </w:rPr>
        <w:t>cognitive</w:t>
      </w:r>
      <w:r>
        <w:rPr>
          <w:spacing w:val="31"/>
          <w:sz w:val="22"/>
        </w:rPr>
        <w:t> </w:t>
      </w:r>
      <w:r>
        <w:rPr>
          <w:sz w:val="22"/>
        </w:rPr>
        <w:t>function</w:t>
      </w:r>
      <w:r>
        <w:rPr>
          <w:spacing w:val="32"/>
          <w:sz w:val="22"/>
        </w:rPr>
        <w:t> </w:t>
      </w:r>
      <w:r>
        <w:rPr>
          <w:sz w:val="22"/>
        </w:rPr>
        <w:t>in</w:t>
      </w:r>
      <w:r>
        <w:rPr>
          <w:spacing w:val="32"/>
          <w:sz w:val="22"/>
        </w:rPr>
        <w:t> </w:t>
      </w:r>
      <w:r>
        <w:rPr>
          <w:sz w:val="22"/>
        </w:rPr>
        <w:t>postmenopausal</w:t>
      </w:r>
      <w:r>
        <w:rPr>
          <w:spacing w:val="31"/>
          <w:sz w:val="22"/>
        </w:rPr>
        <w:t> </w:t>
      </w:r>
      <w:r>
        <w:rPr>
          <w:sz w:val="22"/>
        </w:rPr>
        <w:t>women</w:t>
      </w:r>
      <w:r>
        <w:rPr>
          <w:spacing w:val="32"/>
          <w:sz w:val="22"/>
        </w:rPr>
        <w:t> </w:t>
      </w:r>
      <w:r>
        <w:rPr>
          <w:spacing w:val="-2"/>
          <w:sz w:val="22"/>
        </w:rPr>
        <w:t>after</w:t>
      </w:r>
    </w:p>
    <w:p>
      <w:pPr>
        <w:spacing w:line="256" w:lineRule="auto" w:before="11"/>
        <w:ind w:left="718" w:right="108" w:firstLine="0"/>
        <w:jc w:val="both"/>
        <w:rPr>
          <w:sz w:val="22"/>
        </w:rPr>
      </w:pPr>
      <w:r>
        <w:rPr>
          <w:sz w:val="22"/>
        </w:rPr>
        <w:t>12</w:t>
      </w:r>
      <w:r>
        <w:rPr>
          <w:spacing w:val="40"/>
          <w:sz w:val="22"/>
        </w:rPr>
        <w:t> </w:t>
      </w:r>
      <w:r>
        <w:rPr>
          <w:sz w:val="22"/>
        </w:rPr>
        <w:t>weeks</w:t>
      </w:r>
      <w:r>
        <w:rPr>
          <w:spacing w:val="40"/>
          <w:sz w:val="22"/>
        </w:rPr>
        <w:t> </w:t>
      </w:r>
      <w:r>
        <w:rPr>
          <w:sz w:val="22"/>
        </w:rPr>
        <w:t>of</w:t>
      </w:r>
      <w:r>
        <w:rPr>
          <w:spacing w:val="40"/>
          <w:sz w:val="22"/>
        </w:rPr>
        <w:t> </w:t>
      </w:r>
      <w:r>
        <w:rPr>
          <w:sz w:val="22"/>
        </w:rPr>
        <w:t>consumption</w:t>
      </w:r>
      <w:r>
        <w:rPr>
          <w:spacing w:val="40"/>
          <w:sz w:val="22"/>
        </w:rPr>
        <w:t> </w:t>
      </w:r>
      <w:r>
        <w:rPr>
          <w:sz w:val="22"/>
        </w:rPr>
        <w:t>of</w:t>
      </w:r>
      <w:r>
        <w:rPr>
          <w:spacing w:val="40"/>
          <w:sz w:val="22"/>
        </w:rPr>
        <w:t> </w:t>
      </w:r>
      <w:r>
        <w:rPr>
          <w:sz w:val="22"/>
        </w:rPr>
        <w:t>a</w:t>
      </w:r>
      <w:r>
        <w:rPr>
          <w:spacing w:val="40"/>
          <w:sz w:val="22"/>
        </w:rPr>
        <w:t> </w:t>
      </w:r>
      <w:r>
        <w:rPr>
          <w:sz w:val="22"/>
        </w:rPr>
        <w:t>soya</w:t>
      </w:r>
      <w:r>
        <w:rPr>
          <w:spacing w:val="40"/>
          <w:sz w:val="22"/>
        </w:rPr>
        <w:t> </w:t>
      </w:r>
      <w:r>
        <w:rPr>
          <w:sz w:val="22"/>
        </w:rPr>
        <w:t>extract</w:t>
      </w:r>
      <w:r>
        <w:rPr>
          <w:spacing w:val="40"/>
          <w:sz w:val="22"/>
        </w:rPr>
        <w:t> </w:t>
      </w:r>
      <w:r>
        <w:rPr>
          <w:sz w:val="22"/>
        </w:rPr>
        <w:t>containing</w:t>
      </w:r>
      <w:r>
        <w:rPr>
          <w:spacing w:val="40"/>
          <w:sz w:val="22"/>
        </w:rPr>
        <w:t> </w:t>
      </w:r>
      <w:r>
        <w:rPr>
          <w:sz w:val="22"/>
        </w:rPr>
        <w:t>isoflavones.</w:t>
      </w:r>
      <w:r>
        <w:rPr>
          <w:spacing w:val="40"/>
          <w:sz w:val="22"/>
        </w:rPr>
        <w:t> </w:t>
      </w:r>
      <w:r>
        <w:rPr>
          <w:i/>
          <w:sz w:val="22"/>
        </w:rPr>
        <w:t>Pharmacol</w:t>
      </w:r>
      <w:r>
        <w:rPr>
          <w:i/>
          <w:spacing w:val="40"/>
          <w:sz w:val="22"/>
        </w:rPr>
        <w:t> </w:t>
      </w:r>
      <w:r>
        <w:rPr>
          <w:i/>
          <w:sz w:val="22"/>
        </w:rPr>
        <w:t>Biochem</w:t>
      </w:r>
      <w:r>
        <w:rPr>
          <w:i/>
          <w:sz w:val="22"/>
        </w:rPr>
        <w:t> Behav</w:t>
      </w:r>
      <w:r>
        <w:rPr>
          <w:sz w:val="22"/>
        </w:rPr>
        <w:t>. 2003;75:721.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Kreijkamp-Kaspers S, Grobbee DE, Lampe JW, van der Schouw YT. A randomized, </w:t>
      </w:r>
      <w:r>
        <w:rPr>
          <w:sz w:val="22"/>
        </w:rPr>
        <w:t>placebo-controlled trial on the effects of soy protein containing isoflavones on quality of life in postmenopausal women. </w:t>
      </w:r>
      <w:r>
        <w:rPr>
          <w:i/>
          <w:sz w:val="22"/>
        </w:rPr>
        <w:t>Menopause</w:t>
      </w:r>
      <w:r>
        <w:rPr>
          <w:sz w:val="22"/>
        </w:rPr>
        <w:t>. 2005;12:56.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Ho SC, Chan ASY, Ho YP, et al. Effects of soy isoflavone supplementation on cognitive function in Chinese postmenopausal women: a double-blind, randomized, controlled </w:t>
      </w:r>
      <w:r>
        <w:rPr>
          <w:sz w:val="22"/>
        </w:rPr>
        <w:t>trial. </w:t>
      </w:r>
      <w:r>
        <w:rPr>
          <w:i/>
          <w:sz w:val="22"/>
        </w:rPr>
        <w:t>Menopause</w:t>
      </w:r>
      <w:r>
        <w:rPr>
          <w:sz w:val="22"/>
        </w:rPr>
        <w:t>. 2007;14:489.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Thaung Zaw JJ, Howe PR, Wong RH. Long-term effects of resveratrol on cognition, cerebrovascular</w:t>
      </w:r>
      <w:r>
        <w:rPr>
          <w:spacing w:val="40"/>
          <w:sz w:val="22"/>
        </w:rPr>
        <w:t> </w:t>
      </w:r>
      <w:r>
        <w:rPr>
          <w:sz w:val="22"/>
        </w:rPr>
        <w:t>function</w:t>
      </w:r>
      <w:r>
        <w:rPr>
          <w:spacing w:val="40"/>
          <w:sz w:val="22"/>
        </w:rPr>
        <w:t> </w:t>
      </w:r>
      <w:r>
        <w:rPr>
          <w:sz w:val="22"/>
        </w:rPr>
        <w:t>and</w:t>
      </w:r>
      <w:r>
        <w:rPr>
          <w:spacing w:val="40"/>
          <w:sz w:val="22"/>
        </w:rPr>
        <w:t> </w:t>
      </w:r>
      <w:r>
        <w:rPr>
          <w:sz w:val="22"/>
        </w:rPr>
        <w:t>cardio-metabolic</w:t>
      </w:r>
      <w:r>
        <w:rPr>
          <w:spacing w:val="40"/>
          <w:sz w:val="22"/>
        </w:rPr>
        <w:t> </w:t>
      </w:r>
      <w:r>
        <w:rPr>
          <w:sz w:val="22"/>
        </w:rPr>
        <w:t>markers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w:t>
      </w:r>
      <w:r>
        <w:rPr>
          <w:spacing w:val="40"/>
          <w:sz w:val="22"/>
        </w:rPr>
        <w:t> </w:t>
      </w:r>
      <w:r>
        <w:rPr>
          <w:sz w:val="22"/>
        </w:rPr>
        <w:t>24-month randomised, double-blind, placebo-controlled, crossover study. </w:t>
      </w:r>
      <w:r>
        <w:rPr>
          <w:i/>
          <w:sz w:val="22"/>
        </w:rPr>
        <w:t>Clin Nutr</w:t>
      </w:r>
      <w:r>
        <w:rPr>
          <w:sz w:val="22"/>
        </w:rPr>
        <w:t>. </w:t>
      </w:r>
      <w:r>
        <w:rPr>
          <w:spacing w:val="-2"/>
          <w:sz w:val="22"/>
        </w:rPr>
        <w:t>2021;40(3):820-829.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White LR, Petrovitch H, Ross GW, et al. Brain aging and midlife tofu consumption. </w:t>
      </w:r>
      <w:r>
        <w:rPr>
          <w:i/>
          <w:sz w:val="22"/>
        </w:rPr>
        <w:t>J Am Coll</w:t>
      </w:r>
      <w:r>
        <w:rPr>
          <w:i/>
          <w:sz w:val="22"/>
        </w:rPr>
        <w:t> Nutr</w:t>
      </w:r>
      <w:r>
        <w:rPr>
          <w:sz w:val="22"/>
        </w:rPr>
        <w:t>. 2000;19:242.</w:t>
      </w:r>
    </w:p>
    <w:p>
      <w:pPr>
        <w:pStyle w:val="ListParagraph"/>
        <w:numPr>
          <w:ilvl w:val="0"/>
          <w:numId w:val="19"/>
        </w:numPr>
        <w:tabs>
          <w:tab w:pos="710" w:val="left" w:leader="none"/>
        </w:tabs>
        <w:spacing w:line="252" w:lineRule="exact" w:before="0" w:after="0"/>
        <w:ind w:left="710" w:right="0" w:hanging="498"/>
        <w:jc w:val="both"/>
        <w:rPr>
          <w:sz w:val="22"/>
        </w:rPr>
      </w:pPr>
      <w:r>
        <w:rPr>
          <w:sz w:val="22"/>
        </w:rPr>
        <w:t>Adlercreutz</w:t>
      </w:r>
      <w:r>
        <w:rPr>
          <w:spacing w:val="11"/>
          <w:sz w:val="22"/>
        </w:rPr>
        <w:t> </w:t>
      </w:r>
      <w:r>
        <w:rPr>
          <w:sz w:val="22"/>
        </w:rPr>
        <w:t>H,</w:t>
      </w:r>
      <w:r>
        <w:rPr>
          <w:spacing w:val="11"/>
          <w:sz w:val="22"/>
        </w:rPr>
        <w:t> </w:t>
      </w:r>
      <w:r>
        <w:rPr>
          <w:sz w:val="22"/>
        </w:rPr>
        <w:t>Mazur</w:t>
      </w:r>
      <w:r>
        <w:rPr>
          <w:spacing w:val="11"/>
          <w:sz w:val="22"/>
        </w:rPr>
        <w:t> </w:t>
      </w:r>
      <w:r>
        <w:rPr>
          <w:sz w:val="22"/>
        </w:rPr>
        <w:t>W.</w:t>
      </w:r>
      <w:r>
        <w:rPr>
          <w:spacing w:val="11"/>
          <w:sz w:val="22"/>
        </w:rPr>
        <w:t> </w:t>
      </w:r>
      <w:r>
        <w:rPr>
          <w:sz w:val="22"/>
        </w:rPr>
        <w:t>Phyto-oestrogens</w:t>
      </w:r>
      <w:r>
        <w:rPr>
          <w:spacing w:val="11"/>
          <w:sz w:val="22"/>
        </w:rPr>
        <w:t> </w:t>
      </w:r>
      <w:r>
        <w:rPr>
          <w:sz w:val="22"/>
        </w:rPr>
        <w:t>and</w:t>
      </w:r>
      <w:r>
        <w:rPr>
          <w:spacing w:val="12"/>
          <w:sz w:val="22"/>
        </w:rPr>
        <w:t> </w:t>
      </w:r>
      <w:r>
        <w:rPr>
          <w:sz w:val="22"/>
        </w:rPr>
        <w:t>western</w:t>
      </w:r>
      <w:r>
        <w:rPr>
          <w:spacing w:val="11"/>
          <w:sz w:val="22"/>
        </w:rPr>
        <w:t> </w:t>
      </w:r>
      <w:r>
        <w:rPr>
          <w:sz w:val="22"/>
        </w:rPr>
        <w:t>diseases.</w:t>
      </w:r>
      <w:r>
        <w:rPr>
          <w:spacing w:val="11"/>
          <w:sz w:val="22"/>
        </w:rPr>
        <w:t> </w:t>
      </w:r>
      <w:r>
        <w:rPr>
          <w:i/>
          <w:sz w:val="22"/>
        </w:rPr>
        <w:t>Ann</w:t>
      </w:r>
      <w:r>
        <w:rPr>
          <w:i/>
          <w:spacing w:val="11"/>
          <w:sz w:val="22"/>
        </w:rPr>
        <w:t> </w:t>
      </w:r>
      <w:r>
        <w:rPr>
          <w:i/>
          <w:sz w:val="22"/>
        </w:rPr>
        <w:t>Med</w:t>
      </w:r>
      <w:r>
        <w:rPr>
          <w:sz w:val="22"/>
        </w:rPr>
        <w:t>.</w:t>
      </w:r>
      <w:r>
        <w:rPr>
          <w:spacing w:val="11"/>
          <w:sz w:val="22"/>
        </w:rPr>
        <w:t> </w:t>
      </w:r>
      <w:r>
        <w:rPr>
          <w:spacing w:val="-2"/>
          <w:sz w:val="22"/>
        </w:rPr>
        <w:t>1997;29:95.</w:t>
      </w:r>
    </w:p>
    <w:p>
      <w:pPr>
        <w:pStyle w:val="ListParagraph"/>
        <w:numPr>
          <w:ilvl w:val="0"/>
          <w:numId w:val="19"/>
        </w:numPr>
        <w:tabs>
          <w:tab w:pos="709" w:val="left" w:leader="none"/>
          <w:tab w:pos="718" w:val="left" w:leader="none"/>
        </w:tabs>
        <w:spacing w:line="256" w:lineRule="auto" w:before="9" w:after="0"/>
        <w:ind w:left="718" w:right="102" w:hanging="507"/>
        <w:jc w:val="left"/>
        <w:rPr>
          <w:sz w:val="22"/>
        </w:rPr>
      </w:pPr>
      <w:r>
        <w:rPr>
          <w:sz w:val="22"/>
        </w:rPr>
        <w:t>Goodman</w:t>
      </w:r>
      <w:r>
        <w:rPr>
          <w:spacing w:val="31"/>
          <w:sz w:val="22"/>
        </w:rPr>
        <w:t> </w:t>
      </w:r>
      <w:r>
        <w:rPr>
          <w:sz w:val="22"/>
        </w:rPr>
        <w:t>MT,</w:t>
      </w:r>
      <w:r>
        <w:rPr>
          <w:spacing w:val="31"/>
          <w:sz w:val="22"/>
        </w:rPr>
        <w:t> </w:t>
      </w:r>
      <w:r>
        <w:rPr>
          <w:sz w:val="22"/>
        </w:rPr>
        <w:t>Wilkens</w:t>
      </w:r>
      <w:r>
        <w:rPr>
          <w:spacing w:val="31"/>
          <w:sz w:val="22"/>
        </w:rPr>
        <w:t> </w:t>
      </w:r>
      <w:r>
        <w:rPr>
          <w:sz w:val="22"/>
        </w:rPr>
        <w:t>LR,</w:t>
      </w:r>
      <w:r>
        <w:rPr>
          <w:spacing w:val="31"/>
          <w:sz w:val="22"/>
        </w:rPr>
        <w:t> </w:t>
      </w:r>
      <w:r>
        <w:rPr>
          <w:sz w:val="22"/>
        </w:rPr>
        <w:t>Hankin</w:t>
      </w:r>
      <w:r>
        <w:rPr>
          <w:spacing w:val="31"/>
          <w:sz w:val="22"/>
        </w:rPr>
        <w:t> </w:t>
      </w:r>
      <w:r>
        <w:rPr>
          <w:sz w:val="22"/>
        </w:rPr>
        <w:t>JH,</w:t>
      </w:r>
      <w:r>
        <w:rPr>
          <w:spacing w:val="31"/>
          <w:sz w:val="22"/>
        </w:rPr>
        <w:t> </w:t>
      </w:r>
      <w:r>
        <w:rPr>
          <w:sz w:val="22"/>
        </w:rPr>
        <w:t>Lyu</w:t>
      </w:r>
      <w:r>
        <w:rPr>
          <w:spacing w:val="31"/>
          <w:sz w:val="22"/>
        </w:rPr>
        <w:t> </w:t>
      </w:r>
      <w:r>
        <w:rPr>
          <w:sz w:val="22"/>
        </w:rPr>
        <w:t>L-C,</w:t>
      </w:r>
      <w:r>
        <w:rPr>
          <w:spacing w:val="31"/>
          <w:sz w:val="22"/>
        </w:rPr>
        <w:t> </w:t>
      </w:r>
      <w:r>
        <w:rPr>
          <w:sz w:val="22"/>
        </w:rPr>
        <w:t>Wu</w:t>
      </w:r>
      <w:r>
        <w:rPr>
          <w:spacing w:val="31"/>
          <w:sz w:val="22"/>
        </w:rPr>
        <w:t> </w:t>
      </w:r>
      <w:r>
        <w:rPr>
          <w:sz w:val="22"/>
        </w:rPr>
        <w:t>AH,</w:t>
      </w:r>
      <w:r>
        <w:rPr>
          <w:spacing w:val="31"/>
          <w:sz w:val="22"/>
        </w:rPr>
        <w:t> </w:t>
      </w:r>
      <w:r>
        <w:rPr>
          <w:sz w:val="22"/>
        </w:rPr>
        <w:t>Kolonel</w:t>
      </w:r>
      <w:r>
        <w:rPr>
          <w:spacing w:val="31"/>
          <w:sz w:val="22"/>
        </w:rPr>
        <w:t> </w:t>
      </w:r>
      <w:r>
        <w:rPr>
          <w:sz w:val="22"/>
        </w:rPr>
        <w:t>LN.</w:t>
      </w:r>
      <w:r>
        <w:rPr>
          <w:spacing w:val="30"/>
          <w:sz w:val="22"/>
        </w:rPr>
        <w:t> </w:t>
      </w:r>
      <w:r>
        <w:rPr>
          <w:sz w:val="22"/>
        </w:rPr>
        <w:t>Association</w:t>
      </w:r>
      <w:r>
        <w:rPr>
          <w:spacing w:val="29"/>
          <w:sz w:val="22"/>
        </w:rPr>
        <w:t> </w:t>
      </w:r>
      <w:r>
        <w:rPr>
          <w:sz w:val="22"/>
        </w:rPr>
        <w:t>of</w:t>
      </w:r>
      <w:r>
        <w:rPr>
          <w:spacing w:val="29"/>
          <w:sz w:val="22"/>
        </w:rPr>
        <w:t> </w:t>
      </w:r>
      <w:r>
        <w:rPr>
          <w:sz w:val="22"/>
        </w:rPr>
        <w:t>soy and fiber consumption with the risk of endometrial cancer. </w:t>
      </w:r>
      <w:r>
        <w:rPr>
          <w:i/>
          <w:sz w:val="22"/>
        </w:rPr>
        <w:t>Am J Epidemiol</w:t>
      </w:r>
      <w:r>
        <w:rPr>
          <w:sz w:val="22"/>
        </w:rPr>
        <w:t>. 1997;146:294.</w:t>
      </w:r>
    </w:p>
    <w:p>
      <w:pPr>
        <w:pStyle w:val="ListParagraph"/>
        <w:numPr>
          <w:ilvl w:val="0"/>
          <w:numId w:val="19"/>
        </w:numPr>
        <w:tabs>
          <w:tab w:pos="709" w:val="left" w:leader="none"/>
          <w:tab w:pos="718" w:val="left" w:leader="none"/>
        </w:tabs>
        <w:spacing w:line="256" w:lineRule="auto" w:before="0" w:after="0"/>
        <w:ind w:left="718" w:right="111" w:hanging="507"/>
        <w:jc w:val="left"/>
        <w:rPr>
          <w:sz w:val="22"/>
        </w:rPr>
      </w:pPr>
      <w:r>
        <w:rPr>
          <w:sz w:val="22"/>
        </w:rPr>
        <w:t>Ingram</w:t>
      </w:r>
      <w:r>
        <w:rPr>
          <w:spacing w:val="40"/>
          <w:sz w:val="22"/>
        </w:rPr>
        <w:t> </w:t>
      </w:r>
      <w:r>
        <w:rPr>
          <w:sz w:val="22"/>
        </w:rPr>
        <w:t>D,</w:t>
      </w:r>
      <w:r>
        <w:rPr>
          <w:spacing w:val="40"/>
          <w:sz w:val="22"/>
        </w:rPr>
        <w:t> </w:t>
      </w:r>
      <w:r>
        <w:rPr>
          <w:sz w:val="22"/>
        </w:rPr>
        <w:t>Sanders</w:t>
      </w:r>
      <w:r>
        <w:rPr>
          <w:spacing w:val="40"/>
          <w:sz w:val="22"/>
        </w:rPr>
        <w:t> </w:t>
      </w:r>
      <w:r>
        <w:rPr>
          <w:sz w:val="22"/>
        </w:rPr>
        <w:t>K,</w:t>
      </w:r>
      <w:r>
        <w:rPr>
          <w:spacing w:val="40"/>
          <w:sz w:val="22"/>
        </w:rPr>
        <w:t> </w:t>
      </w:r>
      <w:r>
        <w:rPr>
          <w:sz w:val="22"/>
        </w:rPr>
        <w:t>Kolybaba</w:t>
      </w:r>
      <w:r>
        <w:rPr>
          <w:spacing w:val="40"/>
          <w:sz w:val="22"/>
        </w:rPr>
        <w:t> </w:t>
      </w:r>
      <w:r>
        <w:rPr>
          <w:sz w:val="22"/>
        </w:rPr>
        <w:t>M,</w:t>
      </w:r>
      <w:r>
        <w:rPr>
          <w:spacing w:val="40"/>
          <w:sz w:val="22"/>
        </w:rPr>
        <w:t> </w:t>
      </w:r>
      <w:r>
        <w:rPr>
          <w:sz w:val="22"/>
        </w:rPr>
        <w:t>Lopez</w:t>
      </w:r>
      <w:r>
        <w:rPr>
          <w:spacing w:val="40"/>
          <w:sz w:val="22"/>
        </w:rPr>
        <w:t> </w:t>
      </w:r>
      <w:r>
        <w:rPr>
          <w:sz w:val="22"/>
        </w:rPr>
        <w:t>D.</w:t>
      </w:r>
      <w:r>
        <w:rPr>
          <w:spacing w:val="40"/>
          <w:sz w:val="22"/>
        </w:rPr>
        <w:t> </w:t>
      </w:r>
      <w:r>
        <w:rPr>
          <w:sz w:val="22"/>
        </w:rPr>
        <w:t>Case-control</w:t>
      </w:r>
      <w:r>
        <w:rPr>
          <w:spacing w:val="40"/>
          <w:sz w:val="22"/>
        </w:rPr>
        <w:t> </w:t>
      </w:r>
      <w:r>
        <w:rPr>
          <w:sz w:val="22"/>
        </w:rPr>
        <w:t>study</w:t>
      </w:r>
      <w:r>
        <w:rPr>
          <w:spacing w:val="40"/>
          <w:sz w:val="22"/>
        </w:rPr>
        <w:t> </w:t>
      </w:r>
      <w:r>
        <w:rPr>
          <w:sz w:val="22"/>
        </w:rPr>
        <w:t>of</w:t>
      </w:r>
      <w:r>
        <w:rPr>
          <w:spacing w:val="40"/>
          <w:sz w:val="22"/>
        </w:rPr>
        <w:t> </w:t>
      </w:r>
      <w:r>
        <w:rPr>
          <w:sz w:val="22"/>
        </w:rPr>
        <w:t>phyto-oestrogens</w:t>
      </w:r>
      <w:r>
        <w:rPr>
          <w:spacing w:val="40"/>
          <w:sz w:val="22"/>
        </w:rPr>
        <w:t> </w:t>
      </w:r>
      <w:r>
        <w:rPr>
          <w:sz w:val="22"/>
        </w:rPr>
        <w:t>and breast cancer. </w:t>
      </w:r>
      <w:r>
        <w:rPr>
          <w:i/>
          <w:sz w:val="22"/>
        </w:rPr>
        <w:t>Lancet</w:t>
      </w:r>
      <w:r>
        <w:rPr>
          <w:sz w:val="22"/>
        </w:rPr>
        <w:t>. 1997;350:990.</w:t>
      </w:r>
    </w:p>
    <w:p>
      <w:pPr>
        <w:pStyle w:val="ListParagraph"/>
        <w:numPr>
          <w:ilvl w:val="0"/>
          <w:numId w:val="19"/>
        </w:numPr>
        <w:tabs>
          <w:tab w:pos="709" w:val="left" w:leader="none"/>
          <w:tab w:pos="718" w:val="left" w:leader="none"/>
        </w:tabs>
        <w:spacing w:line="256" w:lineRule="auto" w:before="0" w:after="0"/>
        <w:ind w:left="718" w:right="110" w:hanging="507"/>
        <w:jc w:val="left"/>
        <w:rPr>
          <w:sz w:val="22"/>
        </w:rPr>
      </w:pPr>
      <w:r>
        <w:rPr>
          <w:sz w:val="22"/>
        </w:rPr>
        <w:t>Murkies</w:t>
      </w:r>
      <w:r>
        <w:rPr>
          <w:spacing w:val="40"/>
          <w:sz w:val="22"/>
        </w:rPr>
        <w:t>  </w:t>
      </w:r>
      <w:r>
        <w:rPr>
          <w:sz w:val="22"/>
        </w:rPr>
        <w:t>A,</w:t>
      </w:r>
      <w:r>
        <w:rPr>
          <w:spacing w:val="40"/>
          <w:sz w:val="22"/>
        </w:rPr>
        <w:t>  </w:t>
      </w:r>
      <w:r>
        <w:rPr>
          <w:sz w:val="22"/>
        </w:rPr>
        <w:t>Dalais</w:t>
      </w:r>
      <w:r>
        <w:rPr>
          <w:spacing w:val="40"/>
          <w:sz w:val="22"/>
        </w:rPr>
        <w:t>  </w:t>
      </w:r>
      <w:r>
        <w:rPr>
          <w:sz w:val="22"/>
        </w:rPr>
        <w:t>FS,</w:t>
      </w:r>
      <w:r>
        <w:rPr>
          <w:spacing w:val="40"/>
          <w:sz w:val="22"/>
        </w:rPr>
        <w:t>  </w:t>
      </w:r>
      <w:r>
        <w:rPr>
          <w:sz w:val="22"/>
        </w:rPr>
        <w:t>Briganti</w:t>
      </w:r>
      <w:r>
        <w:rPr>
          <w:spacing w:val="40"/>
          <w:sz w:val="22"/>
        </w:rPr>
        <w:t>  </w:t>
      </w:r>
      <w:r>
        <w:rPr>
          <w:sz w:val="22"/>
        </w:rPr>
        <w:t>EM,</w:t>
      </w:r>
      <w:r>
        <w:rPr>
          <w:spacing w:val="40"/>
          <w:sz w:val="22"/>
        </w:rPr>
        <w:t>  </w:t>
      </w:r>
      <w:r>
        <w:rPr>
          <w:sz w:val="22"/>
        </w:rPr>
        <w:t>et</w:t>
      </w:r>
      <w:r>
        <w:rPr>
          <w:spacing w:val="40"/>
          <w:sz w:val="22"/>
        </w:rPr>
        <w:t>  </w:t>
      </w:r>
      <w:r>
        <w:rPr>
          <w:sz w:val="22"/>
        </w:rPr>
        <w:t>al.</w:t>
      </w:r>
      <w:r>
        <w:rPr>
          <w:spacing w:val="40"/>
          <w:sz w:val="22"/>
        </w:rPr>
        <w:t>  </w:t>
      </w:r>
      <w:r>
        <w:rPr>
          <w:sz w:val="22"/>
        </w:rPr>
        <w:t>Phytoestrogens</w:t>
      </w:r>
      <w:r>
        <w:rPr>
          <w:spacing w:val="39"/>
          <w:sz w:val="22"/>
        </w:rPr>
        <w:t>  </w:t>
      </w:r>
      <w:r>
        <w:rPr>
          <w:sz w:val="22"/>
        </w:rPr>
        <w:t>and</w:t>
      </w:r>
      <w:r>
        <w:rPr>
          <w:spacing w:val="39"/>
          <w:sz w:val="22"/>
        </w:rPr>
        <w:t>  </w:t>
      </w:r>
      <w:r>
        <w:rPr>
          <w:sz w:val="22"/>
        </w:rPr>
        <w:t>breast</w:t>
      </w:r>
      <w:r>
        <w:rPr>
          <w:spacing w:val="39"/>
          <w:sz w:val="22"/>
        </w:rPr>
        <w:t>  </w:t>
      </w:r>
      <w:r>
        <w:rPr>
          <w:sz w:val="22"/>
        </w:rPr>
        <w:t>cancer</w:t>
      </w:r>
      <w:r>
        <w:rPr>
          <w:spacing w:val="39"/>
          <w:sz w:val="22"/>
        </w:rPr>
        <w:t>  </w:t>
      </w:r>
      <w:r>
        <w:rPr>
          <w:sz w:val="22"/>
        </w:rPr>
        <w:t>in postmenopausal women: a case control study. </w:t>
      </w:r>
      <w:r>
        <w:rPr>
          <w:i/>
          <w:sz w:val="22"/>
        </w:rPr>
        <w:t>Menopause</w:t>
      </w:r>
      <w:r>
        <w:rPr>
          <w:sz w:val="22"/>
        </w:rPr>
        <w:t>. 2000;7:289.</w:t>
      </w:r>
    </w:p>
    <w:p>
      <w:pPr>
        <w:pStyle w:val="ListParagraph"/>
        <w:numPr>
          <w:ilvl w:val="0"/>
          <w:numId w:val="19"/>
        </w:numPr>
        <w:tabs>
          <w:tab w:pos="709" w:val="left" w:leader="none"/>
          <w:tab w:pos="718" w:val="left" w:leader="none"/>
        </w:tabs>
        <w:spacing w:line="256" w:lineRule="auto" w:before="0" w:after="0"/>
        <w:ind w:left="718" w:right="111" w:hanging="507"/>
        <w:jc w:val="left"/>
        <w:rPr>
          <w:sz w:val="22"/>
        </w:rPr>
      </w:pPr>
      <w:r>
        <w:rPr>
          <w:sz w:val="22"/>
        </w:rPr>
        <w:t>Lee HP, Gourley L, Duffy SW, Esteve J, Lee J, Day NE. Dietary effect on breast cancer risk in Singapore. </w:t>
      </w:r>
      <w:r>
        <w:rPr>
          <w:i/>
          <w:sz w:val="22"/>
        </w:rPr>
        <w:t>Lancet</w:t>
      </w:r>
      <w:r>
        <w:rPr>
          <w:sz w:val="22"/>
        </w:rPr>
        <w:t>. 1991;337:1197.</w:t>
      </w:r>
    </w:p>
    <w:p>
      <w:pPr>
        <w:pStyle w:val="ListParagraph"/>
        <w:numPr>
          <w:ilvl w:val="0"/>
          <w:numId w:val="19"/>
        </w:numPr>
        <w:tabs>
          <w:tab w:pos="710" w:val="left" w:leader="none"/>
        </w:tabs>
        <w:spacing w:line="252" w:lineRule="exact" w:before="0" w:after="0"/>
        <w:ind w:left="710" w:right="0" w:hanging="498"/>
        <w:jc w:val="left"/>
        <w:rPr>
          <w:sz w:val="22"/>
        </w:rPr>
      </w:pPr>
      <w:r>
        <w:rPr>
          <w:sz w:val="22"/>
        </w:rPr>
        <w:t>Wu</w:t>
      </w:r>
      <w:r>
        <w:rPr>
          <w:spacing w:val="14"/>
          <w:sz w:val="22"/>
        </w:rPr>
        <w:t> </w:t>
      </w:r>
      <w:r>
        <w:rPr>
          <w:sz w:val="22"/>
        </w:rPr>
        <w:t>AH,</w:t>
      </w:r>
      <w:r>
        <w:rPr>
          <w:spacing w:val="15"/>
          <w:sz w:val="22"/>
        </w:rPr>
        <w:t> </w:t>
      </w:r>
      <w:r>
        <w:rPr>
          <w:sz w:val="22"/>
        </w:rPr>
        <w:t>Ziegler</w:t>
      </w:r>
      <w:r>
        <w:rPr>
          <w:spacing w:val="15"/>
          <w:sz w:val="22"/>
        </w:rPr>
        <w:t> </w:t>
      </w:r>
      <w:r>
        <w:rPr>
          <w:sz w:val="22"/>
        </w:rPr>
        <w:t>RG,</w:t>
      </w:r>
      <w:r>
        <w:rPr>
          <w:spacing w:val="15"/>
          <w:sz w:val="22"/>
        </w:rPr>
        <w:t> </w:t>
      </w:r>
      <w:r>
        <w:rPr>
          <w:sz w:val="22"/>
        </w:rPr>
        <w:t>Horn-Ross</w:t>
      </w:r>
      <w:r>
        <w:rPr>
          <w:spacing w:val="15"/>
          <w:sz w:val="22"/>
        </w:rPr>
        <w:t> </w:t>
      </w:r>
      <w:r>
        <w:rPr>
          <w:sz w:val="22"/>
        </w:rPr>
        <w:t>PL,</w:t>
      </w:r>
      <w:r>
        <w:rPr>
          <w:spacing w:val="15"/>
          <w:sz w:val="22"/>
        </w:rPr>
        <w:t> </w:t>
      </w:r>
      <w:r>
        <w:rPr>
          <w:sz w:val="22"/>
        </w:rPr>
        <w:t>et</w:t>
      </w:r>
      <w:r>
        <w:rPr>
          <w:spacing w:val="15"/>
          <w:sz w:val="22"/>
        </w:rPr>
        <w:t> </w:t>
      </w:r>
      <w:r>
        <w:rPr>
          <w:sz w:val="22"/>
        </w:rPr>
        <w:t>al.</w:t>
      </w:r>
      <w:r>
        <w:rPr>
          <w:spacing w:val="15"/>
          <w:sz w:val="22"/>
        </w:rPr>
        <w:t> </w:t>
      </w:r>
      <w:r>
        <w:rPr>
          <w:sz w:val="22"/>
        </w:rPr>
        <w:t>Tofu</w:t>
      </w:r>
      <w:r>
        <w:rPr>
          <w:spacing w:val="14"/>
          <w:sz w:val="22"/>
        </w:rPr>
        <w:t> </w:t>
      </w:r>
      <w:r>
        <w:rPr>
          <w:sz w:val="22"/>
        </w:rPr>
        <w:t>and</w:t>
      </w:r>
      <w:r>
        <w:rPr>
          <w:spacing w:val="14"/>
          <w:sz w:val="22"/>
        </w:rPr>
        <w:t> </w:t>
      </w:r>
      <w:r>
        <w:rPr>
          <w:sz w:val="22"/>
        </w:rPr>
        <w:t>risk</w:t>
      </w:r>
      <w:r>
        <w:rPr>
          <w:spacing w:val="14"/>
          <w:sz w:val="22"/>
        </w:rPr>
        <w:t> </w:t>
      </w:r>
      <w:r>
        <w:rPr>
          <w:sz w:val="22"/>
        </w:rPr>
        <w:t>of</w:t>
      </w:r>
      <w:r>
        <w:rPr>
          <w:spacing w:val="14"/>
          <w:sz w:val="22"/>
        </w:rPr>
        <w:t> </w:t>
      </w:r>
      <w:r>
        <w:rPr>
          <w:sz w:val="22"/>
        </w:rPr>
        <w:t>breast</w:t>
      </w:r>
      <w:r>
        <w:rPr>
          <w:spacing w:val="14"/>
          <w:sz w:val="22"/>
        </w:rPr>
        <w:t> </w:t>
      </w:r>
      <w:r>
        <w:rPr>
          <w:sz w:val="22"/>
        </w:rPr>
        <w:t>cancer</w:t>
      </w:r>
      <w:r>
        <w:rPr>
          <w:spacing w:val="13"/>
          <w:sz w:val="22"/>
        </w:rPr>
        <w:t> </w:t>
      </w:r>
      <w:r>
        <w:rPr>
          <w:sz w:val="22"/>
        </w:rPr>
        <w:t>in</w:t>
      </w:r>
      <w:r>
        <w:rPr>
          <w:spacing w:val="14"/>
          <w:sz w:val="22"/>
        </w:rPr>
        <w:t> </w:t>
      </w:r>
      <w:r>
        <w:rPr>
          <w:sz w:val="22"/>
        </w:rPr>
        <w:t>Asian-</w:t>
      </w:r>
      <w:r>
        <w:rPr>
          <w:spacing w:val="-2"/>
          <w:sz w:val="22"/>
        </w:rPr>
        <w:t>Americans.</w:t>
      </w:r>
    </w:p>
    <w:p>
      <w:pPr>
        <w:spacing w:before="13"/>
        <w:ind w:left="718" w:right="0" w:firstLine="0"/>
        <w:jc w:val="left"/>
        <w:rPr>
          <w:sz w:val="22"/>
        </w:rPr>
      </w:pPr>
      <w:r>
        <w:rPr>
          <w:i/>
          <w:sz w:val="22"/>
        </w:rPr>
        <w:t>Cancer</w:t>
      </w:r>
      <w:r>
        <w:rPr>
          <w:i/>
          <w:spacing w:val="13"/>
          <w:sz w:val="22"/>
        </w:rPr>
        <w:t> </w:t>
      </w:r>
      <w:r>
        <w:rPr>
          <w:i/>
          <w:sz w:val="22"/>
        </w:rPr>
        <w:t>Epidemiol</w:t>
      </w:r>
      <w:r>
        <w:rPr>
          <w:i/>
          <w:spacing w:val="14"/>
          <w:sz w:val="22"/>
        </w:rPr>
        <w:t> </w:t>
      </w:r>
      <w:r>
        <w:rPr>
          <w:i/>
          <w:sz w:val="22"/>
        </w:rPr>
        <w:t>Biomarkers</w:t>
      </w:r>
      <w:r>
        <w:rPr>
          <w:i/>
          <w:spacing w:val="14"/>
          <w:sz w:val="22"/>
        </w:rPr>
        <w:t> </w:t>
      </w:r>
      <w:r>
        <w:rPr>
          <w:i/>
          <w:sz w:val="22"/>
        </w:rPr>
        <w:t>Prev</w:t>
      </w:r>
      <w:r>
        <w:rPr>
          <w:sz w:val="22"/>
        </w:rPr>
        <w:t>.</w:t>
      </w:r>
      <w:r>
        <w:rPr>
          <w:spacing w:val="13"/>
          <w:sz w:val="22"/>
        </w:rPr>
        <w:t> </w:t>
      </w:r>
      <w:r>
        <w:rPr>
          <w:spacing w:val="-2"/>
          <w:sz w:val="22"/>
        </w:rPr>
        <w:t>1996;5:901.</w:t>
      </w:r>
    </w:p>
    <w:p>
      <w:pPr>
        <w:pStyle w:val="ListParagraph"/>
        <w:numPr>
          <w:ilvl w:val="0"/>
          <w:numId w:val="19"/>
        </w:numPr>
        <w:tabs>
          <w:tab w:pos="709" w:val="left" w:leader="none"/>
          <w:tab w:pos="718" w:val="left" w:leader="none"/>
        </w:tabs>
        <w:spacing w:line="256" w:lineRule="auto" w:before="17" w:after="0"/>
        <w:ind w:left="718" w:right="105" w:hanging="507"/>
        <w:jc w:val="both"/>
        <w:rPr>
          <w:sz w:val="22"/>
        </w:rPr>
      </w:pPr>
      <w:r>
        <w:rPr>
          <w:sz w:val="22"/>
        </w:rPr>
        <w:t>Dai Q, Franke AA, Jin F, et al. Urinary excretion of phytoestrogens and risk of breast </w:t>
      </w:r>
      <w:r>
        <w:rPr>
          <w:sz w:val="22"/>
        </w:rPr>
        <w:t>cancer among Chinese women in Shanghai. </w:t>
      </w:r>
      <w:r>
        <w:rPr>
          <w:i/>
          <w:sz w:val="22"/>
        </w:rPr>
        <w:t>Cancer Epidemiol Biomarkers Prev</w:t>
      </w:r>
      <w:r>
        <w:rPr>
          <w:sz w:val="22"/>
        </w:rPr>
        <w:t>. 2002;11:815.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Lee SA, Shu XO, Li H, et al. Adolescent and adult soy food intake and breast cancer risk:</w:t>
      </w:r>
      <w:r>
        <w:rPr>
          <w:spacing w:val="80"/>
          <w:sz w:val="22"/>
        </w:rPr>
        <w:t> </w:t>
      </w:r>
      <w:r>
        <w:rPr>
          <w:sz w:val="22"/>
        </w:rPr>
        <w:t>results from the Shanghai Women’s Health Study. </w:t>
      </w:r>
      <w:r>
        <w:rPr>
          <w:i/>
          <w:sz w:val="22"/>
        </w:rPr>
        <w:t>Am J Clin Nutr</w:t>
      </w:r>
      <w:r>
        <w:rPr>
          <w:sz w:val="22"/>
        </w:rPr>
        <w:t>. 2009;89:1920.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Goodman MT, Shvetsov YB, Wilkens LR, et al. Urinary phytoestrogen excretion </w:t>
      </w:r>
      <w:r>
        <w:rPr>
          <w:sz w:val="22"/>
        </w:rPr>
        <w:t>and postmenopausal breast cancer risk: the multiethnic cohort study. </w:t>
      </w:r>
      <w:r>
        <w:rPr>
          <w:i/>
          <w:sz w:val="22"/>
        </w:rPr>
        <w:t>Cancer Prev Res (Phila)</w:t>
      </w:r>
      <w:r>
        <w:rPr>
          <w:sz w:val="22"/>
        </w:rPr>
        <w:t>. </w:t>
      </w:r>
      <w:r>
        <w:rPr>
          <w:spacing w:val="-2"/>
          <w:sz w:val="22"/>
        </w:rPr>
        <w:t>2009;2:887.</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Messina MJ, Persky V, Setchell KDR, Barnes S. Soy intake and cancer risk: a review of the </w:t>
      </w:r>
      <w:r>
        <w:rPr>
          <w:sz w:val="22"/>
        </w:rPr>
        <w:t>in vitro and in vivo data. </w:t>
      </w:r>
      <w:r>
        <w:rPr>
          <w:i/>
          <w:sz w:val="22"/>
        </w:rPr>
        <w:t>Nutr Cancer</w:t>
      </w:r>
      <w:r>
        <w:rPr>
          <w:sz w:val="22"/>
        </w:rPr>
        <w:t>. 1994;21:113.</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Petrakis NL, Barnes S, King EB, et al. Stimulatory influence of soy protein isolate on </w:t>
      </w:r>
      <w:r>
        <w:rPr>
          <w:sz w:val="22"/>
        </w:rPr>
        <w:t>breast secretion</w:t>
      </w:r>
      <w:r>
        <w:rPr>
          <w:spacing w:val="40"/>
          <w:sz w:val="22"/>
        </w:rPr>
        <w:t> </w:t>
      </w:r>
      <w:r>
        <w:rPr>
          <w:sz w:val="22"/>
        </w:rPr>
        <w:t>in</w:t>
      </w:r>
      <w:r>
        <w:rPr>
          <w:spacing w:val="40"/>
          <w:sz w:val="22"/>
        </w:rPr>
        <w:t> </w:t>
      </w:r>
      <w:r>
        <w:rPr>
          <w:sz w:val="22"/>
        </w:rPr>
        <w:t>pre-</w:t>
      </w:r>
      <w:r>
        <w:rPr>
          <w:spacing w:val="40"/>
          <w:sz w:val="22"/>
        </w:rPr>
        <w:t> </w:t>
      </w:r>
      <w:r>
        <w:rPr>
          <w:sz w:val="22"/>
        </w:rPr>
        <w:t>and</w:t>
      </w:r>
      <w:r>
        <w:rPr>
          <w:spacing w:val="40"/>
          <w:sz w:val="22"/>
        </w:rPr>
        <w:t> </w:t>
      </w:r>
      <w:r>
        <w:rPr>
          <w:sz w:val="22"/>
        </w:rPr>
        <w:t>postmenopausal</w:t>
      </w:r>
      <w:r>
        <w:rPr>
          <w:spacing w:val="40"/>
          <w:sz w:val="22"/>
        </w:rPr>
        <w:t> </w:t>
      </w:r>
      <w:r>
        <w:rPr>
          <w:sz w:val="22"/>
        </w:rPr>
        <w:t>women.</w:t>
      </w:r>
      <w:r>
        <w:rPr>
          <w:spacing w:val="40"/>
          <w:sz w:val="22"/>
        </w:rPr>
        <w:t> </w:t>
      </w:r>
      <w:r>
        <w:rPr>
          <w:i/>
          <w:sz w:val="22"/>
        </w:rPr>
        <w:t>Cancer</w:t>
      </w:r>
      <w:r>
        <w:rPr>
          <w:i/>
          <w:spacing w:val="40"/>
          <w:sz w:val="22"/>
        </w:rPr>
        <w:t> </w:t>
      </w:r>
      <w:r>
        <w:rPr>
          <w:i/>
          <w:sz w:val="22"/>
        </w:rPr>
        <w:t>Epidemiol</w:t>
      </w:r>
      <w:r>
        <w:rPr>
          <w:i/>
          <w:spacing w:val="40"/>
          <w:sz w:val="22"/>
        </w:rPr>
        <w:t> </w:t>
      </w:r>
      <w:r>
        <w:rPr>
          <w:i/>
          <w:sz w:val="22"/>
        </w:rPr>
        <w:t>Biomarkers</w:t>
      </w:r>
      <w:r>
        <w:rPr>
          <w:i/>
          <w:spacing w:val="40"/>
          <w:sz w:val="22"/>
        </w:rPr>
        <w:t> </w:t>
      </w:r>
      <w:r>
        <w:rPr>
          <w:i/>
          <w:sz w:val="22"/>
        </w:rPr>
        <w:t>Prev</w:t>
      </w:r>
      <w:r>
        <w:rPr>
          <w:sz w:val="22"/>
        </w:rPr>
        <w:t>. </w:t>
      </w:r>
      <w:r>
        <w:rPr>
          <w:spacing w:val="-2"/>
          <w:sz w:val="22"/>
        </w:rPr>
        <w:t>1996;5:785.</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Hedelin M, Löf M, Olsson M, Adlercreutz H, Sandin S, Weiderpass E. Dietary phytoestrogens are not associated with risk of overall breast cancer but diets rich in coumestrol are </w:t>
      </w:r>
      <w:r>
        <w:rPr>
          <w:sz w:val="22"/>
        </w:rPr>
        <w:t>inversely associated with risk of estrogen receptor and progesterone receptor negative breast tumors in Swedish women. </w:t>
      </w:r>
      <w:r>
        <w:rPr>
          <w:i/>
          <w:sz w:val="22"/>
        </w:rPr>
        <w:t>J Nutr</w:t>
      </w:r>
      <w:r>
        <w:rPr>
          <w:sz w:val="22"/>
        </w:rPr>
        <w:t>. 2008;138:938.</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Ward HA, Kuhnle GG, Mulligan AA, Lentjes MA, Luben RN, Khaw KT. Breast, colorectal,</w:t>
      </w:r>
      <w:r>
        <w:rPr>
          <w:spacing w:val="80"/>
          <w:sz w:val="22"/>
        </w:rPr>
        <w:t> </w:t>
      </w:r>
      <w:r>
        <w:rPr>
          <w:sz w:val="22"/>
        </w:rPr>
        <w:t>and prostate cancer risk in the European prospective investigation into cancer and nutrition-Norfolk</w:t>
      </w:r>
      <w:r>
        <w:rPr>
          <w:spacing w:val="40"/>
          <w:sz w:val="22"/>
        </w:rPr>
        <w:t> </w:t>
      </w:r>
      <w:r>
        <w:rPr>
          <w:sz w:val="22"/>
        </w:rPr>
        <w:t>in</w:t>
      </w:r>
      <w:r>
        <w:rPr>
          <w:spacing w:val="40"/>
          <w:sz w:val="22"/>
        </w:rPr>
        <w:t> </w:t>
      </w:r>
      <w:r>
        <w:rPr>
          <w:sz w:val="22"/>
        </w:rPr>
        <w:t>relation</w:t>
      </w:r>
      <w:r>
        <w:rPr>
          <w:spacing w:val="40"/>
          <w:sz w:val="22"/>
        </w:rPr>
        <w:t> </w:t>
      </w:r>
      <w:r>
        <w:rPr>
          <w:sz w:val="22"/>
        </w:rPr>
        <w:t>to</w:t>
      </w:r>
      <w:r>
        <w:rPr>
          <w:spacing w:val="40"/>
          <w:sz w:val="22"/>
        </w:rPr>
        <w:t> </w:t>
      </w:r>
      <w:r>
        <w:rPr>
          <w:sz w:val="22"/>
        </w:rPr>
        <w:t>phytoestrogen</w:t>
      </w:r>
      <w:r>
        <w:rPr>
          <w:spacing w:val="40"/>
          <w:sz w:val="22"/>
        </w:rPr>
        <w:t> </w:t>
      </w:r>
      <w:r>
        <w:rPr>
          <w:sz w:val="22"/>
        </w:rPr>
        <w:t>intake</w:t>
      </w:r>
      <w:r>
        <w:rPr>
          <w:spacing w:val="40"/>
          <w:sz w:val="22"/>
        </w:rPr>
        <w:t> </w:t>
      </w:r>
      <w:r>
        <w:rPr>
          <w:sz w:val="22"/>
        </w:rPr>
        <w:t>derived</w:t>
      </w:r>
      <w:r>
        <w:rPr>
          <w:spacing w:val="40"/>
          <w:sz w:val="22"/>
        </w:rPr>
        <w:t> </w:t>
      </w:r>
      <w:r>
        <w:rPr>
          <w:sz w:val="22"/>
        </w:rPr>
        <w:t>from</w:t>
      </w:r>
      <w:r>
        <w:rPr>
          <w:spacing w:val="40"/>
          <w:sz w:val="22"/>
        </w:rPr>
        <w:t> </w:t>
      </w:r>
      <w:r>
        <w:rPr>
          <w:sz w:val="22"/>
        </w:rPr>
        <w:t>an</w:t>
      </w:r>
      <w:r>
        <w:rPr>
          <w:spacing w:val="40"/>
          <w:sz w:val="22"/>
        </w:rPr>
        <w:t> </w:t>
      </w:r>
      <w:r>
        <w:rPr>
          <w:sz w:val="22"/>
        </w:rPr>
        <w:t>improved</w:t>
      </w:r>
      <w:r>
        <w:rPr>
          <w:spacing w:val="40"/>
          <w:sz w:val="22"/>
        </w:rPr>
        <w:t> </w:t>
      </w:r>
      <w:r>
        <w:rPr>
          <w:sz w:val="22"/>
        </w:rPr>
        <w:t>database.</w:t>
      </w:r>
      <w:r>
        <w:rPr>
          <w:spacing w:val="40"/>
          <w:sz w:val="22"/>
        </w:rPr>
        <w:t> </w:t>
      </w:r>
      <w:r>
        <w:rPr>
          <w:i/>
          <w:sz w:val="22"/>
        </w:rPr>
        <w:t>Am</w:t>
      </w:r>
      <w:r>
        <w:rPr>
          <w:i/>
          <w:spacing w:val="40"/>
          <w:sz w:val="22"/>
        </w:rPr>
        <w:t> </w:t>
      </w:r>
      <w:r>
        <w:rPr>
          <w:i/>
          <w:sz w:val="22"/>
        </w:rPr>
        <w:t>J</w:t>
      </w:r>
      <w:r>
        <w:rPr>
          <w:i/>
          <w:spacing w:val="40"/>
          <w:sz w:val="22"/>
        </w:rPr>
        <w:t> </w:t>
      </w:r>
      <w:r>
        <w:rPr>
          <w:i/>
          <w:sz w:val="22"/>
        </w:rPr>
        <w:t>Clin</w:t>
      </w:r>
      <w:r>
        <w:rPr>
          <w:i/>
          <w:sz w:val="22"/>
        </w:rPr>
        <w:t> Nutr</w:t>
      </w:r>
      <w:r>
        <w:rPr>
          <w:sz w:val="22"/>
        </w:rPr>
        <w:t>. 2010;91:440.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Lamartiniere CA. Protection against breast cancer with genistein: a component of soy. </w:t>
      </w:r>
      <w:r>
        <w:rPr>
          <w:i/>
          <w:sz w:val="22"/>
        </w:rPr>
        <w:t>Am</w:t>
      </w:r>
      <w:r>
        <w:rPr>
          <w:i/>
          <w:spacing w:val="40"/>
          <w:sz w:val="22"/>
        </w:rPr>
        <w:t> </w:t>
      </w:r>
      <w:r>
        <w:rPr>
          <w:i/>
          <w:sz w:val="22"/>
        </w:rPr>
        <w:t>J</w:t>
      </w:r>
      <w:r>
        <w:rPr>
          <w:i/>
          <w:spacing w:val="40"/>
          <w:sz w:val="22"/>
        </w:rPr>
        <w:t> </w:t>
      </w:r>
      <w:r>
        <w:rPr>
          <w:i/>
          <w:sz w:val="22"/>
        </w:rPr>
        <w:t>Clin Nutr</w:t>
      </w:r>
      <w:r>
        <w:rPr>
          <w:sz w:val="22"/>
        </w:rPr>
        <w:t>. 2000;71(suppl):1705S.</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Cohen</w:t>
      </w:r>
      <w:r>
        <w:rPr>
          <w:spacing w:val="40"/>
          <w:sz w:val="22"/>
        </w:rPr>
        <w:t> </w:t>
      </w:r>
      <w:r>
        <w:rPr>
          <w:sz w:val="22"/>
        </w:rPr>
        <w:t>LA,</w:t>
      </w:r>
      <w:r>
        <w:rPr>
          <w:spacing w:val="40"/>
          <w:sz w:val="22"/>
        </w:rPr>
        <w:t> </w:t>
      </w:r>
      <w:r>
        <w:rPr>
          <w:sz w:val="22"/>
        </w:rPr>
        <w:t>Zhao</w:t>
      </w:r>
      <w:r>
        <w:rPr>
          <w:spacing w:val="40"/>
          <w:sz w:val="22"/>
        </w:rPr>
        <w:t> </w:t>
      </w:r>
      <w:r>
        <w:rPr>
          <w:sz w:val="22"/>
        </w:rPr>
        <w:t>Z,</w:t>
      </w:r>
      <w:r>
        <w:rPr>
          <w:spacing w:val="40"/>
          <w:sz w:val="22"/>
        </w:rPr>
        <w:t> </w:t>
      </w:r>
      <w:r>
        <w:rPr>
          <w:sz w:val="22"/>
        </w:rPr>
        <w:t>Pittman</w:t>
      </w:r>
      <w:r>
        <w:rPr>
          <w:spacing w:val="40"/>
          <w:sz w:val="22"/>
        </w:rPr>
        <w:t> </w:t>
      </w:r>
      <w:r>
        <w:rPr>
          <w:sz w:val="22"/>
        </w:rPr>
        <w:t>B,</w:t>
      </w:r>
      <w:r>
        <w:rPr>
          <w:spacing w:val="40"/>
          <w:sz w:val="22"/>
        </w:rPr>
        <w:t> </w:t>
      </w:r>
      <w:r>
        <w:rPr>
          <w:sz w:val="22"/>
        </w:rPr>
        <w:t>Scimeca</w:t>
      </w:r>
      <w:r>
        <w:rPr>
          <w:spacing w:val="40"/>
          <w:sz w:val="22"/>
        </w:rPr>
        <w:t> </w:t>
      </w:r>
      <w:r>
        <w:rPr>
          <w:sz w:val="22"/>
        </w:rPr>
        <w:t>JA.</w:t>
      </w:r>
      <w:r>
        <w:rPr>
          <w:spacing w:val="40"/>
          <w:sz w:val="22"/>
        </w:rPr>
        <w:t> </w:t>
      </w:r>
      <w:r>
        <w:rPr>
          <w:sz w:val="22"/>
        </w:rPr>
        <w:t>Effect</w:t>
      </w:r>
      <w:r>
        <w:rPr>
          <w:spacing w:val="40"/>
          <w:sz w:val="22"/>
        </w:rPr>
        <w:t> </w:t>
      </w:r>
      <w:r>
        <w:rPr>
          <w:sz w:val="22"/>
        </w:rPr>
        <w:t>of</w:t>
      </w:r>
      <w:r>
        <w:rPr>
          <w:spacing w:val="40"/>
          <w:sz w:val="22"/>
        </w:rPr>
        <w:t> </w:t>
      </w:r>
      <w:r>
        <w:rPr>
          <w:sz w:val="22"/>
        </w:rPr>
        <w:t>intact</w:t>
      </w:r>
      <w:r>
        <w:rPr>
          <w:spacing w:val="40"/>
          <w:sz w:val="22"/>
        </w:rPr>
        <w:t> </w:t>
      </w:r>
      <w:r>
        <w:rPr>
          <w:sz w:val="22"/>
        </w:rPr>
        <w:t>and</w:t>
      </w:r>
      <w:r>
        <w:rPr>
          <w:spacing w:val="40"/>
          <w:sz w:val="22"/>
        </w:rPr>
        <w:t> </w:t>
      </w:r>
      <w:r>
        <w:rPr>
          <w:sz w:val="22"/>
        </w:rPr>
        <w:t>isoflavone-depleted</w:t>
      </w:r>
      <w:r>
        <w:rPr>
          <w:spacing w:val="40"/>
          <w:sz w:val="22"/>
        </w:rPr>
        <w:t> </w:t>
      </w:r>
      <w:r>
        <w:rPr>
          <w:sz w:val="22"/>
        </w:rPr>
        <w:t>soy protein on NMU-induced rat mammary tumorigenesis. </w:t>
      </w:r>
      <w:r>
        <w:rPr>
          <w:i/>
          <w:sz w:val="22"/>
        </w:rPr>
        <w:t>Carcinogenesis</w:t>
      </w:r>
      <w:r>
        <w:rPr>
          <w:sz w:val="22"/>
        </w:rPr>
        <w:t>. 2000;21:929.</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Foth D, Cline JM. Effects of mammalian and plant estrogens on mammary glands and uteri of macaques. </w:t>
      </w:r>
      <w:r>
        <w:rPr>
          <w:i/>
          <w:sz w:val="22"/>
        </w:rPr>
        <w:t>Am J Clin Nutr</w:t>
      </w:r>
      <w:r>
        <w:rPr>
          <w:sz w:val="22"/>
        </w:rPr>
        <w:t>. 1998;68(suppl):1413S.</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Yang J, Shen H, Mi M, Qin Y. Isoflavone consumption and risk of breast cancer: an </w:t>
      </w:r>
      <w:r>
        <w:rPr>
          <w:sz w:val="22"/>
        </w:rPr>
        <w:t>updated systematic review with meta-analysis of observational studies. </w:t>
      </w:r>
      <w:r>
        <w:rPr>
          <w:i/>
          <w:sz w:val="22"/>
        </w:rPr>
        <w:t>Nutrients</w:t>
      </w:r>
      <w:r>
        <w:rPr>
          <w:sz w:val="22"/>
        </w:rPr>
        <w:t>. 2023;15(10):2402.</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Foth D, Cline JM, Romer T. Effect of isoflavones on mammary gland and endometrium of postmenopausal macaques (Macaca fascicularis). </w:t>
      </w:r>
      <w:r>
        <w:rPr>
          <w:i/>
          <w:sz w:val="22"/>
        </w:rPr>
        <w:t>Zentralbl Gynakol</w:t>
      </w:r>
      <w:r>
        <w:rPr>
          <w:sz w:val="22"/>
        </w:rPr>
        <w:t>. 2000;122:96.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Lu</w:t>
      </w:r>
      <w:r>
        <w:rPr>
          <w:spacing w:val="21"/>
          <w:sz w:val="22"/>
        </w:rPr>
        <w:t> </w:t>
      </w:r>
      <w:r>
        <w:rPr>
          <w:sz w:val="22"/>
        </w:rPr>
        <w:t>L-JW,</w:t>
      </w:r>
      <w:r>
        <w:rPr>
          <w:spacing w:val="21"/>
          <w:sz w:val="22"/>
        </w:rPr>
        <w:t> </w:t>
      </w:r>
      <w:r>
        <w:rPr>
          <w:sz w:val="22"/>
        </w:rPr>
        <w:t>Anderson</w:t>
      </w:r>
      <w:r>
        <w:rPr>
          <w:spacing w:val="21"/>
          <w:sz w:val="22"/>
        </w:rPr>
        <w:t> </w:t>
      </w:r>
      <w:r>
        <w:rPr>
          <w:sz w:val="22"/>
        </w:rPr>
        <w:t>KE,</w:t>
      </w:r>
      <w:r>
        <w:rPr>
          <w:spacing w:val="21"/>
          <w:sz w:val="22"/>
        </w:rPr>
        <w:t> </w:t>
      </w:r>
      <w:r>
        <w:rPr>
          <w:sz w:val="22"/>
        </w:rPr>
        <w:t>Grady</w:t>
      </w:r>
      <w:r>
        <w:rPr>
          <w:spacing w:val="21"/>
          <w:sz w:val="22"/>
        </w:rPr>
        <w:t> </w:t>
      </w:r>
      <w:r>
        <w:rPr>
          <w:sz w:val="22"/>
        </w:rPr>
        <w:t>JJ,</w:t>
      </w:r>
      <w:r>
        <w:rPr>
          <w:spacing w:val="21"/>
          <w:sz w:val="22"/>
        </w:rPr>
        <w:t> </w:t>
      </w:r>
      <w:r>
        <w:rPr>
          <w:sz w:val="22"/>
        </w:rPr>
        <w:t>Nagamani</w:t>
      </w:r>
      <w:r>
        <w:rPr>
          <w:spacing w:val="21"/>
          <w:sz w:val="22"/>
        </w:rPr>
        <w:t> </w:t>
      </w:r>
      <w:r>
        <w:rPr>
          <w:sz w:val="22"/>
        </w:rPr>
        <w:t>M.</w:t>
      </w:r>
      <w:r>
        <w:rPr>
          <w:spacing w:val="21"/>
          <w:sz w:val="22"/>
        </w:rPr>
        <w:t> </w:t>
      </w:r>
      <w:r>
        <w:rPr>
          <w:sz w:val="22"/>
        </w:rPr>
        <w:t>Effects</w:t>
      </w:r>
      <w:r>
        <w:rPr>
          <w:spacing w:val="24"/>
          <w:sz w:val="22"/>
        </w:rPr>
        <w:t> </w:t>
      </w:r>
      <w:r>
        <w:rPr>
          <w:sz w:val="22"/>
        </w:rPr>
        <w:t>of</w:t>
      </w:r>
      <w:r>
        <w:rPr>
          <w:spacing w:val="24"/>
          <w:sz w:val="22"/>
        </w:rPr>
        <w:t> </w:t>
      </w:r>
      <w:r>
        <w:rPr>
          <w:sz w:val="22"/>
        </w:rPr>
        <w:t>soya</w:t>
      </w:r>
      <w:r>
        <w:rPr>
          <w:spacing w:val="24"/>
          <w:sz w:val="22"/>
        </w:rPr>
        <w:t> </w:t>
      </w:r>
      <w:r>
        <w:rPr>
          <w:sz w:val="22"/>
        </w:rPr>
        <w:t>consumption</w:t>
      </w:r>
      <w:r>
        <w:rPr>
          <w:spacing w:val="24"/>
          <w:sz w:val="22"/>
        </w:rPr>
        <w:t> </w:t>
      </w:r>
      <w:r>
        <w:rPr>
          <w:sz w:val="22"/>
        </w:rPr>
        <w:t>for</w:t>
      </w:r>
      <w:r>
        <w:rPr>
          <w:spacing w:val="24"/>
          <w:sz w:val="22"/>
        </w:rPr>
        <w:t> </w:t>
      </w:r>
      <w:r>
        <w:rPr>
          <w:sz w:val="22"/>
        </w:rPr>
        <w:t>one</w:t>
      </w:r>
      <w:r>
        <w:rPr>
          <w:spacing w:val="24"/>
          <w:sz w:val="22"/>
        </w:rPr>
        <w:t> </w:t>
      </w:r>
      <w:r>
        <w:rPr>
          <w:sz w:val="22"/>
        </w:rPr>
        <w:t>month on steroid hormones in premenopausal women: implications for breast cancer risk reduction. </w:t>
      </w:r>
      <w:r>
        <w:rPr>
          <w:i/>
          <w:sz w:val="22"/>
        </w:rPr>
        <w:t>Cancer Epidemiol Biomarkers Prev</w:t>
      </w:r>
      <w:r>
        <w:rPr>
          <w:sz w:val="22"/>
        </w:rPr>
        <w:t>. 1996;5:63.</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Wu AH, Stancyzk FZ, Hendrich S, Murphy PA, Zhang C, Pike MC. Effects of soy foods on ovarian function in premenopausal women. </w:t>
      </w:r>
      <w:r>
        <w:rPr>
          <w:i/>
          <w:sz w:val="22"/>
        </w:rPr>
        <w:t>Br J Cancer</w:t>
      </w:r>
      <w:r>
        <w:rPr>
          <w:sz w:val="22"/>
        </w:rPr>
        <w:t>. 2000;82:1879.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Lu</w:t>
      </w:r>
      <w:r>
        <w:rPr>
          <w:spacing w:val="40"/>
          <w:sz w:val="22"/>
        </w:rPr>
        <w:t> </w:t>
      </w:r>
      <w:r>
        <w:rPr>
          <w:sz w:val="22"/>
        </w:rPr>
        <w:t>LW,</w:t>
      </w:r>
      <w:r>
        <w:rPr>
          <w:spacing w:val="40"/>
          <w:sz w:val="22"/>
        </w:rPr>
        <w:t> </w:t>
      </w:r>
      <w:r>
        <w:rPr>
          <w:sz w:val="22"/>
        </w:rPr>
        <w:t>Anderson</w:t>
      </w:r>
      <w:r>
        <w:rPr>
          <w:spacing w:val="40"/>
          <w:sz w:val="22"/>
        </w:rPr>
        <w:t> </w:t>
      </w:r>
      <w:r>
        <w:rPr>
          <w:sz w:val="22"/>
        </w:rPr>
        <w:t>KE,</w:t>
      </w:r>
      <w:r>
        <w:rPr>
          <w:spacing w:val="40"/>
          <w:sz w:val="22"/>
        </w:rPr>
        <w:t> </w:t>
      </w:r>
      <w:r>
        <w:rPr>
          <w:sz w:val="22"/>
        </w:rPr>
        <w:t>Grady</w:t>
      </w:r>
      <w:r>
        <w:rPr>
          <w:spacing w:val="40"/>
          <w:sz w:val="22"/>
        </w:rPr>
        <w:t> </w:t>
      </w:r>
      <w:r>
        <w:rPr>
          <w:sz w:val="22"/>
        </w:rPr>
        <w:t>JJ,</w:t>
      </w:r>
      <w:r>
        <w:rPr>
          <w:spacing w:val="40"/>
          <w:sz w:val="22"/>
        </w:rPr>
        <w:t> </w:t>
      </w:r>
      <w:r>
        <w:rPr>
          <w:sz w:val="22"/>
        </w:rPr>
        <w:t>Nagamani</w:t>
      </w:r>
      <w:r>
        <w:rPr>
          <w:spacing w:val="40"/>
          <w:sz w:val="22"/>
        </w:rPr>
        <w:t> </w:t>
      </w:r>
      <w:r>
        <w:rPr>
          <w:sz w:val="22"/>
        </w:rPr>
        <w:t>M.</w:t>
      </w:r>
      <w:r>
        <w:rPr>
          <w:spacing w:val="40"/>
          <w:sz w:val="22"/>
        </w:rPr>
        <w:t> </w:t>
      </w:r>
      <w:r>
        <w:rPr>
          <w:sz w:val="22"/>
        </w:rPr>
        <w:t>Effects</w:t>
      </w:r>
      <w:r>
        <w:rPr>
          <w:spacing w:val="40"/>
          <w:sz w:val="22"/>
        </w:rPr>
        <w:t> </w:t>
      </w:r>
      <w:r>
        <w:rPr>
          <w:sz w:val="22"/>
        </w:rPr>
        <w:t>of</w:t>
      </w:r>
      <w:r>
        <w:rPr>
          <w:spacing w:val="40"/>
          <w:sz w:val="22"/>
        </w:rPr>
        <w:t> </w:t>
      </w:r>
      <w:r>
        <w:rPr>
          <w:sz w:val="22"/>
        </w:rPr>
        <w:t>an</w:t>
      </w:r>
      <w:r>
        <w:rPr>
          <w:spacing w:val="40"/>
          <w:sz w:val="22"/>
        </w:rPr>
        <w:t> </w:t>
      </w:r>
      <w:r>
        <w:rPr>
          <w:sz w:val="22"/>
        </w:rPr>
        <w:t>isoflavone-free</w:t>
      </w:r>
      <w:r>
        <w:rPr>
          <w:spacing w:val="40"/>
          <w:sz w:val="22"/>
        </w:rPr>
        <w:t> </w:t>
      </w:r>
      <w:r>
        <w:rPr>
          <w:sz w:val="22"/>
        </w:rPr>
        <w:t>soy</w:t>
      </w:r>
      <w:r>
        <w:rPr>
          <w:spacing w:val="40"/>
          <w:sz w:val="22"/>
        </w:rPr>
        <w:t> </w:t>
      </w:r>
      <w:r>
        <w:rPr>
          <w:sz w:val="22"/>
        </w:rPr>
        <w:t>diet</w:t>
      </w:r>
      <w:r>
        <w:rPr>
          <w:spacing w:val="40"/>
          <w:sz w:val="22"/>
        </w:rPr>
        <w:t> </w:t>
      </w:r>
      <w:r>
        <w:rPr>
          <w:sz w:val="22"/>
        </w:rPr>
        <w:t>on ovarian hormones in premenopausal women. </w:t>
      </w:r>
      <w:r>
        <w:rPr>
          <w:i/>
          <w:sz w:val="22"/>
        </w:rPr>
        <w:t>J Clin Endocrinol Metab</w:t>
      </w:r>
      <w:r>
        <w:rPr>
          <w:sz w:val="22"/>
        </w:rPr>
        <w:t>. 2001;86:3045.</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Martini MC, Dancisak BB, Haggans CJ, Thomas W, Slavin JL. Effects of soy intake on sex hormone metabolism in premenopausal women. </w:t>
      </w:r>
      <w:r>
        <w:rPr>
          <w:i/>
          <w:sz w:val="22"/>
        </w:rPr>
        <w:t>Nutr Cancer</w:t>
      </w:r>
      <w:r>
        <w:rPr>
          <w:sz w:val="22"/>
        </w:rPr>
        <w:t>. 1999;34:133.</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Baird DD, Umbach DM, Lansdell L, et al. Dietary intervention study to assess estrogenicity of dietary soy among postmenopausal women. </w:t>
      </w:r>
      <w:r>
        <w:rPr>
          <w:i/>
          <w:sz w:val="22"/>
        </w:rPr>
        <w:t>J Clin Endocrinol Metab</w:t>
      </w:r>
      <w:r>
        <w:rPr>
          <w:sz w:val="22"/>
        </w:rPr>
        <w:t>. 1995;80:1685.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Duncan AM, Underhill KE, Xu X, Lavalleur J, Phipps WR, Kurzer MS. Modest </w:t>
      </w:r>
      <w:r>
        <w:rPr>
          <w:sz w:val="22"/>
        </w:rPr>
        <w:t>hormonal effects of soy isoflavones in postmenopausal women. </w:t>
      </w:r>
      <w:r>
        <w:rPr>
          <w:i/>
          <w:sz w:val="22"/>
        </w:rPr>
        <w:t>J Clin Endocrinol Metab</w:t>
      </w:r>
      <w:r>
        <w:rPr>
          <w:sz w:val="22"/>
        </w:rPr>
        <w:t>. 1999;84:3479.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Lu</w:t>
      </w:r>
      <w:r>
        <w:rPr>
          <w:spacing w:val="19"/>
          <w:sz w:val="22"/>
        </w:rPr>
        <w:t> </w:t>
      </w:r>
      <w:r>
        <w:rPr>
          <w:sz w:val="22"/>
        </w:rPr>
        <w:t>LJ,</w:t>
      </w:r>
      <w:r>
        <w:rPr>
          <w:spacing w:val="19"/>
          <w:sz w:val="22"/>
        </w:rPr>
        <w:t> </w:t>
      </w:r>
      <w:r>
        <w:rPr>
          <w:sz w:val="22"/>
        </w:rPr>
        <w:t>Cree</w:t>
      </w:r>
      <w:r>
        <w:rPr>
          <w:spacing w:val="19"/>
          <w:sz w:val="22"/>
        </w:rPr>
        <w:t> </w:t>
      </w:r>
      <w:r>
        <w:rPr>
          <w:sz w:val="22"/>
        </w:rPr>
        <w:t>M,</w:t>
      </w:r>
      <w:r>
        <w:rPr>
          <w:spacing w:val="19"/>
          <w:sz w:val="22"/>
        </w:rPr>
        <w:t> </w:t>
      </w:r>
      <w:r>
        <w:rPr>
          <w:sz w:val="22"/>
        </w:rPr>
        <w:t>Josyula</w:t>
      </w:r>
      <w:r>
        <w:rPr>
          <w:spacing w:val="19"/>
          <w:sz w:val="22"/>
        </w:rPr>
        <w:t> </w:t>
      </w:r>
      <w:r>
        <w:rPr>
          <w:sz w:val="22"/>
        </w:rPr>
        <w:t>S,</w:t>
      </w:r>
      <w:r>
        <w:rPr>
          <w:spacing w:val="19"/>
          <w:sz w:val="22"/>
        </w:rPr>
        <w:t> </w:t>
      </w:r>
      <w:r>
        <w:rPr>
          <w:sz w:val="22"/>
        </w:rPr>
        <w:t>Nagamani</w:t>
      </w:r>
      <w:r>
        <w:rPr>
          <w:spacing w:val="19"/>
          <w:sz w:val="22"/>
        </w:rPr>
        <w:t> </w:t>
      </w:r>
      <w:r>
        <w:rPr>
          <w:sz w:val="22"/>
        </w:rPr>
        <w:t>M,</w:t>
      </w:r>
      <w:r>
        <w:rPr>
          <w:spacing w:val="19"/>
          <w:sz w:val="22"/>
        </w:rPr>
        <w:t> </w:t>
      </w:r>
      <w:r>
        <w:rPr>
          <w:sz w:val="22"/>
        </w:rPr>
        <w:t>Grady</w:t>
      </w:r>
      <w:r>
        <w:rPr>
          <w:spacing w:val="19"/>
          <w:sz w:val="22"/>
        </w:rPr>
        <w:t> </w:t>
      </w:r>
      <w:r>
        <w:rPr>
          <w:sz w:val="22"/>
        </w:rPr>
        <w:t>JJ,</w:t>
      </w:r>
      <w:r>
        <w:rPr>
          <w:spacing w:val="19"/>
          <w:sz w:val="22"/>
        </w:rPr>
        <w:t> </w:t>
      </w:r>
      <w:r>
        <w:rPr>
          <w:sz w:val="22"/>
        </w:rPr>
        <w:t>Anderson</w:t>
      </w:r>
      <w:r>
        <w:rPr>
          <w:spacing w:val="19"/>
          <w:sz w:val="22"/>
        </w:rPr>
        <w:t> </w:t>
      </w:r>
      <w:r>
        <w:rPr>
          <w:sz w:val="22"/>
        </w:rPr>
        <w:t>KE.</w:t>
      </w:r>
      <w:r>
        <w:rPr>
          <w:spacing w:val="18"/>
          <w:sz w:val="22"/>
        </w:rPr>
        <w:t> </w:t>
      </w:r>
      <w:r>
        <w:rPr>
          <w:sz w:val="22"/>
        </w:rPr>
        <w:t>Increased</w:t>
      </w:r>
      <w:r>
        <w:rPr>
          <w:spacing w:val="26"/>
          <w:sz w:val="22"/>
        </w:rPr>
        <w:t> </w:t>
      </w:r>
      <w:r>
        <w:rPr>
          <w:sz w:val="22"/>
        </w:rPr>
        <w:t>urinary</w:t>
      </w:r>
      <w:r>
        <w:rPr>
          <w:spacing w:val="26"/>
          <w:sz w:val="22"/>
        </w:rPr>
        <w:t> </w:t>
      </w:r>
      <w:r>
        <w:rPr>
          <w:sz w:val="22"/>
        </w:rPr>
        <w:t>excretion of 2-hydroxyestrone but not 16alpha-hydroxyestrone in premenopausal women during a soya diet containing isoflavones. </w:t>
      </w:r>
      <w:r>
        <w:rPr>
          <w:i/>
          <w:sz w:val="22"/>
        </w:rPr>
        <w:t>Cancer Res</w:t>
      </w:r>
      <w:r>
        <w:rPr>
          <w:sz w:val="22"/>
        </w:rPr>
        <w:t>. 2000;60:1299.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Fuhrman BJ, Pfeiffer R, Xu X, et al. Soy intake is associated with increased 2-hydroxylation</w:t>
      </w:r>
      <w:r>
        <w:rPr>
          <w:spacing w:val="80"/>
          <w:sz w:val="22"/>
        </w:rPr>
        <w:t> </w:t>
      </w:r>
      <w:r>
        <w:rPr>
          <w:sz w:val="22"/>
        </w:rPr>
        <w:t>and decreased 16a-hydroxylation of estrogens in Asian-American women. </w:t>
      </w:r>
      <w:r>
        <w:rPr>
          <w:i/>
          <w:sz w:val="22"/>
        </w:rPr>
        <w:t>Cancer </w:t>
      </w:r>
      <w:r>
        <w:rPr>
          <w:i/>
          <w:sz w:val="22"/>
        </w:rPr>
        <w:t>Epidemiol</w:t>
      </w:r>
      <w:r>
        <w:rPr>
          <w:i/>
          <w:sz w:val="22"/>
        </w:rPr>
        <w:t> Biomarkers Prev</w:t>
      </w:r>
      <w:r>
        <w:rPr>
          <w:sz w:val="22"/>
        </w:rPr>
        <w:t>. 2009;18:2751.</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Hargreaves DF, Potten CS, Harding C, et al. Two-week dietary soy supplementation has an estrogenic effect on normal premenopausal breast. </w:t>
      </w:r>
      <w:r>
        <w:rPr>
          <w:i/>
          <w:sz w:val="22"/>
        </w:rPr>
        <w:t>J Clin Endocrinol Metab</w:t>
      </w:r>
      <w:r>
        <w:rPr>
          <w:sz w:val="22"/>
        </w:rPr>
        <w:t>. 1999;84:4017.</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McMichael-Phillips</w:t>
      </w:r>
      <w:r>
        <w:rPr>
          <w:spacing w:val="30"/>
          <w:sz w:val="22"/>
        </w:rPr>
        <w:t> </w:t>
      </w:r>
      <w:r>
        <w:rPr>
          <w:sz w:val="22"/>
        </w:rPr>
        <w:t>DF,</w:t>
      </w:r>
      <w:r>
        <w:rPr>
          <w:spacing w:val="30"/>
          <w:sz w:val="22"/>
        </w:rPr>
        <w:t> </w:t>
      </w:r>
      <w:r>
        <w:rPr>
          <w:sz w:val="22"/>
        </w:rPr>
        <w:t>Harding</w:t>
      </w:r>
      <w:r>
        <w:rPr>
          <w:spacing w:val="30"/>
          <w:sz w:val="22"/>
        </w:rPr>
        <w:t> </w:t>
      </w:r>
      <w:r>
        <w:rPr>
          <w:sz w:val="22"/>
        </w:rPr>
        <w:t>C,</w:t>
      </w:r>
      <w:r>
        <w:rPr>
          <w:spacing w:val="30"/>
          <w:sz w:val="22"/>
        </w:rPr>
        <w:t> </w:t>
      </w:r>
      <w:r>
        <w:rPr>
          <w:sz w:val="22"/>
        </w:rPr>
        <w:t>Morton</w:t>
      </w:r>
      <w:r>
        <w:rPr>
          <w:spacing w:val="30"/>
          <w:sz w:val="22"/>
        </w:rPr>
        <w:t> </w:t>
      </w:r>
      <w:r>
        <w:rPr>
          <w:sz w:val="22"/>
        </w:rPr>
        <w:t>M,</w:t>
      </w:r>
      <w:r>
        <w:rPr>
          <w:spacing w:val="30"/>
          <w:sz w:val="22"/>
        </w:rPr>
        <w:t> </w:t>
      </w:r>
      <w:r>
        <w:rPr>
          <w:sz w:val="22"/>
        </w:rPr>
        <w:t>et</w:t>
      </w:r>
      <w:r>
        <w:rPr>
          <w:spacing w:val="30"/>
          <w:sz w:val="22"/>
        </w:rPr>
        <w:t> </w:t>
      </w:r>
      <w:r>
        <w:rPr>
          <w:sz w:val="22"/>
        </w:rPr>
        <w:t>al.</w:t>
      </w:r>
      <w:r>
        <w:rPr>
          <w:spacing w:val="29"/>
          <w:sz w:val="22"/>
        </w:rPr>
        <w:t> </w:t>
      </w:r>
      <w:r>
        <w:rPr>
          <w:sz w:val="22"/>
        </w:rPr>
        <w:t>Effects</w:t>
      </w:r>
      <w:r>
        <w:rPr>
          <w:spacing w:val="31"/>
          <w:sz w:val="22"/>
        </w:rPr>
        <w:t> </w:t>
      </w:r>
      <w:r>
        <w:rPr>
          <w:sz w:val="22"/>
        </w:rPr>
        <w:t>of</w:t>
      </w:r>
      <w:r>
        <w:rPr>
          <w:spacing w:val="31"/>
          <w:sz w:val="22"/>
        </w:rPr>
        <w:t> </w:t>
      </w:r>
      <w:r>
        <w:rPr>
          <w:sz w:val="22"/>
        </w:rPr>
        <w:t>soy-protein</w:t>
      </w:r>
      <w:r>
        <w:rPr>
          <w:spacing w:val="31"/>
          <w:sz w:val="22"/>
        </w:rPr>
        <w:t> </w:t>
      </w:r>
      <w:r>
        <w:rPr>
          <w:sz w:val="22"/>
        </w:rPr>
        <w:t>supplementation on epithelial proliferation in the histologically normal breast. </w:t>
      </w:r>
      <w:r>
        <w:rPr>
          <w:i/>
          <w:sz w:val="22"/>
        </w:rPr>
        <w:t>Am J Clin Nutr</w:t>
      </w:r>
      <w:r>
        <w:rPr>
          <w:sz w:val="22"/>
        </w:rPr>
        <w:t>. </w:t>
      </w:r>
      <w:r>
        <w:rPr>
          <w:spacing w:val="-2"/>
          <w:sz w:val="22"/>
        </w:rPr>
        <w:t>1998;68(suppl):1431S.</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Shu XO, Zheng Y, Cai H, et al. Soy food intake and breast cancer survival. </w:t>
      </w:r>
      <w:r>
        <w:rPr>
          <w:i/>
          <w:sz w:val="22"/>
        </w:rPr>
        <w:t>JAMA</w:t>
      </w:r>
      <w:r>
        <w:rPr>
          <w:sz w:val="22"/>
        </w:rPr>
        <w:t>. </w:t>
      </w:r>
      <w:r>
        <w:rPr>
          <w:spacing w:val="-2"/>
          <w:sz w:val="22"/>
        </w:rPr>
        <w:t>2009;302:2483.</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0" w:hanging="507"/>
        <w:jc w:val="both"/>
        <w:rPr>
          <w:sz w:val="22"/>
        </w:rPr>
      </w:pPr>
      <w:r>
        <w:rPr>
          <w:sz w:val="22"/>
        </w:rPr>
        <w:t>Guha N, Kwan ML, Quesenberry CP Jr, Weltzien EK, Castillo AL, Caan BJ. Soy isoflavones and risk of cancer recurrence in a cohort of breast cancer survivors: the Life After Cancer Epidemiology study. </w:t>
      </w:r>
      <w:r>
        <w:rPr>
          <w:i/>
          <w:sz w:val="22"/>
        </w:rPr>
        <w:t>Breast Cancer Res Treat</w:t>
      </w:r>
      <w:r>
        <w:rPr>
          <w:sz w:val="22"/>
        </w:rPr>
        <w:t>. 2009;118:395.</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Scambia G, Mango D, Signorile PG, et al. Clinical effects of a standardized soy extract </w:t>
      </w:r>
      <w:r>
        <w:rPr>
          <w:sz w:val="22"/>
        </w:rPr>
        <w:t>in postmenopausal women: a pilot study. </w:t>
      </w:r>
      <w:r>
        <w:rPr>
          <w:i/>
          <w:sz w:val="22"/>
        </w:rPr>
        <w:t>Menopause</w:t>
      </w:r>
      <w:r>
        <w:rPr>
          <w:sz w:val="22"/>
        </w:rPr>
        <w:t>. 2000;7:105.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Penotti M, Fabio E, Modena AB, Rinaldi M, Omodei U, Vigano P. Effect of soy-derived isoflavones on hot flushes, endometrial thickness, and the pulsatility index of the uterine </w:t>
      </w:r>
      <w:r>
        <w:rPr>
          <w:sz w:val="22"/>
        </w:rPr>
        <w:t>and cerebral arteries. </w:t>
      </w:r>
      <w:r>
        <w:rPr>
          <w:i/>
          <w:sz w:val="22"/>
        </w:rPr>
        <w:t>Fertil Steril</w:t>
      </w:r>
      <w:r>
        <w:rPr>
          <w:sz w:val="22"/>
        </w:rPr>
        <w:t>. 2003;79:1112.</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Komesaroff PA, Black C, Cable V, Sudhir K. Effects of wild yam extract on menopausal symptoms, lipids and sex hormones in healthy menopausal women. </w:t>
      </w:r>
      <w:r>
        <w:rPr>
          <w:i/>
          <w:sz w:val="22"/>
        </w:rPr>
        <w:t>Climacteric</w:t>
      </w:r>
      <w:r>
        <w:rPr>
          <w:sz w:val="22"/>
        </w:rPr>
        <w:t>. 2001;4:144.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Stanczyk</w:t>
      </w:r>
      <w:r>
        <w:rPr>
          <w:spacing w:val="38"/>
          <w:sz w:val="22"/>
        </w:rPr>
        <w:t> </w:t>
      </w:r>
      <w:r>
        <w:rPr>
          <w:sz w:val="22"/>
        </w:rPr>
        <w:t>FZ,</w:t>
      </w:r>
      <w:r>
        <w:rPr>
          <w:spacing w:val="38"/>
          <w:sz w:val="22"/>
        </w:rPr>
        <w:t> </w:t>
      </w:r>
      <w:r>
        <w:rPr>
          <w:sz w:val="22"/>
        </w:rPr>
        <w:t>Paulson</w:t>
      </w:r>
      <w:r>
        <w:rPr>
          <w:spacing w:val="38"/>
          <w:sz w:val="22"/>
        </w:rPr>
        <w:t> </w:t>
      </w:r>
      <w:r>
        <w:rPr>
          <w:sz w:val="22"/>
        </w:rPr>
        <w:t>RJ,</w:t>
      </w:r>
      <w:r>
        <w:rPr>
          <w:spacing w:val="38"/>
          <w:sz w:val="22"/>
        </w:rPr>
        <w:t> </w:t>
      </w:r>
      <w:r>
        <w:rPr>
          <w:sz w:val="22"/>
        </w:rPr>
        <w:t>Roy</w:t>
      </w:r>
      <w:r>
        <w:rPr>
          <w:spacing w:val="38"/>
          <w:sz w:val="22"/>
        </w:rPr>
        <w:t> </w:t>
      </w:r>
      <w:r>
        <w:rPr>
          <w:sz w:val="22"/>
        </w:rPr>
        <w:t>S.</w:t>
      </w:r>
      <w:r>
        <w:rPr>
          <w:spacing w:val="38"/>
          <w:sz w:val="22"/>
        </w:rPr>
        <w:t> </w:t>
      </w:r>
      <w:r>
        <w:rPr>
          <w:sz w:val="22"/>
        </w:rPr>
        <w:t>Percutaneous</w:t>
      </w:r>
      <w:r>
        <w:rPr>
          <w:spacing w:val="37"/>
          <w:sz w:val="22"/>
        </w:rPr>
        <w:t> </w:t>
      </w:r>
      <w:r>
        <w:rPr>
          <w:sz w:val="22"/>
        </w:rPr>
        <w:t>administration</w:t>
      </w:r>
      <w:r>
        <w:rPr>
          <w:spacing w:val="37"/>
          <w:sz w:val="22"/>
        </w:rPr>
        <w:t> </w:t>
      </w:r>
      <w:r>
        <w:rPr>
          <w:sz w:val="22"/>
        </w:rPr>
        <w:t>of</w:t>
      </w:r>
      <w:r>
        <w:rPr>
          <w:spacing w:val="37"/>
          <w:sz w:val="22"/>
        </w:rPr>
        <w:t> </w:t>
      </w:r>
      <w:r>
        <w:rPr>
          <w:sz w:val="22"/>
        </w:rPr>
        <w:t>progesterone:</w:t>
      </w:r>
      <w:r>
        <w:rPr>
          <w:spacing w:val="37"/>
          <w:sz w:val="22"/>
        </w:rPr>
        <w:t> </w:t>
      </w:r>
      <w:r>
        <w:rPr>
          <w:sz w:val="22"/>
        </w:rPr>
        <w:t>blood</w:t>
      </w:r>
      <w:r>
        <w:rPr>
          <w:spacing w:val="37"/>
          <w:sz w:val="22"/>
        </w:rPr>
        <w:t> </w:t>
      </w:r>
      <w:r>
        <w:rPr>
          <w:sz w:val="22"/>
        </w:rPr>
        <w:t>levels and endometrial protection. </w:t>
      </w:r>
      <w:r>
        <w:rPr>
          <w:i/>
          <w:sz w:val="22"/>
        </w:rPr>
        <w:t>Menopause</w:t>
      </w:r>
      <w:r>
        <w:rPr>
          <w:sz w:val="22"/>
        </w:rPr>
        <w:t>. 2005;12:232.</w:t>
      </w:r>
    </w:p>
    <w:p>
      <w:pPr>
        <w:pStyle w:val="ListParagraph"/>
        <w:numPr>
          <w:ilvl w:val="0"/>
          <w:numId w:val="19"/>
        </w:numPr>
        <w:tabs>
          <w:tab w:pos="699" w:val="left" w:leader="none"/>
          <w:tab w:pos="718" w:val="left" w:leader="none"/>
        </w:tabs>
        <w:spacing w:line="256" w:lineRule="auto" w:before="0" w:after="0"/>
        <w:ind w:left="718" w:right="99" w:hanging="507"/>
        <w:jc w:val="both"/>
        <w:rPr>
          <w:sz w:val="22"/>
        </w:rPr>
      </w:pPr>
      <w:r>
        <w:rPr>
          <w:sz w:val="22"/>
        </w:rPr>
        <w:t>Balk JL, Whiteside DA, Naus G, DeFerrari E, Roberts JM. A pilot study of the effects of phytoestrogen supplementation on postmenopausal endometrium. </w:t>
      </w:r>
      <w:r>
        <w:rPr>
          <w:i/>
          <w:sz w:val="22"/>
        </w:rPr>
        <w:t>J Soc Gynecol Investig</w:t>
      </w:r>
      <w:r>
        <w:rPr>
          <w:sz w:val="22"/>
        </w:rPr>
        <w:t>. </w:t>
      </w:r>
      <w:r>
        <w:rPr>
          <w:spacing w:val="-2"/>
          <w:sz w:val="22"/>
        </w:rPr>
        <w:t>2002;9:238.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Morito K, Hirose T, Kinjo J, et al. Interaction of phytoestrogens with estrogen receptors alpha and beta. </w:t>
      </w:r>
      <w:r>
        <w:rPr>
          <w:i/>
          <w:sz w:val="22"/>
        </w:rPr>
        <w:t>Biol Pharm Bull</w:t>
      </w:r>
      <w:r>
        <w:rPr>
          <w:sz w:val="22"/>
        </w:rPr>
        <w:t>. 2001;24:351.</w:t>
      </w:r>
    </w:p>
    <w:p>
      <w:pPr>
        <w:pStyle w:val="ListParagraph"/>
        <w:numPr>
          <w:ilvl w:val="0"/>
          <w:numId w:val="19"/>
        </w:numPr>
        <w:tabs>
          <w:tab w:pos="710" w:val="left" w:leader="none"/>
        </w:tabs>
        <w:spacing w:line="252" w:lineRule="exact" w:before="0" w:after="0"/>
        <w:ind w:left="710" w:right="0" w:hanging="498"/>
        <w:jc w:val="both"/>
        <w:rPr>
          <w:sz w:val="22"/>
        </w:rPr>
      </w:pPr>
      <w:r>
        <w:rPr>
          <w:sz w:val="22"/>
        </w:rPr>
        <w:t>Setchell</w:t>
      </w:r>
      <w:r>
        <w:rPr>
          <w:spacing w:val="11"/>
          <w:sz w:val="22"/>
        </w:rPr>
        <w:t> </w:t>
      </w:r>
      <w:r>
        <w:rPr>
          <w:sz w:val="22"/>
        </w:rPr>
        <w:t>KDR,</w:t>
      </w:r>
      <w:r>
        <w:rPr>
          <w:spacing w:val="12"/>
          <w:sz w:val="22"/>
        </w:rPr>
        <w:t> </w:t>
      </w:r>
      <w:r>
        <w:rPr>
          <w:sz w:val="22"/>
        </w:rPr>
        <w:t>Brown</w:t>
      </w:r>
      <w:r>
        <w:rPr>
          <w:spacing w:val="12"/>
          <w:sz w:val="22"/>
        </w:rPr>
        <w:t> </w:t>
      </w:r>
      <w:r>
        <w:rPr>
          <w:sz w:val="22"/>
        </w:rPr>
        <w:t>NM,</w:t>
      </w:r>
      <w:r>
        <w:rPr>
          <w:spacing w:val="12"/>
          <w:sz w:val="22"/>
        </w:rPr>
        <w:t> </w:t>
      </w:r>
      <w:r>
        <w:rPr>
          <w:sz w:val="22"/>
        </w:rPr>
        <w:t>Lydeking-Olsen</w:t>
      </w:r>
      <w:r>
        <w:rPr>
          <w:spacing w:val="12"/>
          <w:sz w:val="22"/>
        </w:rPr>
        <w:t> </w:t>
      </w:r>
      <w:r>
        <w:rPr>
          <w:sz w:val="22"/>
        </w:rPr>
        <w:t>E.</w:t>
      </w:r>
      <w:r>
        <w:rPr>
          <w:spacing w:val="12"/>
          <w:sz w:val="22"/>
        </w:rPr>
        <w:t> </w:t>
      </w:r>
      <w:r>
        <w:rPr>
          <w:sz w:val="22"/>
        </w:rPr>
        <w:t>The</w:t>
      </w:r>
      <w:r>
        <w:rPr>
          <w:spacing w:val="12"/>
          <w:sz w:val="22"/>
        </w:rPr>
        <w:t> </w:t>
      </w:r>
      <w:r>
        <w:rPr>
          <w:sz w:val="22"/>
        </w:rPr>
        <w:t>clinical</w:t>
      </w:r>
      <w:r>
        <w:rPr>
          <w:spacing w:val="12"/>
          <w:sz w:val="22"/>
        </w:rPr>
        <w:t> </w:t>
      </w:r>
      <w:r>
        <w:rPr>
          <w:sz w:val="22"/>
        </w:rPr>
        <w:t>importance</w:t>
      </w:r>
      <w:r>
        <w:rPr>
          <w:spacing w:val="12"/>
          <w:sz w:val="22"/>
        </w:rPr>
        <w:t> </w:t>
      </w:r>
      <w:r>
        <w:rPr>
          <w:sz w:val="22"/>
        </w:rPr>
        <w:t>of</w:t>
      </w:r>
      <w:r>
        <w:rPr>
          <w:spacing w:val="12"/>
          <w:sz w:val="22"/>
        </w:rPr>
        <w:t> </w:t>
      </w:r>
      <w:r>
        <w:rPr>
          <w:sz w:val="22"/>
        </w:rPr>
        <w:t>the</w:t>
      </w:r>
      <w:r>
        <w:rPr>
          <w:spacing w:val="12"/>
          <w:sz w:val="22"/>
        </w:rPr>
        <w:t> </w:t>
      </w:r>
      <w:r>
        <w:rPr>
          <w:sz w:val="22"/>
        </w:rPr>
        <w:t>metabolite</w:t>
      </w:r>
      <w:r>
        <w:rPr>
          <w:spacing w:val="12"/>
          <w:sz w:val="22"/>
        </w:rPr>
        <w:t> </w:t>
      </w:r>
      <w:r>
        <w:rPr>
          <w:spacing w:val="-2"/>
          <w:sz w:val="22"/>
        </w:rPr>
        <w:t>equol</w:t>
      </w:r>
    </w:p>
    <w:p>
      <w:pPr>
        <w:spacing w:before="7"/>
        <w:ind w:left="718" w:right="0" w:firstLine="0"/>
        <w:jc w:val="both"/>
        <w:rPr>
          <w:sz w:val="22"/>
        </w:rPr>
      </w:pPr>
      <w:r>
        <w:rPr>
          <w:sz w:val="22"/>
        </w:rPr>
        <w:t>—a</w:t>
      </w:r>
      <w:r>
        <w:rPr>
          <w:spacing w:val="6"/>
          <w:sz w:val="22"/>
        </w:rPr>
        <w:t> </w:t>
      </w:r>
      <w:r>
        <w:rPr>
          <w:sz w:val="22"/>
        </w:rPr>
        <w:t>clue</w:t>
      </w:r>
      <w:r>
        <w:rPr>
          <w:spacing w:val="9"/>
          <w:sz w:val="22"/>
        </w:rPr>
        <w:t> </w:t>
      </w:r>
      <w:r>
        <w:rPr>
          <w:sz w:val="22"/>
        </w:rPr>
        <w:t>to</w:t>
      </w:r>
      <w:r>
        <w:rPr>
          <w:spacing w:val="9"/>
          <w:sz w:val="22"/>
        </w:rPr>
        <w:t> </w:t>
      </w:r>
      <w:r>
        <w:rPr>
          <w:sz w:val="22"/>
        </w:rPr>
        <w:t>the</w:t>
      </w:r>
      <w:r>
        <w:rPr>
          <w:spacing w:val="8"/>
          <w:sz w:val="22"/>
        </w:rPr>
        <w:t> </w:t>
      </w:r>
      <w:r>
        <w:rPr>
          <w:sz w:val="22"/>
        </w:rPr>
        <w:t>effectiveness</w:t>
      </w:r>
      <w:r>
        <w:rPr>
          <w:spacing w:val="9"/>
          <w:sz w:val="22"/>
        </w:rPr>
        <w:t> </w:t>
      </w:r>
      <w:r>
        <w:rPr>
          <w:sz w:val="22"/>
        </w:rPr>
        <w:t>of</w:t>
      </w:r>
      <w:r>
        <w:rPr>
          <w:spacing w:val="9"/>
          <w:sz w:val="22"/>
        </w:rPr>
        <w:t> </w:t>
      </w:r>
      <w:r>
        <w:rPr>
          <w:sz w:val="22"/>
        </w:rPr>
        <w:t>soy</w:t>
      </w:r>
      <w:r>
        <w:rPr>
          <w:spacing w:val="8"/>
          <w:sz w:val="22"/>
        </w:rPr>
        <w:t> </w:t>
      </w:r>
      <w:r>
        <w:rPr>
          <w:sz w:val="22"/>
        </w:rPr>
        <w:t>and</w:t>
      </w:r>
      <w:r>
        <w:rPr>
          <w:spacing w:val="9"/>
          <w:sz w:val="22"/>
        </w:rPr>
        <w:t> </w:t>
      </w:r>
      <w:r>
        <w:rPr>
          <w:sz w:val="22"/>
        </w:rPr>
        <w:t>its</w:t>
      </w:r>
      <w:r>
        <w:rPr>
          <w:spacing w:val="9"/>
          <w:sz w:val="22"/>
        </w:rPr>
        <w:t> </w:t>
      </w:r>
      <w:r>
        <w:rPr>
          <w:sz w:val="22"/>
        </w:rPr>
        <w:t>isoflavones.</w:t>
      </w:r>
      <w:r>
        <w:rPr>
          <w:spacing w:val="8"/>
          <w:sz w:val="22"/>
        </w:rPr>
        <w:t> </w:t>
      </w:r>
      <w:r>
        <w:rPr>
          <w:i/>
          <w:sz w:val="22"/>
        </w:rPr>
        <w:t>J</w:t>
      </w:r>
      <w:r>
        <w:rPr>
          <w:i/>
          <w:spacing w:val="9"/>
          <w:sz w:val="22"/>
        </w:rPr>
        <w:t> </w:t>
      </w:r>
      <w:r>
        <w:rPr>
          <w:i/>
          <w:sz w:val="22"/>
        </w:rPr>
        <w:t>Nutr</w:t>
      </w:r>
      <w:r>
        <w:rPr>
          <w:sz w:val="22"/>
        </w:rPr>
        <w:t>.</w:t>
      </w:r>
      <w:r>
        <w:rPr>
          <w:spacing w:val="9"/>
          <w:sz w:val="22"/>
        </w:rPr>
        <w:t> </w:t>
      </w:r>
      <w:r>
        <w:rPr>
          <w:spacing w:val="-2"/>
          <w:sz w:val="22"/>
        </w:rPr>
        <w:t>2002;132:3577.</w:t>
      </w:r>
    </w:p>
    <w:p>
      <w:pPr>
        <w:pStyle w:val="ListParagraph"/>
        <w:numPr>
          <w:ilvl w:val="0"/>
          <w:numId w:val="19"/>
        </w:numPr>
        <w:tabs>
          <w:tab w:pos="709" w:val="left" w:leader="none"/>
          <w:tab w:pos="718" w:val="left" w:leader="none"/>
        </w:tabs>
        <w:spacing w:line="256" w:lineRule="auto" w:before="17" w:after="0"/>
        <w:ind w:left="718" w:right="103" w:hanging="507"/>
        <w:jc w:val="both"/>
        <w:rPr>
          <w:sz w:val="22"/>
        </w:rPr>
      </w:pPr>
      <w:r>
        <w:rPr>
          <w:sz w:val="22"/>
        </w:rPr>
        <w:t>Furlong ON, Parr HJ, Hodge SJ, et al. Consumption of a soy drink has no effect on cognitive function</w:t>
      </w:r>
      <w:r>
        <w:rPr>
          <w:spacing w:val="40"/>
          <w:sz w:val="22"/>
        </w:rPr>
        <w:t> </w:t>
      </w:r>
      <w:r>
        <w:rPr>
          <w:sz w:val="22"/>
        </w:rPr>
        <w:t>but</w:t>
      </w:r>
      <w:r>
        <w:rPr>
          <w:spacing w:val="40"/>
          <w:sz w:val="22"/>
        </w:rPr>
        <w:t> </w:t>
      </w:r>
      <w:r>
        <w:rPr>
          <w:sz w:val="22"/>
        </w:rPr>
        <w:t>may</w:t>
      </w:r>
      <w:r>
        <w:rPr>
          <w:spacing w:val="40"/>
          <w:sz w:val="22"/>
        </w:rPr>
        <w:t> </w:t>
      </w:r>
      <w:r>
        <w:rPr>
          <w:sz w:val="22"/>
        </w:rPr>
        <w:t>alleviate</w:t>
      </w:r>
      <w:r>
        <w:rPr>
          <w:spacing w:val="40"/>
          <w:sz w:val="22"/>
        </w:rPr>
        <w:t> </w:t>
      </w:r>
      <w:r>
        <w:rPr>
          <w:sz w:val="22"/>
        </w:rPr>
        <w:t>vasomotor</w:t>
      </w:r>
      <w:r>
        <w:rPr>
          <w:spacing w:val="40"/>
          <w:sz w:val="22"/>
        </w:rPr>
        <w:t> </w:t>
      </w:r>
      <w:r>
        <w:rPr>
          <w:sz w:val="22"/>
        </w:rPr>
        <w:t>symptoms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a</w:t>
      </w:r>
      <w:r>
        <w:rPr>
          <w:spacing w:val="40"/>
          <w:sz w:val="22"/>
        </w:rPr>
        <w:t> </w:t>
      </w:r>
      <w:r>
        <w:rPr>
          <w:sz w:val="22"/>
        </w:rPr>
        <w:t>randomised trial. </w:t>
      </w:r>
      <w:r>
        <w:rPr>
          <w:i/>
          <w:sz w:val="22"/>
        </w:rPr>
        <w:t>Eur J Nutr</w:t>
      </w:r>
      <w:r>
        <w:rPr>
          <w:sz w:val="22"/>
        </w:rPr>
        <w:t>. 2020;59(2):755-766.</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Lydeking-Olsen E, Beck-Jensen JE, Setchell KD, Holm-Jensen T. Soymilk or progesterone </w:t>
      </w:r>
      <w:r>
        <w:rPr>
          <w:sz w:val="22"/>
        </w:rPr>
        <w:t>for prevention of bone loss—a 2 year randomized, placebo-controlled trial. </w:t>
      </w:r>
      <w:r>
        <w:rPr>
          <w:i/>
          <w:sz w:val="22"/>
        </w:rPr>
        <w:t>Eur J Nutr</w:t>
      </w:r>
      <w:r>
        <w:rPr>
          <w:sz w:val="22"/>
        </w:rPr>
        <w:t>.</w:t>
      </w:r>
      <w:r>
        <w:rPr>
          <w:spacing w:val="40"/>
          <w:sz w:val="22"/>
        </w:rPr>
        <w:t> </w:t>
      </w:r>
      <w:r>
        <w:rPr>
          <w:spacing w:val="-2"/>
          <w:sz w:val="22"/>
        </w:rPr>
        <w:t>2004;43:246.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Ishiwata N, Melby MK, Mizuno S, Watanabe S. New equol supplement for </w:t>
      </w:r>
      <w:r>
        <w:rPr>
          <w:sz w:val="22"/>
        </w:rPr>
        <w:t>relieving</w:t>
      </w:r>
      <w:r>
        <w:rPr>
          <w:spacing w:val="40"/>
          <w:sz w:val="22"/>
        </w:rPr>
        <w:t> </w:t>
      </w:r>
      <w:r>
        <w:rPr>
          <w:sz w:val="22"/>
        </w:rPr>
        <w:t>menopausal symptoms: randomized, placebo-controlled trial of Japanese women. </w:t>
      </w:r>
      <w:r>
        <w:rPr>
          <w:i/>
          <w:sz w:val="22"/>
        </w:rPr>
        <w:t>Menopause</w:t>
      </w:r>
      <w:r>
        <w:rPr>
          <w:sz w:val="22"/>
        </w:rPr>
        <w:t>. </w:t>
      </w:r>
      <w:r>
        <w:rPr>
          <w:spacing w:val="-2"/>
          <w:sz w:val="22"/>
        </w:rPr>
        <w:t>2009;16:141.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Setchell KD, Zhao X, Jha P, Heubi JE, Brown NM. The pharmacokinetic behavior of the soy isoflavone metabolite </w:t>
      </w:r>
      <w:r>
        <w:rPr>
          <w:i/>
          <w:sz w:val="22"/>
        </w:rPr>
        <w:t>S</w:t>
      </w:r>
      <w:r>
        <w:rPr>
          <w:sz w:val="22"/>
        </w:rPr>
        <w:t>-(−)equol and its diastereoisomer </w:t>
      </w:r>
      <w:r>
        <w:rPr>
          <w:i/>
          <w:sz w:val="22"/>
        </w:rPr>
        <w:t>R</w:t>
      </w:r>
      <w:r>
        <w:rPr>
          <w:sz w:val="22"/>
        </w:rPr>
        <w:t>-(+)equol in healthy </w:t>
      </w:r>
      <w:r>
        <w:rPr>
          <w:sz w:val="22"/>
        </w:rPr>
        <w:t>adults</w:t>
      </w:r>
      <w:r>
        <w:rPr>
          <w:spacing w:val="40"/>
          <w:sz w:val="22"/>
        </w:rPr>
        <w:t> </w:t>
      </w:r>
      <w:r>
        <w:rPr>
          <w:sz w:val="22"/>
        </w:rPr>
        <w:t>determined by using stable-isotope-labeled tracers. </w:t>
      </w:r>
      <w:r>
        <w:rPr>
          <w:i/>
          <w:sz w:val="22"/>
        </w:rPr>
        <w:t>Am J Clin Nutr</w:t>
      </w:r>
      <w:r>
        <w:rPr>
          <w:sz w:val="22"/>
        </w:rPr>
        <w:t>. 2009;90:1029.</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Setchell KD, Zhao X, Shoaf SE, Ragland K. The pharmacokinetics of </w:t>
      </w:r>
      <w:r>
        <w:rPr>
          <w:i/>
          <w:sz w:val="22"/>
        </w:rPr>
        <w:t>S</w:t>
      </w:r>
      <w:r>
        <w:rPr>
          <w:sz w:val="22"/>
        </w:rPr>
        <w:t>-(−)equol </w:t>
      </w:r>
      <w:r>
        <w:rPr>
          <w:sz w:val="22"/>
        </w:rPr>
        <w:t>administered</w:t>
      </w:r>
      <w:r>
        <w:rPr>
          <w:spacing w:val="40"/>
          <w:sz w:val="22"/>
        </w:rPr>
        <w:t> </w:t>
      </w:r>
      <w:r>
        <w:rPr>
          <w:sz w:val="22"/>
        </w:rPr>
        <w:t>as SE5-OH tablets to healthy postmenopausal women. </w:t>
      </w:r>
      <w:r>
        <w:rPr>
          <w:i/>
          <w:sz w:val="22"/>
        </w:rPr>
        <w:t>J Nutr</w:t>
      </w:r>
      <w:r>
        <w:rPr>
          <w:sz w:val="22"/>
        </w:rPr>
        <w:t>. 2009;139:2037.</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Lund TD, Munson DJ, Haldy ME, Setchell KD, Lephart ED, Handa RJ. Equol is a novel </w:t>
      </w:r>
      <w:r>
        <w:rPr>
          <w:sz w:val="22"/>
        </w:rPr>
        <w:t>anti-androgen that inhibits prostate growth and hormone feedback. </w:t>
      </w:r>
      <w:r>
        <w:rPr>
          <w:i/>
          <w:sz w:val="22"/>
        </w:rPr>
        <w:t>Biol Reprod</w:t>
      </w:r>
      <w:r>
        <w:rPr>
          <w:sz w:val="22"/>
        </w:rPr>
        <w:t>. 2004;70:1188.</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Takahashi K, Okada M, Ozaki T, et al. Safety and efficacy of oestriol for symptoms of natural</w:t>
      </w:r>
      <w:r>
        <w:rPr>
          <w:spacing w:val="80"/>
          <w:sz w:val="22"/>
        </w:rPr>
        <w:t> </w:t>
      </w:r>
      <w:r>
        <w:rPr>
          <w:sz w:val="22"/>
        </w:rPr>
        <w:t>or surgically induced menopause. </w:t>
      </w:r>
      <w:r>
        <w:rPr>
          <w:i/>
          <w:sz w:val="22"/>
        </w:rPr>
        <w:t>Hum Reprod</w:t>
      </w:r>
      <w:r>
        <w:rPr>
          <w:sz w:val="22"/>
        </w:rPr>
        <w:t>. 2000;15:1028.</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Grodstein F, Stampfer MJ, Falkeborn M, Naessen T, Persson I. Postmenopausal hormone therapy and risk of cardiovascular disease and hip fracture in a cohort of Swedish </w:t>
      </w:r>
      <w:r>
        <w:rPr>
          <w:sz w:val="22"/>
        </w:rPr>
        <w:t>women. </w:t>
      </w:r>
      <w:r>
        <w:rPr>
          <w:i/>
          <w:sz w:val="22"/>
        </w:rPr>
        <w:t>Epidemiology</w:t>
      </w:r>
      <w:r>
        <w:rPr>
          <w:sz w:val="22"/>
        </w:rPr>
        <w:t>. 1999;10:476.</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Cooper A, Spencer C, Whitehead MI, Ross D, Barnard GJR, Collins WP. Systemic </w:t>
      </w:r>
      <w:r>
        <w:rPr>
          <w:sz w:val="22"/>
        </w:rPr>
        <w:t>absorption</w:t>
      </w:r>
      <w:r>
        <w:rPr>
          <w:spacing w:val="40"/>
          <w:sz w:val="22"/>
        </w:rPr>
        <w:t> </w:t>
      </w:r>
      <w:r>
        <w:rPr>
          <w:sz w:val="22"/>
        </w:rPr>
        <w:t>of progesterone from Progest cream in postmenopausal women. </w:t>
      </w:r>
      <w:r>
        <w:rPr>
          <w:i/>
          <w:sz w:val="22"/>
        </w:rPr>
        <w:t>Lancet</w:t>
      </w:r>
      <w:r>
        <w:rPr>
          <w:sz w:val="22"/>
        </w:rPr>
        <w:t>. 1998;351:1255.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Carey BJ, Carey AH, Patel S, Carter G, Studd JWW. A study to evaluate serum and urinary hormone levels following short and long term administration of two regimens of progesterone cream in postmenopausal women. </w:t>
      </w:r>
      <w:r>
        <w:rPr>
          <w:i/>
          <w:sz w:val="22"/>
        </w:rPr>
        <w:t>Br J Obstet Gynaecol</w:t>
      </w:r>
      <w:r>
        <w:rPr>
          <w:sz w:val="22"/>
        </w:rPr>
        <w:t>. 2000;107:722.</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Burry KA, Patton PE, Hermsmeyer K. Percutaneous absorption of progesterone in postmenopausal women treated with transdermal estrogen. </w:t>
      </w:r>
      <w:r>
        <w:rPr>
          <w:i/>
          <w:sz w:val="22"/>
        </w:rPr>
        <w:t>Am J Obstet Gynecol</w:t>
      </w:r>
      <w:r>
        <w:rPr>
          <w:sz w:val="22"/>
        </w:rPr>
        <w:t>.</w:t>
      </w:r>
      <w:r>
        <w:rPr>
          <w:spacing w:val="40"/>
          <w:sz w:val="22"/>
        </w:rPr>
        <w:t> </w:t>
      </w:r>
      <w:r>
        <w:rPr>
          <w:spacing w:val="-2"/>
          <w:sz w:val="22"/>
        </w:rPr>
        <w:t>1999;180:1504.</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1" w:hanging="507"/>
        <w:jc w:val="both"/>
        <w:rPr>
          <w:sz w:val="22"/>
        </w:rPr>
      </w:pPr>
      <w:r>
        <w:rPr>
          <w:sz w:val="22"/>
        </w:rPr>
        <w:t>Leonnetti HB, Longo S, Anasti JN. Transdermal progesterone cream for vasomotor </w:t>
      </w:r>
      <w:r>
        <w:rPr>
          <w:sz w:val="22"/>
        </w:rPr>
        <w:t>symptoms and postmenopausal bone loss. </w:t>
      </w:r>
      <w:r>
        <w:rPr>
          <w:i/>
          <w:sz w:val="22"/>
        </w:rPr>
        <w:t>Obstet Gynecol</w:t>
      </w:r>
      <w:r>
        <w:rPr>
          <w:sz w:val="22"/>
        </w:rPr>
        <w:t>. 1999;94:225.</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Benster B, Carey A, Wadsorth F, Vashisht A, Domoney C, Studd J. A double-blind placebo-controlled study to evaluate the effect of progestelle progesterone cream on </w:t>
      </w:r>
      <w:r>
        <w:rPr>
          <w:sz w:val="22"/>
        </w:rPr>
        <w:t>postmenopausal women. </w:t>
      </w:r>
      <w:r>
        <w:rPr>
          <w:i/>
          <w:sz w:val="22"/>
        </w:rPr>
        <w:t>Menopause Int</w:t>
      </w:r>
      <w:r>
        <w:rPr>
          <w:sz w:val="22"/>
        </w:rPr>
        <w:t>. 2009;15:63.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Wren</w:t>
      </w:r>
      <w:r>
        <w:rPr>
          <w:spacing w:val="40"/>
          <w:sz w:val="22"/>
        </w:rPr>
        <w:t> </w:t>
      </w:r>
      <w:r>
        <w:rPr>
          <w:sz w:val="22"/>
        </w:rPr>
        <w:t>BG,</w:t>
      </w:r>
      <w:r>
        <w:rPr>
          <w:spacing w:val="40"/>
          <w:sz w:val="22"/>
        </w:rPr>
        <w:t> </w:t>
      </w:r>
      <w:r>
        <w:rPr>
          <w:sz w:val="22"/>
        </w:rPr>
        <w:t>McFarland</w:t>
      </w:r>
      <w:r>
        <w:rPr>
          <w:spacing w:val="40"/>
          <w:sz w:val="22"/>
        </w:rPr>
        <w:t> </w:t>
      </w:r>
      <w:r>
        <w:rPr>
          <w:sz w:val="22"/>
        </w:rPr>
        <w:t>K,</w:t>
      </w:r>
      <w:r>
        <w:rPr>
          <w:spacing w:val="40"/>
          <w:sz w:val="22"/>
        </w:rPr>
        <w:t> </w:t>
      </w:r>
      <w:r>
        <w:rPr>
          <w:sz w:val="22"/>
        </w:rPr>
        <w:t>Edwards</w:t>
      </w:r>
      <w:r>
        <w:rPr>
          <w:spacing w:val="40"/>
          <w:sz w:val="22"/>
        </w:rPr>
        <w:t> </w:t>
      </w:r>
      <w:r>
        <w:rPr>
          <w:sz w:val="22"/>
        </w:rPr>
        <w:t>L,</w:t>
      </w:r>
      <w:r>
        <w:rPr>
          <w:spacing w:val="40"/>
          <w:sz w:val="22"/>
        </w:rPr>
        <w:t> </w:t>
      </w:r>
      <w:r>
        <w:rPr>
          <w:sz w:val="22"/>
        </w:rPr>
        <w:t>et</w:t>
      </w:r>
      <w:r>
        <w:rPr>
          <w:spacing w:val="40"/>
          <w:sz w:val="22"/>
        </w:rPr>
        <w:t> </w:t>
      </w:r>
      <w:r>
        <w:rPr>
          <w:sz w:val="22"/>
        </w:rPr>
        <w:t>al.</w:t>
      </w:r>
      <w:r>
        <w:rPr>
          <w:spacing w:val="40"/>
          <w:sz w:val="22"/>
        </w:rPr>
        <w:t> </w:t>
      </w:r>
      <w:r>
        <w:rPr>
          <w:sz w:val="22"/>
        </w:rPr>
        <w:t>Effect</w:t>
      </w:r>
      <w:r>
        <w:rPr>
          <w:spacing w:val="40"/>
          <w:sz w:val="22"/>
        </w:rPr>
        <w:t> </w:t>
      </w:r>
      <w:r>
        <w:rPr>
          <w:sz w:val="22"/>
        </w:rPr>
        <w:t>of</w:t>
      </w:r>
      <w:r>
        <w:rPr>
          <w:spacing w:val="40"/>
          <w:sz w:val="22"/>
        </w:rPr>
        <w:t> </w:t>
      </w:r>
      <w:r>
        <w:rPr>
          <w:sz w:val="22"/>
        </w:rPr>
        <w:t>sequential</w:t>
      </w:r>
      <w:r>
        <w:rPr>
          <w:spacing w:val="40"/>
          <w:sz w:val="22"/>
        </w:rPr>
        <w:t> </w:t>
      </w:r>
      <w:r>
        <w:rPr>
          <w:sz w:val="22"/>
        </w:rPr>
        <w:t>transdermal</w:t>
      </w:r>
      <w:r>
        <w:rPr>
          <w:spacing w:val="40"/>
          <w:sz w:val="22"/>
        </w:rPr>
        <w:t> </w:t>
      </w:r>
      <w:r>
        <w:rPr>
          <w:sz w:val="22"/>
        </w:rPr>
        <w:t>progesterone cream on endometrium, bleeding pattern, and plasma progesterone and salivary progesterone levels in postmenopausal women. </w:t>
      </w:r>
      <w:r>
        <w:rPr>
          <w:i/>
          <w:sz w:val="22"/>
        </w:rPr>
        <w:t>Climacteric</w:t>
      </w:r>
      <w:r>
        <w:rPr>
          <w:sz w:val="22"/>
        </w:rPr>
        <w:t>. 2000;3:155.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Wren BG, Champion SM, Willetts K, Manga RZ, Eden JA. Transdermal progesterone and its effect</w:t>
      </w:r>
      <w:r>
        <w:rPr>
          <w:spacing w:val="40"/>
          <w:sz w:val="22"/>
        </w:rPr>
        <w:t> </w:t>
      </w:r>
      <w:r>
        <w:rPr>
          <w:sz w:val="22"/>
        </w:rPr>
        <w:t>on</w:t>
      </w:r>
      <w:r>
        <w:rPr>
          <w:spacing w:val="40"/>
          <w:sz w:val="22"/>
        </w:rPr>
        <w:t> </w:t>
      </w:r>
      <w:r>
        <w:rPr>
          <w:sz w:val="22"/>
        </w:rPr>
        <w:t>vasomotor</w:t>
      </w:r>
      <w:r>
        <w:rPr>
          <w:spacing w:val="40"/>
          <w:sz w:val="22"/>
        </w:rPr>
        <w:t> </w:t>
      </w:r>
      <w:r>
        <w:rPr>
          <w:sz w:val="22"/>
        </w:rPr>
        <w:t>symptoms,</w:t>
      </w:r>
      <w:r>
        <w:rPr>
          <w:spacing w:val="40"/>
          <w:sz w:val="22"/>
        </w:rPr>
        <w:t> </w:t>
      </w:r>
      <w:r>
        <w:rPr>
          <w:sz w:val="22"/>
        </w:rPr>
        <w:t>blood</w:t>
      </w:r>
      <w:r>
        <w:rPr>
          <w:spacing w:val="40"/>
          <w:sz w:val="22"/>
        </w:rPr>
        <w:t> </w:t>
      </w:r>
      <w:r>
        <w:rPr>
          <w:sz w:val="22"/>
        </w:rPr>
        <w:t>lipid</w:t>
      </w:r>
      <w:r>
        <w:rPr>
          <w:spacing w:val="40"/>
          <w:sz w:val="22"/>
        </w:rPr>
        <w:t> </w:t>
      </w:r>
      <w:r>
        <w:rPr>
          <w:sz w:val="22"/>
        </w:rPr>
        <w:t>levels,</w:t>
      </w:r>
      <w:r>
        <w:rPr>
          <w:spacing w:val="40"/>
          <w:sz w:val="22"/>
        </w:rPr>
        <w:t> </w:t>
      </w:r>
      <w:r>
        <w:rPr>
          <w:sz w:val="22"/>
        </w:rPr>
        <w:t>bone</w:t>
      </w:r>
      <w:r>
        <w:rPr>
          <w:spacing w:val="40"/>
          <w:sz w:val="22"/>
        </w:rPr>
        <w:t> </w:t>
      </w:r>
      <w:r>
        <w:rPr>
          <w:sz w:val="22"/>
        </w:rPr>
        <w:t>metabolic</w:t>
      </w:r>
      <w:r>
        <w:rPr>
          <w:spacing w:val="40"/>
          <w:sz w:val="22"/>
        </w:rPr>
        <w:t> </w:t>
      </w:r>
      <w:r>
        <w:rPr>
          <w:sz w:val="22"/>
        </w:rPr>
        <w:t>markers,</w:t>
      </w:r>
      <w:r>
        <w:rPr>
          <w:spacing w:val="40"/>
          <w:sz w:val="22"/>
        </w:rPr>
        <w:t> </w:t>
      </w:r>
      <w:r>
        <w:rPr>
          <w:sz w:val="22"/>
        </w:rPr>
        <w:t>moods,</w:t>
      </w:r>
      <w:r>
        <w:rPr>
          <w:spacing w:val="40"/>
          <w:sz w:val="22"/>
        </w:rPr>
        <w:t> </w:t>
      </w:r>
      <w:r>
        <w:rPr>
          <w:sz w:val="22"/>
        </w:rPr>
        <w:t>and quality of life for postmenopausal women. </w:t>
      </w:r>
      <w:r>
        <w:rPr>
          <w:i/>
          <w:sz w:val="22"/>
        </w:rPr>
        <w:t>Menopause</w:t>
      </w:r>
      <w:r>
        <w:rPr>
          <w:sz w:val="22"/>
        </w:rPr>
        <w:t>. 2003;10:13.</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O’Leary P, Feddema P, Chan K, Taranto M, Smith M, Evans S. Salivary but not serum or urinary levels of progesterone are elevated after topical application of progesterone cream to</w:t>
      </w:r>
      <w:r>
        <w:rPr>
          <w:spacing w:val="40"/>
          <w:sz w:val="22"/>
        </w:rPr>
        <w:t> </w:t>
      </w:r>
      <w:r>
        <w:rPr>
          <w:sz w:val="22"/>
        </w:rPr>
        <w:t>pre- and postmenopausal women. </w:t>
      </w:r>
      <w:r>
        <w:rPr>
          <w:i/>
          <w:sz w:val="22"/>
        </w:rPr>
        <w:t>Clin Endocrinol</w:t>
      </w:r>
      <w:r>
        <w:rPr>
          <w:sz w:val="22"/>
        </w:rPr>
        <w:t>. 2000;53:615.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Lewis</w:t>
      </w:r>
      <w:r>
        <w:rPr>
          <w:spacing w:val="40"/>
          <w:sz w:val="22"/>
        </w:rPr>
        <w:t> </w:t>
      </w:r>
      <w:r>
        <w:rPr>
          <w:sz w:val="22"/>
        </w:rPr>
        <w:t>JG,</w:t>
      </w:r>
      <w:r>
        <w:rPr>
          <w:spacing w:val="40"/>
          <w:sz w:val="22"/>
        </w:rPr>
        <w:t> </w:t>
      </w:r>
      <w:r>
        <w:rPr>
          <w:sz w:val="22"/>
        </w:rPr>
        <w:t>McGill</w:t>
      </w:r>
      <w:r>
        <w:rPr>
          <w:spacing w:val="40"/>
          <w:sz w:val="22"/>
        </w:rPr>
        <w:t> </w:t>
      </w:r>
      <w:r>
        <w:rPr>
          <w:sz w:val="22"/>
        </w:rPr>
        <w:t>H,</w:t>
      </w:r>
      <w:r>
        <w:rPr>
          <w:spacing w:val="40"/>
          <w:sz w:val="22"/>
        </w:rPr>
        <w:t> </w:t>
      </w:r>
      <w:r>
        <w:rPr>
          <w:sz w:val="22"/>
        </w:rPr>
        <w:t>Patton</w:t>
      </w:r>
      <w:r>
        <w:rPr>
          <w:spacing w:val="40"/>
          <w:sz w:val="22"/>
        </w:rPr>
        <w:t> </w:t>
      </w:r>
      <w:r>
        <w:rPr>
          <w:sz w:val="22"/>
        </w:rPr>
        <w:t>V,</w:t>
      </w:r>
      <w:r>
        <w:rPr>
          <w:spacing w:val="40"/>
          <w:sz w:val="22"/>
        </w:rPr>
        <w:t> </w:t>
      </w:r>
      <w:r>
        <w:rPr>
          <w:sz w:val="22"/>
        </w:rPr>
        <w:t>Elder</w:t>
      </w:r>
      <w:r>
        <w:rPr>
          <w:spacing w:val="40"/>
          <w:sz w:val="22"/>
        </w:rPr>
        <w:t> </w:t>
      </w:r>
      <w:r>
        <w:rPr>
          <w:sz w:val="22"/>
        </w:rPr>
        <w:t>PA.</w:t>
      </w:r>
      <w:r>
        <w:rPr>
          <w:spacing w:val="40"/>
          <w:sz w:val="22"/>
        </w:rPr>
        <w:t> </w:t>
      </w:r>
      <w:r>
        <w:rPr>
          <w:sz w:val="22"/>
        </w:rPr>
        <w:t>Caution</w:t>
      </w:r>
      <w:r>
        <w:rPr>
          <w:spacing w:val="40"/>
          <w:sz w:val="22"/>
        </w:rPr>
        <w:t> </w:t>
      </w:r>
      <w:r>
        <w:rPr>
          <w:sz w:val="22"/>
        </w:rPr>
        <w:t>on</w:t>
      </w:r>
      <w:r>
        <w:rPr>
          <w:spacing w:val="40"/>
          <w:sz w:val="22"/>
        </w:rPr>
        <w:t> </w:t>
      </w:r>
      <w:r>
        <w:rPr>
          <w:sz w:val="22"/>
        </w:rPr>
        <w:t>the</w:t>
      </w:r>
      <w:r>
        <w:rPr>
          <w:spacing w:val="40"/>
          <w:sz w:val="22"/>
        </w:rPr>
        <w:t> </w:t>
      </w:r>
      <w:r>
        <w:rPr>
          <w:sz w:val="22"/>
        </w:rPr>
        <w:t>use</w:t>
      </w:r>
      <w:r>
        <w:rPr>
          <w:spacing w:val="40"/>
          <w:sz w:val="22"/>
        </w:rPr>
        <w:t> </w:t>
      </w:r>
      <w:r>
        <w:rPr>
          <w:sz w:val="22"/>
        </w:rPr>
        <w:t>of</w:t>
      </w:r>
      <w:r>
        <w:rPr>
          <w:spacing w:val="40"/>
          <w:sz w:val="22"/>
        </w:rPr>
        <w:t> </w:t>
      </w:r>
      <w:r>
        <w:rPr>
          <w:sz w:val="22"/>
        </w:rPr>
        <w:t>saliva</w:t>
      </w:r>
      <w:r>
        <w:rPr>
          <w:spacing w:val="40"/>
          <w:sz w:val="22"/>
        </w:rPr>
        <w:t> </w:t>
      </w:r>
      <w:r>
        <w:rPr>
          <w:sz w:val="22"/>
        </w:rPr>
        <w:t>measurements</w:t>
      </w:r>
      <w:r>
        <w:rPr>
          <w:spacing w:val="40"/>
          <w:sz w:val="22"/>
        </w:rPr>
        <w:t> </w:t>
      </w:r>
      <w:r>
        <w:rPr>
          <w:sz w:val="22"/>
        </w:rPr>
        <w:t>to monitor absorption of progesterone from transdermal creams in postmenopausal </w:t>
      </w:r>
      <w:r>
        <w:rPr>
          <w:sz w:val="22"/>
        </w:rPr>
        <w:t>women. </w:t>
      </w:r>
      <w:r>
        <w:rPr>
          <w:i/>
          <w:sz w:val="22"/>
        </w:rPr>
        <w:t>Maturitas</w:t>
      </w:r>
      <w:r>
        <w:rPr>
          <w:sz w:val="22"/>
        </w:rPr>
        <w:t>. 2002;41:1.</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Stanczyk FZ. Treatment of postmenopausal women with topical progesterone creams and </w:t>
      </w:r>
      <w:r>
        <w:rPr>
          <w:sz w:val="22"/>
        </w:rPr>
        <w:t>gels: are they effective? </w:t>
      </w:r>
      <w:r>
        <w:rPr>
          <w:i/>
          <w:sz w:val="22"/>
        </w:rPr>
        <w:t>Climacteric</w:t>
      </w:r>
      <w:r>
        <w:rPr>
          <w:sz w:val="22"/>
        </w:rPr>
        <w:t>. 2014;17(suppl 2):8.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Nand</w:t>
      </w:r>
      <w:r>
        <w:rPr>
          <w:spacing w:val="38"/>
          <w:sz w:val="22"/>
        </w:rPr>
        <w:t> </w:t>
      </w:r>
      <w:r>
        <w:rPr>
          <w:sz w:val="22"/>
        </w:rPr>
        <w:t>S,</w:t>
      </w:r>
      <w:r>
        <w:rPr>
          <w:spacing w:val="38"/>
          <w:sz w:val="22"/>
        </w:rPr>
        <w:t> </w:t>
      </w:r>
      <w:r>
        <w:rPr>
          <w:sz w:val="22"/>
        </w:rPr>
        <w:t>Webster</w:t>
      </w:r>
      <w:r>
        <w:rPr>
          <w:spacing w:val="38"/>
          <w:sz w:val="22"/>
        </w:rPr>
        <w:t> </w:t>
      </w:r>
      <w:r>
        <w:rPr>
          <w:sz w:val="22"/>
        </w:rPr>
        <w:t>MA,</w:t>
      </w:r>
      <w:r>
        <w:rPr>
          <w:spacing w:val="38"/>
          <w:sz w:val="22"/>
        </w:rPr>
        <w:t> </w:t>
      </w:r>
      <w:r>
        <w:rPr>
          <w:sz w:val="22"/>
        </w:rPr>
        <w:t>Baber</w:t>
      </w:r>
      <w:r>
        <w:rPr>
          <w:spacing w:val="38"/>
          <w:sz w:val="22"/>
        </w:rPr>
        <w:t> </w:t>
      </w:r>
      <w:r>
        <w:rPr>
          <w:sz w:val="22"/>
        </w:rPr>
        <w:t>R,</w:t>
      </w:r>
      <w:r>
        <w:rPr>
          <w:spacing w:val="38"/>
          <w:sz w:val="22"/>
        </w:rPr>
        <w:t> </w:t>
      </w:r>
      <w:r>
        <w:rPr>
          <w:sz w:val="22"/>
        </w:rPr>
        <w:t>O’Connor</w:t>
      </w:r>
      <w:r>
        <w:rPr>
          <w:spacing w:val="38"/>
          <w:sz w:val="22"/>
        </w:rPr>
        <w:t> </w:t>
      </w:r>
      <w:r>
        <w:rPr>
          <w:sz w:val="22"/>
        </w:rPr>
        <w:t>V,</w:t>
      </w:r>
      <w:r>
        <w:rPr>
          <w:spacing w:val="38"/>
          <w:sz w:val="22"/>
        </w:rPr>
        <w:t> </w:t>
      </w:r>
      <w:r>
        <w:rPr>
          <w:sz w:val="22"/>
        </w:rPr>
        <w:t>Ogen/Provera</w:t>
      </w:r>
      <w:r>
        <w:rPr>
          <w:spacing w:val="38"/>
          <w:sz w:val="22"/>
        </w:rPr>
        <w:t> </w:t>
      </w:r>
      <w:r>
        <w:rPr>
          <w:sz w:val="22"/>
        </w:rPr>
        <w:t>Study</w:t>
      </w:r>
      <w:r>
        <w:rPr>
          <w:spacing w:val="38"/>
          <w:sz w:val="22"/>
        </w:rPr>
        <w:t> </w:t>
      </w:r>
      <w:r>
        <w:rPr>
          <w:sz w:val="22"/>
        </w:rPr>
        <w:t>Group.</w:t>
      </w:r>
      <w:r>
        <w:rPr>
          <w:spacing w:val="38"/>
          <w:sz w:val="22"/>
        </w:rPr>
        <w:t> </w:t>
      </w:r>
      <w:r>
        <w:rPr>
          <w:sz w:val="22"/>
        </w:rPr>
        <w:t>Bleeding</w:t>
      </w:r>
      <w:r>
        <w:rPr>
          <w:spacing w:val="38"/>
          <w:sz w:val="22"/>
        </w:rPr>
        <w:t> </w:t>
      </w:r>
      <w:r>
        <w:rPr>
          <w:sz w:val="22"/>
        </w:rPr>
        <w:t>pattern and endometrial changes during continuous combined hormone replacement therapy. </w:t>
      </w:r>
      <w:r>
        <w:rPr>
          <w:i/>
          <w:sz w:val="22"/>
        </w:rPr>
        <w:t>Obstet</w:t>
      </w:r>
      <w:r>
        <w:rPr>
          <w:i/>
          <w:sz w:val="22"/>
        </w:rPr>
        <w:t> Gynecol</w:t>
      </w:r>
      <w:r>
        <w:rPr>
          <w:sz w:val="22"/>
        </w:rPr>
        <w:t>. 1998;91:678.</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Padwick ML, Psryse-Davies J, Whitehead MI. A simple method for determining the optimal dosage of progestin in postmenopausal women receiving estrogens. </w:t>
      </w:r>
      <w:r>
        <w:rPr>
          <w:i/>
          <w:sz w:val="22"/>
        </w:rPr>
        <w:t>N Engl J </w:t>
      </w:r>
      <w:r>
        <w:rPr>
          <w:i/>
          <w:sz w:val="22"/>
        </w:rPr>
        <w:t>Med</w:t>
      </w:r>
      <w:r>
        <w:rPr>
          <w:sz w:val="22"/>
        </w:rPr>
        <w:t>.</w:t>
      </w:r>
      <w:r>
        <w:rPr>
          <w:spacing w:val="40"/>
          <w:sz w:val="22"/>
        </w:rPr>
        <w:t> </w:t>
      </w:r>
      <w:r>
        <w:rPr>
          <w:spacing w:val="-2"/>
          <w:sz w:val="22"/>
        </w:rPr>
        <w:t>1986;315:930.</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Sturdee DW, Barlow DH, Ulrich LG, et al. Is the timing of withdrawal bleeding a guide to endometrial safety during sequential oestrogen-progestagen replacement therapy? </w:t>
      </w:r>
      <w:r>
        <w:rPr>
          <w:i/>
          <w:sz w:val="22"/>
        </w:rPr>
        <w:t>Lancet</w:t>
      </w:r>
      <w:r>
        <w:rPr>
          <w:sz w:val="22"/>
        </w:rPr>
        <w:t>. </w:t>
      </w:r>
      <w:r>
        <w:rPr>
          <w:spacing w:val="-2"/>
          <w:sz w:val="22"/>
        </w:rPr>
        <w:t>1994;344:979.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Langer RD, Pierce JJ, O’Hanlan KA, et al. Transvaginal ultrasonography compared with endometrial biopsy for the detection of endometrial disease. </w:t>
      </w:r>
      <w:r>
        <w:rPr>
          <w:i/>
          <w:sz w:val="22"/>
        </w:rPr>
        <w:t>N Engl J Med</w:t>
      </w:r>
      <w:r>
        <w:rPr>
          <w:sz w:val="22"/>
        </w:rPr>
        <w:t>. 1997;337:1792.</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ACOG</w:t>
      </w:r>
      <w:r>
        <w:rPr>
          <w:spacing w:val="40"/>
          <w:sz w:val="22"/>
        </w:rPr>
        <w:t> </w:t>
      </w:r>
      <w:r>
        <w:rPr>
          <w:sz w:val="22"/>
        </w:rPr>
        <w:t>Committee</w:t>
      </w:r>
      <w:r>
        <w:rPr>
          <w:spacing w:val="40"/>
          <w:sz w:val="22"/>
        </w:rPr>
        <w:t> </w:t>
      </w:r>
      <w:r>
        <w:rPr>
          <w:sz w:val="22"/>
        </w:rPr>
        <w:t>Opinion</w:t>
      </w:r>
      <w:r>
        <w:rPr>
          <w:spacing w:val="40"/>
          <w:sz w:val="22"/>
        </w:rPr>
        <w:t> </w:t>
      </w:r>
      <w:r>
        <w:rPr>
          <w:sz w:val="22"/>
        </w:rPr>
        <w:t>No.</w:t>
      </w:r>
      <w:r>
        <w:rPr>
          <w:spacing w:val="40"/>
          <w:sz w:val="22"/>
        </w:rPr>
        <w:t> </w:t>
      </w:r>
      <w:r>
        <w:rPr>
          <w:sz w:val="22"/>
        </w:rPr>
        <w:t>734:</w:t>
      </w:r>
      <w:r>
        <w:rPr>
          <w:spacing w:val="40"/>
          <w:sz w:val="22"/>
        </w:rPr>
        <w:t> </w:t>
      </w:r>
      <w:r>
        <w:rPr>
          <w:sz w:val="22"/>
        </w:rPr>
        <w:t>the</w:t>
      </w:r>
      <w:r>
        <w:rPr>
          <w:spacing w:val="40"/>
          <w:sz w:val="22"/>
        </w:rPr>
        <w:t> </w:t>
      </w:r>
      <w:r>
        <w:rPr>
          <w:sz w:val="22"/>
        </w:rPr>
        <w:t>role</w:t>
      </w:r>
      <w:r>
        <w:rPr>
          <w:spacing w:val="40"/>
          <w:sz w:val="22"/>
        </w:rPr>
        <w:t> </w:t>
      </w:r>
      <w:r>
        <w:rPr>
          <w:sz w:val="22"/>
        </w:rPr>
        <w:t>of</w:t>
      </w:r>
      <w:r>
        <w:rPr>
          <w:spacing w:val="40"/>
          <w:sz w:val="22"/>
        </w:rPr>
        <w:t> </w:t>
      </w:r>
      <w:r>
        <w:rPr>
          <w:sz w:val="22"/>
        </w:rPr>
        <w:t>transvaginal</w:t>
      </w:r>
      <w:r>
        <w:rPr>
          <w:spacing w:val="40"/>
          <w:sz w:val="22"/>
        </w:rPr>
        <w:t> </w:t>
      </w:r>
      <w:r>
        <w:rPr>
          <w:sz w:val="22"/>
        </w:rPr>
        <w:t>ultrasonography</w:t>
      </w:r>
      <w:r>
        <w:rPr>
          <w:spacing w:val="40"/>
          <w:sz w:val="22"/>
        </w:rPr>
        <w:t> </w:t>
      </w:r>
      <w:r>
        <w:rPr>
          <w:sz w:val="22"/>
        </w:rPr>
        <w:t>in</w:t>
      </w:r>
      <w:r>
        <w:rPr>
          <w:spacing w:val="40"/>
          <w:sz w:val="22"/>
        </w:rPr>
        <w:t> </w:t>
      </w:r>
      <w:r>
        <w:rPr>
          <w:sz w:val="22"/>
        </w:rPr>
        <w:t>evaluating the</w:t>
      </w:r>
      <w:r>
        <w:rPr>
          <w:spacing w:val="40"/>
          <w:sz w:val="22"/>
        </w:rPr>
        <w:t> </w:t>
      </w:r>
      <w:r>
        <w:rPr>
          <w:sz w:val="22"/>
        </w:rPr>
        <w:t>endometrium</w:t>
      </w:r>
      <w:r>
        <w:rPr>
          <w:spacing w:val="40"/>
          <w:sz w:val="22"/>
        </w:rPr>
        <w:t> </w:t>
      </w:r>
      <w:r>
        <w:rPr>
          <w:sz w:val="22"/>
        </w:rPr>
        <w:t>of</w:t>
      </w:r>
      <w:r>
        <w:rPr>
          <w:spacing w:val="40"/>
          <w:sz w:val="22"/>
        </w:rPr>
        <w:t> </w:t>
      </w:r>
      <w:r>
        <w:rPr>
          <w:sz w:val="22"/>
        </w:rPr>
        <w:t>women</w:t>
      </w:r>
      <w:r>
        <w:rPr>
          <w:spacing w:val="40"/>
          <w:sz w:val="22"/>
        </w:rPr>
        <w:t> </w:t>
      </w:r>
      <w:r>
        <w:rPr>
          <w:sz w:val="22"/>
        </w:rPr>
        <w:t>with</w:t>
      </w:r>
      <w:r>
        <w:rPr>
          <w:spacing w:val="40"/>
          <w:sz w:val="22"/>
        </w:rPr>
        <w:t> </w:t>
      </w:r>
      <w:r>
        <w:rPr>
          <w:sz w:val="22"/>
        </w:rPr>
        <w:t>postmenopausal</w:t>
      </w:r>
      <w:r>
        <w:rPr>
          <w:spacing w:val="40"/>
          <w:sz w:val="22"/>
        </w:rPr>
        <w:t> </w:t>
      </w:r>
      <w:r>
        <w:rPr>
          <w:sz w:val="22"/>
        </w:rPr>
        <w:t>bleeding.</w:t>
      </w:r>
      <w:r>
        <w:rPr>
          <w:spacing w:val="40"/>
          <w:sz w:val="22"/>
        </w:rPr>
        <w:t> </w:t>
      </w:r>
      <w:r>
        <w:rPr>
          <w:i/>
          <w:sz w:val="22"/>
        </w:rPr>
        <w:t>Obstet</w:t>
      </w:r>
      <w:r>
        <w:rPr>
          <w:i/>
          <w:spacing w:val="40"/>
          <w:sz w:val="22"/>
        </w:rPr>
        <w:t> </w:t>
      </w:r>
      <w:r>
        <w:rPr>
          <w:i/>
          <w:sz w:val="22"/>
        </w:rPr>
        <w:t>Gynecol</w:t>
      </w:r>
      <w:r>
        <w:rPr>
          <w:sz w:val="22"/>
        </w:rPr>
        <w:t>. </w:t>
      </w:r>
      <w:r>
        <w:rPr>
          <w:spacing w:val="-2"/>
          <w:sz w:val="22"/>
        </w:rPr>
        <w:t>2018;131(5):e124.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Botsis D, Kassanos D, Pyrgiotis E, Zourlas PA. Vaginal sonography of the endometrium </w:t>
      </w:r>
      <w:r>
        <w:rPr>
          <w:sz w:val="22"/>
        </w:rPr>
        <w:t>in postmenopausal women. </w:t>
      </w:r>
      <w:r>
        <w:rPr>
          <w:i/>
          <w:sz w:val="22"/>
        </w:rPr>
        <w:t>Clin Exp Obstet Gynecol</w:t>
      </w:r>
      <w:r>
        <w:rPr>
          <w:sz w:val="22"/>
        </w:rPr>
        <w:t>. 1992;19:189.</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Karlsson</w:t>
      </w:r>
      <w:r>
        <w:rPr>
          <w:spacing w:val="22"/>
          <w:sz w:val="22"/>
        </w:rPr>
        <w:t> </w:t>
      </w:r>
      <w:r>
        <w:rPr>
          <w:sz w:val="22"/>
        </w:rPr>
        <w:t>B,</w:t>
      </w:r>
      <w:r>
        <w:rPr>
          <w:spacing w:val="22"/>
          <w:sz w:val="22"/>
        </w:rPr>
        <w:t> </w:t>
      </w:r>
      <w:r>
        <w:rPr>
          <w:sz w:val="22"/>
        </w:rPr>
        <w:t>Granberg</w:t>
      </w:r>
      <w:r>
        <w:rPr>
          <w:spacing w:val="22"/>
          <w:sz w:val="22"/>
        </w:rPr>
        <w:t> </w:t>
      </w:r>
      <w:r>
        <w:rPr>
          <w:sz w:val="22"/>
        </w:rPr>
        <w:t>S,</w:t>
      </w:r>
      <w:r>
        <w:rPr>
          <w:spacing w:val="22"/>
          <w:sz w:val="22"/>
        </w:rPr>
        <w:t> </w:t>
      </w:r>
      <w:r>
        <w:rPr>
          <w:sz w:val="22"/>
        </w:rPr>
        <w:t>Wikland</w:t>
      </w:r>
      <w:r>
        <w:rPr>
          <w:spacing w:val="22"/>
          <w:sz w:val="22"/>
        </w:rPr>
        <w:t> </w:t>
      </w:r>
      <w:r>
        <w:rPr>
          <w:sz w:val="22"/>
        </w:rPr>
        <w:t>M,</w:t>
      </w:r>
      <w:r>
        <w:rPr>
          <w:spacing w:val="22"/>
          <w:sz w:val="22"/>
        </w:rPr>
        <w:t> </w:t>
      </w:r>
      <w:r>
        <w:rPr>
          <w:sz w:val="22"/>
        </w:rPr>
        <w:t>et</w:t>
      </w:r>
      <w:r>
        <w:rPr>
          <w:spacing w:val="22"/>
          <w:sz w:val="22"/>
        </w:rPr>
        <w:t> </w:t>
      </w:r>
      <w:r>
        <w:rPr>
          <w:sz w:val="22"/>
        </w:rPr>
        <w:t>al.</w:t>
      </w:r>
      <w:r>
        <w:rPr>
          <w:spacing w:val="22"/>
          <w:sz w:val="22"/>
        </w:rPr>
        <w:t> </w:t>
      </w:r>
      <w:r>
        <w:rPr>
          <w:sz w:val="22"/>
        </w:rPr>
        <w:t>Transvaginal</w:t>
      </w:r>
      <w:r>
        <w:rPr>
          <w:spacing w:val="22"/>
          <w:sz w:val="22"/>
        </w:rPr>
        <w:t> </w:t>
      </w:r>
      <w:r>
        <w:rPr>
          <w:sz w:val="22"/>
        </w:rPr>
        <w:t>ultrasonography</w:t>
      </w:r>
      <w:r>
        <w:rPr>
          <w:spacing w:val="22"/>
          <w:sz w:val="22"/>
        </w:rPr>
        <w:t> </w:t>
      </w:r>
      <w:r>
        <w:rPr>
          <w:sz w:val="22"/>
        </w:rPr>
        <w:t>of</w:t>
      </w:r>
      <w:r>
        <w:rPr>
          <w:spacing w:val="22"/>
          <w:sz w:val="22"/>
        </w:rPr>
        <w:t> </w:t>
      </w:r>
      <w:r>
        <w:rPr>
          <w:sz w:val="22"/>
        </w:rPr>
        <w:t>the</w:t>
      </w:r>
      <w:r>
        <w:rPr>
          <w:spacing w:val="22"/>
          <w:sz w:val="22"/>
        </w:rPr>
        <w:t> </w:t>
      </w:r>
      <w:r>
        <w:rPr>
          <w:sz w:val="22"/>
        </w:rPr>
        <w:t>endometrium in women with postmenopausal bleeding—a nordic multicenter study. </w:t>
      </w:r>
      <w:r>
        <w:rPr>
          <w:i/>
          <w:sz w:val="22"/>
        </w:rPr>
        <w:t>Am J Obstet </w:t>
      </w:r>
      <w:r>
        <w:rPr>
          <w:i/>
          <w:sz w:val="22"/>
        </w:rPr>
        <w:t>Gynecol</w:t>
      </w:r>
      <w:r>
        <w:rPr>
          <w:sz w:val="22"/>
        </w:rPr>
        <w:t>. </w:t>
      </w:r>
      <w:r>
        <w:rPr>
          <w:spacing w:val="-2"/>
          <w:sz w:val="22"/>
        </w:rPr>
        <w:t>1995;172:1488.</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Bakos O, Smith P, Heimer G. Transvaginal ultrasonography for identifying </w:t>
      </w:r>
      <w:r>
        <w:rPr>
          <w:sz w:val="22"/>
        </w:rPr>
        <w:t>endometrial pathology in postmenopausal women. </w:t>
      </w:r>
      <w:r>
        <w:rPr>
          <w:i/>
          <w:sz w:val="22"/>
        </w:rPr>
        <w:t>Maturitas</w:t>
      </w:r>
      <w:r>
        <w:rPr>
          <w:sz w:val="22"/>
        </w:rPr>
        <w:t>. 1995;20:181.</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Granberg S, Ylöstalo P, Wikland M, Karlsson B. Endometrial sonographic and histologic findings in women with and without hormonal replacement therapy suffering </w:t>
      </w:r>
      <w:r>
        <w:rPr>
          <w:sz w:val="22"/>
        </w:rPr>
        <w:t>from postmenopausal bleeding. </w:t>
      </w:r>
      <w:r>
        <w:rPr>
          <w:i/>
          <w:sz w:val="22"/>
        </w:rPr>
        <w:t>Maturitas</w:t>
      </w:r>
      <w:r>
        <w:rPr>
          <w:sz w:val="22"/>
        </w:rPr>
        <w:t>. 1997;27:35.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Hanggi W, Bersinger N, Altermatt HJ, Birkhauser MH. Comparison of </w:t>
      </w:r>
      <w:r>
        <w:rPr>
          <w:sz w:val="22"/>
        </w:rPr>
        <w:t>transvaginal ultrasonography and endometrial biopsy in endometrial surveillance in postmenopausal HRT users. </w:t>
      </w:r>
      <w:r>
        <w:rPr>
          <w:i/>
          <w:sz w:val="22"/>
        </w:rPr>
        <w:t>Maturitas</w:t>
      </w:r>
      <w:r>
        <w:rPr>
          <w:sz w:val="22"/>
        </w:rPr>
        <w:t>. 1997;27:133.</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Affinito P, Palomba S, Sammartino A, Bonifacio M, Nappi C. Ultrasonographic endometrial monitoring</w:t>
      </w:r>
      <w:r>
        <w:rPr>
          <w:spacing w:val="55"/>
          <w:sz w:val="22"/>
        </w:rPr>
        <w:t>  </w:t>
      </w:r>
      <w:r>
        <w:rPr>
          <w:sz w:val="22"/>
        </w:rPr>
        <w:t>during</w:t>
      </w:r>
      <w:r>
        <w:rPr>
          <w:spacing w:val="55"/>
          <w:sz w:val="22"/>
        </w:rPr>
        <w:t>  </w:t>
      </w:r>
      <w:r>
        <w:rPr>
          <w:sz w:val="22"/>
        </w:rPr>
        <w:t>continuous-sequential</w:t>
      </w:r>
      <w:r>
        <w:rPr>
          <w:spacing w:val="55"/>
          <w:sz w:val="22"/>
        </w:rPr>
        <w:t>  </w:t>
      </w:r>
      <w:r>
        <w:rPr>
          <w:sz w:val="22"/>
        </w:rPr>
        <w:t>hormonal</w:t>
      </w:r>
      <w:r>
        <w:rPr>
          <w:spacing w:val="55"/>
          <w:sz w:val="22"/>
        </w:rPr>
        <w:t>  </w:t>
      </w:r>
      <w:r>
        <w:rPr>
          <w:sz w:val="22"/>
        </w:rPr>
        <w:t>replacement</w:t>
      </w:r>
      <w:r>
        <w:rPr>
          <w:spacing w:val="55"/>
          <w:sz w:val="22"/>
        </w:rPr>
        <w:t>  </w:t>
      </w:r>
      <w:r>
        <w:rPr>
          <w:sz w:val="22"/>
        </w:rPr>
        <w:t>therapy</w:t>
      </w:r>
      <w:r>
        <w:rPr>
          <w:spacing w:val="55"/>
          <w:sz w:val="22"/>
        </w:rPr>
        <w:t>  </w:t>
      </w:r>
      <w:r>
        <w:rPr>
          <w:sz w:val="22"/>
        </w:rPr>
        <w:t>regimen</w:t>
      </w:r>
      <w:r>
        <w:rPr>
          <w:spacing w:val="55"/>
          <w:sz w:val="22"/>
        </w:rPr>
        <w:t>  </w:t>
      </w:r>
      <w:r>
        <w:rPr>
          <w:sz w:val="22"/>
        </w:rPr>
        <w:t>in</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postmenopausal</w:t>
      </w:r>
      <w:r>
        <w:rPr>
          <w:spacing w:val="21"/>
          <w:sz w:val="22"/>
        </w:rPr>
        <w:t> </w:t>
      </w:r>
      <w:r>
        <w:rPr>
          <w:sz w:val="22"/>
        </w:rPr>
        <w:t>women.</w:t>
      </w:r>
      <w:r>
        <w:rPr>
          <w:spacing w:val="21"/>
          <w:sz w:val="22"/>
        </w:rPr>
        <w:t> </w:t>
      </w:r>
      <w:r>
        <w:rPr>
          <w:i/>
          <w:sz w:val="22"/>
        </w:rPr>
        <w:t>Maturitas</w:t>
      </w:r>
      <w:r>
        <w:rPr>
          <w:sz w:val="22"/>
        </w:rPr>
        <w:t>.</w:t>
      </w:r>
      <w:r>
        <w:rPr>
          <w:spacing w:val="21"/>
          <w:sz w:val="22"/>
        </w:rPr>
        <w:t> </w:t>
      </w:r>
      <w:r>
        <w:rPr>
          <w:spacing w:val="-2"/>
          <w:sz w:val="22"/>
        </w:rPr>
        <w:t>2001;39:239.</w:t>
      </w:r>
    </w:p>
    <w:p>
      <w:pPr>
        <w:pStyle w:val="ListParagraph"/>
        <w:numPr>
          <w:ilvl w:val="0"/>
          <w:numId w:val="19"/>
        </w:numPr>
        <w:tabs>
          <w:tab w:pos="710" w:val="left" w:leader="none"/>
        </w:tabs>
        <w:spacing w:line="240" w:lineRule="auto" w:before="17" w:after="0"/>
        <w:ind w:left="710" w:right="0" w:hanging="498"/>
        <w:jc w:val="both"/>
        <w:rPr>
          <w:sz w:val="22"/>
        </w:rPr>
      </w:pPr>
      <w:r>
        <w:rPr>
          <w:sz w:val="22"/>
        </w:rPr>
        <w:t>Van</w:t>
      </w:r>
      <w:r>
        <w:rPr>
          <w:spacing w:val="15"/>
          <w:sz w:val="22"/>
        </w:rPr>
        <w:t> </w:t>
      </w:r>
      <w:r>
        <w:rPr>
          <w:sz w:val="22"/>
        </w:rPr>
        <w:t>den</w:t>
      </w:r>
      <w:r>
        <w:rPr>
          <w:spacing w:val="15"/>
          <w:sz w:val="22"/>
        </w:rPr>
        <w:t> </w:t>
      </w:r>
      <w:r>
        <w:rPr>
          <w:sz w:val="22"/>
        </w:rPr>
        <w:t>Bosch</w:t>
      </w:r>
      <w:r>
        <w:rPr>
          <w:spacing w:val="15"/>
          <w:sz w:val="22"/>
        </w:rPr>
        <w:t> </w:t>
      </w:r>
      <w:r>
        <w:rPr>
          <w:sz w:val="22"/>
        </w:rPr>
        <w:t>T,</w:t>
      </w:r>
      <w:r>
        <w:rPr>
          <w:spacing w:val="15"/>
          <w:sz w:val="22"/>
        </w:rPr>
        <w:t> </w:t>
      </w:r>
      <w:r>
        <w:rPr>
          <w:sz w:val="22"/>
        </w:rPr>
        <w:t>Van</w:t>
      </w:r>
      <w:r>
        <w:rPr>
          <w:spacing w:val="15"/>
          <w:sz w:val="22"/>
        </w:rPr>
        <w:t> </w:t>
      </w:r>
      <w:r>
        <w:rPr>
          <w:sz w:val="22"/>
        </w:rPr>
        <w:t>Schoubroeck</w:t>
      </w:r>
      <w:r>
        <w:rPr>
          <w:spacing w:val="15"/>
          <w:sz w:val="22"/>
        </w:rPr>
        <w:t> </w:t>
      </w:r>
      <w:r>
        <w:rPr>
          <w:sz w:val="22"/>
        </w:rPr>
        <w:t>D,</w:t>
      </w:r>
      <w:r>
        <w:rPr>
          <w:spacing w:val="15"/>
          <w:sz w:val="22"/>
        </w:rPr>
        <w:t> </w:t>
      </w:r>
      <w:r>
        <w:rPr>
          <w:sz w:val="22"/>
        </w:rPr>
        <w:t>Ameye</w:t>
      </w:r>
      <w:r>
        <w:rPr>
          <w:spacing w:val="15"/>
          <w:sz w:val="22"/>
        </w:rPr>
        <w:t> </w:t>
      </w:r>
      <w:r>
        <w:rPr>
          <w:sz w:val="22"/>
        </w:rPr>
        <w:t>L,</w:t>
      </w:r>
      <w:r>
        <w:rPr>
          <w:spacing w:val="15"/>
          <w:sz w:val="22"/>
        </w:rPr>
        <w:t> </w:t>
      </w:r>
      <w:r>
        <w:rPr>
          <w:sz w:val="22"/>
        </w:rPr>
        <w:t>De</w:t>
      </w:r>
      <w:r>
        <w:rPr>
          <w:spacing w:val="15"/>
          <w:sz w:val="22"/>
        </w:rPr>
        <w:t> </w:t>
      </w:r>
      <w:r>
        <w:rPr>
          <w:sz w:val="22"/>
        </w:rPr>
        <w:t>Brabanter</w:t>
      </w:r>
      <w:r>
        <w:rPr>
          <w:spacing w:val="15"/>
          <w:sz w:val="22"/>
        </w:rPr>
        <w:t> </w:t>
      </w:r>
      <w:r>
        <w:rPr>
          <w:sz w:val="22"/>
        </w:rPr>
        <w:t>J,</w:t>
      </w:r>
      <w:r>
        <w:rPr>
          <w:spacing w:val="15"/>
          <w:sz w:val="22"/>
        </w:rPr>
        <w:t> </w:t>
      </w:r>
      <w:r>
        <w:rPr>
          <w:sz w:val="22"/>
        </w:rPr>
        <w:t>Van</w:t>
      </w:r>
      <w:r>
        <w:rPr>
          <w:spacing w:val="15"/>
          <w:sz w:val="22"/>
        </w:rPr>
        <w:t> </w:t>
      </w:r>
      <w:r>
        <w:rPr>
          <w:sz w:val="22"/>
        </w:rPr>
        <w:t>Huffel</w:t>
      </w:r>
      <w:r>
        <w:rPr>
          <w:spacing w:val="15"/>
          <w:sz w:val="22"/>
        </w:rPr>
        <w:t> </w:t>
      </w:r>
      <w:r>
        <w:rPr>
          <w:sz w:val="22"/>
        </w:rPr>
        <w:t>S,</w:t>
      </w:r>
      <w:r>
        <w:rPr>
          <w:spacing w:val="15"/>
          <w:sz w:val="22"/>
        </w:rPr>
        <w:t> </w:t>
      </w:r>
      <w:r>
        <w:rPr>
          <w:spacing w:val="-2"/>
          <w:sz w:val="22"/>
        </w:rPr>
        <w:t>Timmerman</w:t>
      </w:r>
    </w:p>
    <w:p>
      <w:pPr>
        <w:spacing w:line="256" w:lineRule="auto" w:before="17"/>
        <w:ind w:left="718" w:right="100" w:firstLine="0"/>
        <w:jc w:val="both"/>
        <w:rPr>
          <w:sz w:val="22"/>
        </w:rPr>
      </w:pPr>
      <w:r>
        <w:rPr>
          <w:sz w:val="22"/>
        </w:rPr>
        <w:t>D. Ultrasound assessment of endometrial thickness and endometrial polyps in women on hormonal replacement therapy. </w:t>
      </w:r>
      <w:r>
        <w:rPr>
          <w:i/>
          <w:sz w:val="22"/>
        </w:rPr>
        <w:t>Am J Obstet Gynecol</w:t>
      </w:r>
      <w:r>
        <w:rPr>
          <w:sz w:val="22"/>
        </w:rPr>
        <w:t>. 2003;188:1249.</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Goldstein</w:t>
      </w:r>
      <w:r>
        <w:rPr>
          <w:spacing w:val="40"/>
          <w:sz w:val="22"/>
        </w:rPr>
        <w:t> </w:t>
      </w:r>
      <w:r>
        <w:rPr>
          <w:sz w:val="22"/>
        </w:rPr>
        <w:t>SR,</w:t>
      </w:r>
      <w:r>
        <w:rPr>
          <w:spacing w:val="40"/>
          <w:sz w:val="22"/>
        </w:rPr>
        <w:t> </w:t>
      </w:r>
      <w:r>
        <w:rPr>
          <w:sz w:val="22"/>
        </w:rPr>
        <w:t>Zeltser</w:t>
      </w:r>
      <w:r>
        <w:rPr>
          <w:spacing w:val="40"/>
          <w:sz w:val="22"/>
        </w:rPr>
        <w:t> </w:t>
      </w:r>
      <w:r>
        <w:rPr>
          <w:sz w:val="22"/>
        </w:rPr>
        <w:t>I,</w:t>
      </w:r>
      <w:r>
        <w:rPr>
          <w:spacing w:val="40"/>
          <w:sz w:val="22"/>
        </w:rPr>
        <w:t> </w:t>
      </w:r>
      <w:r>
        <w:rPr>
          <w:sz w:val="22"/>
        </w:rPr>
        <w:t>Horan</w:t>
      </w:r>
      <w:r>
        <w:rPr>
          <w:spacing w:val="40"/>
          <w:sz w:val="22"/>
        </w:rPr>
        <w:t> </w:t>
      </w:r>
      <w:r>
        <w:rPr>
          <w:sz w:val="22"/>
        </w:rPr>
        <w:t>CK,</w:t>
      </w:r>
      <w:r>
        <w:rPr>
          <w:spacing w:val="40"/>
          <w:sz w:val="22"/>
        </w:rPr>
        <w:t> </w:t>
      </w:r>
      <w:r>
        <w:rPr>
          <w:sz w:val="22"/>
        </w:rPr>
        <w:t>Snyder</w:t>
      </w:r>
      <w:r>
        <w:rPr>
          <w:spacing w:val="40"/>
          <w:sz w:val="22"/>
        </w:rPr>
        <w:t> </w:t>
      </w:r>
      <w:r>
        <w:rPr>
          <w:sz w:val="22"/>
        </w:rPr>
        <w:t>JR,</w:t>
      </w:r>
      <w:r>
        <w:rPr>
          <w:spacing w:val="40"/>
          <w:sz w:val="22"/>
        </w:rPr>
        <w:t> </w:t>
      </w:r>
      <w:r>
        <w:rPr>
          <w:sz w:val="22"/>
        </w:rPr>
        <w:t>Schwartz</w:t>
      </w:r>
      <w:r>
        <w:rPr>
          <w:spacing w:val="40"/>
          <w:sz w:val="22"/>
        </w:rPr>
        <w:t> </w:t>
      </w:r>
      <w:r>
        <w:rPr>
          <w:sz w:val="22"/>
        </w:rPr>
        <w:t>LB.</w:t>
      </w:r>
      <w:r>
        <w:rPr>
          <w:spacing w:val="40"/>
          <w:sz w:val="22"/>
        </w:rPr>
        <w:t> </w:t>
      </w:r>
      <w:r>
        <w:rPr>
          <w:sz w:val="22"/>
        </w:rPr>
        <w:t>Ultrasonography-based</w:t>
      </w:r>
      <w:r>
        <w:rPr>
          <w:spacing w:val="40"/>
          <w:sz w:val="22"/>
        </w:rPr>
        <w:t> </w:t>
      </w:r>
      <w:r>
        <w:rPr>
          <w:sz w:val="22"/>
        </w:rPr>
        <w:t>triage for perimenopausal patients with abnormal uterine bleeding. </w:t>
      </w:r>
      <w:r>
        <w:rPr>
          <w:i/>
          <w:sz w:val="22"/>
        </w:rPr>
        <w:t>Am J Obstet Gynecol</w:t>
      </w:r>
      <w:r>
        <w:rPr>
          <w:sz w:val="22"/>
        </w:rPr>
        <w:t>. </w:t>
      </w:r>
      <w:r>
        <w:rPr>
          <w:spacing w:val="-2"/>
          <w:sz w:val="22"/>
        </w:rPr>
        <w:t>1997;177:102.</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Omodei U, Ferrazzia E, Ruggeri C, et al. Endometrial thickness and histological </w:t>
      </w:r>
      <w:r>
        <w:rPr>
          <w:sz w:val="22"/>
        </w:rPr>
        <w:t>abnormalities</w:t>
      </w:r>
      <w:r>
        <w:rPr>
          <w:spacing w:val="40"/>
          <w:sz w:val="22"/>
        </w:rPr>
        <w:t> </w:t>
      </w:r>
      <w:r>
        <w:rPr>
          <w:sz w:val="22"/>
        </w:rPr>
        <w:t>in women on hormonal replacement therapy: a transvaginal ultrasound/hysteroscopic study. </w:t>
      </w:r>
      <w:r>
        <w:rPr>
          <w:i/>
          <w:sz w:val="22"/>
        </w:rPr>
        <w:t>Ultrasound Obstet Gynecol</w:t>
      </w:r>
      <w:r>
        <w:rPr>
          <w:sz w:val="22"/>
        </w:rPr>
        <w:t>. 2000;15:317.</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Sladkevicius P, Valentin L, Marsal K. Endometrial thickness and Doppler velocimetry of the uterine arteries as discriminators of endometrial status in women with </w:t>
      </w:r>
      <w:r>
        <w:rPr>
          <w:sz w:val="22"/>
        </w:rPr>
        <w:t>postmenopausal</w:t>
      </w:r>
      <w:r>
        <w:rPr>
          <w:spacing w:val="80"/>
          <w:w w:val="150"/>
          <w:sz w:val="22"/>
        </w:rPr>
        <w:t> </w:t>
      </w:r>
      <w:r>
        <w:rPr>
          <w:sz w:val="22"/>
        </w:rPr>
        <w:t>bleeding: a comparative study. </w:t>
      </w:r>
      <w:r>
        <w:rPr>
          <w:i/>
          <w:sz w:val="22"/>
        </w:rPr>
        <w:t>Am J Obstet Gynecol</w:t>
      </w:r>
      <w:r>
        <w:rPr>
          <w:sz w:val="22"/>
        </w:rPr>
        <w:t>. 1994;171:722.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Conoscenti G, Meir YJ, Fischer-Tamaro L, et al. Endometrial assessment by </w:t>
      </w:r>
      <w:r>
        <w:rPr>
          <w:sz w:val="22"/>
        </w:rPr>
        <w:t>transvaginal sonography and histological findings after D &amp; C in women with postmenopausal bleeding. </w:t>
      </w:r>
      <w:r>
        <w:rPr>
          <w:i/>
          <w:sz w:val="22"/>
        </w:rPr>
        <w:t>Ultrasound Obstet Gynecol</w:t>
      </w:r>
      <w:r>
        <w:rPr>
          <w:sz w:val="22"/>
        </w:rPr>
        <w:t>. 1995;6:108.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Symons</w:t>
      </w:r>
      <w:r>
        <w:rPr>
          <w:spacing w:val="37"/>
          <w:sz w:val="22"/>
        </w:rPr>
        <w:t> </w:t>
      </w:r>
      <w:r>
        <w:rPr>
          <w:sz w:val="22"/>
        </w:rPr>
        <w:t>J,</w:t>
      </w:r>
      <w:r>
        <w:rPr>
          <w:spacing w:val="37"/>
          <w:sz w:val="22"/>
        </w:rPr>
        <w:t> </w:t>
      </w:r>
      <w:r>
        <w:rPr>
          <w:sz w:val="22"/>
        </w:rPr>
        <w:t>Kempfert</w:t>
      </w:r>
      <w:r>
        <w:rPr>
          <w:spacing w:val="37"/>
          <w:sz w:val="22"/>
        </w:rPr>
        <w:t> </w:t>
      </w:r>
      <w:r>
        <w:rPr>
          <w:sz w:val="22"/>
        </w:rPr>
        <w:t>N,</w:t>
      </w:r>
      <w:r>
        <w:rPr>
          <w:spacing w:val="37"/>
          <w:sz w:val="22"/>
        </w:rPr>
        <w:t> </w:t>
      </w:r>
      <w:r>
        <w:rPr>
          <w:sz w:val="22"/>
        </w:rPr>
        <w:t>Speroff</w:t>
      </w:r>
      <w:r>
        <w:rPr>
          <w:spacing w:val="37"/>
          <w:sz w:val="22"/>
        </w:rPr>
        <w:t> </w:t>
      </w:r>
      <w:r>
        <w:rPr>
          <w:sz w:val="22"/>
        </w:rPr>
        <w:t>L.</w:t>
      </w:r>
      <w:r>
        <w:rPr>
          <w:spacing w:val="37"/>
          <w:sz w:val="22"/>
        </w:rPr>
        <w:t> </w:t>
      </w:r>
      <w:r>
        <w:rPr>
          <w:sz w:val="22"/>
        </w:rPr>
        <w:t>Vaginal</w:t>
      </w:r>
      <w:r>
        <w:rPr>
          <w:spacing w:val="37"/>
          <w:sz w:val="22"/>
        </w:rPr>
        <w:t> </w:t>
      </w:r>
      <w:r>
        <w:rPr>
          <w:sz w:val="22"/>
        </w:rPr>
        <w:t>bleeding</w:t>
      </w:r>
      <w:r>
        <w:rPr>
          <w:spacing w:val="37"/>
          <w:sz w:val="22"/>
        </w:rPr>
        <w:t> </w:t>
      </w:r>
      <w:r>
        <w:rPr>
          <w:sz w:val="22"/>
        </w:rPr>
        <w:t>in</w:t>
      </w:r>
      <w:r>
        <w:rPr>
          <w:spacing w:val="37"/>
          <w:sz w:val="22"/>
        </w:rPr>
        <w:t> </w:t>
      </w:r>
      <w:r>
        <w:rPr>
          <w:sz w:val="22"/>
        </w:rPr>
        <w:t>postmenopausal</w:t>
      </w:r>
      <w:r>
        <w:rPr>
          <w:spacing w:val="37"/>
          <w:sz w:val="22"/>
        </w:rPr>
        <w:t> </w:t>
      </w:r>
      <w:r>
        <w:rPr>
          <w:sz w:val="22"/>
        </w:rPr>
        <w:t>women</w:t>
      </w:r>
      <w:r>
        <w:rPr>
          <w:spacing w:val="37"/>
          <w:sz w:val="22"/>
        </w:rPr>
        <w:t> </w:t>
      </w:r>
      <w:r>
        <w:rPr>
          <w:sz w:val="22"/>
        </w:rPr>
        <w:t>taking</w:t>
      </w:r>
      <w:r>
        <w:rPr>
          <w:spacing w:val="37"/>
          <w:sz w:val="22"/>
        </w:rPr>
        <w:t> </w:t>
      </w:r>
      <w:r>
        <w:rPr>
          <w:sz w:val="22"/>
        </w:rPr>
        <w:t>low-dose norethindrone acetate and ethinyl estradiol combinations: the FemHRT Study</w:t>
      </w:r>
      <w:r>
        <w:rPr>
          <w:spacing w:val="80"/>
          <w:sz w:val="22"/>
        </w:rPr>
        <w:t> </w:t>
      </w:r>
      <w:r>
        <w:rPr>
          <w:sz w:val="22"/>
        </w:rPr>
        <w:t>Investigators. </w:t>
      </w:r>
      <w:r>
        <w:rPr>
          <w:i/>
          <w:sz w:val="22"/>
        </w:rPr>
        <w:t>Obstet Gynecol</w:t>
      </w:r>
      <w:r>
        <w:rPr>
          <w:sz w:val="22"/>
        </w:rPr>
        <w:t>. 2000;96:366.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Simon JA, Symons J, FemHRT Study Investigators. Unscheduled bleeding during initiation of continuous combined hormone replacement therapy: a direct comparison of two combinations</w:t>
      </w:r>
      <w:r>
        <w:rPr>
          <w:spacing w:val="80"/>
          <w:sz w:val="22"/>
        </w:rPr>
        <w:t> </w:t>
      </w:r>
      <w:r>
        <w:rPr>
          <w:sz w:val="22"/>
        </w:rPr>
        <w:t>of norethindrone acetate and ethinyl estradiol to medroxyprogesterone acetate and conjugated equine estrogens. </w:t>
      </w:r>
      <w:r>
        <w:rPr>
          <w:i/>
          <w:sz w:val="22"/>
        </w:rPr>
        <w:t>Menopause</w:t>
      </w:r>
      <w:r>
        <w:rPr>
          <w:sz w:val="22"/>
        </w:rPr>
        <w:t>. 2001;8:321.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Simon JA, Liu JH, Speroff L, Shumel BS, Symons JP. Reduced vaginal bleeding </w:t>
      </w:r>
      <w:r>
        <w:rPr>
          <w:sz w:val="22"/>
        </w:rPr>
        <w:t>in postmenopausal women who receive combined norethindrone acetate and low-dose ethinyl estradiol therapy versus combined conjugated equine estrogens and medroxyprogesterone acetate. </w:t>
      </w:r>
      <w:r>
        <w:rPr>
          <w:i/>
          <w:sz w:val="22"/>
        </w:rPr>
        <w:t>Am J Obstet Gynecol</w:t>
      </w:r>
      <w:r>
        <w:rPr>
          <w:sz w:val="22"/>
        </w:rPr>
        <w:t>. 2003;188:92.</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Andersson K, Mattsson L, Rybo G, Stadberg E. Intrauterine release of levonorgestrel—a new way of adding progestogen in hormone replacement therapy. </w:t>
      </w:r>
      <w:r>
        <w:rPr>
          <w:i/>
          <w:sz w:val="22"/>
        </w:rPr>
        <w:t>Obstet Gynecol</w:t>
      </w:r>
      <w:r>
        <w:rPr>
          <w:sz w:val="22"/>
        </w:rPr>
        <w:t>. 1992;79:963.</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Mehta J, Kling JM, Manson JE. Risks, benefits, and treatment modalities of menopausal hormone therapy: current concepts. </w:t>
      </w:r>
      <w:r>
        <w:rPr>
          <w:i/>
          <w:sz w:val="22"/>
        </w:rPr>
        <w:t>Front Endocrinol (Lausanne)</w:t>
      </w:r>
      <w:r>
        <w:rPr>
          <w:sz w:val="22"/>
        </w:rPr>
        <w:t>. 2021;12:564781.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McGonigle KF, Karlan BY, Barbuto DA, Leuchter RS, Lagasse LD, Judd HL. Development of endometrial</w:t>
      </w:r>
      <w:r>
        <w:rPr>
          <w:spacing w:val="40"/>
          <w:sz w:val="22"/>
        </w:rPr>
        <w:t> </w:t>
      </w:r>
      <w:r>
        <w:rPr>
          <w:sz w:val="22"/>
        </w:rPr>
        <w:t>cancer</w:t>
      </w:r>
      <w:r>
        <w:rPr>
          <w:spacing w:val="40"/>
          <w:sz w:val="22"/>
        </w:rPr>
        <w:t> </w:t>
      </w:r>
      <w:r>
        <w:rPr>
          <w:sz w:val="22"/>
        </w:rPr>
        <w:t>in</w:t>
      </w:r>
      <w:r>
        <w:rPr>
          <w:spacing w:val="40"/>
          <w:sz w:val="22"/>
        </w:rPr>
        <w:t> </w:t>
      </w:r>
      <w:r>
        <w:rPr>
          <w:sz w:val="22"/>
        </w:rPr>
        <w:t>women</w:t>
      </w:r>
      <w:r>
        <w:rPr>
          <w:spacing w:val="40"/>
          <w:sz w:val="22"/>
        </w:rPr>
        <w:t> </w:t>
      </w:r>
      <w:r>
        <w:rPr>
          <w:sz w:val="22"/>
        </w:rPr>
        <w:t>on</w:t>
      </w:r>
      <w:r>
        <w:rPr>
          <w:spacing w:val="40"/>
          <w:sz w:val="22"/>
        </w:rPr>
        <w:t> </w:t>
      </w:r>
      <w:r>
        <w:rPr>
          <w:sz w:val="22"/>
        </w:rPr>
        <w:t>estrogen</w:t>
      </w:r>
      <w:r>
        <w:rPr>
          <w:spacing w:val="40"/>
          <w:sz w:val="22"/>
        </w:rPr>
        <w:t> </w:t>
      </w:r>
      <w:r>
        <w:rPr>
          <w:sz w:val="22"/>
        </w:rPr>
        <w:t>and</w:t>
      </w:r>
      <w:r>
        <w:rPr>
          <w:spacing w:val="40"/>
          <w:sz w:val="22"/>
        </w:rPr>
        <w:t> </w:t>
      </w:r>
      <w:r>
        <w:rPr>
          <w:sz w:val="22"/>
        </w:rPr>
        <w:t>progestin</w:t>
      </w:r>
      <w:r>
        <w:rPr>
          <w:spacing w:val="40"/>
          <w:sz w:val="22"/>
        </w:rPr>
        <w:t> </w:t>
      </w:r>
      <w:r>
        <w:rPr>
          <w:sz w:val="22"/>
        </w:rPr>
        <w:t>hormone</w:t>
      </w:r>
      <w:r>
        <w:rPr>
          <w:spacing w:val="40"/>
          <w:sz w:val="22"/>
        </w:rPr>
        <w:t> </w:t>
      </w:r>
      <w:r>
        <w:rPr>
          <w:sz w:val="22"/>
        </w:rPr>
        <w:t>replacement</w:t>
      </w:r>
      <w:r>
        <w:rPr>
          <w:spacing w:val="40"/>
          <w:sz w:val="22"/>
        </w:rPr>
        <w:t> </w:t>
      </w:r>
      <w:r>
        <w:rPr>
          <w:sz w:val="22"/>
        </w:rPr>
        <w:t>therapy. </w:t>
      </w:r>
      <w:r>
        <w:rPr>
          <w:i/>
          <w:sz w:val="22"/>
        </w:rPr>
        <w:t>Gynecol Oncol</w:t>
      </w:r>
      <w:r>
        <w:rPr>
          <w:sz w:val="22"/>
        </w:rPr>
        <w:t>. 1994;55:126.</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Eriksson M, Berglund L, Rudling M, Henriksson P, Angelin B. Effects of estrogen on low density lipoprotein metabolism in males: short-term and long-term studies during </w:t>
      </w:r>
      <w:r>
        <w:rPr>
          <w:sz w:val="22"/>
        </w:rPr>
        <w:t>hormonal treatment of prostatic cancer. </w:t>
      </w:r>
      <w:r>
        <w:rPr>
          <w:i/>
          <w:sz w:val="22"/>
        </w:rPr>
        <w:t>J Clin Invest</w:t>
      </w:r>
      <w:r>
        <w:rPr>
          <w:sz w:val="22"/>
        </w:rPr>
        <w:t>. 1989;84:802.</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Walsh</w:t>
      </w:r>
      <w:r>
        <w:rPr>
          <w:spacing w:val="40"/>
          <w:sz w:val="22"/>
        </w:rPr>
        <w:t> </w:t>
      </w:r>
      <w:r>
        <w:rPr>
          <w:sz w:val="22"/>
        </w:rPr>
        <w:t>BW,</w:t>
      </w:r>
      <w:r>
        <w:rPr>
          <w:spacing w:val="40"/>
          <w:sz w:val="22"/>
        </w:rPr>
        <w:t> </w:t>
      </w:r>
      <w:r>
        <w:rPr>
          <w:sz w:val="22"/>
        </w:rPr>
        <w:t>Schiff</w:t>
      </w:r>
      <w:r>
        <w:rPr>
          <w:spacing w:val="40"/>
          <w:sz w:val="22"/>
        </w:rPr>
        <w:t> </w:t>
      </w:r>
      <w:r>
        <w:rPr>
          <w:sz w:val="22"/>
        </w:rPr>
        <w:t>I,</w:t>
      </w:r>
      <w:r>
        <w:rPr>
          <w:spacing w:val="40"/>
          <w:sz w:val="22"/>
        </w:rPr>
        <w:t> </w:t>
      </w:r>
      <w:r>
        <w:rPr>
          <w:sz w:val="22"/>
        </w:rPr>
        <w:t>Rosner</w:t>
      </w:r>
      <w:r>
        <w:rPr>
          <w:spacing w:val="40"/>
          <w:sz w:val="22"/>
        </w:rPr>
        <w:t> </w:t>
      </w:r>
      <w:r>
        <w:rPr>
          <w:sz w:val="22"/>
        </w:rPr>
        <w:t>B,</w:t>
      </w:r>
      <w:r>
        <w:rPr>
          <w:spacing w:val="40"/>
          <w:sz w:val="22"/>
        </w:rPr>
        <w:t> </w:t>
      </w:r>
      <w:r>
        <w:rPr>
          <w:sz w:val="22"/>
        </w:rPr>
        <w:t>Greenberg</w:t>
      </w:r>
      <w:r>
        <w:rPr>
          <w:spacing w:val="40"/>
          <w:sz w:val="22"/>
        </w:rPr>
        <w:t> </w:t>
      </w:r>
      <w:r>
        <w:rPr>
          <w:sz w:val="22"/>
        </w:rPr>
        <w:t>L,</w:t>
      </w:r>
      <w:r>
        <w:rPr>
          <w:spacing w:val="40"/>
          <w:sz w:val="22"/>
        </w:rPr>
        <w:t> </w:t>
      </w:r>
      <w:r>
        <w:rPr>
          <w:sz w:val="22"/>
        </w:rPr>
        <w:t>Ravnikar</w:t>
      </w:r>
      <w:r>
        <w:rPr>
          <w:spacing w:val="40"/>
          <w:sz w:val="22"/>
        </w:rPr>
        <w:t> </w:t>
      </w:r>
      <w:r>
        <w:rPr>
          <w:sz w:val="22"/>
        </w:rPr>
        <w:t>V,</w:t>
      </w:r>
      <w:r>
        <w:rPr>
          <w:spacing w:val="40"/>
          <w:sz w:val="22"/>
        </w:rPr>
        <w:t> </w:t>
      </w:r>
      <w:r>
        <w:rPr>
          <w:sz w:val="22"/>
        </w:rPr>
        <w:t>Sacks</w:t>
      </w:r>
      <w:r>
        <w:rPr>
          <w:spacing w:val="40"/>
          <w:sz w:val="22"/>
        </w:rPr>
        <w:t> </w:t>
      </w:r>
      <w:r>
        <w:rPr>
          <w:sz w:val="22"/>
        </w:rPr>
        <w:t>FM.</w:t>
      </w:r>
      <w:r>
        <w:rPr>
          <w:spacing w:val="40"/>
          <w:sz w:val="22"/>
        </w:rPr>
        <w:t> </w:t>
      </w:r>
      <w:r>
        <w:rPr>
          <w:sz w:val="22"/>
        </w:rPr>
        <w:t>Effects</w:t>
      </w:r>
      <w:r>
        <w:rPr>
          <w:spacing w:val="40"/>
          <w:sz w:val="22"/>
        </w:rPr>
        <w:t> </w:t>
      </w:r>
      <w:r>
        <w:rPr>
          <w:sz w:val="22"/>
        </w:rPr>
        <w:t>of postmenopausal estrogen replacement on the concentrations and metabolism of </w:t>
      </w:r>
      <w:r>
        <w:rPr>
          <w:sz w:val="22"/>
        </w:rPr>
        <w:t>plasma lipoproteins. </w:t>
      </w:r>
      <w:r>
        <w:rPr>
          <w:i/>
          <w:sz w:val="22"/>
        </w:rPr>
        <w:t>N Engl J Med</w:t>
      </w:r>
      <w:r>
        <w:rPr>
          <w:sz w:val="22"/>
        </w:rPr>
        <w:t>. 1991;325:1196.</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Muesing R, Miller V, LaRosa J, Stoy D, Phillips E. Effects of unopposed conjugated equine estrogen on lipoprotein composition and apolipoprotein-E distribution. </w:t>
      </w:r>
      <w:r>
        <w:rPr>
          <w:i/>
          <w:sz w:val="22"/>
        </w:rPr>
        <w:t>J Clin Endocrinol</w:t>
      </w:r>
      <w:r>
        <w:rPr>
          <w:i/>
          <w:spacing w:val="80"/>
          <w:sz w:val="22"/>
        </w:rPr>
        <w:t> </w:t>
      </w:r>
      <w:r>
        <w:rPr>
          <w:i/>
          <w:sz w:val="22"/>
        </w:rPr>
        <w:t>Metab</w:t>
      </w:r>
      <w:r>
        <w:rPr>
          <w:sz w:val="22"/>
        </w:rPr>
        <w:t>. 1992;75:1250.</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Manning JM, Edwards IJ, Wagner WD, Wagner JD, Adams MR, Parks JS. Effects </w:t>
      </w:r>
      <w:r>
        <w:rPr>
          <w:sz w:val="22"/>
        </w:rPr>
        <w:t>of contraceptive estrogen and progestin on the atherogenic potential of plasma LDLs in Cynomolgus monkeys. </w:t>
      </w:r>
      <w:r>
        <w:rPr>
          <w:i/>
          <w:sz w:val="22"/>
        </w:rPr>
        <w:t>Arterioscler Thromb Vasc Biol</w:t>
      </w:r>
      <w:r>
        <w:rPr>
          <w:sz w:val="22"/>
        </w:rPr>
        <w:t>. 1997;17:1216.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Shlipak</w:t>
      </w:r>
      <w:r>
        <w:rPr>
          <w:spacing w:val="34"/>
          <w:sz w:val="22"/>
        </w:rPr>
        <w:t> </w:t>
      </w:r>
      <w:r>
        <w:rPr>
          <w:sz w:val="22"/>
        </w:rPr>
        <w:t>MG,</w:t>
      </w:r>
      <w:r>
        <w:rPr>
          <w:spacing w:val="34"/>
          <w:sz w:val="22"/>
        </w:rPr>
        <w:t> </w:t>
      </w:r>
      <w:r>
        <w:rPr>
          <w:sz w:val="22"/>
        </w:rPr>
        <w:t>Simon</w:t>
      </w:r>
      <w:r>
        <w:rPr>
          <w:spacing w:val="34"/>
          <w:sz w:val="22"/>
        </w:rPr>
        <w:t> </w:t>
      </w:r>
      <w:r>
        <w:rPr>
          <w:sz w:val="22"/>
        </w:rPr>
        <w:t>JA,</w:t>
      </w:r>
      <w:r>
        <w:rPr>
          <w:spacing w:val="34"/>
          <w:sz w:val="22"/>
        </w:rPr>
        <w:t> </w:t>
      </w:r>
      <w:r>
        <w:rPr>
          <w:sz w:val="22"/>
        </w:rPr>
        <w:t>Vittinghoff</w:t>
      </w:r>
      <w:r>
        <w:rPr>
          <w:spacing w:val="34"/>
          <w:sz w:val="22"/>
        </w:rPr>
        <w:t> </w:t>
      </w:r>
      <w:r>
        <w:rPr>
          <w:sz w:val="22"/>
        </w:rPr>
        <w:t>E,</w:t>
      </w:r>
      <w:r>
        <w:rPr>
          <w:spacing w:val="34"/>
          <w:sz w:val="22"/>
        </w:rPr>
        <w:t> </w:t>
      </w:r>
      <w:r>
        <w:rPr>
          <w:sz w:val="22"/>
        </w:rPr>
        <w:t>et</w:t>
      </w:r>
      <w:r>
        <w:rPr>
          <w:spacing w:val="34"/>
          <w:sz w:val="22"/>
        </w:rPr>
        <w:t> </w:t>
      </w:r>
      <w:r>
        <w:rPr>
          <w:sz w:val="22"/>
        </w:rPr>
        <w:t>al.</w:t>
      </w:r>
      <w:r>
        <w:rPr>
          <w:spacing w:val="34"/>
          <w:sz w:val="22"/>
        </w:rPr>
        <w:t> </w:t>
      </w:r>
      <w:r>
        <w:rPr>
          <w:sz w:val="22"/>
        </w:rPr>
        <w:t>Estrogen</w:t>
      </w:r>
      <w:r>
        <w:rPr>
          <w:spacing w:val="37"/>
          <w:sz w:val="22"/>
        </w:rPr>
        <w:t> </w:t>
      </w:r>
      <w:r>
        <w:rPr>
          <w:sz w:val="22"/>
        </w:rPr>
        <w:t>and</w:t>
      </w:r>
      <w:r>
        <w:rPr>
          <w:spacing w:val="37"/>
          <w:sz w:val="22"/>
        </w:rPr>
        <w:t> </w:t>
      </w:r>
      <w:r>
        <w:rPr>
          <w:sz w:val="22"/>
        </w:rPr>
        <w:t>progestin,</w:t>
      </w:r>
      <w:r>
        <w:rPr>
          <w:spacing w:val="37"/>
          <w:sz w:val="22"/>
        </w:rPr>
        <w:t> </w:t>
      </w:r>
      <w:r>
        <w:rPr>
          <w:sz w:val="22"/>
        </w:rPr>
        <w:t>lipoprotein(a),</w:t>
      </w:r>
      <w:r>
        <w:rPr>
          <w:spacing w:val="37"/>
          <w:sz w:val="22"/>
        </w:rPr>
        <w:t> </w:t>
      </w:r>
      <w:r>
        <w:rPr>
          <w:sz w:val="22"/>
        </w:rPr>
        <w:t>and</w:t>
      </w:r>
      <w:r>
        <w:rPr>
          <w:spacing w:val="37"/>
          <w:sz w:val="22"/>
        </w:rPr>
        <w:t> </w:t>
      </w:r>
      <w:r>
        <w:rPr>
          <w:sz w:val="22"/>
        </w:rPr>
        <w:t>the risk of recurrent coronary heart disease events after menopause. </w:t>
      </w:r>
      <w:r>
        <w:rPr>
          <w:i/>
          <w:sz w:val="22"/>
        </w:rPr>
        <w:t>JAMA</w:t>
      </w:r>
      <w:r>
        <w:rPr>
          <w:sz w:val="22"/>
        </w:rPr>
        <w:t>. 2000;283:1845.</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2" w:hanging="507"/>
        <w:jc w:val="both"/>
        <w:rPr>
          <w:sz w:val="22"/>
        </w:rPr>
      </w:pPr>
      <w:r>
        <w:rPr>
          <w:sz w:val="22"/>
        </w:rPr>
        <w:t>Campos H, Walsh BW, Judge H, Sacks FM. Effect of estrogen on very low density lipoprotein and</w:t>
      </w:r>
      <w:r>
        <w:rPr>
          <w:spacing w:val="40"/>
          <w:sz w:val="22"/>
        </w:rPr>
        <w:t> </w:t>
      </w:r>
      <w:r>
        <w:rPr>
          <w:sz w:val="22"/>
        </w:rPr>
        <w:t>low</w:t>
      </w:r>
      <w:r>
        <w:rPr>
          <w:spacing w:val="40"/>
          <w:sz w:val="22"/>
        </w:rPr>
        <w:t> </w:t>
      </w:r>
      <w:r>
        <w:rPr>
          <w:sz w:val="22"/>
        </w:rPr>
        <w:t>density</w:t>
      </w:r>
      <w:r>
        <w:rPr>
          <w:spacing w:val="40"/>
          <w:sz w:val="22"/>
        </w:rPr>
        <w:t> </w:t>
      </w:r>
      <w:r>
        <w:rPr>
          <w:sz w:val="22"/>
        </w:rPr>
        <w:t>lipoprotein</w:t>
      </w:r>
      <w:r>
        <w:rPr>
          <w:spacing w:val="40"/>
          <w:sz w:val="22"/>
        </w:rPr>
        <w:t> </w:t>
      </w:r>
      <w:r>
        <w:rPr>
          <w:sz w:val="22"/>
        </w:rPr>
        <w:t>subclass</w:t>
      </w:r>
      <w:r>
        <w:rPr>
          <w:spacing w:val="40"/>
          <w:sz w:val="22"/>
        </w:rPr>
        <w:t> </w:t>
      </w:r>
      <w:r>
        <w:rPr>
          <w:sz w:val="22"/>
        </w:rPr>
        <w:t>metabolism</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i/>
          <w:sz w:val="22"/>
        </w:rPr>
        <w:t>J</w:t>
      </w:r>
      <w:r>
        <w:rPr>
          <w:i/>
          <w:spacing w:val="40"/>
          <w:sz w:val="22"/>
        </w:rPr>
        <w:t> </w:t>
      </w:r>
      <w:r>
        <w:rPr>
          <w:i/>
          <w:sz w:val="22"/>
        </w:rPr>
        <w:t>Clin</w:t>
      </w:r>
      <w:r>
        <w:rPr>
          <w:i/>
          <w:sz w:val="22"/>
        </w:rPr>
        <w:t> Endocrinol Metab</w:t>
      </w:r>
      <w:r>
        <w:rPr>
          <w:sz w:val="22"/>
        </w:rPr>
        <w:t>. 1997;82:3955.</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Espeland MA, Marcovina SM, Miller V, et al. Effect of postmenopausal hormone therapy </w:t>
      </w:r>
      <w:r>
        <w:rPr>
          <w:sz w:val="22"/>
        </w:rPr>
        <w:t>on lipoprotein(a) concentration. </w:t>
      </w:r>
      <w:r>
        <w:rPr>
          <w:i/>
          <w:sz w:val="22"/>
        </w:rPr>
        <w:t>Circulation</w:t>
      </w:r>
      <w:r>
        <w:rPr>
          <w:sz w:val="22"/>
        </w:rPr>
        <w:t>. 1998;97:979.</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Nabulsi</w:t>
      </w:r>
      <w:r>
        <w:rPr>
          <w:spacing w:val="40"/>
          <w:sz w:val="22"/>
        </w:rPr>
        <w:t> </w:t>
      </w:r>
      <w:r>
        <w:rPr>
          <w:sz w:val="22"/>
        </w:rPr>
        <w:t>A,</w:t>
      </w:r>
      <w:r>
        <w:rPr>
          <w:spacing w:val="40"/>
          <w:sz w:val="22"/>
        </w:rPr>
        <w:t> </w:t>
      </w:r>
      <w:r>
        <w:rPr>
          <w:sz w:val="22"/>
        </w:rPr>
        <w:t>Folsom</w:t>
      </w:r>
      <w:r>
        <w:rPr>
          <w:spacing w:val="40"/>
          <w:sz w:val="22"/>
        </w:rPr>
        <w:t> </w:t>
      </w:r>
      <w:r>
        <w:rPr>
          <w:sz w:val="22"/>
        </w:rPr>
        <w:t>A,</w:t>
      </w:r>
      <w:r>
        <w:rPr>
          <w:spacing w:val="40"/>
          <w:sz w:val="22"/>
        </w:rPr>
        <w:t> </w:t>
      </w:r>
      <w:r>
        <w:rPr>
          <w:sz w:val="22"/>
        </w:rPr>
        <w:t>White</w:t>
      </w:r>
      <w:r>
        <w:rPr>
          <w:spacing w:val="40"/>
          <w:sz w:val="22"/>
        </w:rPr>
        <w:t> </w:t>
      </w:r>
      <w:r>
        <w:rPr>
          <w:sz w:val="22"/>
        </w:rPr>
        <w:t>A,</w:t>
      </w:r>
      <w:r>
        <w:rPr>
          <w:spacing w:val="40"/>
          <w:sz w:val="22"/>
        </w:rPr>
        <w:t> </w:t>
      </w:r>
      <w:r>
        <w:rPr>
          <w:sz w:val="22"/>
        </w:rPr>
        <w:t>et</w:t>
      </w:r>
      <w:r>
        <w:rPr>
          <w:spacing w:val="40"/>
          <w:sz w:val="22"/>
        </w:rPr>
        <w:t> </w:t>
      </w:r>
      <w:r>
        <w:rPr>
          <w:sz w:val="22"/>
        </w:rPr>
        <w:t>al.</w:t>
      </w:r>
      <w:r>
        <w:rPr>
          <w:spacing w:val="40"/>
          <w:sz w:val="22"/>
        </w:rPr>
        <w:t> </w:t>
      </w:r>
      <w:r>
        <w:rPr>
          <w:sz w:val="22"/>
        </w:rPr>
        <w:t>Association</w:t>
      </w:r>
      <w:r>
        <w:rPr>
          <w:spacing w:val="40"/>
          <w:sz w:val="22"/>
        </w:rPr>
        <w:t> </w:t>
      </w:r>
      <w:r>
        <w:rPr>
          <w:sz w:val="22"/>
        </w:rPr>
        <w:t>of</w:t>
      </w:r>
      <w:r>
        <w:rPr>
          <w:spacing w:val="40"/>
          <w:sz w:val="22"/>
        </w:rPr>
        <w:t> </w:t>
      </w:r>
      <w:r>
        <w:rPr>
          <w:sz w:val="22"/>
        </w:rPr>
        <w:t>hormone-replacement</w:t>
      </w:r>
      <w:r>
        <w:rPr>
          <w:spacing w:val="40"/>
          <w:sz w:val="22"/>
        </w:rPr>
        <w:t> </w:t>
      </w:r>
      <w:r>
        <w:rPr>
          <w:sz w:val="22"/>
        </w:rPr>
        <w:t>therapy</w:t>
      </w:r>
      <w:r>
        <w:rPr>
          <w:spacing w:val="40"/>
          <w:sz w:val="22"/>
        </w:rPr>
        <w:t> </w:t>
      </w:r>
      <w:r>
        <w:rPr>
          <w:sz w:val="22"/>
        </w:rPr>
        <w:t>with various cardiovascular risk factors in postmenopausal women. </w:t>
      </w:r>
      <w:r>
        <w:rPr>
          <w:i/>
          <w:sz w:val="22"/>
        </w:rPr>
        <w:t>N Engl J Med</w:t>
      </w:r>
      <w:r>
        <w:rPr>
          <w:sz w:val="22"/>
        </w:rPr>
        <w:t>. 1993;328:1069.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Christiansen C, Riis BJ. Five years with continuous combined oestrogen/progestogen therapy: effects on calcium metabolism, lipoproteins, and bleeding pattern. </w:t>
      </w:r>
      <w:r>
        <w:rPr>
          <w:i/>
          <w:sz w:val="22"/>
        </w:rPr>
        <w:t>Br J Obstet </w:t>
      </w:r>
      <w:r>
        <w:rPr>
          <w:i/>
          <w:sz w:val="22"/>
        </w:rPr>
        <w:t>Gynaecol</w:t>
      </w:r>
      <w:r>
        <w:rPr>
          <w:sz w:val="22"/>
        </w:rPr>
        <w:t>. </w:t>
      </w:r>
      <w:r>
        <w:rPr>
          <w:spacing w:val="-2"/>
          <w:sz w:val="22"/>
        </w:rPr>
        <w:t>1990;97:1087.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Lobo R, Pickar J, Wild R, Walsh B, Hirvonen E. Metabolic impact of adding medroxyprogesterone acetate to conjugated estrogen therapy in postmenopausal women: </w:t>
      </w:r>
      <w:r>
        <w:rPr>
          <w:sz w:val="22"/>
        </w:rPr>
        <w:t>the Menopause Study Group. </w:t>
      </w:r>
      <w:r>
        <w:rPr>
          <w:i/>
          <w:sz w:val="22"/>
        </w:rPr>
        <w:t>Obstet Gynecol</w:t>
      </w:r>
      <w:r>
        <w:rPr>
          <w:sz w:val="22"/>
        </w:rPr>
        <w:t>. 1994;84:987.</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Munk-Jensen N, Ulrich L, Obel E, Nielsen S, Edwards D, Meinertz H. Continuous combined</w:t>
      </w:r>
      <w:r>
        <w:rPr>
          <w:spacing w:val="40"/>
          <w:sz w:val="22"/>
        </w:rPr>
        <w:t> </w:t>
      </w:r>
      <w:r>
        <w:rPr>
          <w:sz w:val="22"/>
        </w:rPr>
        <w:t>and sequential estradiol and norethindrone acetate treatment of postmenopausal women: </w:t>
      </w:r>
      <w:r>
        <w:rPr>
          <w:sz w:val="22"/>
        </w:rPr>
        <w:t>effect on plasma lipoproteins in a two-year placebo-controlled trial. </w:t>
      </w:r>
      <w:r>
        <w:rPr>
          <w:i/>
          <w:sz w:val="22"/>
        </w:rPr>
        <w:t>Am J Obstet Gynecol</w:t>
      </w:r>
      <w:r>
        <w:rPr>
          <w:sz w:val="22"/>
        </w:rPr>
        <w:t>. </w:t>
      </w:r>
      <w:r>
        <w:rPr>
          <w:spacing w:val="-2"/>
          <w:sz w:val="22"/>
        </w:rPr>
        <w:t>1994;171:132.</w:t>
      </w:r>
    </w:p>
    <w:p>
      <w:pPr>
        <w:pStyle w:val="ListParagraph"/>
        <w:numPr>
          <w:ilvl w:val="0"/>
          <w:numId w:val="19"/>
        </w:numPr>
        <w:tabs>
          <w:tab w:pos="709" w:val="left" w:leader="none"/>
          <w:tab w:pos="718" w:val="left" w:leader="none"/>
        </w:tabs>
        <w:spacing w:line="256" w:lineRule="auto" w:before="0" w:after="0"/>
        <w:ind w:left="718" w:right="105" w:hanging="507"/>
        <w:jc w:val="both"/>
        <w:rPr>
          <w:i/>
          <w:sz w:val="22"/>
        </w:rPr>
      </w:pPr>
      <w:r>
        <w:rPr>
          <w:sz w:val="22"/>
        </w:rPr>
        <w:t>Folsom AR, McGovern PG, Nabulsi AA, et al. Changes in plasma lipids and lipoproteins associated</w:t>
      </w:r>
      <w:r>
        <w:rPr>
          <w:spacing w:val="25"/>
          <w:sz w:val="22"/>
        </w:rPr>
        <w:t> </w:t>
      </w:r>
      <w:r>
        <w:rPr>
          <w:sz w:val="22"/>
        </w:rPr>
        <w:t>with</w:t>
      </w:r>
      <w:r>
        <w:rPr>
          <w:spacing w:val="25"/>
          <w:sz w:val="22"/>
        </w:rPr>
        <w:t> </w:t>
      </w:r>
      <w:r>
        <w:rPr>
          <w:sz w:val="22"/>
        </w:rPr>
        <w:t>starting</w:t>
      </w:r>
      <w:r>
        <w:rPr>
          <w:spacing w:val="25"/>
          <w:sz w:val="22"/>
        </w:rPr>
        <w:t> </w:t>
      </w:r>
      <w:r>
        <w:rPr>
          <w:sz w:val="22"/>
        </w:rPr>
        <w:t>or</w:t>
      </w:r>
      <w:r>
        <w:rPr>
          <w:spacing w:val="25"/>
          <w:sz w:val="22"/>
        </w:rPr>
        <w:t> </w:t>
      </w:r>
      <w:r>
        <w:rPr>
          <w:sz w:val="22"/>
        </w:rPr>
        <w:t>stopping</w:t>
      </w:r>
      <w:r>
        <w:rPr>
          <w:spacing w:val="25"/>
          <w:sz w:val="22"/>
        </w:rPr>
        <w:t> </w:t>
      </w:r>
      <w:r>
        <w:rPr>
          <w:sz w:val="22"/>
        </w:rPr>
        <w:t>postmenopausal</w:t>
      </w:r>
      <w:r>
        <w:rPr>
          <w:spacing w:val="25"/>
          <w:sz w:val="22"/>
        </w:rPr>
        <w:t> </w:t>
      </w:r>
      <w:r>
        <w:rPr>
          <w:sz w:val="22"/>
        </w:rPr>
        <w:t>hormone</w:t>
      </w:r>
      <w:r>
        <w:rPr>
          <w:spacing w:val="25"/>
          <w:sz w:val="22"/>
        </w:rPr>
        <w:t> </w:t>
      </w:r>
      <w:r>
        <w:rPr>
          <w:sz w:val="22"/>
        </w:rPr>
        <w:t>replacement</w:t>
      </w:r>
      <w:r>
        <w:rPr>
          <w:spacing w:val="25"/>
          <w:sz w:val="22"/>
        </w:rPr>
        <w:t> </w:t>
      </w:r>
      <w:r>
        <w:rPr>
          <w:sz w:val="22"/>
        </w:rPr>
        <w:t>therapy.</w:t>
      </w:r>
      <w:r>
        <w:rPr>
          <w:spacing w:val="25"/>
          <w:sz w:val="22"/>
        </w:rPr>
        <w:t> </w:t>
      </w:r>
      <w:r>
        <w:rPr>
          <w:i/>
          <w:sz w:val="22"/>
        </w:rPr>
        <w:t>Am</w:t>
      </w:r>
      <w:r>
        <w:rPr>
          <w:i/>
          <w:spacing w:val="29"/>
          <w:sz w:val="22"/>
        </w:rPr>
        <w:t> </w:t>
      </w:r>
      <w:r>
        <w:rPr>
          <w:i/>
          <w:sz w:val="22"/>
        </w:rPr>
        <w:t>Heart</w:t>
      </w:r>
    </w:p>
    <w:p>
      <w:pPr>
        <w:spacing w:line="252" w:lineRule="exact" w:before="0"/>
        <w:ind w:left="718" w:right="0" w:firstLine="0"/>
        <w:jc w:val="both"/>
        <w:rPr>
          <w:sz w:val="22"/>
        </w:rPr>
      </w:pPr>
      <w:r>
        <w:rPr>
          <w:i/>
          <w:sz w:val="22"/>
        </w:rPr>
        <w:t>J</w:t>
      </w:r>
      <w:r>
        <w:rPr>
          <w:sz w:val="22"/>
        </w:rPr>
        <w:t>.</w:t>
      </w:r>
      <w:r>
        <w:rPr>
          <w:spacing w:val="3"/>
          <w:sz w:val="22"/>
        </w:rPr>
        <w:t> </w:t>
      </w:r>
      <w:r>
        <w:rPr>
          <w:spacing w:val="-2"/>
          <w:sz w:val="22"/>
        </w:rPr>
        <w:t>1996;132:952.</w:t>
      </w:r>
    </w:p>
    <w:p>
      <w:pPr>
        <w:pStyle w:val="ListParagraph"/>
        <w:numPr>
          <w:ilvl w:val="0"/>
          <w:numId w:val="19"/>
        </w:numPr>
        <w:tabs>
          <w:tab w:pos="709" w:val="left" w:leader="none"/>
          <w:tab w:pos="718" w:val="left" w:leader="none"/>
        </w:tabs>
        <w:spacing w:line="256" w:lineRule="auto" w:before="6" w:after="0"/>
        <w:ind w:left="718" w:right="98" w:hanging="507"/>
        <w:jc w:val="both"/>
        <w:rPr>
          <w:sz w:val="22"/>
        </w:rPr>
      </w:pPr>
      <w:r>
        <w:rPr>
          <w:sz w:val="22"/>
        </w:rPr>
        <w:t>Balasubramanian</w:t>
      </w:r>
      <w:r>
        <w:rPr>
          <w:spacing w:val="40"/>
          <w:sz w:val="22"/>
        </w:rPr>
        <w:t> </w:t>
      </w:r>
      <w:r>
        <w:rPr>
          <w:sz w:val="22"/>
        </w:rPr>
        <w:t>R,</w:t>
      </w:r>
      <w:r>
        <w:rPr>
          <w:spacing w:val="40"/>
          <w:sz w:val="22"/>
        </w:rPr>
        <w:t> </w:t>
      </w:r>
      <w:r>
        <w:rPr>
          <w:sz w:val="22"/>
        </w:rPr>
        <w:t>Demler</w:t>
      </w:r>
      <w:r>
        <w:rPr>
          <w:spacing w:val="40"/>
          <w:sz w:val="22"/>
        </w:rPr>
        <w:t> </w:t>
      </w:r>
      <w:r>
        <w:rPr>
          <w:sz w:val="22"/>
        </w:rPr>
        <w:t>O,</w:t>
      </w:r>
      <w:r>
        <w:rPr>
          <w:spacing w:val="40"/>
          <w:sz w:val="22"/>
        </w:rPr>
        <w:t> </w:t>
      </w:r>
      <w:r>
        <w:rPr>
          <w:sz w:val="22"/>
        </w:rPr>
        <w:t>Guasch-Ferré</w:t>
      </w:r>
      <w:r>
        <w:rPr>
          <w:spacing w:val="40"/>
          <w:sz w:val="22"/>
        </w:rPr>
        <w:t> </w:t>
      </w:r>
      <w:r>
        <w:rPr>
          <w:sz w:val="22"/>
        </w:rPr>
        <w:t>M,</w:t>
      </w:r>
      <w:r>
        <w:rPr>
          <w:spacing w:val="40"/>
          <w:sz w:val="22"/>
        </w:rPr>
        <w:t> </w:t>
      </w:r>
      <w:r>
        <w:rPr>
          <w:sz w:val="22"/>
        </w:rPr>
        <w:t>et</w:t>
      </w:r>
      <w:r>
        <w:rPr>
          <w:spacing w:val="40"/>
          <w:sz w:val="22"/>
        </w:rPr>
        <w:t> </w:t>
      </w:r>
      <w:r>
        <w:rPr>
          <w:sz w:val="22"/>
        </w:rPr>
        <w:t>al.</w:t>
      </w:r>
      <w:r>
        <w:rPr>
          <w:spacing w:val="40"/>
          <w:sz w:val="22"/>
        </w:rPr>
        <w:t> </w:t>
      </w:r>
      <w:r>
        <w:rPr>
          <w:sz w:val="22"/>
        </w:rPr>
        <w:t>Metabolomic</w:t>
      </w:r>
      <w:r>
        <w:rPr>
          <w:spacing w:val="40"/>
          <w:sz w:val="22"/>
        </w:rPr>
        <w:t> </w:t>
      </w:r>
      <w:r>
        <w:rPr>
          <w:sz w:val="22"/>
        </w:rPr>
        <w:t>effects</w:t>
      </w:r>
      <w:r>
        <w:rPr>
          <w:spacing w:val="40"/>
          <w:sz w:val="22"/>
        </w:rPr>
        <w:t> </w:t>
      </w:r>
      <w:r>
        <w:rPr>
          <w:sz w:val="22"/>
        </w:rPr>
        <w:t>of</w:t>
      </w:r>
      <w:r>
        <w:rPr>
          <w:spacing w:val="40"/>
          <w:sz w:val="22"/>
        </w:rPr>
        <w:t> </w:t>
      </w:r>
      <w:r>
        <w:rPr>
          <w:sz w:val="22"/>
        </w:rPr>
        <w:t>hormone therapy and associations with coronary heart disease among postmenopausal women. </w:t>
      </w:r>
      <w:r>
        <w:rPr>
          <w:i/>
          <w:sz w:val="22"/>
        </w:rPr>
        <w:t>Circ</w:t>
      </w:r>
      <w:r>
        <w:rPr>
          <w:i/>
          <w:sz w:val="22"/>
        </w:rPr>
        <w:t> Genom Precis Med</w:t>
      </w:r>
      <w:r>
        <w:rPr>
          <w:sz w:val="22"/>
        </w:rPr>
        <w:t>. 2020;13(6):e002977.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Barrett-Connor E, Slone S, Greendale G, et al. The Postmenopausal Estrogen/Progestin Interventions Study: primary outcomes in adherent women. </w:t>
      </w:r>
      <w:r>
        <w:rPr>
          <w:i/>
          <w:sz w:val="22"/>
        </w:rPr>
        <w:t>Maturitas</w:t>
      </w:r>
      <w:r>
        <w:rPr>
          <w:sz w:val="22"/>
        </w:rPr>
        <w:t>. 1997;27:261.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Davidson MH, Testolin LM, Maki KC, von Duvillard S, Drennan KB. A comparison </w:t>
      </w:r>
      <w:r>
        <w:rPr>
          <w:sz w:val="22"/>
        </w:rPr>
        <w:t>of</w:t>
      </w:r>
      <w:r>
        <w:rPr>
          <w:spacing w:val="80"/>
          <w:sz w:val="22"/>
        </w:rPr>
        <w:t> </w:t>
      </w:r>
      <w:r>
        <w:rPr>
          <w:sz w:val="22"/>
        </w:rPr>
        <w:t>estrogen replacement, pravastatin, and combined treatment for the management of hypercholesterolemia in postmenopausal women. </w:t>
      </w:r>
      <w:r>
        <w:rPr>
          <w:i/>
          <w:sz w:val="22"/>
        </w:rPr>
        <w:t>Arch Intern Med</w:t>
      </w:r>
      <w:r>
        <w:rPr>
          <w:sz w:val="22"/>
        </w:rPr>
        <w:t>. 1997;157:1186.</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Adams MR, Clarkson TB, Koritnik DR, Nash HA. Contraceptive steroids and coronary artery atherosclerosis in cynomolgus macaques. </w:t>
      </w:r>
      <w:r>
        <w:rPr>
          <w:i/>
          <w:sz w:val="22"/>
        </w:rPr>
        <w:t>Fertil Steril</w:t>
      </w:r>
      <w:r>
        <w:rPr>
          <w:sz w:val="22"/>
        </w:rPr>
        <w:t>. 1987;47:1010.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Clarkson</w:t>
      </w:r>
      <w:r>
        <w:rPr>
          <w:spacing w:val="40"/>
          <w:sz w:val="22"/>
        </w:rPr>
        <w:t> </w:t>
      </w:r>
      <w:r>
        <w:rPr>
          <w:sz w:val="22"/>
        </w:rPr>
        <w:t>TB,</w:t>
      </w:r>
      <w:r>
        <w:rPr>
          <w:spacing w:val="40"/>
          <w:sz w:val="22"/>
        </w:rPr>
        <w:t> </w:t>
      </w:r>
      <w:r>
        <w:rPr>
          <w:sz w:val="22"/>
        </w:rPr>
        <w:t>Adams</w:t>
      </w:r>
      <w:r>
        <w:rPr>
          <w:spacing w:val="40"/>
          <w:sz w:val="22"/>
        </w:rPr>
        <w:t> </w:t>
      </w:r>
      <w:r>
        <w:rPr>
          <w:sz w:val="22"/>
        </w:rPr>
        <w:t>MR,</w:t>
      </w:r>
      <w:r>
        <w:rPr>
          <w:spacing w:val="40"/>
          <w:sz w:val="22"/>
        </w:rPr>
        <w:t> </w:t>
      </w:r>
      <w:r>
        <w:rPr>
          <w:sz w:val="22"/>
        </w:rPr>
        <w:t>Kaplan</w:t>
      </w:r>
      <w:r>
        <w:rPr>
          <w:spacing w:val="40"/>
          <w:sz w:val="22"/>
        </w:rPr>
        <w:t> </w:t>
      </w:r>
      <w:r>
        <w:rPr>
          <w:sz w:val="22"/>
        </w:rPr>
        <w:t>JR,</w:t>
      </w:r>
      <w:r>
        <w:rPr>
          <w:spacing w:val="40"/>
          <w:sz w:val="22"/>
        </w:rPr>
        <w:t> </w:t>
      </w:r>
      <w:r>
        <w:rPr>
          <w:sz w:val="22"/>
        </w:rPr>
        <w:t>Shively</w:t>
      </w:r>
      <w:r>
        <w:rPr>
          <w:spacing w:val="40"/>
          <w:sz w:val="22"/>
        </w:rPr>
        <w:t> </w:t>
      </w:r>
      <w:r>
        <w:rPr>
          <w:sz w:val="22"/>
        </w:rPr>
        <w:t>CA,</w:t>
      </w:r>
      <w:r>
        <w:rPr>
          <w:spacing w:val="40"/>
          <w:sz w:val="22"/>
        </w:rPr>
        <w:t> </w:t>
      </w:r>
      <w:r>
        <w:rPr>
          <w:sz w:val="22"/>
        </w:rPr>
        <w:t>Koritnik</w:t>
      </w:r>
      <w:r>
        <w:rPr>
          <w:spacing w:val="40"/>
          <w:sz w:val="22"/>
        </w:rPr>
        <w:t> </w:t>
      </w:r>
      <w:r>
        <w:rPr>
          <w:sz w:val="22"/>
        </w:rPr>
        <w:t>DR.</w:t>
      </w:r>
      <w:r>
        <w:rPr>
          <w:spacing w:val="40"/>
          <w:sz w:val="22"/>
        </w:rPr>
        <w:t> </w:t>
      </w:r>
      <w:r>
        <w:rPr>
          <w:sz w:val="22"/>
        </w:rPr>
        <w:t>From</w:t>
      </w:r>
      <w:r>
        <w:rPr>
          <w:spacing w:val="40"/>
          <w:sz w:val="22"/>
        </w:rPr>
        <w:t> </w:t>
      </w:r>
      <w:r>
        <w:rPr>
          <w:sz w:val="22"/>
        </w:rPr>
        <w:t>menarche</w:t>
      </w:r>
      <w:r>
        <w:rPr>
          <w:spacing w:val="40"/>
          <w:sz w:val="22"/>
        </w:rPr>
        <w:t> </w:t>
      </w:r>
      <w:r>
        <w:rPr>
          <w:sz w:val="22"/>
        </w:rPr>
        <w:t>to menopause: coronary artery atherosclerosis and protection in cynomolgus monkeys. </w:t>
      </w:r>
      <w:r>
        <w:rPr>
          <w:i/>
          <w:sz w:val="22"/>
        </w:rPr>
        <w:t>Am J</w:t>
      </w:r>
      <w:r>
        <w:rPr>
          <w:i/>
          <w:spacing w:val="80"/>
          <w:sz w:val="22"/>
        </w:rPr>
        <w:t> </w:t>
      </w:r>
      <w:r>
        <w:rPr>
          <w:i/>
          <w:sz w:val="22"/>
        </w:rPr>
        <w:t>Obstet Gynecol</w:t>
      </w:r>
      <w:r>
        <w:rPr>
          <w:sz w:val="22"/>
        </w:rPr>
        <w:t>. 1989;160:1280.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Clarkson TB, Shively CA, Morgan TM, Koritnik DR, Adams MR, Kaplan JR. Oral contraceptives and coronary artery atherosclerosis of cynomolgus monkeys. </w:t>
      </w:r>
      <w:r>
        <w:rPr>
          <w:i/>
          <w:sz w:val="22"/>
        </w:rPr>
        <w:t>Obstet Gynecol</w:t>
      </w:r>
      <w:r>
        <w:rPr>
          <w:sz w:val="22"/>
        </w:rPr>
        <w:t>. </w:t>
      </w:r>
      <w:r>
        <w:rPr>
          <w:spacing w:val="-2"/>
          <w:sz w:val="22"/>
        </w:rPr>
        <w:t>1990;75:217.</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Kushwaha R, Hazzard W. Exogenous estrogens attenuate dietary hypercholesterolemia </w:t>
      </w:r>
      <w:r>
        <w:rPr>
          <w:sz w:val="22"/>
        </w:rPr>
        <w:t>and atherosclerosis in the rabbit. </w:t>
      </w:r>
      <w:r>
        <w:rPr>
          <w:i/>
          <w:sz w:val="22"/>
        </w:rPr>
        <w:t>Metabolism</w:t>
      </w:r>
      <w:r>
        <w:rPr>
          <w:sz w:val="22"/>
        </w:rPr>
        <w:t>. 1981;30:57.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Hough JL, Zilversmit DB. Effect of 17 beta estradiol on aortic cholesterol content and metabolism in cholesterol-fed rabbits. </w:t>
      </w:r>
      <w:r>
        <w:rPr>
          <w:i/>
          <w:sz w:val="22"/>
        </w:rPr>
        <w:t>Arteriosclerosis</w:t>
      </w:r>
      <w:r>
        <w:rPr>
          <w:sz w:val="22"/>
        </w:rPr>
        <w:t>. 1986;6:57.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Henriksson P, Stamberger M, Eriksson M, et al. Oestrogen-induced changes in lipoprotein metabolism:</w:t>
      </w:r>
      <w:r>
        <w:rPr>
          <w:spacing w:val="40"/>
          <w:sz w:val="22"/>
        </w:rPr>
        <w:t> </w:t>
      </w:r>
      <w:r>
        <w:rPr>
          <w:sz w:val="22"/>
        </w:rPr>
        <w:t>role</w:t>
      </w:r>
      <w:r>
        <w:rPr>
          <w:spacing w:val="40"/>
          <w:sz w:val="22"/>
        </w:rPr>
        <w:t> </w:t>
      </w:r>
      <w:r>
        <w:rPr>
          <w:sz w:val="22"/>
        </w:rPr>
        <w:t>in</w:t>
      </w:r>
      <w:r>
        <w:rPr>
          <w:spacing w:val="40"/>
          <w:sz w:val="22"/>
        </w:rPr>
        <w:t> </w:t>
      </w:r>
      <w:r>
        <w:rPr>
          <w:sz w:val="22"/>
        </w:rPr>
        <w:t>prevention</w:t>
      </w:r>
      <w:r>
        <w:rPr>
          <w:spacing w:val="40"/>
          <w:sz w:val="22"/>
        </w:rPr>
        <w:t> </w:t>
      </w:r>
      <w:r>
        <w:rPr>
          <w:sz w:val="22"/>
        </w:rPr>
        <w:t>of</w:t>
      </w:r>
      <w:r>
        <w:rPr>
          <w:spacing w:val="40"/>
          <w:sz w:val="22"/>
        </w:rPr>
        <w:t> </w:t>
      </w:r>
      <w:r>
        <w:rPr>
          <w:sz w:val="22"/>
        </w:rPr>
        <w:t>atherosclerosis</w:t>
      </w:r>
      <w:r>
        <w:rPr>
          <w:spacing w:val="40"/>
          <w:sz w:val="22"/>
        </w:rPr>
        <w:t> </w:t>
      </w:r>
      <w:r>
        <w:rPr>
          <w:sz w:val="22"/>
        </w:rPr>
        <w:t>in</w:t>
      </w:r>
      <w:r>
        <w:rPr>
          <w:spacing w:val="40"/>
          <w:sz w:val="22"/>
        </w:rPr>
        <w:t> </w:t>
      </w:r>
      <w:r>
        <w:rPr>
          <w:sz w:val="22"/>
        </w:rPr>
        <w:t>the</w:t>
      </w:r>
      <w:r>
        <w:rPr>
          <w:spacing w:val="40"/>
          <w:sz w:val="22"/>
        </w:rPr>
        <w:t> </w:t>
      </w:r>
      <w:r>
        <w:rPr>
          <w:sz w:val="22"/>
        </w:rPr>
        <w:t>cholesterol-fed</w:t>
      </w:r>
      <w:r>
        <w:rPr>
          <w:spacing w:val="40"/>
          <w:sz w:val="22"/>
        </w:rPr>
        <w:t> </w:t>
      </w:r>
      <w:r>
        <w:rPr>
          <w:sz w:val="22"/>
        </w:rPr>
        <w:t>rabbit.</w:t>
      </w:r>
      <w:r>
        <w:rPr>
          <w:spacing w:val="40"/>
          <w:sz w:val="22"/>
        </w:rPr>
        <w:t> </w:t>
      </w:r>
      <w:r>
        <w:rPr>
          <w:i/>
          <w:sz w:val="22"/>
        </w:rPr>
        <w:t>Eur</w:t>
      </w:r>
      <w:r>
        <w:rPr>
          <w:i/>
          <w:spacing w:val="40"/>
          <w:sz w:val="22"/>
        </w:rPr>
        <w:t> </w:t>
      </w:r>
      <w:r>
        <w:rPr>
          <w:i/>
          <w:sz w:val="22"/>
        </w:rPr>
        <w:t>J</w:t>
      </w:r>
      <w:r>
        <w:rPr>
          <w:i/>
          <w:spacing w:val="40"/>
          <w:sz w:val="22"/>
        </w:rPr>
        <w:t> </w:t>
      </w:r>
      <w:r>
        <w:rPr>
          <w:i/>
          <w:sz w:val="22"/>
        </w:rPr>
        <w:t>Clin</w:t>
      </w:r>
      <w:r>
        <w:rPr>
          <w:i/>
          <w:sz w:val="22"/>
        </w:rPr>
        <w:t> Invest</w:t>
      </w:r>
      <w:r>
        <w:rPr>
          <w:sz w:val="22"/>
        </w:rPr>
        <w:t>. 1989;19:395.</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Haarbo J, Leth-Espensen P, Stender S, Christiansen C. Estrogen monotherapy and combined estrogen-progestogen replacement therapy attenuate aortic accumulation of cholesterol </w:t>
      </w:r>
      <w:r>
        <w:rPr>
          <w:sz w:val="22"/>
        </w:rPr>
        <w:t>in ovariectomized cholesterol-fed rabbits. </w:t>
      </w:r>
      <w:r>
        <w:rPr>
          <w:i/>
          <w:sz w:val="22"/>
        </w:rPr>
        <w:t>J Clin Invest</w:t>
      </w:r>
      <w:r>
        <w:rPr>
          <w:sz w:val="22"/>
        </w:rPr>
        <w:t>. 1991;87:1274.</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Adams MR, Kaplan JR, Manuck SB, et al. Inhibition of coronary artery atherosclerosis by </w:t>
      </w:r>
      <w:r>
        <w:rPr>
          <w:sz w:val="22"/>
        </w:rPr>
        <w:t>17-beta</w:t>
      </w:r>
      <w:r>
        <w:rPr>
          <w:spacing w:val="80"/>
          <w:w w:val="150"/>
          <w:sz w:val="22"/>
        </w:rPr>
        <w:t> </w:t>
      </w:r>
      <w:r>
        <w:rPr>
          <w:sz w:val="22"/>
        </w:rPr>
        <w:t>estradiol</w:t>
      </w:r>
      <w:r>
        <w:rPr>
          <w:spacing w:val="80"/>
          <w:w w:val="150"/>
          <w:sz w:val="22"/>
        </w:rPr>
        <w:t> </w:t>
      </w:r>
      <w:r>
        <w:rPr>
          <w:sz w:val="22"/>
        </w:rPr>
        <w:t>in</w:t>
      </w:r>
      <w:r>
        <w:rPr>
          <w:spacing w:val="80"/>
          <w:w w:val="150"/>
          <w:sz w:val="22"/>
        </w:rPr>
        <w:t> </w:t>
      </w:r>
      <w:r>
        <w:rPr>
          <w:sz w:val="22"/>
        </w:rPr>
        <w:t>ovariectomized</w:t>
      </w:r>
      <w:r>
        <w:rPr>
          <w:spacing w:val="80"/>
          <w:w w:val="150"/>
          <w:sz w:val="22"/>
        </w:rPr>
        <w:t> </w:t>
      </w:r>
      <w:r>
        <w:rPr>
          <w:sz w:val="22"/>
        </w:rPr>
        <w:t>monkeys:</w:t>
      </w:r>
      <w:r>
        <w:rPr>
          <w:spacing w:val="80"/>
          <w:w w:val="150"/>
          <w:sz w:val="22"/>
        </w:rPr>
        <w:t> </w:t>
      </w:r>
      <w:r>
        <w:rPr>
          <w:sz w:val="22"/>
        </w:rPr>
        <w:t>lack</w:t>
      </w:r>
      <w:r>
        <w:rPr>
          <w:spacing w:val="80"/>
          <w:w w:val="150"/>
          <w:sz w:val="22"/>
        </w:rPr>
        <w:t> </w:t>
      </w:r>
      <w:r>
        <w:rPr>
          <w:sz w:val="22"/>
        </w:rPr>
        <w:t>of</w:t>
      </w:r>
      <w:r>
        <w:rPr>
          <w:spacing w:val="80"/>
          <w:w w:val="150"/>
          <w:sz w:val="22"/>
        </w:rPr>
        <w:t> </w:t>
      </w:r>
      <w:r>
        <w:rPr>
          <w:sz w:val="22"/>
        </w:rPr>
        <w:t>an</w:t>
      </w:r>
      <w:r>
        <w:rPr>
          <w:spacing w:val="80"/>
          <w:w w:val="150"/>
          <w:sz w:val="22"/>
        </w:rPr>
        <w:t> </w:t>
      </w:r>
      <w:r>
        <w:rPr>
          <w:sz w:val="22"/>
        </w:rPr>
        <w:t>effect</w:t>
      </w:r>
      <w:r>
        <w:rPr>
          <w:spacing w:val="80"/>
          <w:w w:val="150"/>
          <w:sz w:val="22"/>
        </w:rPr>
        <w:t> </w:t>
      </w:r>
      <w:r>
        <w:rPr>
          <w:sz w:val="22"/>
        </w:rPr>
        <w:t>of</w:t>
      </w:r>
      <w:r>
        <w:rPr>
          <w:spacing w:val="80"/>
          <w:w w:val="150"/>
          <w:sz w:val="22"/>
        </w:rPr>
        <w:t> </w:t>
      </w:r>
      <w:r>
        <w:rPr>
          <w:sz w:val="22"/>
        </w:rPr>
        <w:t>added</w:t>
      </w:r>
      <w:r>
        <w:rPr>
          <w:spacing w:val="80"/>
          <w:w w:val="150"/>
          <w:sz w:val="22"/>
        </w:rPr>
        <w:t> </w:t>
      </w:r>
      <w:r>
        <w:rPr>
          <w:sz w:val="22"/>
        </w:rPr>
        <w:t>progesterone.</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i/>
          <w:sz w:val="22"/>
        </w:rPr>
        <w:t>Arteriosclerosis</w:t>
      </w:r>
      <w:r>
        <w:rPr>
          <w:sz w:val="22"/>
        </w:rPr>
        <w:t>.</w:t>
      </w:r>
      <w:r>
        <w:rPr>
          <w:spacing w:val="20"/>
          <w:sz w:val="22"/>
        </w:rPr>
        <w:t> </w:t>
      </w:r>
      <w:r>
        <w:rPr>
          <w:spacing w:val="-2"/>
          <w:sz w:val="22"/>
        </w:rPr>
        <w:t>1990;10:1051.</w:t>
      </w:r>
    </w:p>
    <w:p>
      <w:pPr>
        <w:pStyle w:val="ListParagraph"/>
        <w:numPr>
          <w:ilvl w:val="0"/>
          <w:numId w:val="19"/>
        </w:numPr>
        <w:tabs>
          <w:tab w:pos="709" w:val="left" w:leader="none"/>
          <w:tab w:pos="718" w:val="left" w:leader="none"/>
        </w:tabs>
        <w:spacing w:line="256" w:lineRule="auto" w:before="17" w:after="0"/>
        <w:ind w:left="718" w:right="102" w:hanging="507"/>
        <w:jc w:val="both"/>
        <w:rPr>
          <w:sz w:val="22"/>
        </w:rPr>
      </w:pPr>
      <w:r>
        <w:rPr>
          <w:sz w:val="22"/>
        </w:rPr>
        <w:t>Williams</w:t>
      </w:r>
      <w:r>
        <w:rPr>
          <w:spacing w:val="40"/>
          <w:sz w:val="22"/>
        </w:rPr>
        <w:t> </w:t>
      </w:r>
      <w:r>
        <w:rPr>
          <w:sz w:val="22"/>
        </w:rPr>
        <w:t>JK,</w:t>
      </w:r>
      <w:r>
        <w:rPr>
          <w:spacing w:val="40"/>
          <w:sz w:val="22"/>
        </w:rPr>
        <w:t> </w:t>
      </w:r>
      <w:r>
        <w:rPr>
          <w:sz w:val="22"/>
        </w:rPr>
        <w:t>Anthony</w:t>
      </w:r>
      <w:r>
        <w:rPr>
          <w:spacing w:val="40"/>
          <w:sz w:val="22"/>
        </w:rPr>
        <w:t> </w:t>
      </w:r>
      <w:r>
        <w:rPr>
          <w:sz w:val="22"/>
        </w:rPr>
        <w:t>MS,</w:t>
      </w:r>
      <w:r>
        <w:rPr>
          <w:spacing w:val="40"/>
          <w:sz w:val="22"/>
        </w:rPr>
        <w:t> </w:t>
      </w:r>
      <w:r>
        <w:rPr>
          <w:sz w:val="22"/>
        </w:rPr>
        <w:t>Honoré</w:t>
      </w:r>
      <w:r>
        <w:rPr>
          <w:spacing w:val="40"/>
          <w:sz w:val="22"/>
        </w:rPr>
        <w:t> </w:t>
      </w:r>
      <w:r>
        <w:rPr>
          <w:sz w:val="22"/>
        </w:rPr>
        <w:t>EK,</w:t>
      </w:r>
      <w:r>
        <w:rPr>
          <w:spacing w:val="40"/>
          <w:sz w:val="22"/>
        </w:rPr>
        <w:t> </w:t>
      </w:r>
      <w:r>
        <w:rPr>
          <w:sz w:val="22"/>
        </w:rPr>
        <w:t>et</w:t>
      </w:r>
      <w:r>
        <w:rPr>
          <w:spacing w:val="40"/>
          <w:sz w:val="22"/>
        </w:rPr>
        <w:t> </w:t>
      </w:r>
      <w:r>
        <w:rPr>
          <w:sz w:val="22"/>
        </w:rPr>
        <w:t>al.</w:t>
      </w:r>
      <w:r>
        <w:rPr>
          <w:spacing w:val="40"/>
          <w:sz w:val="22"/>
        </w:rPr>
        <w:t> </w:t>
      </w:r>
      <w:r>
        <w:rPr>
          <w:sz w:val="22"/>
        </w:rPr>
        <w:t>Regression</w:t>
      </w:r>
      <w:r>
        <w:rPr>
          <w:spacing w:val="40"/>
          <w:sz w:val="22"/>
        </w:rPr>
        <w:t> </w:t>
      </w:r>
      <w:r>
        <w:rPr>
          <w:sz w:val="22"/>
        </w:rPr>
        <w:t>of</w:t>
      </w:r>
      <w:r>
        <w:rPr>
          <w:spacing w:val="40"/>
          <w:sz w:val="22"/>
        </w:rPr>
        <w:t> </w:t>
      </w:r>
      <w:r>
        <w:rPr>
          <w:sz w:val="22"/>
        </w:rPr>
        <w:t>atherosclerosis</w:t>
      </w:r>
      <w:r>
        <w:rPr>
          <w:spacing w:val="40"/>
          <w:sz w:val="22"/>
        </w:rPr>
        <w:t> </w:t>
      </w:r>
      <w:r>
        <w:rPr>
          <w:sz w:val="22"/>
        </w:rPr>
        <w:t>in</w:t>
      </w:r>
      <w:r>
        <w:rPr>
          <w:spacing w:val="40"/>
          <w:sz w:val="22"/>
        </w:rPr>
        <w:t> </w:t>
      </w:r>
      <w:r>
        <w:rPr>
          <w:sz w:val="22"/>
        </w:rPr>
        <w:t>female monkeys. </w:t>
      </w:r>
      <w:r>
        <w:rPr>
          <w:i/>
          <w:sz w:val="22"/>
        </w:rPr>
        <w:t>Arterioscler Thromb Vasc Biol</w:t>
      </w:r>
      <w:r>
        <w:rPr>
          <w:sz w:val="22"/>
        </w:rPr>
        <w:t>. 1995;15:827.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Wagner JD, St Clair RW, Schwenke DC, Shievely CA, Adams MR, Clarkson TB. Regional differences in arterial low density lipoprotein metabolism in surgically postmenopausal Cynomolgus</w:t>
      </w:r>
      <w:r>
        <w:rPr>
          <w:spacing w:val="40"/>
          <w:sz w:val="22"/>
        </w:rPr>
        <w:t> </w:t>
      </w:r>
      <w:r>
        <w:rPr>
          <w:sz w:val="22"/>
        </w:rPr>
        <w:t>monkeys:</w:t>
      </w:r>
      <w:r>
        <w:rPr>
          <w:spacing w:val="40"/>
          <w:sz w:val="22"/>
        </w:rPr>
        <w:t> </w:t>
      </w:r>
      <w:r>
        <w:rPr>
          <w:sz w:val="22"/>
        </w:rPr>
        <w:t>effects</w:t>
      </w:r>
      <w:r>
        <w:rPr>
          <w:spacing w:val="40"/>
          <w:sz w:val="22"/>
        </w:rPr>
        <w:t> </w:t>
      </w:r>
      <w:r>
        <w:rPr>
          <w:sz w:val="22"/>
        </w:rPr>
        <w:t>of</w:t>
      </w:r>
      <w:r>
        <w:rPr>
          <w:spacing w:val="40"/>
          <w:sz w:val="22"/>
        </w:rPr>
        <w:t> </w:t>
      </w:r>
      <w:r>
        <w:rPr>
          <w:sz w:val="22"/>
        </w:rPr>
        <w:t>estrogen</w:t>
      </w:r>
      <w:r>
        <w:rPr>
          <w:spacing w:val="40"/>
          <w:sz w:val="22"/>
        </w:rPr>
        <w:t> </w:t>
      </w:r>
      <w:r>
        <w:rPr>
          <w:sz w:val="22"/>
        </w:rPr>
        <w:t>and</w:t>
      </w:r>
      <w:r>
        <w:rPr>
          <w:spacing w:val="40"/>
          <w:sz w:val="22"/>
        </w:rPr>
        <w:t> </w:t>
      </w:r>
      <w:r>
        <w:rPr>
          <w:sz w:val="22"/>
        </w:rPr>
        <w:t>progesterone</w:t>
      </w:r>
      <w:r>
        <w:rPr>
          <w:spacing w:val="40"/>
          <w:sz w:val="22"/>
        </w:rPr>
        <w:t> </w:t>
      </w:r>
      <w:r>
        <w:rPr>
          <w:sz w:val="22"/>
        </w:rPr>
        <w:t>replacement.</w:t>
      </w:r>
      <w:r>
        <w:rPr>
          <w:spacing w:val="40"/>
          <w:sz w:val="22"/>
        </w:rPr>
        <w:t> </w:t>
      </w:r>
      <w:r>
        <w:rPr>
          <w:i/>
          <w:sz w:val="22"/>
        </w:rPr>
        <w:t>Arterioscler</w:t>
      </w:r>
      <w:r>
        <w:rPr>
          <w:i/>
          <w:sz w:val="22"/>
        </w:rPr>
        <w:t> Thromb</w:t>
      </w:r>
      <w:r>
        <w:rPr>
          <w:sz w:val="22"/>
        </w:rPr>
        <w:t>. 1992;12:716.</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Shwaery GT, Vita JA, Keaney JF Jr. Antioxidant protection of LDL by physiological concentrations of 17 beta-estradiol: requirement for estradiol modification. </w:t>
      </w:r>
      <w:r>
        <w:rPr>
          <w:i/>
          <w:sz w:val="22"/>
        </w:rPr>
        <w:t>Circulation</w:t>
      </w:r>
      <w:r>
        <w:rPr>
          <w:sz w:val="22"/>
        </w:rPr>
        <w:t>. </w:t>
      </w:r>
      <w:r>
        <w:rPr>
          <w:spacing w:val="-2"/>
          <w:sz w:val="22"/>
        </w:rPr>
        <w:t>1997;95:1378.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Vihma V, Vehkavaara S, Yki-Jarvinen H, Hohtari H, Tikkanen MJ. Differential effects of </w:t>
      </w:r>
      <w:r>
        <w:rPr>
          <w:sz w:val="22"/>
        </w:rPr>
        <w:t>oral and transdermal estradiol treatment on circulating estradiol fatty acid ester concentrations in postmenopausal women. </w:t>
      </w:r>
      <w:r>
        <w:rPr>
          <w:i/>
          <w:sz w:val="22"/>
        </w:rPr>
        <w:t>J Clin Endocrinol Metab</w:t>
      </w:r>
      <w:r>
        <w:rPr>
          <w:sz w:val="22"/>
        </w:rPr>
        <w:t>. 2003;88:588.</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Polderman</w:t>
      </w:r>
      <w:r>
        <w:rPr>
          <w:spacing w:val="40"/>
          <w:sz w:val="22"/>
        </w:rPr>
        <w:t> </w:t>
      </w:r>
      <w:r>
        <w:rPr>
          <w:sz w:val="22"/>
        </w:rPr>
        <w:t>KH,</w:t>
      </w:r>
      <w:r>
        <w:rPr>
          <w:spacing w:val="40"/>
          <w:sz w:val="22"/>
        </w:rPr>
        <w:t> </w:t>
      </w:r>
      <w:r>
        <w:rPr>
          <w:sz w:val="22"/>
        </w:rPr>
        <w:t>Stehouwer</w:t>
      </w:r>
      <w:r>
        <w:rPr>
          <w:spacing w:val="40"/>
          <w:sz w:val="22"/>
        </w:rPr>
        <w:t> </w:t>
      </w:r>
      <w:r>
        <w:rPr>
          <w:sz w:val="22"/>
        </w:rPr>
        <w:t>DC,</w:t>
      </w:r>
      <w:r>
        <w:rPr>
          <w:spacing w:val="40"/>
          <w:sz w:val="22"/>
        </w:rPr>
        <w:t> </w:t>
      </w:r>
      <w:r>
        <w:rPr>
          <w:sz w:val="22"/>
        </w:rPr>
        <w:t>van</w:t>
      </w:r>
      <w:r>
        <w:rPr>
          <w:spacing w:val="40"/>
          <w:sz w:val="22"/>
        </w:rPr>
        <w:t> </w:t>
      </w:r>
      <w:r>
        <w:rPr>
          <w:sz w:val="22"/>
        </w:rPr>
        <w:t>Kamp</w:t>
      </w:r>
      <w:r>
        <w:rPr>
          <w:spacing w:val="40"/>
          <w:sz w:val="22"/>
        </w:rPr>
        <w:t> </w:t>
      </w:r>
      <w:r>
        <w:rPr>
          <w:sz w:val="22"/>
        </w:rPr>
        <w:t>GJ,</w:t>
      </w:r>
      <w:r>
        <w:rPr>
          <w:spacing w:val="40"/>
          <w:sz w:val="22"/>
        </w:rPr>
        <w:t> </w:t>
      </w:r>
      <w:r>
        <w:rPr>
          <w:sz w:val="22"/>
        </w:rPr>
        <w:t>Dekker</w:t>
      </w:r>
      <w:r>
        <w:rPr>
          <w:spacing w:val="40"/>
          <w:sz w:val="22"/>
        </w:rPr>
        <w:t> </w:t>
      </w:r>
      <w:r>
        <w:rPr>
          <w:sz w:val="22"/>
        </w:rPr>
        <w:t>GA,</w:t>
      </w:r>
      <w:r>
        <w:rPr>
          <w:spacing w:val="40"/>
          <w:sz w:val="22"/>
        </w:rPr>
        <w:t> </w:t>
      </w:r>
      <w:r>
        <w:rPr>
          <w:sz w:val="22"/>
        </w:rPr>
        <w:t>Verheugt</w:t>
      </w:r>
      <w:r>
        <w:rPr>
          <w:spacing w:val="40"/>
          <w:sz w:val="22"/>
        </w:rPr>
        <w:t> </w:t>
      </w:r>
      <w:r>
        <w:rPr>
          <w:sz w:val="22"/>
        </w:rPr>
        <w:t>FW,</w:t>
      </w:r>
      <w:r>
        <w:rPr>
          <w:spacing w:val="40"/>
          <w:sz w:val="22"/>
        </w:rPr>
        <w:t> </w:t>
      </w:r>
      <w:r>
        <w:rPr>
          <w:sz w:val="22"/>
        </w:rPr>
        <w:t>Gooren</w:t>
      </w:r>
      <w:r>
        <w:rPr>
          <w:spacing w:val="40"/>
          <w:sz w:val="22"/>
        </w:rPr>
        <w:t> </w:t>
      </w:r>
      <w:r>
        <w:rPr>
          <w:sz w:val="22"/>
        </w:rPr>
        <w:t>LJ. Influence of sex hormones on plasma endothelin levels. </w:t>
      </w:r>
      <w:r>
        <w:rPr>
          <w:i/>
          <w:sz w:val="22"/>
        </w:rPr>
        <w:t>Ann Intern Med</w:t>
      </w:r>
      <w:r>
        <w:rPr>
          <w:sz w:val="22"/>
        </w:rPr>
        <w:t>. 1993;118:429.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Wilcox JG, Hatch IE, Gentzschein E, Stanczyk FZ, Lobo RA. Endothelin levels decrease after oral</w:t>
      </w:r>
      <w:r>
        <w:rPr>
          <w:spacing w:val="40"/>
          <w:sz w:val="22"/>
        </w:rPr>
        <w:t> </w:t>
      </w:r>
      <w:r>
        <w:rPr>
          <w:sz w:val="22"/>
        </w:rPr>
        <w:t>and</w:t>
      </w:r>
      <w:r>
        <w:rPr>
          <w:spacing w:val="40"/>
          <w:sz w:val="22"/>
        </w:rPr>
        <w:t> </w:t>
      </w:r>
      <w:r>
        <w:rPr>
          <w:sz w:val="22"/>
        </w:rPr>
        <w:t>nonoral</w:t>
      </w:r>
      <w:r>
        <w:rPr>
          <w:spacing w:val="40"/>
          <w:sz w:val="22"/>
        </w:rPr>
        <w:t> </w:t>
      </w:r>
      <w:r>
        <w:rPr>
          <w:sz w:val="22"/>
        </w:rPr>
        <w:t>estrogen</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increased</w:t>
      </w:r>
      <w:r>
        <w:rPr>
          <w:spacing w:val="40"/>
          <w:sz w:val="22"/>
        </w:rPr>
        <w:t> </w:t>
      </w:r>
      <w:r>
        <w:rPr>
          <w:sz w:val="22"/>
        </w:rPr>
        <w:t>cardiovascular</w:t>
      </w:r>
      <w:r>
        <w:rPr>
          <w:spacing w:val="40"/>
          <w:sz w:val="22"/>
        </w:rPr>
        <w:t> </w:t>
      </w:r>
      <w:r>
        <w:rPr>
          <w:sz w:val="22"/>
        </w:rPr>
        <w:t>risk factors. </w:t>
      </w:r>
      <w:r>
        <w:rPr>
          <w:i/>
          <w:sz w:val="22"/>
        </w:rPr>
        <w:t>Fertil Steril</w:t>
      </w:r>
      <w:r>
        <w:rPr>
          <w:sz w:val="22"/>
        </w:rPr>
        <w:t>. 1997;67:273.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Bar J, Tepper R, Fuchs J, Pardo Y, Goldberger S, Ovadia J. The effect of estrogen replacement therapy on platelet aggregation and adenosine triphosphate release in postmenopausal women. </w:t>
      </w:r>
      <w:r>
        <w:rPr>
          <w:i/>
          <w:sz w:val="22"/>
        </w:rPr>
        <w:t>Obstet Gynecol</w:t>
      </w:r>
      <w:r>
        <w:rPr>
          <w:sz w:val="22"/>
        </w:rPr>
        <w:t>. 1993;81:261.</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Aune B, Øian P, Omsjo P, Østerud B. Hormone replacement therapy reduces the reactivity of monocytes and platelets in whole blood—a beneficial effect on atherogenesis and </w:t>
      </w:r>
      <w:r>
        <w:rPr>
          <w:sz w:val="22"/>
        </w:rPr>
        <w:t>thrombus formation? </w:t>
      </w:r>
      <w:r>
        <w:rPr>
          <w:i/>
          <w:sz w:val="22"/>
        </w:rPr>
        <w:t>Am J Obstet Gynecol</w:t>
      </w:r>
      <w:r>
        <w:rPr>
          <w:sz w:val="22"/>
        </w:rPr>
        <w:t>. 1995;173:1816.</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Ganger KF, Vyas S, Whitehead MI, Crook D, Miere H, Campbell S. Pulsatility index in the internal carotid artery is influenced by transdermal oestradiol and time since menopause.</w:t>
      </w:r>
      <w:r>
        <w:rPr>
          <w:spacing w:val="80"/>
          <w:sz w:val="22"/>
        </w:rPr>
        <w:t> </w:t>
      </w:r>
      <w:r>
        <w:rPr>
          <w:i/>
          <w:sz w:val="22"/>
        </w:rPr>
        <w:t>Lancet</w:t>
      </w:r>
      <w:r>
        <w:rPr>
          <w:sz w:val="22"/>
        </w:rPr>
        <w:t>. 1991;338:839.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Hillard TC, Bourne TH, Whitehead MI, Crayford TB, Collins WP, Campbell S. </w:t>
      </w:r>
      <w:r>
        <w:rPr>
          <w:sz w:val="22"/>
        </w:rPr>
        <w:t>Differential effects of transdermal estradiol and sequential progestogens on impedance to flow within the uterine arteries of postmenopausal women. </w:t>
      </w:r>
      <w:r>
        <w:rPr>
          <w:i/>
          <w:sz w:val="22"/>
        </w:rPr>
        <w:t>Fertil Steril</w:t>
      </w:r>
      <w:r>
        <w:rPr>
          <w:sz w:val="22"/>
        </w:rPr>
        <w:t>. 1992;58:959.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Zegura</w:t>
      </w:r>
      <w:r>
        <w:rPr>
          <w:spacing w:val="40"/>
          <w:sz w:val="22"/>
        </w:rPr>
        <w:t> </w:t>
      </w:r>
      <w:r>
        <w:rPr>
          <w:sz w:val="22"/>
        </w:rPr>
        <w:t>B,</w:t>
      </w:r>
      <w:r>
        <w:rPr>
          <w:spacing w:val="40"/>
          <w:sz w:val="22"/>
        </w:rPr>
        <w:t> </w:t>
      </w:r>
      <w:r>
        <w:rPr>
          <w:sz w:val="22"/>
        </w:rPr>
        <w:t>Keber</w:t>
      </w:r>
      <w:r>
        <w:rPr>
          <w:spacing w:val="40"/>
          <w:sz w:val="22"/>
        </w:rPr>
        <w:t> </w:t>
      </w:r>
      <w:r>
        <w:rPr>
          <w:sz w:val="22"/>
        </w:rPr>
        <w:t>I,</w:t>
      </w:r>
      <w:r>
        <w:rPr>
          <w:spacing w:val="40"/>
          <w:sz w:val="22"/>
        </w:rPr>
        <w:t> </w:t>
      </w:r>
      <w:r>
        <w:rPr>
          <w:sz w:val="22"/>
        </w:rPr>
        <w:t>Sebestjen</w:t>
      </w:r>
      <w:r>
        <w:rPr>
          <w:spacing w:val="40"/>
          <w:sz w:val="22"/>
        </w:rPr>
        <w:t> </w:t>
      </w:r>
      <w:r>
        <w:rPr>
          <w:sz w:val="22"/>
        </w:rPr>
        <w:t>M,</w:t>
      </w:r>
      <w:r>
        <w:rPr>
          <w:spacing w:val="40"/>
          <w:sz w:val="22"/>
        </w:rPr>
        <w:t> </w:t>
      </w:r>
      <w:r>
        <w:rPr>
          <w:sz w:val="22"/>
        </w:rPr>
        <w:t>Borko</w:t>
      </w:r>
      <w:r>
        <w:rPr>
          <w:spacing w:val="40"/>
          <w:sz w:val="22"/>
        </w:rPr>
        <w:t> </w:t>
      </w:r>
      <w:r>
        <w:rPr>
          <w:sz w:val="22"/>
        </w:rPr>
        <w:t>E.</w:t>
      </w:r>
      <w:r>
        <w:rPr>
          <w:spacing w:val="40"/>
          <w:sz w:val="22"/>
        </w:rPr>
        <w:t> </w:t>
      </w:r>
      <w:r>
        <w:rPr>
          <w:sz w:val="22"/>
        </w:rPr>
        <w:t>Orally</w:t>
      </w:r>
      <w:r>
        <w:rPr>
          <w:spacing w:val="40"/>
          <w:sz w:val="22"/>
        </w:rPr>
        <w:t> </w:t>
      </w:r>
      <w:r>
        <w:rPr>
          <w:sz w:val="22"/>
        </w:rPr>
        <w:t>and</w:t>
      </w:r>
      <w:r>
        <w:rPr>
          <w:spacing w:val="40"/>
          <w:sz w:val="22"/>
        </w:rPr>
        <w:t> </w:t>
      </w:r>
      <w:r>
        <w:rPr>
          <w:sz w:val="22"/>
        </w:rPr>
        <w:t>transdermally</w:t>
      </w:r>
      <w:r>
        <w:rPr>
          <w:spacing w:val="40"/>
          <w:sz w:val="22"/>
        </w:rPr>
        <w:t> </w:t>
      </w:r>
      <w:r>
        <w:rPr>
          <w:sz w:val="22"/>
        </w:rPr>
        <w:t>replaced</w:t>
      </w:r>
      <w:r>
        <w:rPr>
          <w:spacing w:val="40"/>
          <w:sz w:val="22"/>
        </w:rPr>
        <w:t> </w:t>
      </w:r>
      <w:r>
        <w:rPr>
          <w:sz w:val="22"/>
        </w:rPr>
        <w:t>estradiol improves endothelial function in middle-aged women after surgical menopause. </w:t>
      </w:r>
      <w:r>
        <w:rPr>
          <w:i/>
          <w:sz w:val="22"/>
        </w:rPr>
        <w:t>Am J Obstet</w:t>
      </w:r>
      <w:r>
        <w:rPr>
          <w:i/>
          <w:sz w:val="22"/>
        </w:rPr>
        <w:t> Gynecol</w:t>
      </w:r>
      <w:r>
        <w:rPr>
          <w:sz w:val="22"/>
        </w:rPr>
        <w:t>. 2003;188:1291.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Collins</w:t>
      </w:r>
      <w:r>
        <w:rPr>
          <w:spacing w:val="40"/>
          <w:sz w:val="22"/>
        </w:rPr>
        <w:t> </w:t>
      </w:r>
      <w:r>
        <w:rPr>
          <w:sz w:val="22"/>
        </w:rPr>
        <w:t>P,</w:t>
      </w:r>
      <w:r>
        <w:rPr>
          <w:spacing w:val="40"/>
          <w:sz w:val="22"/>
        </w:rPr>
        <w:t> </w:t>
      </w:r>
      <w:r>
        <w:rPr>
          <w:sz w:val="22"/>
        </w:rPr>
        <w:t>Shay</w:t>
      </w:r>
      <w:r>
        <w:rPr>
          <w:spacing w:val="40"/>
          <w:sz w:val="22"/>
        </w:rPr>
        <w:t> </w:t>
      </w:r>
      <w:r>
        <w:rPr>
          <w:sz w:val="22"/>
        </w:rPr>
        <w:t>J,</w:t>
      </w:r>
      <w:r>
        <w:rPr>
          <w:spacing w:val="40"/>
          <w:sz w:val="22"/>
        </w:rPr>
        <w:t> </w:t>
      </w:r>
      <w:r>
        <w:rPr>
          <w:sz w:val="22"/>
        </w:rPr>
        <w:t>Jiang</w:t>
      </w:r>
      <w:r>
        <w:rPr>
          <w:spacing w:val="40"/>
          <w:sz w:val="22"/>
        </w:rPr>
        <w:t> </w:t>
      </w:r>
      <w:r>
        <w:rPr>
          <w:sz w:val="22"/>
        </w:rPr>
        <w:t>C,</w:t>
      </w:r>
      <w:r>
        <w:rPr>
          <w:spacing w:val="40"/>
          <w:sz w:val="22"/>
        </w:rPr>
        <w:t> </w:t>
      </w:r>
      <w:r>
        <w:rPr>
          <w:sz w:val="22"/>
        </w:rPr>
        <w:t>Moss</w:t>
      </w:r>
      <w:r>
        <w:rPr>
          <w:spacing w:val="40"/>
          <w:sz w:val="22"/>
        </w:rPr>
        <w:t> </w:t>
      </w:r>
      <w:r>
        <w:rPr>
          <w:sz w:val="22"/>
        </w:rPr>
        <w:t>J.</w:t>
      </w:r>
      <w:r>
        <w:rPr>
          <w:spacing w:val="40"/>
          <w:sz w:val="22"/>
        </w:rPr>
        <w:t> </w:t>
      </w:r>
      <w:r>
        <w:rPr>
          <w:sz w:val="22"/>
        </w:rPr>
        <w:t>Nitric</w:t>
      </w:r>
      <w:r>
        <w:rPr>
          <w:spacing w:val="40"/>
          <w:sz w:val="22"/>
        </w:rPr>
        <w:t> </w:t>
      </w:r>
      <w:r>
        <w:rPr>
          <w:sz w:val="22"/>
        </w:rPr>
        <w:t>oxide</w:t>
      </w:r>
      <w:r>
        <w:rPr>
          <w:spacing w:val="40"/>
          <w:sz w:val="22"/>
        </w:rPr>
        <w:t> </w:t>
      </w:r>
      <w:r>
        <w:rPr>
          <w:sz w:val="22"/>
        </w:rPr>
        <w:t>accounts</w:t>
      </w:r>
      <w:r>
        <w:rPr>
          <w:spacing w:val="40"/>
          <w:sz w:val="22"/>
        </w:rPr>
        <w:t> </w:t>
      </w:r>
      <w:r>
        <w:rPr>
          <w:sz w:val="22"/>
        </w:rPr>
        <w:t>for</w:t>
      </w:r>
      <w:r>
        <w:rPr>
          <w:spacing w:val="40"/>
          <w:sz w:val="22"/>
        </w:rPr>
        <w:t> </w:t>
      </w:r>
      <w:r>
        <w:rPr>
          <w:sz w:val="22"/>
        </w:rPr>
        <w:t>dose-dependent</w:t>
      </w:r>
      <w:r>
        <w:rPr>
          <w:spacing w:val="40"/>
          <w:sz w:val="22"/>
        </w:rPr>
        <w:t> </w:t>
      </w:r>
      <w:r>
        <w:rPr>
          <w:sz w:val="22"/>
        </w:rPr>
        <w:t>estrogen-mediated coronary relaxation after acute estrogen withdrawal. </w:t>
      </w:r>
      <w:r>
        <w:rPr>
          <w:i/>
          <w:sz w:val="22"/>
        </w:rPr>
        <w:t>Circulation</w:t>
      </w:r>
      <w:r>
        <w:rPr>
          <w:sz w:val="22"/>
        </w:rPr>
        <w:t>. 1994;90:1964.</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Gilligan DM, Badar DM, Panza JA, Quyyumi AA, Cannon RO III. Acute vascular effects </w:t>
      </w:r>
      <w:r>
        <w:rPr>
          <w:sz w:val="22"/>
        </w:rPr>
        <w:t>of estrogen in postmenopausal women. </w:t>
      </w:r>
      <w:r>
        <w:rPr>
          <w:i/>
          <w:sz w:val="22"/>
        </w:rPr>
        <w:t>Circulation</w:t>
      </w:r>
      <w:r>
        <w:rPr>
          <w:sz w:val="22"/>
        </w:rPr>
        <w:t>. 1994;90:786.</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Gilligan DM, Badar DM, Panza JL, Quyyumi AA, Cannon RO III. Effects of </w:t>
      </w:r>
      <w:r>
        <w:rPr>
          <w:sz w:val="22"/>
        </w:rPr>
        <w:t>estrogen replacement therapy on peripheral vasomotor function in postmenopausal women. </w:t>
      </w:r>
      <w:r>
        <w:rPr>
          <w:i/>
          <w:sz w:val="22"/>
        </w:rPr>
        <w:t>Am J</w:t>
      </w:r>
      <w:r>
        <w:rPr>
          <w:i/>
          <w:spacing w:val="80"/>
          <w:sz w:val="22"/>
        </w:rPr>
        <w:t> </w:t>
      </w:r>
      <w:r>
        <w:rPr>
          <w:i/>
          <w:sz w:val="22"/>
        </w:rPr>
        <w:t>Cardiol</w:t>
      </w:r>
      <w:r>
        <w:rPr>
          <w:sz w:val="22"/>
        </w:rPr>
        <w:t>. 1995;75:264.</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Mercuro</w:t>
      </w:r>
      <w:r>
        <w:rPr>
          <w:spacing w:val="40"/>
          <w:sz w:val="22"/>
        </w:rPr>
        <w:t> </w:t>
      </w:r>
      <w:r>
        <w:rPr>
          <w:sz w:val="22"/>
        </w:rPr>
        <w:t>G,</w:t>
      </w:r>
      <w:r>
        <w:rPr>
          <w:spacing w:val="40"/>
          <w:sz w:val="22"/>
        </w:rPr>
        <w:t> </w:t>
      </w:r>
      <w:r>
        <w:rPr>
          <w:sz w:val="22"/>
        </w:rPr>
        <w:t>Vitale</w:t>
      </w:r>
      <w:r>
        <w:rPr>
          <w:spacing w:val="40"/>
          <w:sz w:val="22"/>
        </w:rPr>
        <w:t> </w:t>
      </w:r>
      <w:r>
        <w:rPr>
          <w:sz w:val="22"/>
        </w:rPr>
        <w:t>C,</w:t>
      </w:r>
      <w:r>
        <w:rPr>
          <w:spacing w:val="40"/>
          <w:sz w:val="22"/>
        </w:rPr>
        <w:t> </w:t>
      </w:r>
      <w:r>
        <w:rPr>
          <w:sz w:val="22"/>
        </w:rPr>
        <w:t>Fini</w:t>
      </w:r>
      <w:r>
        <w:rPr>
          <w:spacing w:val="40"/>
          <w:sz w:val="22"/>
        </w:rPr>
        <w:t> </w:t>
      </w:r>
      <w:r>
        <w:rPr>
          <w:sz w:val="22"/>
        </w:rPr>
        <w:t>M,</w:t>
      </w:r>
      <w:r>
        <w:rPr>
          <w:spacing w:val="40"/>
          <w:sz w:val="22"/>
        </w:rPr>
        <w:t> </w:t>
      </w:r>
      <w:r>
        <w:rPr>
          <w:sz w:val="22"/>
        </w:rPr>
        <w:t>Zoncu</w:t>
      </w:r>
      <w:r>
        <w:rPr>
          <w:spacing w:val="40"/>
          <w:sz w:val="22"/>
        </w:rPr>
        <w:t> </w:t>
      </w:r>
      <w:r>
        <w:rPr>
          <w:sz w:val="22"/>
        </w:rPr>
        <w:t>S,</w:t>
      </w:r>
      <w:r>
        <w:rPr>
          <w:spacing w:val="40"/>
          <w:sz w:val="22"/>
        </w:rPr>
        <w:t> </w:t>
      </w:r>
      <w:r>
        <w:rPr>
          <w:sz w:val="22"/>
        </w:rPr>
        <w:t>Leonardo</w:t>
      </w:r>
      <w:r>
        <w:rPr>
          <w:spacing w:val="40"/>
          <w:sz w:val="22"/>
        </w:rPr>
        <w:t> </w:t>
      </w:r>
      <w:r>
        <w:rPr>
          <w:sz w:val="22"/>
        </w:rPr>
        <w:t>F,</w:t>
      </w:r>
      <w:r>
        <w:rPr>
          <w:spacing w:val="40"/>
          <w:sz w:val="22"/>
        </w:rPr>
        <w:t> </w:t>
      </w:r>
      <w:r>
        <w:rPr>
          <w:sz w:val="22"/>
        </w:rPr>
        <w:t>Rosano</w:t>
      </w:r>
      <w:r>
        <w:rPr>
          <w:spacing w:val="40"/>
          <w:sz w:val="22"/>
        </w:rPr>
        <w:t> </w:t>
      </w:r>
      <w:r>
        <w:rPr>
          <w:sz w:val="22"/>
        </w:rPr>
        <w:t>GM.</w:t>
      </w:r>
      <w:r>
        <w:rPr>
          <w:spacing w:val="40"/>
          <w:sz w:val="22"/>
        </w:rPr>
        <w:t> </w:t>
      </w:r>
      <w:r>
        <w:rPr>
          <w:sz w:val="22"/>
        </w:rPr>
        <w:t>Lipid</w:t>
      </w:r>
      <w:r>
        <w:rPr>
          <w:spacing w:val="40"/>
          <w:sz w:val="22"/>
        </w:rPr>
        <w:t> </w:t>
      </w:r>
      <w:r>
        <w:rPr>
          <w:sz w:val="22"/>
        </w:rPr>
        <w:t>profiles</w:t>
      </w:r>
      <w:r>
        <w:rPr>
          <w:spacing w:val="40"/>
          <w:sz w:val="22"/>
        </w:rPr>
        <w:t> </w:t>
      </w:r>
      <w:r>
        <w:rPr>
          <w:sz w:val="22"/>
        </w:rPr>
        <w:t>and endothelial</w:t>
      </w:r>
      <w:r>
        <w:rPr>
          <w:spacing w:val="38"/>
          <w:sz w:val="22"/>
        </w:rPr>
        <w:t> </w:t>
      </w:r>
      <w:r>
        <w:rPr>
          <w:sz w:val="22"/>
        </w:rPr>
        <w:t>function</w:t>
      </w:r>
      <w:r>
        <w:rPr>
          <w:spacing w:val="38"/>
          <w:sz w:val="22"/>
        </w:rPr>
        <w:t> </w:t>
      </w:r>
      <w:r>
        <w:rPr>
          <w:sz w:val="22"/>
        </w:rPr>
        <w:t>with</w:t>
      </w:r>
      <w:r>
        <w:rPr>
          <w:spacing w:val="38"/>
          <w:sz w:val="22"/>
        </w:rPr>
        <w:t> </w:t>
      </w:r>
      <w:r>
        <w:rPr>
          <w:sz w:val="22"/>
        </w:rPr>
        <w:t>low-dose</w:t>
      </w:r>
      <w:r>
        <w:rPr>
          <w:spacing w:val="38"/>
          <w:sz w:val="22"/>
        </w:rPr>
        <w:t> </w:t>
      </w:r>
      <w:r>
        <w:rPr>
          <w:sz w:val="22"/>
        </w:rPr>
        <w:t>hormone</w:t>
      </w:r>
      <w:r>
        <w:rPr>
          <w:spacing w:val="38"/>
          <w:sz w:val="22"/>
        </w:rPr>
        <w:t> </w:t>
      </w:r>
      <w:r>
        <w:rPr>
          <w:sz w:val="22"/>
        </w:rPr>
        <w:t>replacement</w:t>
      </w:r>
      <w:r>
        <w:rPr>
          <w:spacing w:val="38"/>
          <w:sz w:val="22"/>
        </w:rPr>
        <w:t> </w:t>
      </w:r>
      <w:r>
        <w:rPr>
          <w:sz w:val="22"/>
        </w:rPr>
        <w:t>therapy</w:t>
      </w:r>
      <w:r>
        <w:rPr>
          <w:spacing w:val="38"/>
          <w:sz w:val="22"/>
        </w:rPr>
        <w:t> </w:t>
      </w:r>
      <w:r>
        <w:rPr>
          <w:sz w:val="22"/>
        </w:rPr>
        <w:t>in</w:t>
      </w:r>
      <w:r>
        <w:rPr>
          <w:spacing w:val="38"/>
          <w:sz w:val="22"/>
        </w:rPr>
        <w:t> </w:t>
      </w:r>
      <w:r>
        <w:rPr>
          <w:sz w:val="22"/>
        </w:rPr>
        <w:t>postmenopausal</w:t>
      </w:r>
      <w:r>
        <w:rPr>
          <w:spacing w:val="38"/>
          <w:sz w:val="22"/>
        </w:rPr>
        <w:t> </w:t>
      </w:r>
      <w:r>
        <w:rPr>
          <w:sz w:val="22"/>
        </w:rPr>
        <w:t>women at risk for coronary artery disease: a randomized trial. </w:t>
      </w:r>
      <w:r>
        <w:rPr>
          <w:i/>
          <w:sz w:val="22"/>
        </w:rPr>
        <w:t>Int J Cardiol</w:t>
      </w:r>
      <w:r>
        <w:rPr>
          <w:sz w:val="22"/>
        </w:rPr>
        <w:t>. 2003;89:257.</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McCrohon JA, Adams MR, McCredie RJ, et al. Hormone replacement therapy is associated</w:t>
      </w:r>
      <w:r>
        <w:rPr>
          <w:spacing w:val="80"/>
          <w:sz w:val="22"/>
        </w:rPr>
        <w:t> </w:t>
      </w:r>
      <w:r>
        <w:rPr>
          <w:sz w:val="22"/>
        </w:rPr>
        <w:t>with improved arterial physiology in healthy post-menopausal women. </w:t>
      </w:r>
      <w:r>
        <w:rPr>
          <w:i/>
          <w:sz w:val="22"/>
        </w:rPr>
        <w:t>Clin Endocrinol</w:t>
      </w:r>
      <w:r>
        <w:rPr>
          <w:sz w:val="22"/>
        </w:rPr>
        <w:t>. </w:t>
      </w:r>
      <w:r>
        <w:rPr>
          <w:spacing w:val="-2"/>
          <w:sz w:val="22"/>
        </w:rPr>
        <w:t>1996;45:435.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Lau TK, Wan D, Yim SF, Sanderson JE, Haines CJ. Prospective, randomized, controlled </w:t>
      </w:r>
      <w:r>
        <w:rPr>
          <w:sz w:val="22"/>
        </w:rPr>
        <w:t>study of</w:t>
      </w:r>
      <w:r>
        <w:rPr>
          <w:spacing w:val="80"/>
          <w:w w:val="150"/>
          <w:sz w:val="22"/>
        </w:rPr>
        <w:t> </w:t>
      </w:r>
      <w:r>
        <w:rPr>
          <w:sz w:val="22"/>
        </w:rPr>
        <w:t>the</w:t>
      </w:r>
      <w:r>
        <w:rPr>
          <w:spacing w:val="80"/>
          <w:w w:val="150"/>
          <w:sz w:val="22"/>
        </w:rPr>
        <w:t> </w:t>
      </w:r>
      <w:r>
        <w:rPr>
          <w:sz w:val="22"/>
        </w:rPr>
        <w:t>effect</w:t>
      </w:r>
      <w:r>
        <w:rPr>
          <w:spacing w:val="80"/>
          <w:w w:val="150"/>
          <w:sz w:val="22"/>
        </w:rPr>
        <w:t> </w:t>
      </w:r>
      <w:r>
        <w:rPr>
          <w:sz w:val="22"/>
        </w:rPr>
        <w:t>of</w:t>
      </w:r>
      <w:r>
        <w:rPr>
          <w:spacing w:val="80"/>
          <w:w w:val="150"/>
          <w:sz w:val="22"/>
        </w:rPr>
        <w:t> </w:t>
      </w:r>
      <w:r>
        <w:rPr>
          <w:sz w:val="22"/>
        </w:rPr>
        <w:t>hormone</w:t>
      </w:r>
      <w:r>
        <w:rPr>
          <w:spacing w:val="80"/>
          <w:w w:val="150"/>
          <w:sz w:val="22"/>
        </w:rPr>
        <w:t> </w:t>
      </w:r>
      <w:r>
        <w:rPr>
          <w:sz w:val="22"/>
        </w:rPr>
        <w:t>replacement</w:t>
      </w:r>
      <w:r>
        <w:rPr>
          <w:spacing w:val="80"/>
          <w:w w:val="150"/>
          <w:sz w:val="22"/>
        </w:rPr>
        <w:t> </w:t>
      </w:r>
      <w:r>
        <w:rPr>
          <w:sz w:val="22"/>
        </w:rPr>
        <w:t>therapy</w:t>
      </w:r>
      <w:r>
        <w:rPr>
          <w:spacing w:val="80"/>
          <w:w w:val="150"/>
          <w:sz w:val="22"/>
        </w:rPr>
        <w:t> </w:t>
      </w:r>
      <w:r>
        <w:rPr>
          <w:sz w:val="22"/>
        </w:rPr>
        <w:t>on</w:t>
      </w:r>
      <w:r>
        <w:rPr>
          <w:spacing w:val="80"/>
          <w:w w:val="150"/>
          <w:sz w:val="22"/>
        </w:rPr>
        <w:t> </w:t>
      </w:r>
      <w:r>
        <w:rPr>
          <w:sz w:val="22"/>
        </w:rPr>
        <w:t>peripheral</w:t>
      </w:r>
      <w:r>
        <w:rPr>
          <w:spacing w:val="80"/>
          <w:w w:val="150"/>
          <w:sz w:val="22"/>
        </w:rPr>
        <w:t> </w:t>
      </w:r>
      <w:r>
        <w:rPr>
          <w:sz w:val="22"/>
        </w:rPr>
        <w:t>blood</w:t>
      </w:r>
      <w:r>
        <w:rPr>
          <w:spacing w:val="80"/>
          <w:w w:val="150"/>
          <w:sz w:val="22"/>
        </w:rPr>
        <w:t> </w:t>
      </w:r>
      <w:r>
        <w:rPr>
          <w:sz w:val="22"/>
        </w:rPr>
        <w:t>flow</w:t>
      </w:r>
      <w:r>
        <w:rPr>
          <w:spacing w:val="80"/>
          <w:w w:val="150"/>
          <w:sz w:val="22"/>
        </w:rPr>
        <w:t> </w:t>
      </w:r>
      <w:r>
        <w:rPr>
          <w:sz w:val="22"/>
        </w:rPr>
        <w:t>velocity</w:t>
      </w:r>
      <w:r>
        <w:rPr>
          <w:spacing w:val="80"/>
          <w:w w:val="150"/>
          <w:sz w:val="22"/>
        </w:rPr>
        <w:t> </w:t>
      </w:r>
      <w:r>
        <w:rPr>
          <w:sz w:val="22"/>
        </w:rPr>
        <w:t>in</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postmenopausal</w:t>
      </w:r>
      <w:r>
        <w:rPr>
          <w:spacing w:val="16"/>
          <w:sz w:val="22"/>
        </w:rPr>
        <w:t> </w:t>
      </w:r>
      <w:r>
        <w:rPr>
          <w:sz w:val="22"/>
        </w:rPr>
        <w:t>women.</w:t>
      </w:r>
      <w:r>
        <w:rPr>
          <w:spacing w:val="17"/>
          <w:sz w:val="22"/>
        </w:rPr>
        <w:t> </w:t>
      </w:r>
      <w:r>
        <w:rPr>
          <w:i/>
          <w:sz w:val="22"/>
        </w:rPr>
        <w:t>Fertil</w:t>
      </w:r>
      <w:r>
        <w:rPr>
          <w:i/>
          <w:spacing w:val="16"/>
          <w:sz w:val="22"/>
        </w:rPr>
        <w:t> </w:t>
      </w:r>
      <w:r>
        <w:rPr>
          <w:i/>
          <w:sz w:val="22"/>
        </w:rPr>
        <w:t>Steril</w:t>
      </w:r>
      <w:r>
        <w:rPr>
          <w:sz w:val="22"/>
        </w:rPr>
        <w:t>.</w:t>
      </w:r>
      <w:r>
        <w:rPr>
          <w:spacing w:val="17"/>
          <w:sz w:val="22"/>
        </w:rPr>
        <w:t> </w:t>
      </w:r>
      <w:r>
        <w:rPr>
          <w:spacing w:val="-2"/>
          <w:sz w:val="22"/>
        </w:rPr>
        <w:t>1998;70:284.</w:t>
      </w:r>
    </w:p>
    <w:p>
      <w:pPr>
        <w:pStyle w:val="ListParagraph"/>
        <w:numPr>
          <w:ilvl w:val="0"/>
          <w:numId w:val="19"/>
        </w:numPr>
        <w:tabs>
          <w:tab w:pos="709" w:val="left" w:leader="none"/>
          <w:tab w:pos="718" w:val="left" w:leader="none"/>
        </w:tabs>
        <w:spacing w:line="256" w:lineRule="auto" w:before="17" w:after="0"/>
        <w:ind w:left="718" w:right="103" w:hanging="507"/>
        <w:jc w:val="both"/>
        <w:rPr>
          <w:sz w:val="22"/>
        </w:rPr>
      </w:pPr>
      <w:r>
        <w:rPr>
          <w:sz w:val="22"/>
        </w:rPr>
        <w:t>Koh</w:t>
      </w:r>
      <w:r>
        <w:rPr>
          <w:spacing w:val="40"/>
          <w:sz w:val="22"/>
        </w:rPr>
        <w:t> </w:t>
      </w:r>
      <w:r>
        <w:rPr>
          <w:sz w:val="22"/>
        </w:rPr>
        <w:t>KK,</w:t>
      </w:r>
      <w:r>
        <w:rPr>
          <w:spacing w:val="40"/>
          <w:sz w:val="22"/>
        </w:rPr>
        <w:t> </w:t>
      </w:r>
      <w:r>
        <w:rPr>
          <w:sz w:val="22"/>
        </w:rPr>
        <w:t>Jin</w:t>
      </w:r>
      <w:r>
        <w:rPr>
          <w:spacing w:val="40"/>
          <w:sz w:val="22"/>
        </w:rPr>
        <w:t> </w:t>
      </w:r>
      <w:r>
        <w:rPr>
          <w:sz w:val="22"/>
        </w:rPr>
        <w:t>DK,</w:t>
      </w:r>
      <w:r>
        <w:rPr>
          <w:spacing w:val="40"/>
          <w:sz w:val="22"/>
        </w:rPr>
        <w:t> </w:t>
      </w:r>
      <w:r>
        <w:rPr>
          <w:sz w:val="22"/>
        </w:rPr>
        <w:t>Yang</w:t>
      </w:r>
      <w:r>
        <w:rPr>
          <w:spacing w:val="40"/>
          <w:sz w:val="22"/>
        </w:rPr>
        <w:t> </w:t>
      </w:r>
      <w:r>
        <w:rPr>
          <w:sz w:val="22"/>
        </w:rPr>
        <w:t>SH,</w:t>
      </w:r>
      <w:r>
        <w:rPr>
          <w:spacing w:val="40"/>
          <w:sz w:val="22"/>
        </w:rPr>
        <w:t> </w:t>
      </w:r>
      <w:r>
        <w:rPr>
          <w:sz w:val="22"/>
        </w:rPr>
        <w:t>et</w:t>
      </w:r>
      <w:r>
        <w:rPr>
          <w:spacing w:val="40"/>
          <w:sz w:val="22"/>
        </w:rPr>
        <w:t> </w:t>
      </w:r>
      <w:r>
        <w:rPr>
          <w:sz w:val="22"/>
        </w:rPr>
        <w:t>al.</w:t>
      </w:r>
      <w:r>
        <w:rPr>
          <w:spacing w:val="40"/>
          <w:sz w:val="22"/>
        </w:rPr>
        <w:t> </w:t>
      </w:r>
      <w:r>
        <w:rPr>
          <w:sz w:val="22"/>
        </w:rPr>
        <w:t>Vascular</w:t>
      </w:r>
      <w:r>
        <w:rPr>
          <w:spacing w:val="40"/>
          <w:sz w:val="22"/>
        </w:rPr>
        <w:t> </w:t>
      </w:r>
      <w:r>
        <w:rPr>
          <w:sz w:val="22"/>
        </w:rPr>
        <w:t>effects</w:t>
      </w:r>
      <w:r>
        <w:rPr>
          <w:spacing w:val="40"/>
          <w:sz w:val="22"/>
        </w:rPr>
        <w:t> </w:t>
      </w:r>
      <w:r>
        <w:rPr>
          <w:sz w:val="22"/>
        </w:rPr>
        <w:t>of</w:t>
      </w:r>
      <w:r>
        <w:rPr>
          <w:spacing w:val="40"/>
          <w:sz w:val="22"/>
        </w:rPr>
        <w:t> </w:t>
      </w:r>
      <w:r>
        <w:rPr>
          <w:sz w:val="22"/>
        </w:rPr>
        <w:t>synthetic</w:t>
      </w:r>
      <w:r>
        <w:rPr>
          <w:spacing w:val="40"/>
          <w:sz w:val="22"/>
        </w:rPr>
        <w:t> </w:t>
      </w:r>
      <w:r>
        <w:rPr>
          <w:sz w:val="22"/>
        </w:rPr>
        <w:t>or</w:t>
      </w:r>
      <w:r>
        <w:rPr>
          <w:spacing w:val="40"/>
          <w:sz w:val="22"/>
        </w:rPr>
        <w:t> </w:t>
      </w:r>
      <w:r>
        <w:rPr>
          <w:sz w:val="22"/>
        </w:rPr>
        <w:t>natural</w:t>
      </w:r>
      <w:r>
        <w:rPr>
          <w:spacing w:val="40"/>
          <w:sz w:val="22"/>
        </w:rPr>
        <w:t> </w:t>
      </w:r>
      <w:r>
        <w:rPr>
          <w:sz w:val="22"/>
        </w:rPr>
        <w:t>progestagen combined with conjugated equine estrogen in healthy postmenopausal women. </w:t>
      </w:r>
      <w:r>
        <w:rPr>
          <w:i/>
          <w:sz w:val="22"/>
        </w:rPr>
        <w:t>Circulation</w:t>
      </w:r>
      <w:r>
        <w:rPr>
          <w:sz w:val="22"/>
        </w:rPr>
        <w:t>. </w:t>
      </w:r>
      <w:r>
        <w:rPr>
          <w:spacing w:val="-2"/>
          <w:sz w:val="22"/>
        </w:rPr>
        <w:t>2001;103:1961.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Sjorensen KE, Dorup I, Hermann AP, Mosekilde L. Combined hormone replacement </w:t>
      </w:r>
      <w:r>
        <w:rPr>
          <w:sz w:val="22"/>
        </w:rPr>
        <w:t>therapy does not protect women against the age-related decline in endothelium-dependent vasomotor function. </w:t>
      </w:r>
      <w:r>
        <w:rPr>
          <w:i/>
          <w:sz w:val="22"/>
        </w:rPr>
        <w:t>Circulation</w:t>
      </w:r>
      <w:r>
        <w:rPr>
          <w:sz w:val="22"/>
        </w:rPr>
        <w:t>. 1998;97:1234.</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Weiner CP, Lizasoain I, Baylis SA, Knowles RG, Charles IG, Moncada S. Induction</w:t>
      </w:r>
      <w:r>
        <w:rPr>
          <w:spacing w:val="40"/>
          <w:sz w:val="22"/>
        </w:rPr>
        <w:t> </w:t>
      </w:r>
      <w:r>
        <w:rPr>
          <w:sz w:val="22"/>
        </w:rPr>
        <w:t>of</w:t>
      </w:r>
      <w:r>
        <w:rPr>
          <w:spacing w:val="40"/>
          <w:sz w:val="22"/>
        </w:rPr>
        <w:t> </w:t>
      </w:r>
      <w:r>
        <w:rPr>
          <w:sz w:val="22"/>
        </w:rPr>
        <w:t>calcium-dependent nitric oxide synthases by sex hormones. </w:t>
      </w:r>
      <w:r>
        <w:rPr>
          <w:i/>
          <w:sz w:val="22"/>
        </w:rPr>
        <w:t>Proc Natl Acad Sci U S A</w:t>
      </w:r>
      <w:r>
        <w:rPr>
          <w:sz w:val="22"/>
        </w:rPr>
        <w:t>. </w:t>
      </w:r>
      <w:r>
        <w:rPr>
          <w:spacing w:val="-2"/>
          <w:sz w:val="22"/>
        </w:rPr>
        <w:t>1994;91:5212.</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Hayashi</w:t>
      </w:r>
      <w:r>
        <w:rPr>
          <w:spacing w:val="14"/>
          <w:sz w:val="22"/>
        </w:rPr>
        <w:t> </w:t>
      </w:r>
      <w:r>
        <w:rPr>
          <w:sz w:val="22"/>
        </w:rPr>
        <w:t>T,</w:t>
      </w:r>
      <w:r>
        <w:rPr>
          <w:spacing w:val="14"/>
          <w:sz w:val="22"/>
        </w:rPr>
        <w:t> </w:t>
      </w:r>
      <w:r>
        <w:rPr>
          <w:sz w:val="22"/>
        </w:rPr>
        <w:t>Fukuto</w:t>
      </w:r>
      <w:r>
        <w:rPr>
          <w:spacing w:val="14"/>
          <w:sz w:val="22"/>
        </w:rPr>
        <w:t> </w:t>
      </w:r>
      <w:r>
        <w:rPr>
          <w:sz w:val="22"/>
        </w:rPr>
        <w:t>JM,</w:t>
      </w:r>
      <w:r>
        <w:rPr>
          <w:spacing w:val="14"/>
          <w:sz w:val="22"/>
        </w:rPr>
        <w:t> </w:t>
      </w:r>
      <w:r>
        <w:rPr>
          <w:sz w:val="22"/>
        </w:rPr>
        <w:t>Ignarro</w:t>
      </w:r>
      <w:r>
        <w:rPr>
          <w:spacing w:val="14"/>
          <w:sz w:val="22"/>
        </w:rPr>
        <w:t> </w:t>
      </w:r>
      <w:r>
        <w:rPr>
          <w:sz w:val="22"/>
        </w:rPr>
        <w:t>L,</w:t>
      </w:r>
      <w:r>
        <w:rPr>
          <w:spacing w:val="14"/>
          <w:sz w:val="22"/>
        </w:rPr>
        <w:t> </w:t>
      </w:r>
      <w:r>
        <w:rPr>
          <w:sz w:val="22"/>
        </w:rPr>
        <w:t>Chaudhuri</w:t>
      </w:r>
      <w:r>
        <w:rPr>
          <w:spacing w:val="14"/>
          <w:sz w:val="22"/>
        </w:rPr>
        <w:t> </w:t>
      </w:r>
      <w:r>
        <w:rPr>
          <w:sz w:val="22"/>
        </w:rPr>
        <w:t>G.</w:t>
      </w:r>
      <w:r>
        <w:rPr>
          <w:spacing w:val="14"/>
          <w:sz w:val="22"/>
        </w:rPr>
        <w:t> </w:t>
      </w:r>
      <w:r>
        <w:rPr>
          <w:sz w:val="22"/>
        </w:rPr>
        <w:t>Basal</w:t>
      </w:r>
      <w:r>
        <w:rPr>
          <w:spacing w:val="16"/>
          <w:sz w:val="22"/>
        </w:rPr>
        <w:t> </w:t>
      </w:r>
      <w:r>
        <w:rPr>
          <w:sz w:val="22"/>
        </w:rPr>
        <w:t>release</w:t>
      </w:r>
      <w:r>
        <w:rPr>
          <w:spacing w:val="16"/>
          <w:sz w:val="22"/>
        </w:rPr>
        <w:t> </w:t>
      </w:r>
      <w:r>
        <w:rPr>
          <w:sz w:val="22"/>
        </w:rPr>
        <w:t>of</w:t>
      </w:r>
      <w:r>
        <w:rPr>
          <w:spacing w:val="16"/>
          <w:sz w:val="22"/>
        </w:rPr>
        <w:t> </w:t>
      </w:r>
      <w:r>
        <w:rPr>
          <w:sz w:val="22"/>
        </w:rPr>
        <w:t>nitric</w:t>
      </w:r>
      <w:r>
        <w:rPr>
          <w:spacing w:val="16"/>
          <w:sz w:val="22"/>
        </w:rPr>
        <w:t> </w:t>
      </w:r>
      <w:r>
        <w:rPr>
          <w:sz w:val="22"/>
        </w:rPr>
        <w:t>oxide</w:t>
      </w:r>
      <w:r>
        <w:rPr>
          <w:spacing w:val="16"/>
          <w:sz w:val="22"/>
        </w:rPr>
        <w:t> </w:t>
      </w:r>
      <w:r>
        <w:rPr>
          <w:sz w:val="22"/>
        </w:rPr>
        <w:t>from</w:t>
      </w:r>
      <w:r>
        <w:rPr>
          <w:spacing w:val="16"/>
          <w:sz w:val="22"/>
        </w:rPr>
        <w:t> </w:t>
      </w:r>
      <w:r>
        <w:rPr>
          <w:sz w:val="22"/>
        </w:rPr>
        <w:t>aortic</w:t>
      </w:r>
      <w:r>
        <w:rPr>
          <w:spacing w:val="16"/>
          <w:sz w:val="22"/>
        </w:rPr>
        <w:t> </w:t>
      </w:r>
      <w:r>
        <w:rPr>
          <w:sz w:val="22"/>
        </w:rPr>
        <w:t>rings is greater in female rabbits than in male rabbits: implications for atherosclerosis. </w:t>
      </w:r>
      <w:r>
        <w:rPr>
          <w:i/>
          <w:sz w:val="22"/>
        </w:rPr>
        <w:t>Proc </w:t>
      </w:r>
      <w:r>
        <w:rPr>
          <w:i/>
          <w:sz w:val="22"/>
        </w:rPr>
        <w:t>Natl</w:t>
      </w:r>
      <w:r>
        <w:rPr>
          <w:i/>
          <w:spacing w:val="80"/>
          <w:w w:val="150"/>
          <w:sz w:val="22"/>
        </w:rPr>
        <w:t> </w:t>
      </w:r>
      <w:r>
        <w:rPr>
          <w:i/>
          <w:sz w:val="22"/>
        </w:rPr>
        <w:t>Acad Sci U S A</w:t>
      </w:r>
      <w:r>
        <w:rPr>
          <w:sz w:val="22"/>
        </w:rPr>
        <w:t>. 1992;89:11259.</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Rosselli M, Imthurn B, Keller PJ, Jackson EK, Dubey RK. Circulating nitric oxide (nitrite/nitrate) levels in postmenopausal women substituted with 17 beta-estradiol and norethisterone acetate: a two-year follow-up study. </w:t>
      </w:r>
      <w:r>
        <w:rPr>
          <w:i/>
          <w:sz w:val="22"/>
        </w:rPr>
        <w:t>Hypertension</w:t>
      </w:r>
      <w:r>
        <w:rPr>
          <w:sz w:val="22"/>
        </w:rPr>
        <w:t>. 1995;25:848.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Imthurn B, Rosselli M, Jaeger AW, Keller PJ, Dubey RK. Differential effects of hormone-replacement therapy on endogenous nitric oxide (nitrite/nitrate) levels in postmenopausal</w:t>
      </w:r>
      <w:r>
        <w:rPr>
          <w:spacing w:val="40"/>
          <w:sz w:val="22"/>
        </w:rPr>
        <w:t> </w:t>
      </w:r>
      <w:r>
        <w:rPr>
          <w:sz w:val="22"/>
        </w:rPr>
        <w:t>women substituted with 17 beta-estradiol valerate and cyproterone acetate or medroxyprogesterone acetate. </w:t>
      </w:r>
      <w:r>
        <w:rPr>
          <w:i/>
          <w:sz w:val="22"/>
        </w:rPr>
        <w:t>J Clin Endocrinol Metab</w:t>
      </w:r>
      <w:r>
        <w:rPr>
          <w:sz w:val="22"/>
        </w:rPr>
        <w:t>. 1997;82:388.</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Ylikorkala O, Cacciatore B, Paakkari I, Tikkanen MJ, Viinikka L, Toivonen J. The long-term effects of oral and transdermal postmenopausal hormone replacement therapy on nitric </w:t>
      </w:r>
      <w:r>
        <w:rPr>
          <w:sz w:val="22"/>
        </w:rPr>
        <w:t>oxide, endothelin-1, prostacyclin, and thromboxane. </w:t>
      </w:r>
      <w:r>
        <w:rPr>
          <w:i/>
          <w:sz w:val="22"/>
        </w:rPr>
        <w:t>Fertil Steril</w:t>
      </w:r>
      <w:r>
        <w:rPr>
          <w:sz w:val="22"/>
        </w:rPr>
        <w:t>. 1998;69:883.</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Gilligan DM, Quyyumi AA, Cannon RO III. Effects of physiological levels of estrogen </w:t>
      </w:r>
      <w:r>
        <w:rPr>
          <w:sz w:val="22"/>
        </w:rPr>
        <w:t>on coronary vasomotor function in postmenopausal women. </w:t>
      </w:r>
      <w:r>
        <w:rPr>
          <w:i/>
          <w:sz w:val="22"/>
        </w:rPr>
        <w:t>Circulation</w:t>
      </w:r>
      <w:r>
        <w:rPr>
          <w:sz w:val="22"/>
        </w:rPr>
        <w:t>. 1994;89:2545.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Roquél M, Heras M, Roig E, et al. Short-term effects of transdermal estrogen </w:t>
      </w:r>
      <w:r>
        <w:rPr>
          <w:sz w:val="22"/>
        </w:rPr>
        <w:t>replacement therapy on coronary vascular reactivity in postmenopausal women with angina pectoris and normal results on coronary angiograms. </w:t>
      </w:r>
      <w:r>
        <w:rPr>
          <w:i/>
          <w:sz w:val="22"/>
        </w:rPr>
        <w:t>J Am Coll Cardiol</w:t>
      </w:r>
      <w:r>
        <w:rPr>
          <w:sz w:val="22"/>
        </w:rPr>
        <w:t>. 1998;31:139.</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Guetta V, Quyyumi AA, Prasad A, Panza JA, Waclawiw M, Cannon RO III. The role of nitric oxide in coronary vascular effects of estrogen in postmenopausal women. </w:t>
      </w:r>
      <w:r>
        <w:rPr>
          <w:i/>
          <w:sz w:val="22"/>
        </w:rPr>
        <w:t>Circulation</w:t>
      </w:r>
      <w:r>
        <w:rPr>
          <w:sz w:val="22"/>
        </w:rPr>
        <w:t>. </w:t>
      </w:r>
      <w:r>
        <w:rPr>
          <w:spacing w:val="-2"/>
          <w:sz w:val="22"/>
        </w:rPr>
        <w:t>1997;96:2795.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Williams JK, Shively CA, Clarkson TB. Determinants of coronary artery reactivity in premenopausal female cynomolgus monkeys with diet-induced atherosclerosis. </w:t>
      </w:r>
      <w:r>
        <w:rPr>
          <w:i/>
          <w:sz w:val="22"/>
        </w:rPr>
        <w:t>Circulation</w:t>
      </w:r>
      <w:r>
        <w:rPr>
          <w:sz w:val="22"/>
        </w:rPr>
        <w:t>. </w:t>
      </w:r>
      <w:r>
        <w:rPr>
          <w:spacing w:val="-2"/>
          <w:sz w:val="22"/>
        </w:rPr>
        <w:t>1994;90:983.</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Chester AH, Jiang C, Borland JA, Yacoub M, Collins P. Oestrogen relaxes human </w:t>
      </w:r>
      <w:r>
        <w:rPr>
          <w:sz w:val="22"/>
        </w:rPr>
        <w:t>epicardial coronary arteries through non-endothelial-dependent mechanisms. </w:t>
      </w:r>
      <w:r>
        <w:rPr>
          <w:i/>
          <w:sz w:val="22"/>
        </w:rPr>
        <w:t>Coron Artery Dis</w:t>
      </w:r>
      <w:r>
        <w:rPr>
          <w:sz w:val="22"/>
        </w:rPr>
        <w:t>. </w:t>
      </w:r>
      <w:r>
        <w:rPr>
          <w:spacing w:val="-2"/>
          <w:sz w:val="22"/>
        </w:rPr>
        <w:t>1995;6:417.</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Collins P, Rosano GM, Jiang C, Lindsay D, Sarrel PM, Poole-Wilson PA. Cardiovascular protection by estrogen—a calcium antagonism effect? </w:t>
      </w:r>
      <w:r>
        <w:rPr>
          <w:i/>
          <w:sz w:val="22"/>
        </w:rPr>
        <w:t>Lancet</w:t>
      </w:r>
      <w:r>
        <w:rPr>
          <w:sz w:val="22"/>
        </w:rPr>
        <w:t>. 1993;341:264.</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Pines A, Fishman EZ, Levo Y, et al. The effects of hormone replacement therapy in normal postmenopausal women: measurements of Doppler-derived parameters of aortic flow. </w:t>
      </w:r>
      <w:r>
        <w:rPr>
          <w:i/>
          <w:sz w:val="22"/>
        </w:rPr>
        <w:t>Am </w:t>
      </w:r>
      <w:r>
        <w:rPr>
          <w:i/>
          <w:sz w:val="22"/>
        </w:rPr>
        <w:t>J</w:t>
      </w:r>
      <w:r>
        <w:rPr>
          <w:i/>
          <w:sz w:val="22"/>
        </w:rPr>
        <w:t> Obstet Gynecol</w:t>
      </w:r>
      <w:r>
        <w:rPr>
          <w:sz w:val="22"/>
        </w:rPr>
        <w:t>. 1991;164:806.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Pines A, Fishman EZ, Ayalon D, Drory Y, Aveerbuch M, Levo Y. Long-term effects of</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on</w:t>
      </w:r>
      <w:r>
        <w:rPr>
          <w:spacing w:val="40"/>
          <w:sz w:val="22"/>
        </w:rPr>
        <w:t> </w:t>
      </w:r>
      <w:r>
        <w:rPr>
          <w:sz w:val="22"/>
        </w:rPr>
        <w:t>Doppler-derived</w:t>
      </w:r>
      <w:r>
        <w:rPr>
          <w:spacing w:val="40"/>
          <w:sz w:val="22"/>
        </w:rPr>
        <w:t> </w:t>
      </w:r>
      <w:r>
        <w:rPr>
          <w:sz w:val="22"/>
        </w:rPr>
        <w:t>parameters</w:t>
      </w:r>
      <w:r>
        <w:rPr>
          <w:spacing w:val="40"/>
          <w:sz w:val="22"/>
        </w:rPr>
        <w:t> </w:t>
      </w:r>
      <w:r>
        <w:rPr>
          <w:sz w:val="22"/>
        </w:rPr>
        <w:t>of</w:t>
      </w:r>
      <w:r>
        <w:rPr>
          <w:spacing w:val="40"/>
          <w:sz w:val="22"/>
        </w:rPr>
        <w:t> </w:t>
      </w:r>
      <w:r>
        <w:rPr>
          <w:sz w:val="22"/>
        </w:rPr>
        <w:t>aortic</w:t>
      </w:r>
      <w:r>
        <w:rPr>
          <w:spacing w:val="40"/>
          <w:sz w:val="22"/>
        </w:rPr>
        <w:t> </w:t>
      </w:r>
      <w:r>
        <w:rPr>
          <w:sz w:val="22"/>
        </w:rPr>
        <w:t>flow</w:t>
      </w:r>
      <w:r>
        <w:rPr>
          <w:spacing w:val="40"/>
          <w:sz w:val="22"/>
        </w:rPr>
        <w:t> </w:t>
      </w:r>
      <w:r>
        <w:rPr>
          <w:sz w:val="22"/>
        </w:rPr>
        <w:t>in postmenopausal women. </w:t>
      </w:r>
      <w:r>
        <w:rPr>
          <w:i/>
          <w:sz w:val="22"/>
        </w:rPr>
        <w:t>Chest</w:t>
      </w:r>
      <w:r>
        <w:rPr>
          <w:sz w:val="22"/>
        </w:rPr>
        <w:t>. 1992;102:1496.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Voutilainen S, Hippelainen M, Hulklo S, Karppinen K, Ventila M, Kupri M. Left </w:t>
      </w:r>
      <w:r>
        <w:rPr>
          <w:sz w:val="22"/>
        </w:rPr>
        <w:t>ventricular diastolic function by Doppler echocardiography in relation to hormone replacement therapy in healthy postmenopausal women. </w:t>
      </w:r>
      <w:r>
        <w:rPr>
          <w:i/>
          <w:sz w:val="22"/>
        </w:rPr>
        <w:t>Am J Cardiol</w:t>
      </w:r>
      <w:r>
        <w:rPr>
          <w:sz w:val="22"/>
        </w:rPr>
        <w:t>. 1993;71:614.</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Giraud</w:t>
      </w:r>
      <w:r>
        <w:rPr>
          <w:spacing w:val="24"/>
          <w:sz w:val="22"/>
        </w:rPr>
        <w:t> </w:t>
      </w:r>
      <w:r>
        <w:rPr>
          <w:sz w:val="22"/>
        </w:rPr>
        <w:t>GD,</w:t>
      </w:r>
      <w:r>
        <w:rPr>
          <w:spacing w:val="24"/>
          <w:sz w:val="22"/>
        </w:rPr>
        <w:t> </w:t>
      </w:r>
      <w:r>
        <w:rPr>
          <w:sz w:val="22"/>
        </w:rPr>
        <w:t>Morton</w:t>
      </w:r>
      <w:r>
        <w:rPr>
          <w:spacing w:val="24"/>
          <w:sz w:val="22"/>
        </w:rPr>
        <w:t> </w:t>
      </w:r>
      <w:r>
        <w:rPr>
          <w:sz w:val="22"/>
        </w:rPr>
        <w:t>MJ,</w:t>
      </w:r>
      <w:r>
        <w:rPr>
          <w:spacing w:val="24"/>
          <w:sz w:val="22"/>
        </w:rPr>
        <w:t> </w:t>
      </w:r>
      <w:r>
        <w:rPr>
          <w:sz w:val="22"/>
        </w:rPr>
        <w:t>Wilson</w:t>
      </w:r>
      <w:r>
        <w:rPr>
          <w:spacing w:val="24"/>
          <w:sz w:val="22"/>
        </w:rPr>
        <w:t> </w:t>
      </w:r>
      <w:r>
        <w:rPr>
          <w:sz w:val="22"/>
        </w:rPr>
        <w:t>RA,</w:t>
      </w:r>
      <w:r>
        <w:rPr>
          <w:spacing w:val="24"/>
          <w:sz w:val="22"/>
        </w:rPr>
        <w:t> </w:t>
      </w:r>
      <w:r>
        <w:rPr>
          <w:sz w:val="22"/>
        </w:rPr>
        <w:t>Burry</w:t>
      </w:r>
      <w:r>
        <w:rPr>
          <w:spacing w:val="24"/>
          <w:sz w:val="22"/>
        </w:rPr>
        <w:t> </w:t>
      </w:r>
      <w:r>
        <w:rPr>
          <w:sz w:val="22"/>
        </w:rPr>
        <w:t>KA,</w:t>
      </w:r>
      <w:r>
        <w:rPr>
          <w:spacing w:val="24"/>
          <w:sz w:val="22"/>
        </w:rPr>
        <w:t> </w:t>
      </w:r>
      <w:r>
        <w:rPr>
          <w:sz w:val="22"/>
        </w:rPr>
        <w:t>Speroff</w:t>
      </w:r>
      <w:r>
        <w:rPr>
          <w:spacing w:val="24"/>
          <w:sz w:val="22"/>
        </w:rPr>
        <w:t> </w:t>
      </w:r>
      <w:r>
        <w:rPr>
          <w:sz w:val="22"/>
        </w:rPr>
        <w:t>L.</w:t>
      </w:r>
      <w:r>
        <w:rPr>
          <w:spacing w:val="24"/>
          <w:sz w:val="22"/>
        </w:rPr>
        <w:t> </w:t>
      </w:r>
      <w:r>
        <w:rPr>
          <w:sz w:val="22"/>
        </w:rPr>
        <w:t>Effects</w:t>
      </w:r>
      <w:r>
        <w:rPr>
          <w:spacing w:val="24"/>
          <w:sz w:val="22"/>
        </w:rPr>
        <w:t> </w:t>
      </w:r>
      <w:r>
        <w:rPr>
          <w:sz w:val="22"/>
        </w:rPr>
        <w:t>of</w:t>
      </w:r>
      <w:r>
        <w:rPr>
          <w:spacing w:val="24"/>
          <w:sz w:val="22"/>
        </w:rPr>
        <w:t> </w:t>
      </w:r>
      <w:r>
        <w:rPr>
          <w:sz w:val="22"/>
        </w:rPr>
        <w:t>estrogen</w:t>
      </w:r>
      <w:r>
        <w:rPr>
          <w:spacing w:val="24"/>
          <w:sz w:val="22"/>
        </w:rPr>
        <w:t> </w:t>
      </w:r>
      <w:r>
        <w:rPr>
          <w:sz w:val="22"/>
        </w:rPr>
        <w:t>and</w:t>
      </w:r>
      <w:r>
        <w:rPr>
          <w:spacing w:val="24"/>
          <w:sz w:val="22"/>
        </w:rPr>
        <w:t> </w:t>
      </w:r>
      <w:r>
        <w:rPr>
          <w:sz w:val="22"/>
        </w:rPr>
        <w:t>progestin on</w:t>
      </w:r>
      <w:r>
        <w:rPr>
          <w:spacing w:val="40"/>
          <w:sz w:val="22"/>
        </w:rPr>
        <w:t> </w:t>
      </w:r>
      <w:r>
        <w:rPr>
          <w:sz w:val="22"/>
        </w:rPr>
        <w:t>aortic</w:t>
      </w:r>
      <w:r>
        <w:rPr>
          <w:spacing w:val="40"/>
          <w:sz w:val="22"/>
        </w:rPr>
        <w:t> </w:t>
      </w:r>
      <w:r>
        <w:rPr>
          <w:sz w:val="22"/>
        </w:rPr>
        <w:t>size</w:t>
      </w:r>
      <w:r>
        <w:rPr>
          <w:spacing w:val="40"/>
          <w:sz w:val="22"/>
        </w:rPr>
        <w:t> </w:t>
      </w:r>
      <w:r>
        <w:rPr>
          <w:sz w:val="22"/>
        </w:rPr>
        <w:t>and</w:t>
      </w:r>
      <w:r>
        <w:rPr>
          <w:spacing w:val="40"/>
          <w:sz w:val="22"/>
        </w:rPr>
        <w:t> </w:t>
      </w:r>
      <w:r>
        <w:rPr>
          <w:sz w:val="22"/>
        </w:rPr>
        <w:t>compliance</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i/>
          <w:sz w:val="22"/>
        </w:rPr>
        <w:t>Am</w:t>
      </w:r>
      <w:r>
        <w:rPr>
          <w:i/>
          <w:spacing w:val="40"/>
          <w:sz w:val="22"/>
        </w:rPr>
        <w:t> </w:t>
      </w:r>
      <w:r>
        <w:rPr>
          <w:i/>
          <w:sz w:val="22"/>
        </w:rPr>
        <w:t>J</w:t>
      </w:r>
      <w:r>
        <w:rPr>
          <w:i/>
          <w:spacing w:val="40"/>
          <w:sz w:val="22"/>
        </w:rPr>
        <w:t> </w:t>
      </w:r>
      <w:r>
        <w:rPr>
          <w:i/>
          <w:sz w:val="22"/>
        </w:rPr>
        <w:t>Obstet</w:t>
      </w:r>
      <w:r>
        <w:rPr>
          <w:i/>
          <w:spacing w:val="40"/>
          <w:sz w:val="22"/>
        </w:rPr>
        <w:t> </w:t>
      </w:r>
      <w:r>
        <w:rPr>
          <w:i/>
          <w:sz w:val="22"/>
        </w:rPr>
        <w:t>Gynecol</w:t>
      </w:r>
      <w:r>
        <w:rPr>
          <w:sz w:val="22"/>
        </w:rPr>
        <w:t>. </w:t>
      </w:r>
      <w:r>
        <w:rPr>
          <w:spacing w:val="-2"/>
          <w:sz w:val="22"/>
        </w:rPr>
        <w:t>1996;174:1708.</w:t>
      </w:r>
    </w:p>
    <w:p>
      <w:pPr>
        <w:pStyle w:val="ListParagraph"/>
        <w:numPr>
          <w:ilvl w:val="0"/>
          <w:numId w:val="19"/>
        </w:numPr>
        <w:tabs>
          <w:tab w:pos="699" w:val="left" w:leader="none"/>
          <w:tab w:pos="718" w:val="left" w:leader="none"/>
        </w:tabs>
        <w:spacing w:line="256" w:lineRule="auto" w:before="0" w:after="0"/>
        <w:ind w:left="718" w:right="106" w:hanging="507"/>
        <w:jc w:val="both"/>
        <w:rPr>
          <w:sz w:val="22"/>
        </w:rPr>
      </w:pPr>
      <w:r>
        <w:rPr>
          <w:sz w:val="22"/>
        </w:rPr>
        <w:t>Prelevic</w:t>
      </w:r>
      <w:r>
        <w:rPr>
          <w:spacing w:val="40"/>
          <w:sz w:val="22"/>
        </w:rPr>
        <w:t> </w:t>
      </w:r>
      <w:r>
        <w:rPr>
          <w:sz w:val="22"/>
        </w:rPr>
        <w:t>GM,</w:t>
      </w:r>
      <w:r>
        <w:rPr>
          <w:spacing w:val="40"/>
          <w:sz w:val="22"/>
        </w:rPr>
        <w:t> </w:t>
      </w:r>
      <w:r>
        <w:rPr>
          <w:sz w:val="22"/>
        </w:rPr>
        <w:t>Beljic</w:t>
      </w:r>
      <w:r>
        <w:rPr>
          <w:spacing w:val="40"/>
          <w:sz w:val="22"/>
        </w:rPr>
        <w:t> </w:t>
      </w:r>
      <w:r>
        <w:rPr>
          <w:sz w:val="22"/>
        </w:rPr>
        <w:t>T.</w:t>
      </w:r>
      <w:r>
        <w:rPr>
          <w:spacing w:val="40"/>
          <w:sz w:val="22"/>
        </w:rPr>
        <w:t> </w:t>
      </w:r>
      <w:r>
        <w:rPr>
          <w:sz w:val="22"/>
        </w:rPr>
        <w:t>The</w:t>
      </w:r>
      <w:r>
        <w:rPr>
          <w:spacing w:val="40"/>
          <w:sz w:val="22"/>
        </w:rPr>
        <w:t> </w:t>
      </w:r>
      <w:r>
        <w:rPr>
          <w:sz w:val="22"/>
        </w:rPr>
        <w:t>effect</w:t>
      </w:r>
      <w:r>
        <w:rPr>
          <w:spacing w:val="40"/>
          <w:sz w:val="22"/>
        </w:rPr>
        <w:t> </w:t>
      </w:r>
      <w:r>
        <w:rPr>
          <w:sz w:val="22"/>
        </w:rPr>
        <w:t>of</w:t>
      </w:r>
      <w:r>
        <w:rPr>
          <w:spacing w:val="40"/>
          <w:sz w:val="22"/>
        </w:rPr>
        <w:t> </w:t>
      </w:r>
      <w:r>
        <w:rPr>
          <w:sz w:val="22"/>
        </w:rPr>
        <w:t>oestrogen</w:t>
      </w:r>
      <w:r>
        <w:rPr>
          <w:spacing w:val="40"/>
          <w:sz w:val="22"/>
        </w:rPr>
        <w:t> </w:t>
      </w:r>
      <w:r>
        <w:rPr>
          <w:sz w:val="22"/>
        </w:rPr>
        <w:t>and</w:t>
      </w:r>
      <w:r>
        <w:rPr>
          <w:spacing w:val="40"/>
          <w:sz w:val="22"/>
        </w:rPr>
        <w:t> </w:t>
      </w:r>
      <w:r>
        <w:rPr>
          <w:sz w:val="22"/>
        </w:rPr>
        <w:t>progestogen</w:t>
      </w:r>
      <w:r>
        <w:rPr>
          <w:spacing w:val="40"/>
          <w:sz w:val="22"/>
        </w:rPr>
        <w:t> </w:t>
      </w:r>
      <w:r>
        <w:rPr>
          <w:sz w:val="22"/>
        </w:rPr>
        <w:t>replacement</w:t>
      </w:r>
      <w:r>
        <w:rPr>
          <w:spacing w:val="40"/>
          <w:sz w:val="22"/>
        </w:rPr>
        <w:t> </w:t>
      </w:r>
      <w:r>
        <w:rPr>
          <w:sz w:val="22"/>
        </w:rPr>
        <w:t>therapy</w:t>
      </w:r>
      <w:r>
        <w:rPr>
          <w:spacing w:val="40"/>
          <w:sz w:val="22"/>
        </w:rPr>
        <w:t> </w:t>
      </w:r>
      <w:r>
        <w:rPr>
          <w:sz w:val="22"/>
        </w:rPr>
        <w:t>on systolic flow velocity in healthy postmenopausal women. </w:t>
      </w:r>
      <w:r>
        <w:rPr>
          <w:i/>
          <w:sz w:val="22"/>
        </w:rPr>
        <w:t>Maturitas</w:t>
      </w:r>
      <w:r>
        <w:rPr>
          <w:sz w:val="22"/>
        </w:rPr>
        <w:t>. 1994;20:37.</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Liang Y-L, Teede H, Shiel L, et al. Effects of oestrogen and progesterone on age-</w:t>
      </w:r>
      <w:r>
        <w:rPr>
          <w:sz w:val="22"/>
        </w:rPr>
        <w:t>related</w:t>
      </w:r>
      <w:r>
        <w:rPr>
          <w:spacing w:val="80"/>
          <w:sz w:val="22"/>
        </w:rPr>
        <w:t> </w:t>
      </w:r>
      <w:r>
        <w:rPr>
          <w:sz w:val="22"/>
        </w:rPr>
        <w:t>changes in arteries of postmenopausal women. </w:t>
      </w:r>
      <w:r>
        <w:rPr>
          <w:i/>
          <w:sz w:val="22"/>
        </w:rPr>
        <w:t>Clin Exp Pharmacol Physiol</w:t>
      </w:r>
      <w:r>
        <w:rPr>
          <w:sz w:val="22"/>
        </w:rPr>
        <w:t>. 1997;24:457.</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Pines A, Fisman EZ, Averbuch M, et al. The long-term effects of transdermal estradiol on left ventricular function and dimensions. </w:t>
      </w:r>
      <w:r>
        <w:rPr>
          <w:i/>
          <w:sz w:val="22"/>
        </w:rPr>
        <w:t>Eur J Menopause</w:t>
      </w:r>
      <w:r>
        <w:rPr>
          <w:sz w:val="22"/>
        </w:rPr>
        <w:t>. 1995;2:22.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Snabes MC, Payne JP, Kopelen HA, Dunn JK, Young RL, Zoghbi WA. Physiologic estradiol replacement therapy and cardiac structure and function in normal postmenopausal women: a randomized, double-blind, placebo-controlled, crossover trial. </w:t>
      </w:r>
      <w:r>
        <w:rPr>
          <w:i/>
          <w:sz w:val="22"/>
        </w:rPr>
        <w:t>Obstet Gynecol</w:t>
      </w:r>
      <w:r>
        <w:rPr>
          <w:sz w:val="22"/>
        </w:rPr>
        <w:t>. 1997;89:332.</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Poehlman ET, Goran MI, Gardner AW, et al. Determinants of decline in resting metabolic rate</w:t>
      </w:r>
      <w:r>
        <w:rPr>
          <w:spacing w:val="40"/>
          <w:sz w:val="22"/>
        </w:rPr>
        <w:t> </w:t>
      </w:r>
      <w:r>
        <w:rPr>
          <w:sz w:val="22"/>
        </w:rPr>
        <w:t>in aging females. </w:t>
      </w:r>
      <w:r>
        <w:rPr>
          <w:i/>
          <w:sz w:val="22"/>
        </w:rPr>
        <w:t>Am J Physiol</w:t>
      </w:r>
      <w:r>
        <w:rPr>
          <w:sz w:val="22"/>
        </w:rPr>
        <w:t>. 1993;264:E450.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Trémollieres</w:t>
      </w:r>
      <w:r>
        <w:rPr>
          <w:spacing w:val="29"/>
          <w:sz w:val="22"/>
        </w:rPr>
        <w:t> </w:t>
      </w:r>
      <w:r>
        <w:rPr>
          <w:sz w:val="22"/>
        </w:rPr>
        <w:t>FA,</w:t>
      </w:r>
      <w:r>
        <w:rPr>
          <w:spacing w:val="29"/>
          <w:sz w:val="22"/>
        </w:rPr>
        <w:t> </w:t>
      </w:r>
      <w:r>
        <w:rPr>
          <w:sz w:val="22"/>
        </w:rPr>
        <w:t>Pouilles</w:t>
      </w:r>
      <w:r>
        <w:rPr>
          <w:spacing w:val="29"/>
          <w:sz w:val="22"/>
        </w:rPr>
        <w:t> </w:t>
      </w:r>
      <w:r>
        <w:rPr>
          <w:sz w:val="22"/>
        </w:rPr>
        <w:t>J-M,</w:t>
      </w:r>
      <w:r>
        <w:rPr>
          <w:spacing w:val="29"/>
          <w:sz w:val="22"/>
        </w:rPr>
        <w:t> </w:t>
      </w:r>
      <w:r>
        <w:rPr>
          <w:sz w:val="22"/>
        </w:rPr>
        <w:t>Ribot</w:t>
      </w:r>
      <w:r>
        <w:rPr>
          <w:spacing w:val="29"/>
          <w:sz w:val="22"/>
        </w:rPr>
        <w:t> </w:t>
      </w:r>
      <w:r>
        <w:rPr>
          <w:sz w:val="22"/>
        </w:rPr>
        <w:t>CA.</w:t>
      </w:r>
      <w:r>
        <w:rPr>
          <w:spacing w:val="29"/>
          <w:sz w:val="22"/>
        </w:rPr>
        <w:t> </w:t>
      </w:r>
      <w:r>
        <w:rPr>
          <w:sz w:val="22"/>
        </w:rPr>
        <w:t>Relative</w:t>
      </w:r>
      <w:r>
        <w:rPr>
          <w:spacing w:val="33"/>
          <w:sz w:val="22"/>
        </w:rPr>
        <w:t> </w:t>
      </w:r>
      <w:r>
        <w:rPr>
          <w:sz w:val="22"/>
        </w:rPr>
        <w:t>influence</w:t>
      </w:r>
      <w:r>
        <w:rPr>
          <w:spacing w:val="33"/>
          <w:sz w:val="22"/>
        </w:rPr>
        <w:t> </w:t>
      </w:r>
      <w:r>
        <w:rPr>
          <w:sz w:val="22"/>
        </w:rPr>
        <w:t>of</w:t>
      </w:r>
      <w:r>
        <w:rPr>
          <w:spacing w:val="33"/>
          <w:sz w:val="22"/>
        </w:rPr>
        <w:t> </w:t>
      </w:r>
      <w:r>
        <w:rPr>
          <w:sz w:val="22"/>
        </w:rPr>
        <w:t>age</w:t>
      </w:r>
      <w:r>
        <w:rPr>
          <w:spacing w:val="33"/>
          <w:sz w:val="22"/>
        </w:rPr>
        <w:t> </w:t>
      </w:r>
      <w:r>
        <w:rPr>
          <w:sz w:val="22"/>
        </w:rPr>
        <w:t>and</w:t>
      </w:r>
      <w:r>
        <w:rPr>
          <w:spacing w:val="33"/>
          <w:sz w:val="22"/>
        </w:rPr>
        <w:t> </w:t>
      </w:r>
      <w:r>
        <w:rPr>
          <w:sz w:val="22"/>
        </w:rPr>
        <w:t>menopause</w:t>
      </w:r>
      <w:r>
        <w:rPr>
          <w:spacing w:val="33"/>
          <w:sz w:val="22"/>
        </w:rPr>
        <w:t> </w:t>
      </w:r>
      <w:r>
        <w:rPr>
          <w:sz w:val="22"/>
        </w:rPr>
        <w:t>on</w:t>
      </w:r>
      <w:r>
        <w:rPr>
          <w:spacing w:val="33"/>
          <w:sz w:val="22"/>
        </w:rPr>
        <w:t> </w:t>
      </w:r>
      <w:r>
        <w:rPr>
          <w:sz w:val="22"/>
        </w:rPr>
        <w:t>total and regional body composition changes in postmenopausal women. </w:t>
      </w:r>
      <w:r>
        <w:rPr>
          <w:i/>
          <w:sz w:val="22"/>
        </w:rPr>
        <w:t>Am J Obstet </w:t>
      </w:r>
      <w:r>
        <w:rPr>
          <w:i/>
          <w:sz w:val="22"/>
        </w:rPr>
        <w:t>Gynecol</w:t>
      </w:r>
      <w:r>
        <w:rPr>
          <w:sz w:val="22"/>
        </w:rPr>
        <w:t>. </w:t>
      </w:r>
      <w:r>
        <w:rPr>
          <w:spacing w:val="-2"/>
          <w:sz w:val="22"/>
        </w:rPr>
        <w:t>1996;175:1594.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Walton C, Godsland IF, Proudler A, Wynn V, Stevenson JC. The effects of the menopause on insulin sensitivity, secretion and elimination in non-obese, healthy women. </w:t>
      </w:r>
      <w:r>
        <w:rPr>
          <w:i/>
          <w:sz w:val="22"/>
        </w:rPr>
        <w:t>Eur J Clin </w:t>
      </w:r>
      <w:r>
        <w:rPr>
          <w:i/>
          <w:sz w:val="22"/>
        </w:rPr>
        <w:t>Invest</w:t>
      </w:r>
      <w:r>
        <w:rPr>
          <w:sz w:val="22"/>
        </w:rPr>
        <w:t>. </w:t>
      </w:r>
      <w:r>
        <w:rPr>
          <w:spacing w:val="-2"/>
          <w:sz w:val="22"/>
        </w:rPr>
        <w:t>1993;23:466.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Proudler AJ, Godsland IF, Stevenson JC. Insulin propeptides in conditions associated with insulin resistance in humans and their relevance to insulin measurements. </w:t>
      </w:r>
      <w:r>
        <w:rPr>
          <w:i/>
          <w:sz w:val="22"/>
        </w:rPr>
        <w:t>Metabolism</w:t>
      </w:r>
      <w:r>
        <w:rPr>
          <w:sz w:val="22"/>
        </w:rPr>
        <w:t>. </w:t>
      </w:r>
      <w:r>
        <w:rPr>
          <w:spacing w:val="-2"/>
          <w:sz w:val="22"/>
        </w:rPr>
        <w:t>1994;43:46.</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Haarbo J, Marslew U, Gotfredsen A, Christiansen C. Postmenopausal hormone </w:t>
      </w:r>
      <w:r>
        <w:rPr>
          <w:sz w:val="22"/>
        </w:rPr>
        <w:t>replacement therapy prevents central distribution of body fat after menopause. </w:t>
      </w:r>
      <w:r>
        <w:rPr>
          <w:i/>
          <w:sz w:val="22"/>
        </w:rPr>
        <w:t>Metabolism</w:t>
      </w:r>
      <w:r>
        <w:rPr>
          <w:sz w:val="22"/>
        </w:rPr>
        <w:t>. 1991;40:1323.</w:t>
      </w:r>
    </w:p>
    <w:p>
      <w:pPr>
        <w:pStyle w:val="ListParagraph"/>
        <w:numPr>
          <w:ilvl w:val="0"/>
          <w:numId w:val="19"/>
        </w:numPr>
        <w:tabs>
          <w:tab w:pos="710" w:val="left" w:leader="none"/>
        </w:tabs>
        <w:spacing w:line="252" w:lineRule="exact" w:before="0" w:after="0"/>
        <w:ind w:left="710" w:right="0" w:hanging="498"/>
        <w:jc w:val="both"/>
        <w:rPr>
          <w:sz w:val="22"/>
        </w:rPr>
      </w:pPr>
      <w:r>
        <w:rPr>
          <w:sz w:val="22"/>
        </w:rPr>
        <w:t>Ley</w:t>
      </w:r>
      <w:r>
        <w:rPr>
          <w:spacing w:val="18"/>
          <w:sz w:val="22"/>
        </w:rPr>
        <w:t> </w:t>
      </w:r>
      <w:r>
        <w:rPr>
          <w:sz w:val="22"/>
        </w:rPr>
        <w:t>C,</w:t>
      </w:r>
      <w:r>
        <w:rPr>
          <w:spacing w:val="19"/>
          <w:sz w:val="22"/>
        </w:rPr>
        <w:t> </w:t>
      </w:r>
      <w:r>
        <w:rPr>
          <w:sz w:val="22"/>
        </w:rPr>
        <w:t>Lees</w:t>
      </w:r>
      <w:r>
        <w:rPr>
          <w:spacing w:val="18"/>
          <w:sz w:val="22"/>
        </w:rPr>
        <w:t> </w:t>
      </w:r>
      <w:r>
        <w:rPr>
          <w:sz w:val="22"/>
        </w:rPr>
        <w:t>B,</w:t>
      </w:r>
      <w:r>
        <w:rPr>
          <w:spacing w:val="19"/>
          <w:sz w:val="22"/>
        </w:rPr>
        <w:t> </w:t>
      </w:r>
      <w:r>
        <w:rPr>
          <w:sz w:val="22"/>
        </w:rPr>
        <w:t>Stevenson</w:t>
      </w:r>
      <w:r>
        <w:rPr>
          <w:spacing w:val="19"/>
          <w:sz w:val="22"/>
        </w:rPr>
        <w:t> </w:t>
      </w:r>
      <w:r>
        <w:rPr>
          <w:sz w:val="22"/>
        </w:rPr>
        <w:t>J.</w:t>
      </w:r>
      <w:r>
        <w:rPr>
          <w:spacing w:val="18"/>
          <w:sz w:val="22"/>
        </w:rPr>
        <w:t> </w:t>
      </w:r>
      <w:r>
        <w:rPr>
          <w:sz w:val="22"/>
        </w:rPr>
        <w:t>Sex-</w:t>
      </w:r>
      <w:r>
        <w:rPr>
          <w:spacing w:val="22"/>
          <w:sz w:val="22"/>
        </w:rPr>
        <w:t> </w:t>
      </w:r>
      <w:r>
        <w:rPr>
          <w:sz w:val="22"/>
        </w:rPr>
        <w:t>and</w:t>
      </w:r>
      <w:r>
        <w:rPr>
          <w:spacing w:val="22"/>
          <w:sz w:val="22"/>
        </w:rPr>
        <w:t> </w:t>
      </w:r>
      <w:r>
        <w:rPr>
          <w:sz w:val="22"/>
        </w:rPr>
        <w:t>menopause-associated</w:t>
      </w:r>
      <w:r>
        <w:rPr>
          <w:spacing w:val="23"/>
          <w:sz w:val="22"/>
        </w:rPr>
        <w:t> </w:t>
      </w:r>
      <w:r>
        <w:rPr>
          <w:sz w:val="22"/>
        </w:rPr>
        <w:t>changes</w:t>
      </w:r>
      <w:r>
        <w:rPr>
          <w:spacing w:val="22"/>
          <w:sz w:val="22"/>
        </w:rPr>
        <w:t> </w:t>
      </w:r>
      <w:r>
        <w:rPr>
          <w:sz w:val="22"/>
        </w:rPr>
        <w:t>in</w:t>
      </w:r>
      <w:r>
        <w:rPr>
          <w:spacing w:val="22"/>
          <w:sz w:val="22"/>
        </w:rPr>
        <w:t> </w:t>
      </w:r>
      <w:r>
        <w:rPr>
          <w:sz w:val="22"/>
        </w:rPr>
        <w:t>body-fat</w:t>
      </w:r>
      <w:r>
        <w:rPr>
          <w:spacing w:val="22"/>
          <w:sz w:val="22"/>
        </w:rPr>
        <w:t> </w:t>
      </w:r>
      <w:r>
        <w:rPr>
          <w:spacing w:val="-2"/>
          <w:sz w:val="22"/>
        </w:rPr>
        <w:t>distribution.</w:t>
      </w:r>
    </w:p>
    <w:p>
      <w:pPr>
        <w:spacing w:before="2"/>
        <w:ind w:left="718" w:right="0" w:firstLine="0"/>
        <w:jc w:val="both"/>
        <w:rPr>
          <w:sz w:val="22"/>
        </w:rPr>
      </w:pPr>
      <w:r>
        <w:rPr>
          <w:i/>
          <w:sz w:val="22"/>
        </w:rPr>
        <w:t>Am</w:t>
      </w:r>
      <w:r>
        <w:rPr>
          <w:i/>
          <w:spacing w:val="6"/>
          <w:sz w:val="22"/>
        </w:rPr>
        <w:t> </w:t>
      </w:r>
      <w:r>
        <w:rPr>
          <w:i/>
          <w:sz w:val="22"/>
        </w:rPr>
        <w:t>J</w:t>
      </w:r>
      <w:r>
        <w:rPr>
          <w:i/>
          <w:spacing w:val="7"/>
          <w:sz w:val="22"/>
        </w:rPr>
        <w:t> </w:t>
      </w:r>
      <w:r>
        <w:rPr>
          <w:i/>
          <w:sz w:val="22"/>
        </w:rPr>
        <w:t>Clin</w:t>
      </w:r>
      <w:r>
        <w:rPr>
          <w:i/>
          <w:spacing w:val="7"/>
          <w:sz w:val="22"/>
        </w:rPr>
        <w:t> </w:t>
      </w:r>
      <w:r>
        <w:rPr>
          <w:i/>
          <w:sz w:val="22"/>
        </w:rPr>
        <w:t>Nutr</w:t>
      </w:r>
      <w:r>
        <w:rPr>
          <w:sz w:val="22"/>
        </w:rPr>
        <w:t>.</w:t>
      </w:r>
      <w:r>
        <w:rPr>
          <w:spacing w:val="7"/>
          <w:sz w:val="22"/>
        </w:rPr>
        <w:t> </w:t>
      </w:r>
      <w:r>
        <w:rPr>
          <w:spacing w:val="-2"/>
          <w:sz w:val="22"/>
        </w:rPr>
        <w:t>1992;55:950.</w:t>
      </w:r>
    </w:p>
    <w:p>
      <w:pPr>
        <w:pStyle w:val="ListParagraph"/>
        <w:numPr>
          <w:ilvl w:val="0"/>
          <w:numId w:val="19"/>
        </w:numPr>
        <w:tabs>
          <w:tab w:pos="709" w:val="left" w:leader="none"/>
          <w:tab w:pos="718" w:val="left" w:leader="none"/>
        </w:tabs>
        <w:spacing w:line="256" w:lineRule="auto" w:before="17" w:after="0"/>
        <w:ind w:left="718" w:right="99" w:hanging="507"/>
        <w:jc w:val="both"/>
        <w:rPr>
          <w:sz w:val="22"/>
        </w:rPr>
      </w:pPr>
      <w:r>
        <w:rPr>
          <w:sz w:val="22"/>
        </w:rPr>
        <w:t>Reubinoff BE, Wurtman J, Rojansky N, et al. Effects of hormone replacement therapy on</w:t>
      </w:r>
      <w:r>
        <w:rPr>
          <w:spacing w:val="40"/>
          <w:sz w:val="22"/>
        </w:rPr>
        <w:t> </w:t>
      </w:r>
      <w:r>
        <w:rPr>
          <w:sz w:val="22"/>
        </w:rPr>
        <w:t>weight, body composition, fat distribution, and food intake in early postmenopausal women: </w:t>
      </w:r>
      <w:r>
        <w:rPr>
          <w:sz w:val="22"/>
        </w:rPr>
        <w:t>a prospective study. </w:t>
      </w:r>
      <w:r>
        <w:rPr>
          <w:i/>
          <w:sz w:val="22"/>
        </w:rPr>
        <w:t>Fertil Steril</w:t>
      </w:r>
      <w:r>
        <w:rPr>
          <w:sz w:val="22"/>
        </w:rPr>
        <w:t>. 1995;64:963.</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Gambacciani M, Ciaponi M, Cappagli B, et al. Body weight, body fat distribution, </w:t>
      </w:r>
      <w:r>
        <w:rPr>
          <w:sz w:val="22"/>
        </w:rPr>
        <w:t>and</w:t>
      </w:r>
      <w:r>
        <w:rPr>
          <w:spacing w:val="80"/>
          <w:sz w:val="22"/>
        </w:rPr>
        <w:t> </w:t>
      </w:r>
      <w:r>
        <w:rPr>
          <w:sz w:val="22"/>
        </w:rPr>
        <w:t>hormonal replacement therapy in early postmenopausal women. </w:t>
      </w:r>
      <w:r>
        <w:rPr>
          <w:i/>
          <w:sz w:val="22"/>
        </w:rPr>
        <w:t>J Clin Endocrinol Metab</w:t>
      </w:r>
      <w:r>
        <w:rPr>
          <w:sz w:val="22"/>
        </w:rPr>
        <w:t>. </w:t>
      </w:r>
      <w:r>
        <w:rPr>
          <w:spacing w:val="-2"/>
          <w:sz w:val="22"/>
        </w:rPr>
        <w:t>1997;82:414.</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Chlebowski RT, Wactawski-Wende J, Ritenbaugh C, et al. Estrogen plus progestin and colorectal cancer in postmenopausal women. </w:t>
      </w:r>
      <w:r>
        <w:rPr>
          <w:i/>
          <w:sz w:val="22"/>
        </w:rPr>
        <w:t>N Engl J Med</w:t>
      </w:r>
      <w:r>
        <w:rPr>
          <w:sz w:val="22"/>
        </w:rPr>
        <w:t>. 2004;350:991.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Ferri C, Pittoni V, Piccoli A, et al. Insulin stimulates endothelin-1 secretion from </w:t>
      </w:r>
      <w:r>
        <w:rPr>
          <w:sz w:val="22"/>
        </w:rPr>
        <w:t>human endothelial cells and modulates its circulating levels in vivo. </w:t>
      </w:r>
      <w:r>
        <w:rPr>
          <w:i/>
          <w:sz w:val="22"/>
        </w:rPr>
        <w:t>J Clin Endocrinol Metab</w:t>
      </w:r>
      <w:r>
        <w:rPr>
          <w:sz w:val="22"/>
        </w:rPr>
        <w:t>. </w:t>
      </w:r>
      <w:r>
        <w:rPr>
          <w:spacing w:val="-2"/>
          <w:sz w:val="22"/>
        </w:rPr>
        <w:t>1995;80:829.</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Cagnacci</w:t>
      </w:r>
      <w:r>
        <w:rPr>
          <w:spacing w:val="21"/>
          <w:sz w:val="22"/>
        </w:rPr>
        <w:t> </w:t>
      </w:r>
      <w:r>
        <w:rPr>
          <w:sz w:val="22"/>
        </w:rPr>
        <w:t>A,</w:t>
      </w:r>
      <w:r>
        <w:rPr>
          <w:spacing w:val="21"/>
          <w:sz w:val="22"/>
        </w:rPr>
        <w:t> </w:t>
      </w:r>
      <w:r>
        <w:rPr>
          <w:sz w:val="22"/>
        </w:rPr>
        <w:t>Soldani</w:t>
      </w:r>
      <w:r>
        <w:rPr>
          <w:spacing w:val="21"/>
          <w:sz w:val="22"/>
        </w:rPr>
        <w:t> </w:t>
      </w:r>
      <w:r>
        <w:rPr>
          <w:sz w:val="22"/>
        </w:rPr>
        <w:t>R,</w:t>
      </w:r>
      <w:r>
        <w:rPr>
          <w:spacing w:val="21"/>
          <w:sz w:val="22"/>
        </w:rPr>
        <w:t> </w:t>
      </w:r>
      <w:r>
        <w:rPr>
          <w:sz w:val="22"/>
        </w:rPr>
        <w:t>Carriero</w:t>
      </w:r>
      <w:r>
        <w:rPr>
          <w:spacing w:val="21"/>
          <w:sz w:val="22"/>
        </w:rPr>
        <w:t> </w:t>
      </w:r>
      <w:r>
        <w:rPr>
          <w:sz w:val="22"/>
        </w:rPr>
        <w:t>PL,</w:t>
      </w:r>
      <w:r>
        <w:rPr>
          <w:spacing w:val="21"/>
          <w:sz w:val="22"/>
        </w:rPr>
        <w:t> </w:t>
      </w:r>
      <w:r>
        <w:rPr>
          <w:sz w:val="22"/>
        </w:rPr>
        <w:t>Paoletti</w:t>
      </w:r>
      <w:r>
        <w:rPr>
          <w:spacing w:val="21"/>
          <w:sz w:val="22"/>
        </w:rPr>
        <w:t> </w:t>
      </w:r>
      <w:r>
        <w:rPr>
          <w:sz w:val="22"/>
        </w:rPr>
        <w:t>AM,</w:t>
      </w:r>
      <w:r>
        <w:rPr>
          <w:spacing w:val="21"/>
          <w:sz w:val="22"/>
        </w:rPr>
        <w:t> </w:t>
      </w:r>
      <w:r>
        <w:rPr>
          <w:sz w:val="22"/>
        </w:rPr>
        <w:t>Fioretti</w:t>
      </w:r>
      <w:r>
        <w:rPr>
          <w:spacing w:val="21"/>
          <w:sz w:val="22"/>
        </w:rPr>
        <w:t> </w:t>
      </w:r>
      <w:r>
        <w:rPr>
          <w:sz w:val="22"/>
        </w:rPr>
        <w:t>P,</w:t>
      </w:r>
      <w:r>
        <w:rPr>
          <w:spacing w:val="21"/>
          <w:sz w:val="22"/>
        </w:rPr>
        <w:t> </w:t>
      </w:r>
      <w:r>
        <w:rPr>
          <w:sz w:val="22"/>
        </w:rPr>
        <w:t>Melis</w:t>
      </w:r>
      <w:r>
        <w:rPr>
          <w:spacing w:val="21"/>
          <w:sz w:val="22"/>
        </w:rPr>
        <w:t> </w:t>
      </w:r>
      <w:r>
        <w:rPr>
          <w:sz w:val="22"/>
        </w:rPr>
        <w:t>GB.</w:t>
      </w:r>
      <w:r>
        <w:rPr>
          <w:spacing w:val="20"/>
          <w:sz w:val="22"/>
        </w:rPr>
        <w:t> </w:t>
      </w:r>
      <w:r>
        <w:rPr>
          <w:sz w:val="22"/>
        </w:rPr>
        <w:t>Effects</w:t>
      </w:r>
      <w:r>
        <w:rPr>
          <w:spacing w:val="23"/>
          <w:sz w:val="22"/>
        </w:rPr>
        <w:t> </w:t>
      </w:r>
      <w:r>
        <w:rPr>
          <w:sz w:val="22"/>
        </w:rPr>
        <w:t>of</w:t>
      </w:r>
      <w:r>
        <w:rPr>
          <w:spacing w:val="23"/>
          <w:sz w:val="22"/>
        </w:rPr>
        <w:t> </w:t>
      </w:r>
      <w:r>
        <w:rPr>
          <w:sz w:val="22"/>
        </w:rPr>
        <w:t>low</w:t>
      </w:r>
      <w:r>
        <w:rPr>
          <w:spacing w:val="23"/>
          <w:sz w:val="22"/>
        </w:rPr>
        <w:t> </w:t>
      </w:r>
      <w:r>
        <w:rPr>
          <w:sz w:val="22"/>
        </w:rPr>
        <w:t>doses of</w:t>
      </w:r>
      <w:r>
        <w:rPr>
          <w:spacing w:val="40"/>
          <w:sz w:val="22"/>
        </w:rPr>
        <w:t> </w:t>
      </w:r>
      <w:r>
        <w:rPr>
          <w:sz w:val="22"/>
        </w:rPr>
        <w:t>transdermal</w:t>
      </w:r>
      <w:r>
        <w:rPr>
          <w:spacing w:val="40"/>
          <w:sz w:val="22"/>
        </w:rPr>
        <w:t> </w:t>
      </w:r>
      <w:r>
        <w:rPr>
          <w:sz w:val="22"/>
        </w:rPr>
        <w:t>17</w:t>
      </w:r>
      <w:r>
        <w:rPr>
          <w:spacing w:val="40"/>
          <w:sz w:val="22"/>
        </w:rPr>
        <w:t> </w:t>
      </w:r>
      <w:r>
        <w:rPr>
          <w:sz w:val="22"/>
        </w:rPr>
        <w:t>beta-estradiol</w:t>
      </w:r>
      <w:r>
        <w:rPr>
          <w:spacing w:val="40"/>
          <w:sz w:val="22"/>
        </w:rPr>
        <w:t> </w:t>
      </w:r>
      <w:r>
        <w:rPr>
          <w:sz w:val="22"/>
        </w:rPr>
        <w:t>on</w:t>
      </w:r>
      <w:r>
        <w:rPr>
          <w:spacing w:val="40"/>
          <w:sz w:val="22"/>
        </w:rPr>
        <w:t> </w:t>
      </w:r>
      <w:r>
        <w:rPr>
          <w:sz w:val="22"/>
        </w:rPr>
        <w:t>carbohydrate</w:t>
      </w:r>
      <w:r>
        <w:rPr>
          <w:spacing w:val="40"/>
          <w:sz w:val="22"/>
        </w:rPr>
        <w:t> </w:t>
      </w:r>
      <w:r>
        <w:rPr>
          <w:sz w:val="22"/>
        </w:rPr>
        <w:t>metabolism</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i/>
          <w:sz w:val="22"/>
        </w:rPr>
        <w:t>J</w:t>
      </w:r>
      <w:r>
        <w:rPr>
          <w:i/>
          <w:sz w:val="22"/>
        </w:rPr>
        <w:t> Clin Endocrinol Metab</w:t>
      </w:r>
      <w:r>
        <w:rPr>
          <w:sz w:val="22"/>
        </w:rPr>
        <w:t>. 1992;74:1396.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Lindheim S, Duffy D, Kojima T, Vijod M, Stancyzk F, Lobo R. The route of administration influences the effect of estrogen on insulin sensitivity in postmenopausal women. </w:t>
      </w:r>
      <w:r>
        <w:rPr>
          <w:i/>
          <w:sz w:val="22"/>
        </w:rPr>
        <w:t>Fertil Steril</w:t>
      </w:r>
      <w:r>
        <w:rPr>
          <w:sz w:val="22"/>
        </w:rPr>
        <w:t>. </w:t>
      </w:r>
      <w:r>
        <w:rPr>
          <w:spacing w:val="-2"/>
          <w:sz w:val="22"/>
        </w:rPr>
        <w:t>1994;62:1176.</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Salomaa V, Rasi V, Pekkanen J, et al. Association of hormone replacement therapy with hemostatic and other cardiovascular risk factors: the FINRISK hemostasis study. </w:t>
      </w:r>
      <w:r>
        <w:rPr>
          <w:i/>
          <w:sz w:val="22"/>
        </w:rPr>
        <w:t>Arterioscler</w:t>
      </w:r>
      <w:r>
        <w:rPr>
          <w:i/>
          <w:sz w:val="22"/>
        </w:rPr>
        <w:t> Thromb Vasc Biol</w:t>
      </w:r>
      <w:r>
        <w:rPr>
          <w:sz w:val="22"/>
        </w:rPr>
        <w:t>. 1995;15:1549.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8" w:hanging="507"/>
        <w:jc w:val="both"/>
        <w:rPr>
          <w:sz w:val="22"/>
        </w:rPr>
      </w:pPr>
      <w:r>
        <w:rPr>
          <w:sz w:val="22"/>
        </w:rPr>
        <w:t>Kanaya AM, Herrington D, Vittinghoff E, et al. Glycemic effects of postmenopausal hormone therapy: the Heart and Estrogen/progestin Replacement Study: a randomized, double-blind, placebo-controlled study. </w:t>
      </w:r>
      <w:r>
        <w:rPr>
          <w:i/>
          <w:sz w:val="22"/>
        </w:rPr>
        <w:t>Ann Intern Med</w:t>
      </w:r>
      <w:r>
        <w:rPr>
          <w:sz w:val="22"/>
        </w:rPr>
        <w:t>. 2003;138:1.</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Godsland IF, Ganger K, Walton C, et al. Insulin resistance, secretion, and elimination </w:t>
      </w:r>
      <w:r>
        <w:rPr>
          <w:sz w:val="22"/>
        </w:rPr>
        <w:t>in postmenopausal women receiving oral or transdermal hormone replacement therapy. </w:t>
      </w:r>
      <w:r>
        <w:rPr>
          <w:i/>
          <w:sz w:val="22"/>
        </w:rPr>
        <w:t>Metabolism</w:t>
      </w:r>
      <w:r>
        <w:rPr>
          <w:sz w:val="22"/>
        </w:rPr>
        <w:t>. 1993;42:846.</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Cucinelli F, Paparella P, Soranna L, et al. Differential effect of transdermal estrogen plus progestagen replacement therapy on insulin metabolism in postmenopausal women: relation to their insulinemic secretion. </w:t>
      </w:r>
      <w:r>
        <w:rPr>
          <w:i/>
          <w:sz w:val="22"/>
        </w:rPr>
        <w:t>Eur J Endocrinol</w:t>
      </w:r>
      <w:r>
        <w:rPr>
          <w:sz w:val="22"/>
        </w:rPr>
        <w:t>. 1999;140:215.</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Duncan AC, Lyall H, Roberts RN, et al. The effect of estradiol and a combined estradiol/progestagen preparation on insulin sensitivity in healthy postmenopausal women. </w:t>
      </w:r>
      <w:r>
        <w:rPr>
          <w:i/>
          <w:sz w:val="22"/>
        </w:rPr>
        <w:t>J</w:t>
      </w:r>
      <w:r>
        <w:rPr>
          <w:i/>
          <w:spacing w:val="40"/>
          <w:sz w:val="22"/>
        </w:rPr>
        <w:t> </w:t>
      </w:r>
      <w:r>
        <w:rPr>
          <w:i/>
          <w:sz w:val="22"/>
        </w:rPr>
        <w:t>Clin Endocrinol Metab</w:t>
      </w:r>
      <w:r>
        <w:rPr>
          <w:sz w:val="22"/>
        </w:rPr>
        <w:t>. 1999;84:2402.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Andersson B, Mattsson L, Hahn L, et al. Estrogen replacement therapy decreases hyperandrogenicity and improves glucose homeostasis and plasma lipids in postmenopausal women with noninsulin-dependent diabetes mellitus. </w:t>
      </w:r>
      <w:r>
        <w:rPr>
          <w:i/>
          <w:sz w:val="22"/>
        </w:rPr>
        <w:t>J Clin Endocrinol Metab</w:t>
      </w:r>
      <w:r>
        <w:rPr>
          <w:sz w:val="22"/>
        </w:rPr>
        <w:t>. 1997;82:638.</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Brussaard</w:t>
      </w:r>
      <w:r>
        <w:rPr>
          <w:spacing w:val="40"/>
          <w:sz w:val="22"/>
        </w:rPr>
        <w:t> </w:t>
      </w:r>
      <w:r>
        <w:rPr>
          <w:sz w:val="22"/>
        </w:rPr>
        <w:t>HE,</w:t>
      </w:r>
      <w:r>
        <w:rPr>
          <w:spacing w:val="40"/>
          <w:sz w:val="22"/>
        </w:rPr>
        <w:t> </w:t>
      </w:r>
      <w:r>
        <w:rPr>
          <w:sz w:val="22"/>
        </w:rPr>
        <w:t>Gevers</w:t>
      </w:r>
      <w:r>
        <w:rPr>
          <w:spacing w:val="40"/>
          <w:sz w:val="22"/>
        </w:rPr>
        <w:t> </w:t>
      </w:r>
      <w:r>
        <w:rPr>
          <w:sz w:val="22"/>
        </w:rPr>
        <w:t>LJA,</w:t>
      </w:r>
      <w:r>
        <w:rPr>
          <w:spacing w:val="40"/>
          <w:sz w:val="22"/>
        </w:rPr>
        <w:t> </w:t>
      </w:r>
      <w:r>
        <w:rPr>
          <w:sz w:val="22"/>
        </w:rPr>
        <w:t>Frolich</w:t>
      </w:r>
      <w:r>
        <w:rPr>
          <w:spacing w:val="40"/>
          <w:sz w:val="22"/>
        </w:rPr>
        <w:t> </w:t>
      </w:r>
      <w:r>
        <w:rPr>
          <w:sz w:val="22"/>
        </w:rPr>
        <w:t>M,</w:t>
      </w:r>
      <w:r>
        <w:rPr>
          <w:spacing w:val="40"/>
          <w:sz w:val="22"/>
        </w:rPr>
        <w:t> </w:t>
      </w:r>
      <w:r>
        <w:rPr>
          <w:sz w:val="22"/>
        </w:rPr>
        <w:t>Kluft</w:t>
      </w:r>
      <w:r>
        <w:rPr>
          <w:spacing w:val="40"/>
          <w:sz w:val="22"/>
        </w:rPr>
        <w:t> </w:t>
      </w:r>
      <w:r>
        <w:rPr>
          <w:sz w:val="22"/>
        </w:rPr>
        <w:t>C,</w:t>
      </w:r>
      <w:r>
        <w:rPr>
          <w:spacing w:val="40"/>
          <w:sz w:val="22"/>
        </w:rPr>
        <w:t> </w:t>
      </w:r>
      <w:r>
        <w:rPr>
          <w:sz w:val="22"/>
        </w:rPr>
        <w:t>Krans</w:t>
      </w:r>
      <w:r>
        <w:rPr>
          <w:spacing w:val="40"/>
          <w:sz w:val="22"/>
        </w:rPr>
        <w:t> </w:t>
      </w:r>
      <w:r>
        <w:rPr>
          <w:sz w:val="22"/>
        </w:rPr>
        <w:t>HMJ.</w:t>
      </w:r>
      <w:r>
        <w:rPr>
          <w:spacing w:val="40"/>
          <w:sz w:val="22"/>
        </w:rPr>
        <w:t> </w:t>
      </w:r>
      <w:r>
        <w:rPr>
          <w:sz w:val="22"/>
        </w:rPr>
        <w:t>Short-term</w:t>
      </w:r>
      <w:r>
        <w:rPr>
          <w:spacing w:val="40"/>
          <w:sz w:val="22"/>
        </w:rPr>
        <w:t> </w:t>
      </w:r>
      <w:r>
        <w:rPr>
          <w:sz w:val="22"/>
        </w:rPr>
        <w:t>oestrogen replacement therapy improves insulin resistance, lipids and fibrinolysis in </w:t>
      </w:r>
      <w:r>
        <w:rPr>
          <w:sz w:val="22"/>
        </w:rPr>
        <w:t>postmenopausal women with NIDDM. </w:t>
      </w:r>
      <w:r>
        <w:rPr>
          <w:i/>
          <w:sz w:val="22"/>
        </w:rPr>
        <w:t>Diabetologia</w:t>
      </w:r>
      <w:r>
        <w:rPr>
          <w:sz w:val="22"/>
        </w:rPr>
        <w:t>. 1997;40:843.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Manson J, Rimm E, Colditz G, et al. A prospective study of postmenopausal estrogen therapy and subsequent incidence of non-insulin dependent diabetes mellitus. </w:t>
      </w:r>
      <w:r>
        <w:rPr>
          <w:i/>
          <w:sz w:val="22"/>
        </w:rPr>
        <w:t>Ann </w:t>
      </w:r>
      <w:r>
        <w:rPr>
          <w:i/>
          <w:sz w:val="22"/>
        </w:rPr>
        <w:t>Epidemiol</w:t>
      </w:r>
      <w:r>
        <w:rPr>
          <w:sz w:val="22"/>
        </w:rPr>
        <w:t>. </w:t>
      </w:r>
      <w:r>
        <w:rPr>
          <w:spacing w:val="-2"/>
          <w:sz w:val="22"/>
        </w:rPr>
        <w:t>1992;2:665.</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Pentti K, Tuppurainen M, Honkanen R, et al. Hormone therapy protects from diabetes: </w:t>
      </w:r>
      <w:r>
        <w:rPr>
          <w:sz w:val="22"/>
        </w:rPr>
        <w:t>the Kuopio Osteoporosis Risk Factor and Prevention Study. </w:t>
      </w:r>
      <w:r>
        <w:rPr>
          <w:i/>
          <w:sz w:val="22"/>
        </w:rPr>
        <w:t>Eur J Endocrinol</w:t>
      </w:r>
      <w:r>
        <w:rPr>
          <w:sz w:val="22"/>
        </w:rPr>
        <w:t>. 2009;160:979.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de Lauzon-Guillan B, Fournier A, Fabre A, et al. Menopausal hormone therapy and new-</w:t>
      </w:r>
      <w:r>
        <w:rPr>
          <w:sz w:val="22"/>
        </w:rPr>
        <w:t>onset diabetes in the French Etude Epidemiologique de Femmes de la Mutuelle Générale de l’Education Nationale (E3N) cohort. </w:t>
      </w:r>
      <w:r>
        <w:rPr>
          <w:i/>
          <w:sz w:val="22"/>
        </w:rPr>
        <w:t>Diabetologia</w:t>
      </w:r>
      <w:r>
        <w:rPr>
          <w:sz w:val="22"/>
        </w:rPr>
        <w:t>. 2009;52:2092.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Bonds DE, Lasser N, Qi L, et al. The effect on conjugated equine oestrogen on </w:t>
      </w:r>
      <w:r>
        <w:rPr>
          <w:sz w:val="22"/>
        </w:rPr>
        <w:t>diabetes incidence: the Women’s Health Initiative randomised trial. </w:t>
      </w:r>
      <w:r>
        <w:rPr>
          <w:i/>
          <w:sz w:val="22"/>
        </w:rPr>
        <w:t>Diabetologia</w:t>
      </w:r>
      <w:r>
        <w:rPr>
          <w:sz w:val="22"/>
        </w:rPr>
        <w:t>. 2006;49:459.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Rifici VA, Khachadurian AK. The inhibition of low-density lipoprotein oxidation by 17-</w:t>
      </w:r>
      <w:r>
        <w:rPr>
          <w:sz w:val="22"/>
        </w:rPr>
        <w:t>beta estradiol. </w:t>
      </w:r>
      <w:r>
        <w:rPr>
          <w:i/>
          <w:sz w:val="22"/>
        </w:rPr>
        <w:t>Metabolism</w:t>
      </w:r>
      <w:r>
        <w:rPr>
          <w:sz w:val="22"/>
        </w:rPr>
        <w:t>. 1992;41:1110.</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Knopp R, Zhu X, Bonet B. Effects of estrogens on lipoprotein metabolism and cardiovascular disease in women. </w:t>
      </w:r>
      <w:r>
        <w:rPr>
          <w:i/>
          <w:sz w:val="22"/>
        </w:rPr>
        <w:t>Atherosclerosis</w:t>
      </w:r>
      <w:r>
        <w:rPr>
          <w:sz w:val="22"/>
        </w:rPr>
        <w:t>. 1994;110(suppl 1):S83.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Sack MN, Rader DJ, Cannon RO III. Oestrogen and inhibition of oxidation of low-density lipoproteins in postmenopausal women. </w:t>
      </w:r>
      <w:r>
        <w:rPr>
          <w:i/>
          <w:sz w:val="22"/>
        </w:rPr>
        <w:t>Lancet</w:t>
      </w:r>
      <w:r>
        <w:rPr>
          <w:sz w:val="22"/>
        </w:rPr>
        <w:t>. 1994;343:269.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Keaney J Jr, Shwaery G, Xu A, et al. 17 β-estradiol preserves endothelial vasodilator function and limits low-density lipoprotein oxidation in hypercholesterolemic swine. </w:t>
      </w:r>
      <w:r>
        <w:rPr>
          <w:i/>
          <w:sz w:val="22"/>
        </w:rPr>
        <w:t>Circulation</w:t>
      </w:r>
      <w:r>
        <w:rPr>
          <w:sz w:val="22"/>
        </w:rPr>
        <w:t>. </w:t>
      </w:r>
      <w:r>
        <w:rPr>
          <w:spacing w:val="-2"/>
          <w:sz w:val="22"/>
        </w:rPr>
        <w:t>1994;89:225.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Tranquilli AL, Mazzanti L, Cugini AM, Cester N, Garzetti GG, Romanini C. Transdermal estradiol and medroxyprogesterone acetate in hormone replacement therapy are both antioxidants. </w:t>
      </w:r>
      <w:r>
        <w:rPr>
          <w:i/>
          <w:sz w:val="22"/>
        </w:rPr>
        <w:t>Gynecol Endocrinol</w:t>
      </w:r>
      <w:r>
        <w:rPr>
          <w:sz w:val="22"/>
        </w:rPr>
        <w:t>. 1995;9:137.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Samsioe G, Andersson K, Mattsson L-Å. Relative fatty acid composition of serum lecithin in perimenopausal women using combined hormone replacement therapy. </w:t>
      </w:r>
      <w:r>
        <w:rPr>
          <w:i/>
          <w:sz w:val="22"/>
        </w:rPr>
        <w:t>Menopause</w:t>
      </w:r>
      <w:r>
        <w:rPr>
          <w:sz w:val="22"/>
        </w:rPr>
        <w:t>.</w:t>
      </w:r>
      <w:r>
        <w:rPr>
          <w:spacing w:val="80"/>
          <w:w w:val="150"/>
          <w:sz w:val="22"/>
        </w:rPr>
        <w:t> </w:t>
      </w:r>
      <w:r>
        <w:rPr>
          <w:spacing w:val="-2"/>
          <w:sz w:val="22"/>
        </w:rPr>
        <w:t>1997;4:193.</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Meade TW, Dyer S, Howarth DJ, Imeson JD, Stirling Y. Antithrombin III and </w:t>
      </w:r>
      <w:r>
        <w:rPr>
          <w:sz w:val="22"/>
        </w:rPr>
        <w:t>procoagulant activity: sex differences and effects of the menopause. </w:t>
      </w:r>
      <w:r>
        <w:rPr>
          <w:i/>
          <w:sz w:val="22"/>
        </w:rPr>
        <w:t>Br J Haematol</w:t>
      </w:r>
      <w:r>
        <w:rPr>
          <w:sz w:val="22"/>
        </w:rPr>
        <w:t>. 1990;74:77.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Stefanick ML, Legault C, Tracy RP, et al. Distribution and correlates of plasma fibrinogen </w:t>
      </w:r>
      <w:r>
        <w:rPr>
          <w:sz w:val="22"/>
        </w:rPr>
        <w:t>in middle-aged women: initial findings of the Postmenopausal Estrogen/Progestin Interventions (PEPI) study. </w:t>
      </w:r>
      <w:r>
        <w:rPr>
          <w:i/>
          <w:sz w:val="22"/>
        </w:rPr>
        <w:t>Arterioscler Thromb Vasc Biol</w:t>
      </w:r>
      <w:r>
        <w:rPr>
          <w:sz w:val="22"/>
        </w:rPr>
        <w:t>. 1995;15:2085.</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2" w:hanging="507"/>
        <w:jc w:val="both"/>
        <w:rPr>
          <w:sz w:val="22"/>
        </w:rPr>
      </w:pPr>
      <w:r>
        <w:rPr>
          <w:sz w:val="22"/>
        </w:rPr>
        <w:t>Meilahn E, Kuller L, Matthews K, Kiss J. Hemostatic factors according to menopausal </w:t>
      </w:r>
      <w:r>
        <w:rPr>
          <w:sz w:val="22"/>
        </w:rPr>
        <w:t>status</w:t>
      </w:r>
      <w:r>
        <w:rPr>
          <w:spacing w:val="40"/>
          <w:sz w:val="22"/>
        </w:rPr>
        <w:t> </w:t>
      </w:r>
      <w:r>
        <w:rPr>
          <w:sz w:val="22"/>
        </w:rPr>
        <w:t>and use of hormone replacement therapy. </w:t>
      </w:r>
      <w:r>
        <w:rPr>
          <w:i/>
          <w:sz w:val="22"/>
        </w:rPr>
        <w:t>Ann Epidemiol</w:t>
      </w:r>
      <w:r>
        <w:rPr>
          <w:sz w:val="22"/>
        </w:rPr>
        <w:t>. 1992;2:445.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Scarabin PY, Flu-Bureau G, Bara L, Bonithon-Kopp C, Guize L, Samama M. Haemostatic variables</w:t>
      </w:r>
      <w:r>
        <w:rPr>
          <w:spacing w:val="40"/>
          <w:sz w:val="22"/>
        </w:rPr>
        <w:t> </w:t>
      </w:r>
      <w:r>
        <w:rPr>
          <w:sz w:val="22"/>
        </w:rPr>
        <w:t>and</w:t>
      </w:r>
      <w:r>
        <w:rPr>
          <w:spacing w:val="40"/>
          <w:sz w:val="22"/>
        </w:rPr>
        <w:t> </w:t>
      </w:r>
      <w:r>
        <w:rPr>
          <w:sz w:val="22"/>
        </w:rPr>
        <w:t>menopausal</w:t>
      </w:r>
      <w:r>
        <w:rPr>
          <w:spacing w:val="40"/>
          <w:sz w:val="22"/>
        </w:rPr>
        <w:t> </w:t>
      </w:r>
      <w:r>
        <w:rPr>
          <w:sz w:val="22"/>
        </w:rPr>
        <w:t>status:</w:t>
      </w:r>
      <w:r>
        <w:rPr>
          <w:spacing w:val="40"/>
          <w:sz w:val="22"/>
        </w:rPr>
        <w:t> </w:t>
      </w:r>
      <w:r>
        <w:rPr>
          <w:sz w:val="22"/>
        </w:rPr>
        <w:t>influence</w:t>
      </w:r>
      <w:r>
        <w:rPr>
          <w:spacing w:val="40"/>
          <w:sz w:val="22"/>
        </w:rPr>
        <w:t> </w:t>
      </w:r>
      <w:r>
        <w:rPr>
          <w:sz w:val="22"/>
        </w:rPr>
        <w:t>of</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i/>
          <w:sz w:val="22"/>
        </w:rPr>
        <w:t>Thromb</w:t>
      </w:r>
      <w:r>
        <w:rPr>
          <w:i/>
          <w:sz w:val="22"/>
        </w:rPr>
        <w:t> Haemost</w:t>
      </w:r>
      <w:r>
        <w:rPr>
          <w:sz w:val="22"/>
        </w:rPr>
        <w:t>. 1994;70:584.</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Gebara</w:t>
      </w:r>
      <w:r>
        <w:rPr>
          <w:spacing w:val="40"/>
          <w:sz w:val="22"/>
        </w:rPr>
        <w:t> </w:t>
      </w:r>
      <w:r>
        <w:rPr>
          <w:sz w:val="22"/>
        </w:rPr>
        <w:t>OCE,</w:t>
      </w:r>
      <w:r>
        <w:rPr>
          <w:spacing w:val="40"/>
          <w:sz w:val="22"/>
        </w:rPr>
        <w:t> </w:t>
      </w:r>
      <w:r>
        <w:rPr>
          <w:sz w:val="22"/>
        </w:rPr>
        <w:t>Mittleman</w:t>
      </w:r>
      <w:r>
        <w:rPr>
          <w:spacing w:val="40"/>
          <w:sz w:val="22"/>
        </w:rPr>
        <w:t> </w:t>
      </w:r>
      <w:r>
        <w:rPr>
          <w:sz w:val="22"/>
        </w:rPr>
        <w:t>MA,</w:t>
      </w:r>
      <w:r>
        <w:rPr>
          <w:spacing w:val="40"/>
          <w:sz w:val="22"/>
        </w:rPr>
        <w:t> </w:t>
      </w:r>
      <w:r>
        <w:rPr>
          <w:sz w:val="22"/>
        </w:rPr>
        <w:t>Sutherland</w:t>
      </w:r>
      <w:r>
        <w:rPr>
          <w:spacing w:val="40"/>
          <w:sz w:val="22"/>
        </w:rPr>
        <w:t> </w:t>
      </w:r>
      <w:r>
        <w:rPr>
          <w:sz w:val="22"/>
        </w:rPr>
        <w:t>P,</w:t>
      </w:r>
      <w:r>
        <w:rPr>
          <w:spacing w:val="40"/>
          <w:sz w:val="22"/>
        </w:rPr>
        <w:t> </w:t>
      </w:r>
      <w:r>
        <w:rPr>
          <w:sz w:val="22"/>
        </w:rPr>
        <w:t>et</w:t>
      </w:r>
      <w:r>
        <w:rPr>
          <w:spacing w:val="40"/>
          <w:sz w:val="22"/>
        </w:rPr>
        <w:t> </w:t>
      </w:r>
      <w:r>
        <w:rPr>
          <w:sz w:val="22"/>
        </w:rPr>
        <w:t>al.</w:t>
      </w:r>
      <w:r>
        <w:rPr>
          <w:spacing w:val="40"/>
          <w:sz w:val="22"/>
        </w:rPr>
        <w:t> </w:t>
      </w:r>
      <w:r>
        <w:rPr>
          <w:sz w:val="22"/>
        </w:rPr>
        <w:t>Association</w:t>
      </w:r>
      <w:r>
        <w:rPr>
          <w:spacing w:val="40"/>
          <w:sz w:val="22"/>
        </w:rPr>
        <w:t> </w:t>
      </w:r>
      <w:r>
        <w:rPr>
          <w:sz w:val="22"/>
        </w:rPr>
        <w:t>between</w:t>
      </w:r>
      <w:r>
        <w:rPr>
          <w:spacing w:val="40"/>
          <w:sz w:val="22"/>
        </w:rPr>
        <w:t> </w:t>
      </w:r>
      <w:r>
        <w:rPr>
          <w:sz w:val="22"/>
        </w:rPr>
        <w:t>increased</w:t>
      </w:r>
      <w:r>
        <w:rPr>
          <w:spacing w:val="40"/>
          <w:sz w:val="22"/>
        </w:rPr>
        <w:t> </w:t>
      </w:r>
      <w:r>
        <w:rPr>
          <w:sz w:val="22"/>
        </w:rPr>
        <w:t>estrogen status and increased fibrinolytic potential in the Framingham Offspring Study. </w:t>
      </w:r>
      <w:r>
        <w:rPr>
          <w:i/>
          <w:sz w:val="22"/>
        </w:rPr>
        <w:t>Circulation</w:t>
      </w:r>
      <w:r>
        <w:rPr>
          <w:sz w:val="22"/>
        </w:rPr>
        <w:t>. </w:t>
      </w:r>
      <w:r>
        <w:rPr>
          <w:spacing w:val="-2"/>
          <w:sz w:val="22"/>
        </w:rPr>
        <w:t>1995;91:1952.</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Conard J, Gompel A, Pelissier C, Mirabel C, Basdevant A. Fibrinogen and </w:t>
      </w:r>
      <w:r>
        <w:rPr>
          <w:sz w:val="22"/>
        </w:rPr>
        <w:t>plasminogen modifications during oral estradiol replacement therapy. </w:t>
      </w:r>
      <w:r>
        <w:rPr>
          <w:i/>
          <w:sz w:val="22"/>
        </w:rPr>
        <w:t>Fertil Steril</w:t>
      </w:r>
      <w:r>
        <w:rPr>
          <w:sz w:val="22"/>
        </w:rPr>
        <w:t>. 1997;68:449.</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Demirol A, Baykal C, Kirazli S, Ayhan A. Effects of hormone replacement on hemostasis </w:t>
      </w:r>
      <w:r>
        <w:rPr>
          <w:sz w:val="22"/>
        </w:rPr>
        <w:t>in spontaneous menopause. </w:t>
      </w:r>
      <w:r>
        <w:rPr>
          <w:i/>
          <w:sz w:val="22"/>
        </w:rPr>
        <w:t>Menopause</w:t>
      </w:r>
      <w:r>
        <w:rPr>
          <w:sz w:val="22"/>
        </w:rPr>
        <w:t>. 2001;8:135.</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De Souza MJ, Nulsen JC, Sequenzia LC, Bona RD, Walker FJ, Luciano AA. The effect of medroxyprogesterone acetate on conjugated equine estrogen-induced changes in </w:t>
      </w:r>
      <w:r>
        <w:rPr>
          <w:sz w:val="22"/>
        </w:rPr>
        <w:t>coagulation parameters in postmenopausal women. </w:t>
      </w:r>
      <w:r>
        <w:rPr>
          <w:i/>
          <w:sz w:val="22"/>
        </w:rPr>
        <w:t>J Womens Health</w:t>
      </w:r>
      <w:r>
        <w:rPr>
          <w:sz w:val="22"/>
        </w:rPr>
        <w:t>. 1996;5:121.</w:t>
      </w:r>
    </w:p>
    <w:p>
      <w:pPr>
        <w:pStyle w:val="ListParagraph"/>
        <w:numPr>
          <w:ilvl w:val="0"/>
          <w:numId w:val="19"/>
        </w:numPr>
        <w:tabs>
          <w:tab w:pos="709" w:val="left" w:leader="none"/>
          <w:tab w:pos="718" w:val="left" w:leader="none"/>
        </w:tabs>
        <w:spacing w:line="256" w:lineRule="auto" w:before="0" w:after="0"/>
        <w:ind w:left="718" w:right="98" w:hanging="507"/>
        <w:jc w:val="both"/>
        <w:rPr>
          <w:sz w:val="22"/>
          <w:szCs w:val="22"/>
        </w:rPr>
      </w:pPr>
      <w:r>
        <w:rPr>
          <w:sz w:val="22"/>
          <w:szCs w:val="22"/>
        </w:rPr>
        <w:t>Bonduki CE, Louren�o DM, Baracat E, et al. Effect of estrogen-progestin </w:t>
      </w:r>
      <w:r>
        <w:rPr>
          <w:sz w:val="22"/>
          <w:szCs w:val="22"/>
        </w:rPr>
        <w:t>hormonal replacement therapy on plasma antithrombin III of postmenopausal women. </w:t>
      </w:r>
      <w:r>
        <w:rPr>
          <w:i/>
          <w:iCs/>
          <w:sz w:val="22"/>
          <w:szCs w:val="22"/>
        </w:rPr>
        <w:t>Acta Obstet</w:t>
      </w:r>
      <w:r>
        <w:rPr>
          <w:i/>
          <w:iCs/>
          <w:spacing w:val="40"/>
          <w:sz w:val="22"/>
          <w:szCs w:val="22"/>
        </w:rPr>
        <w:t> </w:t>
      </w:r>
      <w:r>
        <w:rPr>
          <w:i/>
          <w:iCs/>
          <w:sz w:val="22"/>
          <w:szCs w:val="22"/>
        </w:rPr>
        <w:t>Gynecol Scand</w:t>
      </w:r>
      <w:r>
        <w:rPr>
          <w:sz w:val="22"/>
          <w:szCs w:val="22"/>
        </w:rPr>
        <w:t>. 1998;77:330.</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Meilahn E, Cauley J, Tracy R, Macy E, Gutai J, Kuller L. Association of sex hormones </w:t>
      </w:r>
      <w:r>
        <w:rPr>
          <w:sz w:val="22"/>
        </w:rPr>
        <w:t>and adiposity with plasma levels of fibrinogen and PAI-1 in postmenopausal women. </w:t>
      </w:r>
      <w:r>
        <w:rPr>
          <w:i/>
          <w:sz w:val="22"/>
        </w:rPr>
        <w:t>Am J</w:t>
      </w:r>
      <w:r>
        <w:rPr>
          <w:i/>
          <w:sz w:val="22"/>
        </w:rPr>
        <w:t> Epidemiol</w:t>
      </w:r>
      <w:r>
        <w:rPr>
          <w:sz w:val="22"/>
        </w:rPr>
        <w:t>. 1996;143:159.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Koh KK, Mincemoyer R, Bui MN, et al. Effects of hormone-replacement therapy </w:t>
      </w:r>
      <w:r>
        <w:rPr>
          <w:sz w:val="22"/>
        </w:rPr>
        <w:t>on</w:t>
      </w:r>
      <w:r>
        <w:rPr>
          <w:spacing w:val="80"/>
          <w:w w:val="150"/>
          <w:sz w:val="22"/>
        </w:rPr>
        <w:t> </w:t>
      </w:r>
      <w:r>
        <w:rPr>
          <w:sz w:val="22"/>
        </w:rPr>
        <w:t>fibrinolysis in postmenopausal women. </w:t>
      </w:r>
      <w:r>
        <w:rPr>
          <w:i/>
          <w:sz w:val="22"/>
        </w:rPr>
        <w:t>N Engl J Med</w:t>
      </w:r>
      <w:r>
        <w:rPr>
          <w:sz w:val="22"/>
        </w:rPr>
        <w:t>. 1997;336:683.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Boschetti C, Corteliaro M, Nencioni T, Bertolli V, Della Volpe A, Zanussi C. Short- and </w:t>
      </w:r>
      <w:r>
        <w:rPr>
          <w:sz w:val="22"/>
        </w:rPr>
        <w:t>long-term effects of hormone replacement therapy (transdermal estradiol vs oral conjugated equine estrogens, combined with medroxyprogesterone acetate) on blood coagulation factors in postmenopausal women. </w:t>
      </w:r>
      <w:r>
        <w:rPr>
          <w:i/>
          <w:sz w:val="22"/>
        </w:rPr>
        <w:t>Thromb Res</w:t>
      </w:r>
      <w:r>
        <w:rPr>
          <w:sz w:val="22"/>
        </w:rPr>
        <w:t>. 1991;62:1.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Saleh</w:t>
      </w:r>
      <w:r>
        <w:rPr>
          <w:spacing w:val="25"/>
          <w:sz w:val="22"/>
        </w:rPr>
        <w:t> </w:t>
      </w:r>
      <w:r>
        <w:rPr>
          <w:sz w:val="22"/>
        </w:rPr>
        <w:t>AA,</w:t>
      </w:r>
      <w:r>
        <w:rPr>
          <w:spacing w:val="25"/>
          <w:sz w:val="22"/>
        </w:rPr>
        <w:t> </w:t>
      </w:r>
      <w:r>
        <w:rPr>
          <w:sz w:val="22"/>
        </w:rPr>
        <w:t>Dorey</w:t>
      </w:r>
      <w:r>
        <w:rPr>
          <w:spacing w:val="25"/>
          <w:sz w:val="22"/>
        </w:rPr>
        <w:t> </w:t>
      </w:r>
      <w:r>
        <w:rPr>
          <w:sz w:val="22"/>
        </w:rPr>
        <w:t>LG,</w:t>
      </w:r>
      <w:r>
        <w:rPr>
          <w:spacing w:val="25"/>
          <w:sz w:val="22"/>
        </w:rPr>
        <w:t> </w:t>
      </w:r>
      <w:r>
        <w:rPr>
          <w:sz w:val="22"/>
        </w:rPr>
        <w:t>Dombrowski</w:t>
      </w:r>
      <w:r>
        <w:rPr>
          <w:spacing w:val="25"/>
          <w:sz w:val="22"/>
        </w:rPr>
        <w:t> </w:t>
      </w:r>
      <w:r>
        <w:rPr>
          <w:sz w:val="22"/>
        </w:rPr>
        <w:t>MP,</w:t>
      </w:r>
      <w:r>
        <w:rPr>
          <w:spacing w:val="25"/>
          <w:sz w:val="22"/>
        </w:rPr>
        <w:t> </w:t>
      </w:r>
      <w:r>
        <w:rPr>
          <w:sz w:val="22"/>
        </w:rPr>
        <w:t>et</w:t>
      </w:r>
      <w:r>
        <w:rPr>
          <w:spacing w:val="25"/>
          <w:sz w:val="22"/>
        </w:rPr>
        <w:t> </w:t>
      </w:r>
      <w:r>
        <w:rPr>
          <w:sz w:val="22"/>
        </w:rPr>
        <w:t>al.</w:t>
      </w:r>
      <w:r>
        <w:rPr>
          <w:spacing w:val="25"/>
          <w:sz w:val="22"/>
        </w:rPr>
        <w:t> </w:t>
      </w:r>
      <w:r>
        <w:rPr>
          <w:sz w:val="22"/>
        </w:rPr>
        <w:t>Thrombosis</w:t>
      </w:r>
      <w:r>
        <w:rPr>
          <w:spacing w:val="25"/>
          <w:sz w:val="22"/>
        </w:rPr>
        <w:t> </w:t>
      </w:r>
      <w:r>
        <w:rPr>
          <w:sz w:val="22"/>
        </w:rPr>
        <w:t>and</w:t>
      </w:r>
      <w:r>
        <w:rPr>
          <w:spacing w:val="25"/>
          <w:sz w:val="22"/>
        </w:rPr>
        <w:t> </w:t>
      </w:r>
      <w:r>
        <w:rPr>
          <w:sz w:val="22"/>
        </w:rPr>
        <w:t>hormone</w:t>
      </w:r>
      <w:r>
        <w:rPr>
          <w:spacing w:val="25"/>
          <w:sz w:val="22"/>
        </w:rPr>
        <w:t> </w:t>
      </w:r>
      <w:r>
        <w:rPr>
          <w:sz w:val="22"/>
        </w:rPr>
        <w:t>replacement</w:t>
      </w:r>
      <w:r>
        <w:rPr>
          <w:spacing w:val="25"/>
          <w:sz w:val="22"/>
        </w:rPr>
        <w:t> </w:t>
      </w:r>
      <w:r>
        <w:rPr>
          <w:sz w:val="22"/>
        </w:rPr>
        <w:t>therapy in postmenopausal women. </w:t>
      </w:r>
      <w:r>
        <w:rPr>
          <w:i/>
          <w:sz w:val="22"/>
        </w:rPr>
        <w:t>Am J Obstet Gynecol</w:t>
      </w:r>
      <w:r>
        <w:rPr>
          <w:sz w:val="22"/>
        </w:rPr>
        <w:t>. 1993;169:1554.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Scarabin PY, Hemker HC, Clement C, Soisson V, Alhenc-Gelas M. Increased </w:t>
      </w:r>
      <w:r>
        <w:rPr>
          <w:sz w:val="22"/>
        </w:rPr>
        <w:t>thrombin generation among postmenopausal women using hormone therapy: importance of the route of estrogen administration and progestogens. </w:t>
      </w:r>
      <w:r>
        <w:rPr>
          <w:i/>
          <w:sz w:val="22"/>
        </w:rPr>
        <w:t>Menopause</w:t>
      </w:r>
      <w:r>
        <w:rPr>
          <w:sz w:val="22"/>
        </w:rPr>
        <w:t>. 2011;18:873.</w:t>
      </w:r>
    </w:p>
    <w:p>
      <w:pPr>
        <w:pStyle w:val="ListParagraph"/>
        <w:numPr>
          <w:ilvl w:val="0"/>
          <w:numId w:val="19"/>
        </w:numPr>
        <w:tabs>
          <w:tab w:pos="710" w:val="left" w:leader="none"/>
        </w:tabs>
        <w:spacing w:line="251" w:lineRule="exact" w:before="0" w:after="0"/>
        <w:ind w:left="710" w:right="0" w:hanging="498"/>
        <w:jc w:val="both"/>
        <w:rPr>
          <w:sz w:val="22"/>
        </w:rPr>
      </w:pPr>
      <w:r>
        <w:rPr>
          <w:sz w:val="22"/>
        </w:rPr>
        <w:t>Pabinger</w:t>
      </w:r>
      <w:r>
        <w:rPr>
          <w:spacing w:val="23"/>
          <w:sz w:val="22"/>
        </w:rPr>
        <w:t> </w:t>
      </w:r>
      <w:r>
        <w:rPr>
          <w:sz w:val="22"/>
        </w:rPr>
        <w:t>I,</w:t>
      </w:r>
      <w:r>
        <w:rPr>
          <w:spacing w:val="24"/>
          <w:sz w:val="22"/>
        </w:rPr>
        <w:t> </w:t>
      </w:r>
      <w:r>
        <w:rPr>
          <w:sz w:val="22"/>
        </w:rPr>
        <w:t>Ay</w:t>
      </w:r>
      <w:r>
        <w:rPr>
          <w:spacing w:val="24"/>
          <w:sz w:val="22"/>
        </w:rPr>
        <w:t> </w:t>
      </w:r>
      <w:r>
        <w:rPr>
          <w:sz w:val="22"/>
        </w:rPr>
        <w:t>C.</w:t>
      </w:r>
      <w:r>
        <w:rPr>
          <w:spacing w:val="24"/>
          <w:sz w:val="22"/>
        </w:rPr>
        <w:t> </w:t>
      </w:r>
      <w:r>
        <w:rPr>
          <w:sz w:val="22"/>
        </w:rPr>
        <w:t>Biomarkers</w:t>
      </w:r>
      <w:r>
        <w:rPr>
          <w:spacing w:val="24"/>
          <w:sz w:val="22"/>
        </w:rPr>
        <w:t> </w:t>
      </w:r>
      <w:r>
        <w:rPr>
          <w:sz w:val="22"/>
        </w:rPr>
        <w:t>and</w:t>
      </w:r>
      <w:r>
        <w:rPr>
          <w:spacing w:val="24"/>
          <w:sz w:val="22"/>
        </w:rPr>
        <w:t> </w:t>
      </w:r>
      <w:r>
        <w:rPr>
          <w:sz w:val="22"/>
        </w:rPr>
        <w:t>venous</w:t>
      </w:r>
      <w:r>
        <w:rPr>
          <w:spacing w:val="24"/>
          <w:sz w:val="22"/>
        </w:rPr>
        <w:t> </w:t>
      </w:r>
      <w:r>
        <w:rPr>
          <w:sz w:val="22"/>
        </w:rPr>
        <w:t>thromboembolism.</w:t>
      </w:r>
      <w:r>
        <w:rPr>
          <w:spacing w:val="24"/>
          <w:sz w:val="22"/>
        </w:rPr>
        <w:t> </w:t>
      </w:r>
      <w:r>
        <w:rPr>
          <w:i/>
          <w:sz w:val="22"/>
        </w:rPr>
        <w:t>Arterioscler</w:t>
      </w:r>
      <w:r>
        <w:rPr>
          <w:i/>
          <w:spacing w:val="30"/>
          <w:sz w:val="22"/>
        </w:rPr>
        <w:t> </w:t>
      </w:r>
      <w:r>
        <w:rPr>
          <w:i/>
          <w:sz w:val="22"/>
        </w:rPr>
        <w:t>Thromb</w:t>
      </w:r>
      <w:r>
        <w:rPr>
          <w:i/>
          <w:spacing w:val="29"/>
          <w:sz w:val="22"/>
        </w:rPr>
        <w:t> </w:t>
      </w:r>
      <w:r>
        <w:rPr>
          <w:i/>
          <w:sz w:val="22"/>
        </w:rPr>
        <w:t>Vasc</w:t>
      </w:r>
      <w:r>
        <w:rPr>
          <w:i/>
          <w:spacing w:val="30"/>
          <w:sz w:val="22"/>
        </w:rPr>
        <w:t> </w:t>
      </w:r>
      <w:r>
        <w:rPr>
          <w:i/>
          <w:spacing w:val="-2"/>
          <w:sz w:val="22"/>
        </w:rPr>
        <w:t>Biol</w:t>
      </w:r>
      <w:r>
        <w:rPr>
          <w:spacing w:val="-2"/>
          <w:sz w:val="22"/>
        </w:rPr>
        <w:t>.</w:t>
      </w:r>
    </w:p>
    <w:p>
      <w:pPr>
        <w:spacing w:before="0"/>
        <w:ind w:left="718" w:right="0" w:firstLine="0"/>
        <w:jc w:val="left"/>
        <w:rPr>
          <w:sz w:val="22"/>
        </w:rPr>
      </w:pPr>
      <w:r>
        <w:rPr>
          <w:spacing w:val="-2"/>
          <w:sz w:val="22"/>
        </w:rPr>
        <w:t>2009;29:332.</w:t>
      </w:r>
    </w:p>
    <w:p>
      <w:pPr>
        <w:pStyle w:val="ListParagraph"/>
        <w:numPr>
          <w:ilvl w:val="0"/>
          <w:numId w:val="19"/>
        </w:numPr>
        <w:tabs>
          <w:tab w:pos="709" w:val="left" w:leader="none"/>
          <w:tab w:pos="718" w:val="left" w:leader="none"/>
        </w:tabs>
        <w:spacing w:line="256" w:lineRule="auto" w:before="14" w:after="0"/>
        <w:ind w:left="718" w:right="98" w:hanging="507"/>
        <w:jc w:val="both"/>
        <w:rPr>
          <w:sz w:val="22"/>
        </w:rPr>
      </w:pPr>
      <w:r>
        <w:rPr>
          <w:sz w:val="22"/>
        </w:rPr>
        <w:t>Canonico</w:t>
      </w:r>
      <w:r>
        <w:rPr>
          <w:spacing w:val="29"/>
          <w:sz w:val="22"/>
        </w:rPr>
        <w:t> </w:t>
      </w:r>
      <w:r>
        <w:rPr>
          <w:sz w:val="22"/>
        </w:rPr>
        <w:t>M,</w:t>
      </w:r>
      <w:r>
        <w:rPr>
          <w:spacing w:val="29"/>
          <w:sz w:val="22"/>
        </w:rPr>
        <w:t> </w:t>
      </w:r>
      <w:r>
        <w:rPr>
          <w:sz w:val="22"/>
        </w:rPr>
        <w:t>Plu-Bureau</w:t>
      </w:r>
      <w:r>
        <w:rPr>
          <w:spacing w:val="29"/>
          <w:sz w:val="22"/>
        </w:rPr>
        <w:t> </w:t>
      </w:r>
      <w:r>
        <w:rPr>
          <w:sz w:val="22"/>
        </w:rPr>
        <w:t>G,</w:t>
      </w:r>
      <w:r>
        <w:rPr>
          <w:spacing w:val="29"/>
          <w:sz w:val="22"/>
        </w:rPr>
        <w:t> </w:t>
      </w:r>
      <w:r>
        <w:rPr>
          <w:sz w:val="22"/>
        </w:rPr>
        <w:t>Lowe</w:t>
      </w:r>
      <w:r>
        <w:rPr>
          <w:spacing w:val="29"/>
          <w:sz w:val="22"/>
        </w:rPr>
        <w:t> </w:t>
      </w:r>
      <w:r>
        <w:rPr>
          <w:sz w:val="22"/>
        </w:rPr>
        <w:t>GD,</w:t>
      </w:r>
      <w:r>
        <w:rPr>
          <w:spacing w:val="29"/>
          <w:sz w:val="22"/>
        </w:rPr>
        <w:t> </w:t>
      </w:r>
      <w:r>
        <w:rPr>
          <w:sz w:val="22"/>
        </w:rPr>
        <w:t>Scarabin</w:t>
      </w:r>
      <w:r>
        <w:rPr>
          <w:spacing w:val="29"/>
          <w:sz w:val="22"/>
        </w:rPr>
        <w:t> </w:t>
      </w:r>
      <w:r>
        <w:rPr>
          <w:sz w:val="22"/>
        </w:rPr>
        <w:t>PY.</w:t>
      </w:r>
      <w:r>
        <w:rPr>
          <w:spacing w:val="28"/>
          <w:sz w:val="22"/>
        </w:rPr>
        <w:t> </w:t>
      </w:r>
      <w:r>
        <w:rPr>
          <w:sz w:val="22"/>
        </w:rPr>
        <w:t>Hormone</w:t>
      </w:r>
      <w:r>
        <w:rPr>
          <w:spacing w:val="29"/>
          <w:sz w:val="22"/>
        </w:rPr>
        <w:t> </w:t>
      </w:r>
      <w:r>
        <w:rPr>
          <w:sz w:val="22"/>
        </w:rPr>
        <w:t>replacement</w:t>
      </w:r>
      <w:r>
        <w:rPr>
          <w:spacing w:val="29"/>
          <w:sz w:val="22"/>
        </w:rPr>
        <w:t> </w:t>
      </w:r>
      <w:r>
        <w:rPr>
          <w:sz w:val="22"/>
        </w:rPr>
        <w:t>therapy</w:t>
      </w:r>
      <w:r>
        <w:rPr>
          <w:spacing w:val="29"/>
          <w:sz w:val="22"/>
        </w:rPr>
        <w:t> </w:t>
      </w:r>
      <w:r>
        <w:rPr>
          <w:sz w:val="22"/>
        </w:rPr>
        <w:t>and</w:t>
      </w:r>
      <w:r>
        <w:rPr>
          <w:spacing w:val="29"/>
          <w:sz w:val="22"/>
        </w:rPr>
        <w:t> </w:t>
      </w:r>
      <w:r>
        <w:rPr>
          <w:sz w:val="22"/>
        </w:rPr>
        <w:t>risk of venous thromboembolism in postmenopausal women: systematic review and meta-analysis. </w:t>
      </w:r>
      <w:r>
        <w:rPr>
          <w:i/>
          <w:sz w:val="22"/>
        </w:rPr>
        <w:t>Br Med J</w:t>
      </w:r>
      <w:r>
        <w:rPr>
          <w:sz w:val="22"/>
        </w:rPr>
        <w:t>. 2008;336:1227.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Khialani</w:t>
      </w:r>
      <w:r>
        <w:rPr>
          <w:spacing w:val="40"/>
          <w:sz w:val="22"/>
        </w:rPr>
        <w:t> </w:t>
      </w:r>
      <w:r>
        <w:rPr>
          <w:sz w:val="22"/>
        </w:rPr>
        <w:t>D,</w:t>
      </w:r>
      <w:r>
        <w:rPr>
          <w:spacing w:val="40"/>
          <w:sz w:val="22"/>
        </w:rPr>
        <w:t> </w:t>
      </w:r>
      <w:r>
        <w:rPr>
          <w:sz w:val="22"/>
        </w:rPr>
        <w:t>Vasan</w:t>
      </w:r>
      <w:r>
        <w:rPr>
          <w:spacing w:val="40"/>
          <w:sz w:val="22"/>
        </w:rPr>
        <w:t> </w:t>
      </w:r>
      <w:r>
        <w:rPr>
          <w:sz w:val="22"/>
        </w:rPr>
        <w:t>S,</w:t>
      </w:r>
      <w:r>
        <w:rPr>
          <w:spacing w:val="40"/>
          <w:sz w:val="22"/>
        </w:rPr>
        <w:t> </w:t>
      </w:r>
      <w:r>
        <w:rPr>
          <w:sz w:val="22"/>
        </w:rPr>
        <w:t>Cushman</w:t>
      </w:r>
      <w:r>
        <w:rPr>
          <w:spacing w:val="40"/>
          <w:sz w:val="22"/>
        </w:rPr>
        <w:t> </w:t>
      </w:r>
      <w:r>
        <w:rPr>
          <w:sz w:val="22"/>
        </w:rPr>
        <w:t>M,</w:t>
      </w:r>
      <w:r>
        <w:rPr>
          <w:spacing w:val="40"/>
          <w:sz w:val="22"/>
        </w:rPr>
        <w:t> </w:t>
      </w:r>
      <w:r>
        <w:rPr>
          <w:sz w:val="22"/>
        </w:rPr>
        <w:t>et</w:t>
      </w:r>
      <w:r>
        <w:rPr>
          <w:spacing w:val="40"/>
          <w:sz w:val="22"/>
        </w:rPr>
        <w:t> </w:t>
      </w:r>
      <w:r>
        <w:rPr>
          <w:sz w:val="22"/>
        </w:rPr>
        <w:t>al.</w:t>
      </w:r>
      <w:r>
        <w:rPr>
          <w:spacing w:val="40"/>
          <w:sz w:val="22"/>
        </w:rPr>
        <w:t> </w:t>
      </w:r>
      <w:r>
        <w:rPr>
          <w:sz w:val="22"/>
        </w:rPr>
        <w:t>Venous</w:t>
      </w:r>
      <w:r>
        <w:rPr>
          <w:spacing w:val="40"/>
          <w:sz w:val="22"/>
        </w:rPr>
        <w:t> </w:t>
      </w:r>
      <w:r>
        <w:rPr>
          <w:sz w:val="22"/>
        </w:rPr>
        <w:t>thrombosis</w:t>
      </w:r>
      <w:r>
        <w:rPr>
          <w:spacing w:val="40"/>
          <w:sz w:val="22"/>
        </w:rPr>
        <w:t> </w:t>
      </w:r>
      <w:r>
        <w:rPr>
          <w:sz w:val="22"/>
        </w:rPr>
        <w:t>with</w:t>
      </w:r>
      <w:r>
        <w:rPr>
          <w:spacing w:val="40"/>
          <w:sz w:val="22"/>
        </w:rPr>
        <w:t> </w:t>
      </w:r>
      <w:r>
        <w:rPr>
          <w:sz w:val="22"/>
        </w:rPr>
        <w:t>oral</w:t>
      </w:r>
      <w:r>
        <w:rPr>
          <w:spacing w:val="40"/>
          <w:sz w:val="22"/>
        </w:rPr>
        <w:t> </w:t>
      </w:r>
      <w:r>
        <w:rPr>
          <w:sz w:val="22"/>
        </w:rPr>
        <w:t>postmenopausal hormone therapy: roles of activated protein C resistance and tissue factor pathway inhibitor. </w:t>
      </w:r>
      <w:r>
        <w:rPr>
          <w:i/>
          <w:sz w:val="22"/>
        </w:rPr>
        <w:t>J</w:t>
      </w:r>
      <w:r>
        <w:rPr>
          <w:i/>
          <w:sz w:val="22"/>
        </w:rPr>
        <w:t> Thromb Haemost</w:t>
      </w:r>
      <w:r>
        <w:rPr>
          <w:sz w:val="22"/>
        </w:rPr>
        <w:t>. 2021;19(7):1729-1737.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Bladbjerg EM, Madsen JS, Kristensen SR, et al. Effect of long-term hormone </w:t>
      </w:r>
      <w:r>
        <w:rPr>
          <w:sz w:val="22"/>
        </w:rPr>
        <w:t>replacement therapy on tissue factor pathway inhibitor and thrombin activatable fibrinolysis inhibitor in healthy postmenopausal women: a randomized controlled study. </w:t>
      </w:r>
      <w:r>
        <w:rPr>
          <w:i/>
          <w:sz w:val="22"/>
        </w:rPr>
        <w:t>J Thromb Haemost</w:t>
      </w:r>
      <w:r>
        <w:rPr>
          <w:sz w:val="22"/>
        </w:rPr>
        <w:t>. </w:t>
      </w:r>
      <w:r>
        <w:rPr>
          <w:spacing w:val="-2"/>
          <w:sz w:val="22"/>
        </w:rPr>
        <w:t>2003;1:1208.</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Wakatsuki A, Ikenouse N, Shinohara K, Watanabe K, Fukaya T. Different effects of oral and transdermal estrogen replacement therapy on matrix metalloproteinase and their inhibitor </w:t>
      </w:r>
      <w:r>
        <w:rPr>
          <w:sz w:val="22"/>
        </w:rPr>
        <w:t>in postmenopausal women. </w:t>
      </w:r>
      <w:r>
        <w:rPr>
          <w:i/>
          <w:sz w:val="22"/>
        </w:rPr>
        <w:t>Arterioscler Thromb Vasc Biol</w:t>
      </w:r>
      <w:r>
        <w:rPr>
          <w:sz w:val="22"/>
        </w:rPr>
        <w:t>. 2003;23:1948.</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1" w:hanging="507"/>
        <w:jc w:val="both"/>
        <w:rPr>
          <w:sz w:val="22"/>
        </w:rPr>
      </w:pPr>
      <w:r>
        <w:rPr>
          <w:sz w:val="22"/>
        </w:rPr>
        <w:t>Suzuki A, Mizuno K, Ino Y, et al. Effects of 17 beta-estradiol and progesterone on growth-factor-induced</w:t>
      </w:r>
      <w:r>
        <w:rPr>
          <w:spacing w:val="40"/>
          <w:sz w:val="22"/>
        </w:rPr>
        <w:t> </w:t>
      </w:r>
      <w:r>
        <w:rPr>
          <w:sz w:val="22"/>
        </w:rPr>
        <w:t>proliferation</w:t>
      </w:r>
      <w:r>
        <w:rPr>
          <w:spacing w:val="40"/>
          <w:sz w:val="22"/>
        </w:rPr>
        <w:t> </w:t>
      </w:r>
      <w:r>
        <w:rPr>
          <w:sz w:val="22"/>
        </w:rPr>
        <w:t>and</w:t>
      </w:r>
      <w:r>
        <w:rPr>
          <w:spacing w:val="40"/>
          <w:sz w:val="22"/>
        </w:rPr>
        <w:t> </w:t>
      </w:r>
      <w:r>
        <w:rPr>
          <w:sz w:val="22"/>
        </w:rPr>
        <w:t>migration</w:t>
      </w:r>
      <w:r>
        <w:rPr>
          <w:spacing w:val="40"/>
          <w:sz w:val="22"/>
        </w:rPr>
        <w:t> </w:t>
      </w:r>
      <w:r>
        <w:rPr>
          <w:sz w:val="22"/>
        </w:rPr>
        <w:t>in</w:t>
      </w:r>
      <w:r>
        <w:rPr>
          <w:spacing w:val="40"/>
          <w:sz w:val="22"/>
        </w:rPr>
        <w:t> </w:t>
      </w:r>
      <w:r>
        <w:rPr>
          <w:sz w:val="22"/>
        </w:rPr>
        <w:t>human</w:t>
      </w:r>
      <w:r>
        <w:rPr>
          <w:spacing w:val="40"/>
          <w:sz w:val="22"/>
        </w:rPr>
        <w:t> </w:t>
      </w:r>
      <w:r>
        <w:rPr>
          <w:sz w:val="22"/>
        </w:rPr>
        <w:t>female</w:t>
      </w:r>
      <w:r>
        <w:rPr>
          <w:spacing w:val="40"/>
          <w:sz w:val="22"/>
        </w:rPr>
        <w:t> </w:t>
      </w:r>
      <w:r>
        <w:rPr>
          <w:sz w:val="22"/>
        </w:rPr>
        <w:t>aortic</w:t>
      </w:r>
      <w:r>
        <w:rPr>
          <w:spacing w:val="40"/>
          <w:sz w:val="22"/>
        </w:rPr>
        <w:t> </w:t>
      </w:r>
      <w:r>
        <w:rPr>
          <w:sz w:val="22"/>
        </w:rPr>
        <w:t>smooth</w:t>
      </w:r>
      <w:r>
        <w:rPr>
          <w:spacing w:val="40"/>
          <w:sz w:val="22"/>
        </w:rPr>
        <w:t> </w:t>
      </w:r>
      <w:r>
        <w:rPr>
          <w:sz w:val="22"/>
        </w:rPr>
        <w:t>muscle</w:t>
      </w:r>
      <w:r>
        <w:rPr>
          <w:spacing w:val="40"/>
          <w:sz w:val="22"/>
        </w:rPr>
        <w:t> </w:t>
      </w:r>
      <w:r>
        <w:rPr>
          <w:sz w:val="22"/>
        </w:rPr>
        <w:t>cells</w:t>
      </w:r>
      <w:r>
        <w:rPr>
          <w:spacing w:val="40"/>
          <w:sz w:val="22"/>
        </w:rPr>
        <w:t> </w:t>
      </w:r>
      <w:r>
        <w:rPr>
          <w:sz w:val="22"/>
        </w:rPr>
        <w:t>in vitro. </w:t>
      </w:r>
      <w:r>
        <w:rPr>
          <w:i/>
          <w:sz w:val="22"/>
        </w:rPr>
        <w:t>Cardiovasc Res</w:t>
      </w:r>
      <w:r>
        <w:rPr>
          <w:sz w:val="22"/>
        </w:rPr>
        <w:t>. 1996;32:516.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Okada</w:t>
      </w:r>
      <w:r>
        <w:rPr>
          <w:spacing w:val="40"/>
          <w:sz w:val="22"/>
        </w:rPr>
        <w:t> </w:t>
      </w:r>
      <w:r>
        <w:rPr>
          <w:sz w:val="22"/>
        </w:rPr>
        <w:t>M,</w:t>
      </w:r>
      <w:r>
        <w:rPr>
          <w:spacing w:val="40"/>
          <w:sz w:val="22"/>
        </w:rPr>
        <w:t> </w:t>
      </w:r>
      <w:r>
        <w:rPr>
          <w:sz w:val="22"/>
        </w:rPr>
        <w:t>Suzuki</w:t>
      </w:r>
      <w:r>
        <w:rPr>
          <w:spacing w:val="40"/>
          <w:sz w:val="22"/>
        </w:rPr>
        <w:t> </w:t>
      </w:r>
      <w:r>
        <w:rPr>
          <w:sz w:val="22"/>
        </w:rPr>
        <w:t>A,</w:t>
      </w:r>
      <w:r>
        <w:rPr>
          <w:spacing w:val="40"/>
          <w:sz w:val="22"/>
        </w:rPr>
        <w:t> </w:t>
      </w:r>
      <w:r>
        <w:rPr>
          <w:sz w:val="22"/>
        </w:rPr>
        <w:t>Mizuno</w:t>
      </w:r>
      <w:r>
        <w:rPr>
          <w:spacing w:val="40"/>
          <w:sz w:val="22"/>
        </w:rPr>
        <w:t> </w:t>
      </w:r>
      <w:r>
        <w:rPr>
          <w:sz w:val="22"/>
        </w:rPr>
        <w:t>K,</w:t>
      </w:r>
      <w:r>
        <w:rPr>
          <w:spacing w:val="40"/>
          <w:sz w:val="22"/>
        </w:rPr>
        <w:t> </w:t>
      </w:r>
      <w:r>
        <w:rPr>
          <w:sz w:val="22"/>
        </w:rPr>
        <w:t>et</w:t>
      </w:r>
      <w:r>
        <w:rPr>
          <w:spacing w:val="40"/>
          <w:sz w:val="22"/>
        </w:rPr>
        <w:t> </w:t>
      </w:r>
      <w:r>
        <w:rPr>
          <w:sz w:val="22"/>
        </w:rPr>
        <w:t>al.</w:t>
      </w:r>
      <w:r>
        <w:rPr>
          <w:spacing w:val="40"/>
          <w:sz w:val="22"/>
        </w:rPr>
        <w:t> </w:t>
      </w:r>
      <w:r>
        <w:rPr>
          <w:sz w:val="22"/>
        </w:rPr>
        <w:t>Effects of 17 beta-estradiol and progesterone on migration of human monocytic THP-1 cells stimulated by minimally oxidized low-density lipoprotein in vitro. </w:t>
      </w:r>
      <w:r>
        <w:rPr>
          <w:i/>
          <w:sz w:val="22"/>
        </w:rPr>
        <w:t>Cardiovasc Res</w:t>
      </w:r>
      <w:r>
        <w:rPr>
          <w:sz w:val="22"/>
        </w:rPr>
        <w:t>. 1997;34:529.</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Dubey RK, Jackson EK, Luscher TF. Nitric oxide inhibits angiotensin II-induced migration of</w:t>
      </w:r>
      <w:r>
        <w:rPr>
          <w:spacing w:val="40"/>
          <w:sz w:val="22"/>
        </w:rPr>
        <w:t> </w:t>
      </w:r>
      <w:r>
        <w:rPr>
          <w:sz w:val="22"/>
        </w:rPr>
        <w:t>rat aortic smooth muscle cell: role of cyclic-nucleotides and angiotensin 1 receptors. </w:t>
      </w:r>
      <w:r>
        <w:rPr>
          <w:i/>
          <w:sz w:val="22"/>
        </w:rPr>
        <w:t>J Clin</w:t>
      </w:r>
      <w:r>
        <w:rPr>
          <w:i/>
          <w:sz w:val="22"/>
        </w:rPr>
        <w:t> Invest</w:t>
      </w:r>
      <w:r>
        <w:rPr>
          <w:sz w:val="22"/>
        </w:rPr>
        <w:t>. 1995;96:141.</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Espeland MA, Applegate W, Furgerg CD, et al. Estrogen replacement therapy and </w:t>
      </w:r>
      <w:r>
        <w:rPr>
          <w:sz w:val="22"/>
        </w:rPr>
        <w:t>progression</w:t>
      </w:r>
      <w:r>
        <w:rPr>
          <w:spacing w:val="40"/>
          <w:sz w:val="22"/>
        </w:rPr>
        <w:t> </w:t>
      </w:r>
      <w:r>
        <w:rPr>
          <w:sz w:val="22"/>
        </w:rPr>
        <w:t>of intimal-medial thickness in the carotid arteries of postmenopausal women. </w:t>
      </w:r>
      <w:r>
        <w:rPr>
          <w:i/>
          <w:sz w:val="22"/>
        </w:rPr>
        <w:t>Am J Epidemiol</w:t>
      </w:r>
      <w:r>
        <w:rPr>
          <w:sz w:val="22"/>
        </w:rPr>
        <w:t>. </w:t>
      </w:r>
      <w:r>
        <w:rPr>
          <w:spacing w:val="-2"/>
          <w:sz w:val="22"/>
        </w:rPr>
        <w:t>1995;142:1011.</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Baron YM, Galea MB. Carotid artery wall thickness in women treated with </w:t>
      </w:r>
      <w:r>
        <w:rPr>
          <w:sz w:val="22"/>
        </w:rPr>
        <w:t>hormone replacement therapy. </w:t>
      </w:r>
      <w:r>
        <w:rPr>
          <w:i/>
          <w:sz w:val="22"/>
        </w:rPr>
        <w:t>Maturitas</w:t>
      </w:r>
      <w:r>
        <w:rPr>
          <w:sz w:val="22"/>
        </w:rPr>
        <w:t>. 1997;27:47.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Jonas</w:t>
      </w:r>
      <w:r>
        <w:rPr>
          <w:spacing w:val="40"/>
          <w:sz w:val="22"/>
        </w:rPr>
        <w:t> </w:t>
      </w:r>
      <w:r>
        <w:rPr>
          <w:sz w:val="22"/>
        </w:rPr>
        <w:t>HA,</w:t>
      </w:r>
      <w:r>
        <w:rPr>
          <w:spacing w:val="40"/>
          <w:sz w:val="22"/>
        </w:rPr>
        <w:t> </w:t>
      </w:r>
      <w:r>
        <w:rPr>
          <w:sz w:val="22"/>
        </w:rPr>
        <w:t>Kronmal</w:t>
      </w:r>
      <w:r>
        <w:rPr>
          <w:spacing w:val="40"/>
          <w:sz w:val="22"/>
        </w:rPr>
        <w:t> </w:t>
      </w:r>
      <w:r>
        <w:rPr>
          <w:sz w:val="22"/>
        </w:rPr>
        <w:t>RA,</w:t>
      </w:r>
      <w:r>
        <w:rPr>
          <w:spacing w:val="40"/>
          <w:sz w:val="22"/>
        </w:rPr>
        <w:t> </w:t>
      </w:r>
      <w:r>
        <w:rPr>
          <w:sz w:val="22"/>
        </w:rPr>
        <w:t>Psaty</w:t>
      </w:r>
      <w:r>
        <w:rPr>
          <w:spacing w:val="40"/>
          <w:sz w:val="22"/>
        </w:rPr>
        <w:t> </w:t>
      </w:r>
      <w:r>
        <w:rPr>
          <w:sz w:val="22"/>
        </w:rPr>
        <w:t>BM,</w:t>
      </w:r>
      <w:r>
        <w:rPr>
          <w:spacing w:val="40"/>
          <w:sz w:val="22"/>
        </w:rPr>
        <w:t> </w:t>
      </w:r>
      <w:r>
        <w:rPr>
          <w:sz w:val="22"/>
        </w:rPr>
        <w:t>et</w:t>
      </w:r>
      <w:r>
        <w:rPr>
          <w:spacing w:val="40"/>
          <w:sz w:val="22"/>
        </w:rPr>
        <w:t> </w:t>
      </w:r>
      <w:r>
        <w:rPr>
          <w:sz w:val="22"/>
        </w:rPr>
        <w:t>al.</w:t>
      </w:r>
      <w:r>
        <w:rPr>
          <w:spacing w:val="40"/>
          <w:sz w:val="22"/>
        </w:rPr>
        <w:t> </w:t>
      </w:r>
      <w:r>
        <w:rPr>
          <w:sz w:val="22"/>
        </w:rPr>
        <w:t>Current</w:t>
      </w:r>
      <w:r>
        <w:rPr>
          <w:spacing w:val="40"/>
          <w:sz w:val="22"/>
        </w:rPr>
        <w:t> </w:t>
      </w:r>
      <w:r>
        <w:rPr>
          <w:sz w:val="22"/>
        </w:rPr>
        <w:t>estrogen-progestin</w:t>
      </w:r>
      <w:r>
        <w:rPr>
          <w:spacing w:val="40"/>
          <w:sz w:val="22"/>
        </w:rPr>
        <w:t> </w:t>
      </w:r>
      <w:r>
        <w:rPr>
          <w:sz w:val="22"/>
        </w:rPr>
        <w:t>and</w:t>
      </w:r>
      <w:r>
        <w:rPr>
          <w:spacing w:val="40"/>
          <w:sz w:val="22"/>
        </w:rPr>
        <w:t> </w:t>
      </w:r>
      <w:r>
        <w:rPr>
          <w:sz w:val="22"/>
        </w:rPr>
        <w:t>estrogen replacement</w:t>
      </w:r>
      <w:r>
        <w:rPr>
          <w:spacing w:val="40"/>
          <w:sz w:val="22"/>
        </w:rPr>
        <w:t> </w:t>
      </w:r>
      <w:r>
        <w:rPr>
          <w:sz w:val="22"/>
        </w:rPr>
        <w:t>therapy</w:t>
      </w:r>
      <w:r>
        <w:rPr>
          <w:spacing w:val="40"/>
          <w:sz w:val="22"/>
        </w:rPr>
        <w:t> </w:t>
      </w:r>
      <w:r>
        <w:rPr>
          <w:sz w:val="22"/>
        </w:rPr>
        <w:t>in</w:t>
      </w:r>
      <w:r>
        <w:rPr>
          <w:spacing w:val="40"/>
          <w:sz w:val="22"/>
        </w:rPr>
        <w:t> </w:t>
      </w:r>
      <w:r>
        <w:rPr>
          <w:sz w:val="22"/>
        </w:rPr>
        <w:t>elderly</w:t>
      </w:r>
      <w:r>
        <w:rPr>
          <w:spacing w:val="40"/>
          <w:sz w:val="22"/>
        </w:rPr>
        <w:t> </w:t>
      </w:r>
      <w:r>
        <w:rPr>
          <w:sz w:val="22"/>
        </w:rPr>
        <w:t>women:</w:t>
      </w:r>
      <w:r>
        <w:rPr>
          <w:spacing w:val="40"/>
          <w:sz w:val="22"/>
        </w:rPr>
        <w:t> </w:t>
      </w:r>
      <w:r>
        <w:rPr>
          <w:sz w:val="22"/>
        </w:rPr>
        <w:t>association</w:t>
      </w:r>
      <w:r>
        <w:rPr>
          <w:spacing w:val="40"/>
          <w:sz w:val="22"/>
        </w:rPr>
        <w:t> </w:t>
      </w:r>
      <w:r>
        <w:rPr>
          <w:sz w:val="22"/>
        </w:rPr>
        <w:t>with</w:t>
      </w:r>
      <w:r>
        <w:rPr>
          <w:spacing w:val="40"/>
          <w:sz w:val="22"/>
        </w:rPr>
        <w:t> </w:t>
      </w:r>
      <w:r>
        <w:rPr>
          <w:sz w:val="22"/>
        </w:rPr>
        <w:t>carotid</w:t>
      </w:r>
      <w:r>
        <w:rPr>
          <w:spacing w:val="40"/>
          <w:sz w:val="22"/>
        </w:rPr>
        <w:t> </w:t>
      </w:r>
      <w:r>
        <w:rPr>
          <w:sz w:val="22"/>
        </w:rPr>
        <w:t>atherosclerosis.</w:t>
      </w:r>
      <w:r>
        <w:rPr>
          <w:spacing w:val="40"/>
          <w:sz w:val="22"/>
        </w:rPr>
        <w:t> </w:t>
      </w:r>
      <w:r>
        <w:rPr>
          <w:i/>
          <w:sz w:val="22"/>
        </w:rPr>
        <w:t>Ann</w:t>
      </w:r>
      <w:r>
        <w:rPr>
          <w:i/>
          <w:sz w:val="22"/>
        </w:rPr>
        <w:t> Epidemiol</w:t>
      </w:r>
      <w:r>
        <w:rPr>
          <w:sz w:val="22"/>
        </w:rPr>
        <w:t>. 1996;6:314.</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Akkad A, Hartshorne T, Bell PRF, Al-Azzawi F. Carotid plaque regression on oestrogen replacement: a pilot study. </w:t>
      </w:r>
      <w:r>
        <w:rPr>
          <w:i/>
          <w:sz w:val="22"/>
        </w:rPr>
        <w:t>Eur J Vasc Endovasc Surg</w:t>
      </w:r>
      <w:r>
        <w:rPr>
          <w:sz w:val="22"/>
        </w:rPr>
        <w:t>. 1996;11:347.</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Krasinski K, Spyridopoulos I, Asahara T, van der Zee R, Isner JM, Losordo DW. </w:t>
      </w:r>
      <w:r>
        <w:rPr>
          <w:sz w:val="22"/>
        </w:rPr>
        <w:t>Estradiol accelerates functional endothelial recovery after arterial injury. </w:t>
      </w:r>
      <w:r>
        <w:rPr>
          <w:i/>
          <w:sz w:val="22"/>
        </w:rPr>
        <w:t>Circulation</w:t>
      </w:r>
      <w:r>
        <w:rPr>
          <w:sz w:val="22"/>
        </w:rPr>
        <w:t>. 1997;95:1768.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Spyridopoulos</w:t>
      </w:r>
      <w:r>
        <w:rPr>
          <w:spacing w:val="40"/>
          <w:sz w:val="22"/>
        </w:rPr>
        <w:t> </w:t>
      </w:r>
      <w:r>
        <w:rPr>
          <w:sz w:val="22"/>
        </w:rPr>
        <w:t>I,</w:t>
      </w:r>
      <w:r>
        <w:rPr>
          <w:spacing w:val="40"/>
          <w:sz w:val="22"/>
        </w:rPr>
        <w:t> </w:t>
      </w:r>
      <w:r>
        <w:rPr>
          <w:sz w:val="22"/>
        </w:rPr>
        <w:t>Sullivan</w:t>
      </w:r>
      <w:r>
        <w:rPr>
          <w:spacing w:val="40"/>
          <w:sz w:val="22"/>
        </w:rPr>
        <w:t> </w:t>
      </w:r>
      <w:r>
        <w:rPr>
          <w:sz w:val="22"/>
        </w:rPr>
        <w:t>AB,</w:t>
      </w:r>
      <w:r>
        <w:rPr>
          <w:spacing w:val="40"/>
          <w:sz w:val="22"/>
        </w:rPr>
        <w:t> </w:t>
      </w:r>
      <w:r>
        <w:rPr>
          <w:sz w:val="22"/>
        </w:rPr>
        <w:t>Kearney</w:t>
      </w:r>
      <w:r>
        <w:rPr>
          <w:spacing w:val="40"/>
          <w:sz w:val="22"/>
        </w:rPr>
        <w:t> </w:t>
      </w:r>
      <w:r>
        <w:rPr>
          <w:sz w:val="22"/>
        </w:rPr>
        <w:t>M,</w:t>
      </w:r>
      <w:r>
        <w:rPr>
          <w:spacing w:val="40"/>
          <w:sz w:val="22"/>
        </w:rPr>
        <w:t> </w:t>
      </w:r>
      <w:r>
        <w:rPr>
          <w:sz w:val="22"/>
        </w:rPr>
        <w:t>Isner</w:t>
      </w:r>
      <w:r>
        <w:rPr>
          <w:spacing w:val="40"/>
          <w:sz w:val="22"/>
        </w:rPr>
        <w:t> </w:t>
      </w:r>
      <w:r>
        <w:rPr>
          <w:sz w:val="22"/>
        </w:rPr>
        <w:t>JM,</w:t>
      </w:r>
      <w:r>
        <w:rPr>
          <w:spacing w:val="40"/>
          <w:sz w:val="22"/>
        </w:rPr>
        <w:t> </w:t>
      </w:r>
      <w:r>
        <w:rPr>
          <w:sz w:val="22"/>
        </w:rPr>
        <w:t>Losordo</w:t>
      </w:r>
      <w:r>
        <w:rPr>
          <w:spacing w:val="40"/>
          <w:sz w:val="22"/>
        </w:rPr>
        <w:t> </w:t>
      </w:r>
      <w:r>
        <w:rPr>
          <w:sz w:val="22"/>
        </w:rPr>
        <w:t>DW.</w:t>
      </w:r>
      <w:r>
        <w:rPr>
          <w:spacing w:val="40"/>
          <w:sz w:val="22"/>
        </w:rPr>
        <w:t> </w:t>
      </w:r>
      <w:r>
        <w:rPr>
          <w:sz w:val="22"/>
        </w:rPr>
        <w:t>Estrogen-</w:t>
      </w:r>
      <w:r>
        <w:rPr>
          <w:sz w:val="22"/>
        </w:rPr>
        <w:t>receptor-mediated inhibition of human endothelial cell apoptosis: estradiol as a survival factor. </w:t>
      </w:r>
      <w:r>
        <w:rPr>
          <w:i/>
          <w:sz w:val="22"/>
        </w:rPr>
        <w:t>Circulation</w:t>
      </w:r>
      <w:r>
        <w:rPr>
          <w:sz w:val="22"/>
        </w:rPr>
        <w:t>. 1997;95:1505.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Levine RL, Chen SJ, Durand J, Chen YF, Oparil S. Medroxyprogesterone attenuates estrogen-mediated inhibition of neointima formation after balloon injury of the rat carotid </w:t>
      </w:r>
      <w:r>
        <w:rPr>
          <w:sz w:val="22"/>
        </w:rPr>
        <w:t>artery. </w:t>
      </w:r>
      <w:r>
        <w:rPr>
          <w:i/>
          <w:sz w:val="22"/>
        </w:rPr>
        <w:t>Circulation</w:t>
      </w:r>
      <w:r>
        <w:rPr>
          <w:sz w:val="22"/>
        </w:rPr>
        <w:t>. 1996;94:2221.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Frazier-Jessen</w:t>
      </w:r>
      <w:r>
        <w:rPr>
          <w:spacing w:val="19"/>
          <w:sz w:val="22"/>
        </w:rPr>
        <w:t> </w:t>
      </w:r>
      <w:r>
        <w:rPr>
          <w:sz w:val="22"/>
        </w:rPr>
        <w:t>MR,</w:t>
      </w:r>
      <w:r>
        <w:rPr>
          <w:spacing w:val="19"/>
          <w:sz w:val="22"/>
        </w:rPr>
        <w:t> </w:t>
      </w:r>
      <w:r>
        <w:rPr>
          <w:sz w:val="22"/>
        </w:rPr>
        <w:t>Kovacs</w:t>
      </w:r>
      <w:r>
        <w:rPr>
          <w:spacing w:val="19"/>
          <w:sz w:val="22"/>
        </w:rPr>
        <w:t> </w:t>
      </w:r>
      <w:r>
        <w:rPr>
          <w:sz w:val="22"/>
        </w:rPr>
        <w:t>EJ.</w:t>
      </w:r>
      <w:r>
        <w:rPr>
          <w:spacing w:val="18"/>
          <w:sz w:val="22"/>
        </w:rPr>
        <w:t> </w:t>
      </w:r>
      <w:r>
        <w:rPr>
          <w:sz w:val="22"/>
        </w:rPr>
        <w:t>Estrogen</w:t>
      </w:r>
      <w:r>
        <w:rPr>
          <w:spacing w:val="26"/>
          <w:sz w:val="22"/>
        </w:rPr>
        <w:t> </w:t>
      </w:r>
      <w:r>
        <w:rPr>
          <w:sz w:val="22"/>
        </w:rPr>
        <w:t>modulation</w:t>
      </w:r>
      <w:r>
        <w:rPr>
          <w:spacing w:val="26"/>
          <w:sz w:val="22"/>
        </w:rPr>
        <w:t> </w:t>
      </w:r>
      <w:r>
        <w:rPr>
          <w:sz w:val="22"/>
        </w:rPr>
        <w:t>of</w:t>
      </w:r>
      <w:r>
        <w:rPr>
          <w:spacing w:val="26"/>
          <w:sz w:val="22"/>
        </w:rPr>
        <w:t> </w:t>
      </w:r>
      <w:r>
        <w:rPr>
          <w:sz w:val="22"/>
        </w:rPr>
        <w:t>JE/monocyte</w:t>
      </w:r>
      <w:r>
        <w:rPr>
          <w:spacing w:val="26"/>
          <w:sz w:val="22"/>
        </w:rPr>
        <w:t> </w:t>
      </w:r>
      <w:r>
        <w:rPr>
          <w:sz w:val="22"/>
        </w:rPr>
        <w:t>chemoattractant</w:t>
      </w:r>
      <w:r>
        <w:rPr>
          <w:spacing w:val="26"/>
          <w:sz w:val="22"/>
        </w:rPr>
        <w:t> </w:t>
      </w:r>
      <w:r>
        <w:rPr>
          <w:sz w:val="22"/>
        </w:rPr>
        <w:t>protein-1 mRNA expression in murine macrophages. </w:t>
      </w:r>
      <w:r>
        <w:rPr>
          <w:i/>
          <w:sz w:val="22"/>
        </w:rPr>
        <w:t>J Immunol</w:t>
      </w:r>
      <w:r>
        <w:rPr>
          <w:sz w:val="22"/>
        </w:rPr>
        <w:t>. 1995;154:1838.</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Proudler AJ, Ahmed AI, Crook D, Fogelman I, Rymer JM, Stevenson JC. </w:t>
      </w:r>
      <w:r>
        <w:rPr>
          <w:sz w:val="22"/>
        </w:rPr>
        <w:t>Hormone</w:t>
      </w:r>
      <w:r>
        <w:rPr>
          <w:spacing w:val="80"/>
          <w:sz w:val="22"/>
        </w:rPr>
        <w:t> </w:t>
      </w:r>
      <w:r>
        <w:rPr>
          <w:sz w:val="22"/>
        </w:rPr>
        <w:t>replacement therapy and serum angiotensin-converting-enzyme activity in postmenopausal women. </w:t>
      </w:r>
      <w:r>
        <w:rPr>
          <w:i/>
          <w:sz w:val="22"/>
        </w:rPr>
        <w:t>Lancet</w:t>
      </w:r>
      <w:r>
        <w:rPr>
          <w:sz w:val="22"/>
        </w:rPr>
        <w:t>. 1995;346:89.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Schunkert</w:t>
      </w:r>
      <w:r>
        <w:rPr>
          <w:spacing w:val="40"/>
          <w:sz w:val="22"/>
        </w:rPr>
        <w:t> </w:t>
      </w:r>
      <w:r>
        <w:rPr>
          <w:sz w:val="22"/>
        </w:rPr>
        <w:t>H,</w:t>
      </w:r>
      <w:r>
        <w:rPr>
          <w:spacing w:val="40"/>
          <w:sz w:val="22"/>
        </w:rPr>
        <w:t> </w:t>
      </w:r>
      <w:r>
        <w:rPr>
          <w:sz w:val="22"/>
        </w:rPr>
        <w:t>Danser</w:t>
      </w:r>
      <w:r>
        <w:rPr>
          <w:spacing w:val="40"/>
          <w:sz w:val="22"/>
        </w:rPr>
        <w:t> </w:t>
      </w:r>
      <w:r>
        <w:rPr>
          <w:sz w:val="22"/>
        </w:rPr>
        <w:t>AH,</w:t>
      </w:r>
      <w:r>
        <w:rPr>
          <w:spacing w:val="40"/>
          <w:sz w:val="22"/>
        </w:rPr>
        <w:t> </w:t>
      </w:r>
      <w:r>
        <w:rPr>
          <w:sz w:val="22"/>
        </w:rPr>
        <w:t>Hense</w:t>
      </w:r>
      <w:r>
        <w:rPr>
          <w:spacing w:val="40"/>
          <w:sz w:val="22"/>
        </w:rPr>
        <w:t> </w:t>
      </w:r>
      <w:r>
        <w:rPr>
          <w:sz w:val="22"/>
        </w:rPr>
        <w:t>HW,</w:t>
      </w:r>
      <w:r>
        <w:rPr>
          <w:spacing w:val="40"/>
          <w:sz w:val="22"/>
        </w:rPr>
        <w:t> </w:t>
      </w:r>
      <w:r>
        <w:rPr>
          <w:sz w:val="22"/>
        </w:rPr>
        <w:t>Derkx</w:t>
      </w:r>
      <w:r>
        <w:rPr>
          <w:spacing w:val="40"/>
          <w:sz w:val="22"/>
        </w:rPr>
        <w:t> </w:t>
      </w:r>
      <w:r>
        <w:rPr>
          <w:sz w:val="22"/>
        </w:rPr>
        <w:t>FH,</w:t>
      </w:r>
      <w:r>
        <w:rPr>
          <w:spacing w:val="40"/>
          <w:sz w:val="22"/>
        </w:rPr>
        <w:t> </w:t>
      </w:r>
      <w:r>
        <w:rPr>
          <w:sz w:val="22"/>
        </w:rPr>
        <w:t>Kurzinger</w:t>
      </w:r>
      <w:r>
        <w:rPr>
          <w:spacing w:val="40"/>
          <w:sz w:val="22"/>
        </w:rPr>
        <w:t> </w:t>
      </w:r>
      <w:r>
        <w:rPr>
          <w:sz w:val="22"/>
        </w:rPr>
        <w:t>S,</w:t>
      </w:r>
      <w:r>
        <w:rPr>
          <w:spacing w:val="40"/>
          <w:sz w:val="22"/>
        </w:rPr>
        <w:t> </w:t>
      </w:r>
      <w:r>
        <w:rPr>
          <w:sz w:val="22"/>
        </w:rPr>
        <w:t>Riegger</w:t>
      </w:r>
      <w:r>
        <w:rPr>
          <w:spacing w:val="40"/>
          <w:sz w:val="22"/>
        </w:rPr>
        <w:t> </w:t>
      </w:r>
      <w:r>
        <w:rPr>
          <w:sz w:val="22"/>
        </w:rPr>
        <w:t>GA.</w:t>
      </w:r>
      <w:r>
        <w:rPr>
          <w:spacing w:val="40"/>
          <w:sz w:val="22"/>
        </w:rPr>
        <w:t> </w:t>
      </w:r>
      <w:r>
        <w:rPr>
          <w:sz w:val="22"/>
        </w:rPr>
        <w:t>Effects</w:t>
      </w:r>
      <w:r>
        <w:rPr>
          <w:spacing w:val="40"/>
          <w:sz w:val="22"/>
        </w:rPr>
        <w:t> </w:t>
      </w:r>
      <w:r>
        <w:rPr>
          <w:sz w:val="22"/>
        </w:rPr>
        <w:t>of estrogen replacement therapy on the renin-angiotensinogen system in postmenopausal women. </w:t>
      </w:r>
      <w:r>
        <w:rPr>
          <w:i/>
          <w:sz w:val="22"/>
        </w:rPr>
        <w:t>Circulation</w:t>
      </w:r>
      <w:r>
        <w:rPr>
          <w:sz w:val="22"/>
        </w:rPr>
        <w:t>. 1997;95:39.</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Nickenig G, Baumer AT, Grohe C, et al. Estrogen modulates AT1 receptor gene expression in vitro and in vivo. </w:t>
      </w:r>
      <w:r>
        <w:rPr>
          <w:i/>
          <w:sz w:val="22"/>
        </w:rPr>
        <w:t>Circulation</w:t>
      </w:r>
      <w:r>
        <w:rPr>
          <w:sz w:val="22"/>
        </w:rPr>
        <w:t>. 1998;97:2197.</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Cushman M, Legault C, Barrett-Connor E, et al. Effect of postmenopausal hormones on inflammation-sensitive proteins: the Postmenopausal Estrogen/Progestin Interventions </w:t>
      </w:r>
      <w:r>
        <w:rPr>
          <w:sz w:val="22"/>
        </w:rPr>
        <w:t>(PEPI) study. </w:t>
      </w:r>
      <w:r>
        <w:rPr>
          <w:i/>
          <w:sz w:val="22"/>
        </w:rPr>
        <w:t>Circulation</w:t>
      </w:r>
      <w:r>
        <w:rPr>
          <w:sz w:val="22"/>
        </w:rPr>
        <w:t>. 1999;100:717.</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Nickenig G, Jung O, Strehlow K, et al. Hypercholesterolemia is associated with enhanced angiotensin AT1-receptor expression. </w:t>
      </w:r>
      <w:r>
        <w:rPr>
          <w:i/>
          <w:sz w:val="22"/>
        </w:rPr>
        <w:t>Am J Physiol</w:t>
      </w:r>
      <w:r>
        <w:rPr>
          <w:sz w:val="22"/>
        </w:rPr>
        <w:t>. 1997;272(6 Pt 2):H2701.</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Frohlich M, Muhlberger N, Hanke H, et al. Markers of inflammation in women on different hormone replacement therapies. </w:t>
      </w:r>
      <w:r>
        <w:rPr>
          <w:i/>
          <w:sz w:val="22"/>
        </w:rPr>
        <w:t>Ann Med</w:t>
      </w:r>
      <w:r>
        <w:rPr>
          <w:sz w:val="22"/>
        </w:rPr>
        <w:t>. 2003;35:353.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Lacut K, Oger E, Le Gal G, et al. Differential effects of oral and transdermal </w:t>
      </w:r>
      <w:r>
        <w:rPr>
          <w:sz w:val="22"/>
        </w:rPr>
        <w:t>postmenopausal estrogen replacement therapies on C-reactive protein. </w:t>
      </w:r>
      <w:r>
        <w:rPr>
          <w:i/>
          <w:sz w:val="22"/>
        </w:rPr>
        <w:t>Thromb Haemost</w:t>
      </w:r>
      <w:r>
        <w:rPr>
          <w:sz w:val="22"/>
        </w:rPr>
        <w:t>. 2003;90:124.</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Jilma B, Hildebrandt J, Kapiotis S, et al. Effects of estradiol on circulating P-selectin. </w:t>
      </w:r>
      <w:r>
        <w:rPr>
          <w:i/>
          <w:sz w:val="22"/>
        </w:rPr>
        <w:t>J </w:t>
      </w:r>
      <w:r>
        <w:rPr>
          <w:i/>
          <w:sz w:val="22"/>
        </w:rPr>
        <w:t>Clin</w:t>
      </w:r>
      <w:r>
        <w:rPr>
          <w:i/>
          <w:sz w:val="22"/>
        </w:rPr>
        <w:t> Endocrinol Metab</w:t>
      </w:r>
      <w:r>
        <w:rPr>
          <w:sz w:val="22"/>
        </w:rPr>
        <w:t>. 1996;81:2350.</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7" w:hanging="507"/>
        <w:jc w:val="both"/>
        <w:rPr>
          <w:sz w:val="22"/>
        </w:rPr>
      </w:pPr>
      <w:r>
        <w:rPr>
          <w:sz w:val="22"/>
        </w:rPr>
        <w:t>Farzati A, Espositio K, Colacurci N, Fornaro F, Chiantera V, Barzati B. Effects of transdermal hormone</w:t>
      </w:r>
      <w:r>
        <w:rPr>
          <w:spacing w:val="40"/>
          <w:sz w:val="22"/>
        </w:rPr>
        <w:t> </w:t>
      </w:r>
      <w:r>
        <w:rPr>
          <w:sz w:val="22"/>
        </w:rPr>
        <w:t>replacement</w:t>
      </w:r>
      <w:r>
        <w:rPr>
          <w:spacing w:val="40"/>
          <w:sz w:val="22"/>
        </w:rPr>
        <w:t> </w:t>
      </w:r>
      <w:r>
        <w:rPr>
          <w:sz w:val="22"/>
        </w:rPr>
        <w:t>therapy</w:t>
      </w:r>
      <w:r>
        <w:rPr>
          <w:spacing w:val="40"/>
          <w:sz w:val="22"/>
        </w:rPr>
        <w:t> </w:t>
      </w:r>
      <w:r>
        <w:rPr>
          <w:sz w:val="22"/>
        </w:rPr>
        <w:t>on</w:t>
      </w:r>
      <w:r>
        <w:rPr>
          <w:spacing w:val="40"/>
          <w:sz w:val="22"/>
        </w:rPr>
        <w:t> </w:t>
      </w:r>
      <w:r>
        <w:rPr>
          <w:sz w:val="22"/>
        </w:rPr>
        <w:t>levels</w:t>
      </w:r>
      <w:r>
        <w:rPr>
          <w:spacing w:val="40"/>
          <w:sz w:val="22"/>
        </w:rPr>
        <w:t> </w:t>
      </w:r>
      <w:r>
        <w:rPr>
          <w:sz w:val="22"/>
        </w:rPr>
        <w:t>of</w:t>
      </w:r>
      <w:r>
        <w:rPr>
          <w:spacing w:val="40"/>
          <w:sz w:val="22"/>
        </w:rPr>
        <w:t> </w:t>
      </w:r>
      <w:r>
        <w:rPr>
          <w:sz w:val="22"/>
        </w:rPr>
        <w:t>soluble</w:t>
      </w:r>
      <w:r>
        <w:rPr>
          <w:spacing w:val="40"/>
          <w:sz w:val="22"/>
        </w:rPr>
        <w:t> </w:t>
      </w:r>
      <w:r>
        <w:rPr>
          <w:sz w:val="22"/>
        </w:rPr>
        <w:t>P-</w:t>
      </w:r>
      <w:r>
        <w:rPr>
          <w:spacing w:val="40"/>
          <w:sz w:val="22"/>
        </w:rPr>
        <w:t> </w:t>
      </w:r>
      <w:r>
        <w:rPr>
          <w:sz w:val="22"/>
        </w:rPr>
        <w:t>and</w:t>
      </w:r>
      <w:r>
        <w:rPr>
          <w:spacing w:val="40"/>
          <w:sz w:val="22"/>
        </w:rPr>
        <w:t> </w:t>
      </w:r>
      <w:r>
        <w:rPr>
          <w:sz w:val="22"/>
        </w:rPr>
        <w:t>E-selectin</w:t>
      </w:r>
      <w:r>
        <w:rPr>
          <w:spacing w:val="40"/>
          <w:sz w:val="22"/>
        </w:rPr>
        <w:t> </w:t>
      </w:r>
      <w:r>
        <w:rPr>
          <w:sz w:val="22"/>
        </w:rPr>
        <w:t>in</w:t>
      </w:r>
      <w:r>
        <w:rPr>
          <w:spacing w:val="40"/>
          <w:sz w:val="22"/>
        </w:rPr>
        <w:t> </w:t>
      </w:r>
      <w:r>
        <w:rPr>
          <w:sz w:val="22"/>
        </w:rPr>
        <w:t>postmenopausal healthy women. </w:t>
      </w:r>
      <w:r>
        <w:rPr>
          <w:i/>
          <w:sz w:val="22"/>
        </w:rPr>
        <w:t>Fertil Steril</w:t>
      </w:r>
      <w:r>
        <w:rPr>
          <w:sz w:val="22"/>
        </w:rPr>
        <w:t>. 2002;77:476.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Hak AE, Polderman KH, Westendorp IC, et al. Increased plasma homocysteine </w:t>
      </w:r>
      <w:r>
        <w:rPr>
          <w:sz w:val="22"/>
        </w:rPr>
        <w:t>after</w:t>
      </w:r>
      <w:r>
        <w:rPr>
          <w:spacing w:val="80"/>
          <w:sz w:val="22"/>
        </w:rPr>
        <w:t> </w:t>
      </w:r>
      <w:r>
        <w:rPr>
          <w:sz w:val="22"/>
        </w:rPr>
        <w:t>menopause. </w:t>
      </w:r>
      <w:r>
        <w:rPr>
          <w:i/>
          <w:sz w:val="22"/>
        </w:rPr>
        <w:t>Atherosclerosis</w:t>
      </w:r>
      <w:r>
        <w:rPr>
          <w:sz w:val="22"/>
        </w:rPr>
        <w:t>. 2000;149:163.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Hak AE, Bak AA, Lindemans J, et al. The effect of hormone replacement therapy on serum homocysteine levels in perimenopausal women: a randomized controlled trial. </w:t>
      </w:r>
      <w:r>
        <w:rPr>
          <w:i/>
          <w:sz w:val="22"/>
        </w:rPr>
        <w:t>Atherosclerosis</w:t>
      </w:r>
      <w:r>
        <w:rPr>
          <w:sz w:val="22"/>
        </w:rPr>
        <w:t>. </w:t>
      </w:r>
      <w:r>
        <w:rPr>
          <w:spacing w:val="-2"/>
          <w:sz w:val="22"/>
        </w:rPr>
        <w:t>2001;158:437.</w:t>
      </w:r>
    </w:p>
    <w:p>
      <w:pPr>
        <w:pStyle w:val="ListParagraph"/>
        <w:numPr>
          <w:ilvl w:val="0"/>
          <w:numId w:val="19"/>
        </w:numPr>
        <w:tabs>
          <w:tab w:pos="710" w:val="left" w:leader="none"/>
        </w:tabs>
        <w:spacing w:line="251" w:lineRule="exact" w:before="0" w:after="0"/>
        <w:ind w:left="710" w:right="0" w:hanging="498"/>
        <w:jc w:val="both"/>
        <w:rPr>
          <w:sz w:val="22"/>
        </w:rPr>
      </w:pPr>
      <w:r>
        <w:rPr>
          <w:sz w:val="22"/>
        </w:rPr>
        <w:t>Hayflick</w:t>
      </w:r>
      <w:r>
        <w:rPr>
          <w:spacing w:val="25"/>
          <w:sz w:val="22"/>
        </w:rPr>
        <w:t> </w:t>
      </w:r>
      <w:r>
        <w:rPr>
          <w:sz w:val="22"/>
        </w:rPr>
        <w:t>L,</w:t>
      </w:r>
      <w:r>
        <w:rPr>
          <w:spacing w:val="26"/>
          <w:sz w:val="22"/>
        </w:rPr>
        <w:t> </w:t>
      </w:r>
      <w:r>
        <w:rPr>
          <w:sz w:val="22"/>
        </w:rPr>
        <w:t>Moorhead</w:t>
      </w:r>
      <w:r>
        <w:rPr>
          <w:spacing w:val="26"/>
          <w:sz w:val="22"/>
        </w:rPr>
        <w:t> </w:t>
      </w:r>
      <w:r>
        <w:rPr>
          <w:sz w:val="22"/>
        </w:rPr>
        <w:t>PS.</w:t>
      </w:r>
      <w:r>
        <w:rPr>
          <w:spacing w:val="26"/>
          <w:sz w:val="22"/>
        </w:rPr>
        <w:t> </w:t>
      </w:r>
      <w:r>
        <w:rPr>
          <w:sz w:val="22"/>
        </w:rPr>
        <w:t>The</w:t>
      </w:r>
      <w:r>
        <w:rPr>
          <w:spacing w:val="28"/>
          <w:sz w:val="22"/>
        </w:rPr>
        <w:t> </w:t>
      </w:r>
      <w:r>
        <w:rPr>
          <w:sz w:val="22"/>
        </w:rPr>
        <w:t>serial</w:t>
      </w:r>
      <w:r>
        <w:rPr>
          <w:spacing w:val="28"/>
          <w:sz w:val="22"/>
        </w:rPr>
        <w:t> </w:t>
      </w:r>
      <w:r>
        <w:rPr>
          <w:sz w:val="22"/>
        </w:rPr>
        <w:t>cultivation</w:t>
      </w:r>
      <w:r>
        <w:rPr>
          <w:spacing w:val="28"/>
          <w:sz w:val="22"/>
        </w:rPr>
        <w:t> </w:t>
      </w:r>
      <w:r>
        <w:rPr>
          <w:sz w:val="22"/>
        </w:rPr>
        <w:t>of</w:t>
      </w:r>
      <w:r>
        <w:rPr>
          <w:spacing w:val="28"/>
          <w:sz w:val="22"/>
        </w:rPr>
        <w:t> </w:t>
      </w:r>
      <w:r>
        <w:rPr>
          <w:sz w:val="22"/>
        </w:rPr>
        <w:t>human</w:t>
      </w:r>
      <w:r>
        <w:rPr>
          <w:spacing w:val="28"/>
          <w:sz w:val="22"/>
        </w:rPr>
        <w:t> </w:t>
      </w:r>
      <w:r>
        <w:rPr>
          <w:sz w:val="22"/>
        </w:rPr>
        <w:t>diploid</w:t>
      </w:r>
      <w:r>
        <w:rPr>
          <w:spacing w:val="28"/>
          <w:sz w:val="22"/>
        </w:rPr>
        <w:t> </w:t>
      </w:r>
      <w:r>
        <w:rPr>
          <w:sz w:val="22"/>
        </w:rPr>
        <w:t>cell</w:t>
      </w:r>
      <w:r>
        <w:rPr>
          <w:spacing w:val="29"/>
          <w:sz w:val="22"/>
        </w:rPr>
        <w:t> </w:t>
      </w:r>
      <w:r>
        <w:rPr>
          <w:sz w:val="22"/>
        </w:rPr>
        <w:t>strains.</w:t>
      </w:r>
      <w:r>
        <w:rPr>
          <w:spacing w:val="27"/>
          <w:sz w:val="22"/>
        </w:rPr>
        <w:t> </w:t>
      </w:r>
      <w:r>
        <w:rPr>
          <w:i/>
          <w:sz w:val="22"/>
        </w:rPr>
        <w:t>Exp</w:t>
      </w:r>
      <w:r>
        <w:rPr>
          <w:i/>
          <w:spacing w:val="25"/>
          <w:sz w:val="22"/>
        </w:rPr>
        <w:t> </w:t>
      </w:r>
      <w:r>
        <w:rPr>
          <w:i/>
          <w:sz w:val="22"/>
        </w:rPr>
        <w:t>Cell</w:t>
      </w:r>
      <w:r>
        <w:rPr>
          <w:i/>
          <w:spacing w:val="26"/>
          <w:sz w:val="22"/>
        </w:rPr>
        <w:t> </w:t>
      </w:r>
      <w:r>
        <w:rPr>
          <w:i/>
          <w:spacing w:val="-4"/>
          <w:sz w:val="22"/>
        </w:rPr>
        <w:t>Res</w:t>
      </w:r>
      <w:r>
        <w:rPr>
          <w:spacing w:val="-4"/>
          <w:sz w:val="22"/>
        </w:rPr>
        <w:t>.</w:t>
      </w:r>
    </w:p>
    <w:p>
      <w:pPr>
        <w:spacing w:before="14"/>
        <w:ind w:left="718" w:right="0" w:firstLine="0"/>
        <w:jc w:val="left"/>
        <w:rPr>
          <w:sz w:val="22"/>
        </w:rPr>
      </w:pPr>
      <w:r>
        <w:rPr>
          <w:sz w:val="22"/>
        </w:rPr>
        <w:t>1961;25:585-</w:t>
      </w:r>
      <w:r>
        <w:rPr>
          <w:spacing w:val="-4"/>
          <w:sz w:val="22"/>
        </w:rPr>
        <w:t>621.</w:t>
      </w:r>
    </w:p>
    <w:p>
      <w:pPr>
        <w:pStyle w:val="ListParagraph"/>
        <w:numPr>
          <w:ilvl w:val="0"/>
          <w:numId w:val="19"/>
        </w:numPr>
        <w:tabs>
          <w:tab w:pos="709" w:val="left" w:leader="none"/>
          <w:tab w:pos="718" w:val="left" w:leader="none"/>
        </w:tabs>
        <w:spacing w:line="256" w:lineRule="auto" w:before="17" w:after="0"/>
        <w:ind w:left="718" w:right="112" w:hanging="507"/>
        <w:jc w:val="both"/>
        <w:rPr>
          <w:sz w:val="22"/>
        </w:rPr>
      </w:pPr>
      <w:r>
        <w:rPr>
          <w:sz w:val="22"/>
        </w:rPr>
        <w:t>Liao Z, Yeo HL, Wong SW, Zhao Y. Cellular senescence: mechanisms and </w:t>
      </w:r>
      <w:r>
        <w:rPr>
          <w:sz w:val="22"/>
        </w:rPr>
        <w:t>therapeutic</w:t>
      </w:r>
      <w:r>
        <w:rPr>
          <w:spacing w:val="40"/>
          <w:sz w:val="22"/>
        </w:rPr>
        <w:t> </w:t>
      </w:r>
      <w:r>
        <w:rPr>
          <w:sz w:val="22"/>
        </w:rPr>
        <w:t>potential. </w:t>
      </w:r>
      <w:r>
        <w:rPr>
          <w:i/>
          <w:sz w:val="22"/>
        </w:rPr>
        <w:t>Biomedicines</w:t>
      </w:r>
      <w:r>
        <w:rPr>
          <w:sz w:val="22"/>
        </w:rPr>
        <w:t>. 2021;9(12):1769.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Faubion L, White TA, Peterson BJ, et al. Effect of menopausal hormone therapy on </w:t>
      </w:r>
      <w:r>
        <w:rPr>
          <w:sz w:val="22"/>
        </w:rPr>
        <w:t>proteins associated with senescence and inflammation. </w:t>
      </w:r>
      <w:r>
        <w:rPr>
          <w:i/>
          <w:sz w:val="22"/>
        </w:rPr>
        <w:t>Physiol Rep</w:t>
      </w:r>
      <w:r>
        <w:rPr>
          <w:sz w:val="22"/>
        </w:rPr>
        <w:t>. 2020;8(16):e14535.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Chiantera V, Sarti CD, Fornaro F, et al. Long-term effects of oral and transdermal hormone replacement therapy on plasma homocysteine levels. </w:t>
      </w:r>
      <w:r>
        <w:rPr>
          <w:i/>
          <w:sz w:val="22"/>
        </w:rPr>
        <w:t>Menopause</w:t>
      </w:r>
      <w:r>
        <w:rPr>
          <w:sz w:val="22"/>
        </w:rPr>
        <w:t>. 2003;10:286.</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Rosenberg L, Armstrong B, Jick H. Myocardial infarction and estrogen therapy </w:t>
      </w:r>
      <w:r>
        <w:rPr>
          <w:sz w:val="22"/>
        </w:rPr>
        <w:t>in postmenopausal women. </w:t>
      </w:r>
      <w:r>
        <w:rPr>
          <w:i/>
          <w:sz w:val="22"/>
        </w:rPr>
        <w:t>N Engl J Med</w:t>
      </w:r>
      <w:r>
        <w:rPr>
          <w:sz w:val="22"/>
        </w:rPr>
        <w:t>. 1976;294:1256.</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Pfeffer RI, Whipple GH, Kurosake TT, Chapman JM. Coronary risk and estrogen use </w:t>
      </w:r>
      <w:r>
        <w:rPr>
          <w:sz w:val="22"/>
        </w:rPr>
        <w:t>in postmenopausal women. </w:t>
      </w:r>
      <w:r>
        <w:rPr>
          <w:i/>
          <w:sz w:val="22"/>
        </w:rPr>
        <w:t>Am J Epidemiol</w:t>
      </w:r>
      <w:r>
        <w:rPr>
          <w:sz w:val="22"/>
        </w:rPr>
        <w:t>. 1978;107:479.</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Jick</w:t>
      </w:r>
      <w:r>
        <w:rPr>
          <w:spacing w:val="40"/>
          <w:sz w:val="22"/>
        </w:rPr>
        <w:t> </w:t>
      </w:r>
      <w:r>
        <w:rPr>
          <w:sz w:val="22"/>
        </w:rPr>
        <w:t>H,</w:t>
      </w:r>
      <w:r>
        <w:rPr>
          <w:spacing w:val="40"/>
          <w:sz w:val="22"/>
        </w:rPr>
        <w:t> </w:t>
      </w:r>
      <w:r>
        <w:rPr>
          <w:sz w:val="22"/>
        </w:rPr>
        <w:t>Dinan</w:t>
      </w:r>
      <w:r>
        <w:rPr>
          <w:spacing w:val="40"/>
          <w:sz w:val="22"/>
        </w:rPr>
        <w:t> </w:t>
      </w:r>
      <w:r>
        <w:rPr>
          <w:sz w:val="22"/>
        </w:rPr>
        <w:t>B,</w:t>
      </w:r>
      <w:r>
        <w:rPr>
          <w:spacing w:val="40"/>
          <w:sz w:val="22"/>
        </w:rPr>
        <w:t> </w:t>
      </w:r>
      <w:r>
        <w:rPr>
          <w:sz w:val="22"/>
        </w:rPr>
        <w:t>Rothman</w:t>
      </w:r>
      <w:r>
        <w:rPr>
          <w:spacing w:val="40"/>
          <w:sz w:val="22"/>
        </w:rPr>
        <w:t> </w:t>
      </w:r>
      <w:r>
        <w:rPr>
          <w:sz w:val="22"/>
        </w:rPr>
        <w:t>KJ.</w:t>
      </w:r>
      <w:r>
        <w:rPr>
          <w:spacing w:val="40"/>
          <w:sz w:val="22"/>
        </w:rPr>
        <w:t> </w:t>
      </w:r>
      <w:r>
        <w:rPr>
          <w:sz w:val="22"/>
        </w:rPr>
        <w:t>Noncontraceptive</w:t>
      </w:r>
      <w:r>
        <w:rPr>
          <w:spacing w:val="40"/>
          <w:sz w:val="22"/>
        </w:rPr>
        <w:t> </w:t>
      </w:r>
      <w:r>
        <w:rPr>
          <w:sz w:val="22"/>
        </w:rPr>
        <w:t>estrogens</w:t>
      </w:r>
      <w:r>
        <w:rPr>
          <w:spacing w:val="40"/>
          <w:sz w:val="22"/>
        </w:rPr>
        <w:t> </w:t>
      </w:r>
      <w:r>
        <w:rPr>
          <w:sz w:val="22"/>
        </w:rPr>
        <w:t>and</w:t>
      </w:r>
      <w:r>
        <w:rPr>
          <w:spacing w:val="40"/>
          <w:sz w:val="22"/>
        </w:rPr>
        <w:t> </w:t>
      </w:r>
      <w:r>
        <w:rPr>
          <w:sz w:val="22"/>
        </w:rPr>
        <w:t>non-fatal</w:t>
      </w:r>
      <w:r>
        <w:rPr>
          <w:spacing w:val="40"/>
          <w:sz w:val="22"/>
        </w:rPr>
        <w:t> </w:t>
      </w:r>
      <w:r>
        <w:rPr>
          <w:sz w:val="22"/>
        </w:rPr>
        <w:t>myocardial infarction. </w:t>
      </w:r>
      <w:r>
        <w:rPr>
          <w:i/>
          <w:sz w:val="22"/>
        </w:rPr>
        <w:t>JAMA</w:t>
      </w:r>
      <w:r>
        <w:rPr>
          <w:sz w:val="22"/>
        </w:rPr>
        <w:t>. 1978;239:1407.</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Rosenberg L, Sloane D, Shapiro S, Kaufman D, Stolley PD, Miethinen OS. Noncontraceptive estrogens and myocardial infarction in young women. </w:t>
      </w:r>
      <w:r>
        <w:rPr>
          <w:i/>
          <w:sz w:val="22"/>
        </w:rPr>
        <w:t>JAMA</w:t>
      </w:r>
      <w:r>
        <w:rPr>
          <w:sz w:val="22"/>
        </w:rPr>
        <w:t>. 1980;224:339.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Ross</w:t>
      </w:r>
      <w:r>
        <w:rPr>
          <w:spacing w:val="40"/>
          <w:sz w:val="22"/>
        </w:rPr>
        <w:t> </w:t>
      </w:r>
      <w:r>
        <w:rPr>
          <w:sz w:val="22"/>
        </w:rPr>
        <w:t>RK,</w:t>
      </w:r>
      <w:r>
        <w:rPr>
          <w:spacing w:val="40"/>
          <w:sz w:val="22"/>
        </w:rPr>
        <w:t> </w:t>
      </w:r>
      <w:r>
        <w:rPr>
          <w:sz w:val="22"/>
        </w:rPr>
        <w:t>Paganini-Hill</w:t>
      </w:r>
      <w:r>
        <w:rPr>
          <w:spacing w:val="40"/>
          <w:sz w:val="22"/>
        </w:rPr>
        <w:t> </w:t>
      </w:r>
      <w:r>
        <w:rPr>
          <w:sz w:val="22"/>
        </w:rPr>
        <w:t>A,</w:t>
      </w:r>
      <w:r>
        <w:rPr>
          <w:spacing w:val="40"/>
          <w:sz w:val="22"/>
        </w:rPr>
        <w:t> </w:t>
      </w:r>
      <w:r>
        <w:rPr>
          <w:sz w:val="22"/>
        </w:rPr>
        <w:t>Mack</w:t>
      </w:r>
      <w:r>
        <w:rPr>
          <w:spacing w:val="40"/>
          <w:sz w:val="22"/>
        </w:rPr>
        <w:t> </w:t>
      </w:r>
      <w:r>
        <w:rPr>
          <w:sz w:val="22"/>
        </w:rPr>
        <w:t>TM,</w:t>
      </w:r>
      <w:r>
        <w:rPr>
          <w:spacing w:val="40"/>
          <w:sz w:val="22"/>
        </w:rPr>
        <w:t> </w:t>
      </w:r>
      <w:r>
        <w:rPr>
          <w:sz w:val="22"/>
        </w:rPr>
        <w:t>Arthur</w:t>
      </w:r>
      <w:r>
        <w:rPr>
          <w:spacing w:val="40"/>
          <w:sz w:val="22"/>
        </w:rPr>
        <w:t> </w:t>
      </w:r>
      <w:r>
        <w:rPr>
          <w:sz w:val="22"/>
        </w:rPr>
        <w:t>M,</w:t>
      </w:r>
      <w:r>
        <w:rPr>
          <w:spacing w:val="40"/>
          <w:sz w:val="22"/>
        </w:rPr>
        <w:t> </w:t>
      </w:r>
      <w:r>
        <w:rPr>
          <w:sz w:val="22"/>
        </w:rPr>
        <w:t>Henderson</w:t>
      </w:r>
      <w:r>
        <w:rPr>
          <w:spacing w:val="40"/>
          <w:sz w:val="22"/>
        </w:rPr>
        <w:t> </w:t>
      </w:r>
      <w:r>
        <w:rPr>
          <w:sz w:val="22"/>
        </w:rPr>
        <w:t>BE.</w:t>
      </w:r>
      <w:r>
        <w:rPr>
          <w:spacing w:val="40"/>
          <w:sz w:val="22"/>
        </w:rPr>
        <w:t> </w:t>
      </w:r>
      <w:r>
        <w:rPr>
          <w:sz w:val="22"/>
        </w:rPr>
        <w:t>Menopausal</w:t>
      </w:r>
      <w:r>
        <w:rPr>
          <w:spacing w:val="40"/>
          <w:sz w:val="22"/>
        </w:rPr>
        <w:t> </w:t>
      </w:r>
      <w:r>
        <w:rPr>
          <w:sz w:val="22"/>
        </w:rPr>
        <w:t>oestrogen therapy and protection from death from ischaemic heart disease. </w:t>
      </w:r>
      <w:r>
        <w:rPr>
          <w:i/>
          <w:sz w:val="22"/>
        </w:rPr>
        <w:t>Lancet</w:t>
      </w:r>
      <w:r>
        <w:rPr>
          <w:sz w:val="22"/>
        </w:rPr>
        <w:t>. 1981;1:858.</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Bain C, Willett W, Hennekens CH, Rosner B, Belanger C, Speizer FE. Use of </w:t>
      </w:r>
      <w:r>
        <w:rPr>
          <w:sz w:val="22"/>
        </w:rPr>
        <w:t>postmenopausal hormones and risk of myocardial infarction. </w:t>
      </w:r>
      <w:r>
        <w:rPr>
          <w:i/>
          <w:sz w:val="22"/>
        </w:rPr>
        <w:t>Circulation</w:t>
      </w:r>
      <w:r>
        <w:rPr>
          <w:sz w:val="22"/>
        </w:rPr>
        <w:t>. 1981;64:42.</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Adam S, Williams V, Vessey MP. Cardiovascular disease and hormone replacement </w:t>
      </w:r>
      <w:r>
        <w:rPr>
          <w:sz w:val="22"/>
        </w:rPr>
        <w:t>treatment:</w:t>
      </w:r>
      <w:r>
        <w:rPr>
          <w:spacing w:val="80"/>
          <w:sz w:val="22"/>
        </w:rPr>
        <w:t> </w:t>
      </w:r>
      <w:r>
        <w:rPr>
          <w:sz w:val="22"/>
        </w:rPr>
        <w:t>a pilot case-control study. </w:t>
      </w:r>
      <w:r>
        <w:rPr>
          <w:i/>
          <w:sz w:val="22"/>
        </w:rPr>
        <w:t>Br Med J</w:t>
      </w:r>
      <w:r>
        <w:rPr>
          <w:sz w:val="22"/>
        </w:rPr>
        <w:t>. 1981;282:1277.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Szklo M, Tonascia J, Gordis L, Bloom I. Estrogen use and myocardial infarction risk: a case-control study. </w:t>
      </w:r>
      <w:r>
        <w:rPr>
          <w:i/>
          <w:sz w:val="22"/>
        </w:rPr>
        <w:t>Prev Med</w:t>
      </w:r>
      <w:r>
        <w:rPr>
          <w:sz w:val="22"/>
        </w:rPr>
        <w:t>. 1984;13:510.</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Sullivan JM, Vander Zwaag R, Lemp GF, et al. Postmenopausal estrogen use and coronary atherosclerosis. </w:t>
      </w:r>
      <w:r>
        <w:rPr>
          <w:i/>
          <w:sz w:val="22"/>
        </w:rPr>
        <w:t>Ann Intern Med</w:t>
      </w:r>
      <w:r>
        <w:rPr>
          <w:sz w:val="22"/>
        </w:rPr>
        <w:t>. 1988;108:358.</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Gruchow</w:t>
      </w:r>
      <w:r>
        <w:rPr>
          <w:spacing w:val="35"/>
          <w:sz w:val="22"/>
        </w:rPr>
        <w:t> </w:t>
      </w:r>
      <w:r>
        <w:rPr>
          <w:sz w:val="22"/>
        </w:rPr>
        <w:t>HW,</w:t>
      </w:r>
      <w:r>
        <w:rPr>
          <w:spacing w:val="35"/>
          <w:sz w:val="22"/>
        </w:rPr>
        <w:t> </w:t>
      </w:r>
      <w:r>
        <w:rPr>
          <w:sz w:val="22"/>
        </w:rPr>
        <w:t>Anderson</w:t>
      </w:r>
      <w:r>
        <w:rPr>
          <w:spacing w:val="35"/>
          <w:sz w:val="22"/>
        </w:rPr>
        <w:t> </w:t>
      </w:r>
      <w:r>
        <w:rPr>
          <w:sz w:val="22"/>
        </w:rPr>
        <w:t>AJ,</w:t>
      </w:r>
      <w:r>
        <w:rPr>
          <w:spacing w:val="35"/>
          <w:sz w:val="22"/>
        </w:rPr>
        <w:t> </w:t>
      </w:r>
      <w:r>
        <w:rPr>
          <w:sz w:val="22"/>
        </w:rPr>
        <w:t>Barboriak</w:t>
      </w:r>
      <w:r>
        <w:rPr>
          <w:spacing w:val="35"/>
          <w:sz w:val="22"/>
        </w:rPr>
        <w:t> </w:t>
      </w:r>
      <w:r>
        <w:rPr>
          <w:sz w:val="22"/>
        </w:rPr>
        <w:t>JJ,</w:t>
      </w:r>
      <w:r>
        <w:rPr>
          <w:spacing w:val="35"/>
          <w:sz w:val="22"/>
        </w:rPr>
        <w:t> </w:t>
      </w:r>
      <w:r>
        <w:rPr>
          <w:sz w:val="22"/>
        </w:rPr>
        <w:t>Sobocinski</w:t>
      </w:r>
      <w:r>
        <w:rPr>
          <w:spacing w:val="35"/>
          <w:sz w:val="22"/>
        </w:rPr>
        <w:t> </w:t>
      </w:r>
      <w:r>
        <w:rPr>
          <w:sz w:val="22"/>
        </w:rPr>
        <w:t>KA.</w:t>
      </w:r>
      <w:r>
        <w:rPr>
          <w:spacing w:val="35"/>
          <w:sz w:val="22"/>
        </w:rPr>
        <w:t> </w:t>
      </w:r>
      <w:r>
        <w:rPr>
          <w:sz w:val="22"/>
        </w:rPr>
        <w:t>Postmenopausal</w:t>
      </w:r>
      <w:r>
        <w:rPr>
          <w:spacing w:val="36"/>
          <w:sz w:val="22"/>
        </w:rPr>
        <w:t> </w:t>
      </w:r>
      <w:r>
        <w:rPr>
          <w:sz w:val="22"/>
        </w:rPr>
        <w:t>use</w:t>
      </w:r>
      <w:r>
        <w:rPr>
          <w:spacing w:val="36"/>
          <w:sz w:val="22"/>
        </w:rPr>
        <w:t> </w:t>
      </w:r>
      <w:r>
        <w:rPr>
          <w:sz w:val="22"/>
        </w:rPr>
        <w:t>of</w:t>
      </w:r>
      <w:r>
        <w:rPr>
          <w:spacing w:val="36"/>
          <w:sz w:val="22"/>
        </w:rPr>
        <w:t> </w:t>
      </w:r>
      <w:r>
        <w:rPr>
          <w:sz w:val="22"/>
        </w:rPr>
        <w:t>estrogen and occlusion of coronary arteries. </w:t>
      </w:r>
      <w:r>
        <w:rPr>
          <w:i/>
          <w:sz w:val="22"/>
        </w:rPr>
        <w:t>Am Heart J</w:t>
      </w:r>
      <w:r>
        <w:rPr>
          <w:sz w:val="22"/>
        </w:rPr>
        <w:t>. 1988;115:954.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McFarland K, Boniface M, Hornung C, Earnhardt W, Humphries J. Risk factors and noncontraceptive estrogen use in women with and without coronary disease. </w:t>
      </w:r>
      <w:r>
        <w:rPr>
          <w:i/>
          <w:sz w:val="22"/>
        </w:rPr>
        <w:t>Am Heart J</w:t>
      </w:r>
      <w:r>
        <w:rPr>
          <w:sz w:val="22"/>
        </w:rPr>
        <w:t>. </w:t>
      </w:r>
      <w:r>
        <w:rPr>
          <w:spacing w:val="-2"/>
          <w:sz w:val="22"/>
        </w:rPr>
        <w:t>1989;117:1209.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Hong MG, Romm PA, Reagan K, Green CE, Rackley CE. Effects of estrogen replacement therapy on serum lipid values and angiographically defined coronary artery disease </w:t>
      </w:r>
      <w:r>
        <w:rPr>
          <w:sz w:val="22"/>
        </w:rPr>
        <w:t>in postmenopausal women. </w:t>
      </w:r>
      <w:r>
        <w:rPr>
          <w:i/>
          <w:sz w:val="22"/>
        </w:rPr>
        <w:t>Am J Cardiol</w:t>
      </w:r>
      <w:r>
        <w:rPr>
          <w:sz w:val="22"/>
        </w:rPr>
        <w:t>. 1992;69:176.</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Psaty BM, Heckbart SR, Atkins D, et al. The risk of myocardial infarction associated with the combined use of estrogens and progestins in postmenopausal women. </w:t>
      </w:r>
      <w:r>
        <w:rPr>
          <w:i/>
          <w:sz w:val="22"/>
        </w:rPr>
        <w:t>Arch Intern Med</w:t>
      </w:r>
      <w:r>
        <w:rPr>
          <w:sz w:val="22"/>
        </w:rPr>
        <w:t>. </w:t>
      </w:r>
      <w:r>
        <w:rPr>
          <w:spacing w:val="-2"/>
          <w:sz w:val="22"/>
        </w:rPr>
        <w:t>1994;154:1333.</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Beard CM, Kottke TE, Annegers JF, Ballard DJ. The Rochester Coronary Heart </w:t>
      </w:r>
      <w:r>
        <w:rPr>
          <w:sz w:val="22"/>
        </w:rPr>
        <w:t>Disease</w:t>
      </w:r>
      <w:r>
        <w:rPr>
          <w:spacing w:val="80"/>
          <w:sz w:val="22"/>
        </w:rPr>
        <w:t> </w:t>
      </w:r>
      <w:r>
        <w:rPr>
          <w:sz w:val="22"/>
        </w:rPr>
        <w:t>Project:</w:t>
      </w:r>
      <w:r>
        <w:rPr>
          <w:spacing w:val="59"/>
          <w:sz w:val="22"/>
        </w:rPr>
        <w:t> </w:t>
      </w:r>
      <w:r>
        <w:rPr>
          <w:sz w:val="22"/>
        </w:rPr>
        <w:t>effect</w:t>
      </w:r>
      <w:r>
        <w:rPr>
          <w:spacing w:val="59"/>
          <w:sz w:val="22"/>
        </w:rPr>
        <w:t> </w:t>
      </w:r>
      <w:r>
        <w:rPr>
          <w:sz w:val="22"/>
        </w:rPr>
        <w:t>of</w:t>
      </w:r>
      <w:r>
        <w:rPr>
          <w:spacing w:val="59"/>
          <w:sz w:val="22"/>
        </w:rPr>
        <w:t> </w:t>
      </w:r>
      <w:r>
        <w:rPr>
          <w:sz w:val="22"/>
        </w:rPr>
        <w:t>cigarette</w:t>
      </w:r>
      <w:r>
        <w:rPr>
          <w:spacing w:val="59"/>
          <w:sz w:val="22"/>
        </w:rPr>
        <w:t> </w:t>
      </w:r>
      <w:r>
        <w:rPr>
          <w:sz w:val="22"/>
        </w:rPr>
        <w:t>smoking,</w:t>
      </w:r>
      <w:r>
        <w:rPr>
          <w:spacing w:val="59"/>
          <w:sz w:val="22"/>
        </w:rPr>
        <w:t> </w:t>
      </w:r>
      <w:r>
        <w:rPr>
          <w:sz w:val="22"/>
        </w:rPr>
        <w:t>hypertension,</w:t>
      </w:r>
      <w:r>
        <w:rPr>
          <w:spacing w:val="59"/>
          <w:sz w:val="22"/>
        </w:rPr>
        <w:t> </w:t>
      </w:r>
      <w:r>
        <w:rPr>
          <w:sz w:val="22"/>
        </w:rPr>
        <w:t>diabetes,</w:t>
      </w:r>
      <w:r>
        <w:rPr>
          <w:spacing w:val="59"/>
          <w:sz w:val="22"/>
        </w:rPr>
        <w:t> </w:t>
      </w:r>
      <w:r>
        <w:rPr>
          <w:sz w:val="22"/>
        </w:rPr>
        <w:t>and</w:t>
      </w:r>
      <w:r>
        <w:rPr>
          <w:spacing w:val="59"/>
          <w:sz w:val="22"/>
        </w:rPr>
        <w:t> </w:t>
      </w:r>
      <w:r>
        <w:rPr>
          <w:sz w:val="22"/>
        </w:rPr>
        <w:t>steroidal</w:t>
      </w:r>
      <w:r>
        <w:rPr>
          <w:spacing w:val="59"/>
          <w:sz w:val="22"/>
        </w:rPr>
        <w:t> </w:t>
      </w:r>
      <w:r>
        <w:rPr>
          <w:sz w:val="22"/>
        </w:rPr>
        <w:t>estrogen</w:t>
      </w:r>
      <w:r>
        <w:rPr>
          <w:spacing w:val="59"/>
          <w:sz w:val="22"/>
        </w:rPr>
        <w:t> </w:t>
      </w:r>
      <w:r>
        <w:rPr>
          <w:sz w:val="22"/>
        </w:rPr>
        <w:t>use</w:t>
      </w:r>
      <w:r>
        <w:rPr>
          <w:spacing w:val="59"/>
          <w:sz w:val="22"/>
        </w:rPr>
        <w:t> </w:t>
      </w:r>
      <w:r>
        <w:rPr>
          <w:sz w:val="22"/>
        </w:rPr>
        <w:t>on</w:t>
      </w:r>
    </w:p>
    <w:p>
      <w:pPr>
        <w:pStyle w:val="ListParagraph"/>
        <w:spacing w:after="0" w:line="256" w:lineRule="auto"/>
        <w:jc w:val="both"/>
        <w:rPr>
          <w:sz w:val="22"/>
        </w:rPr>
        <w:sectPr>
          <w:pgSz w:w="12240" w:h="15840"/>
          <w:pgMar w:top="1360" w:bottom="280" w:left="1440" w:right="1440"/>
        </w:sectPr>
      </w:pPr>
    </w:p>
    <w:p>
      <w:pPr>
        <w:spacing w:line="256" w:lineRule="auto" w:before="84"/>
        <w:ind w:left="718" w:right="102" w:firstLine="0"/>
        <w:jc w:val="both"/>
        <w:rPr>
          <w:sz w:val="22"/>
        </w:rPr>
      </w:pPr>
      <w:r>
        <w:rPr>
          <w:sz w:val="22"/>
        </w:rPr>
        <w:t>coronary heart disease among 40- to 59-year-old women, 1960 through 1982. </w:t>
      </w:r>
      <w:r>
        <w:rPr>
          <w:i/>
          <w:sz w:val="22"/>
        </w:rPr>
        <w:t>Mayo Clin Proc</w:t>
      </w:r>
      <w:r>
        <w:rPr>
          <w:sz w:val="22"/>
        </w:rPr>
        <w:t>. </w:t>
      </w:r>
      <w:r>
        <w:rPr>
          <w:spacing w:val="-2"/>
          <w:sz w:val="22"/>
        </w:rPr>
        <w:t>1989;64:1471.</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Newton</w:t>
      </w:r>
      <w:r>
        <w:rPr>
          <w:spacing w:val="40"/>
          <w:sz w:val="22"/>
        </w:rPr>
        <w:t> </w:t>
      </w:r>
      <w:r>
        <w:rPr>
          <w:sz w:val="22"/>
        </w:rPr>
        <w:t>KM,</w:t>
      </w:r>
      <w:r>
        <w:rPr>
          <w:spacing w:val="40"/>
          <w:sz w:val="22"/>
        </w:rPr>
        <w:t> </w:t>
      </w:r>
      <w:r>
        <w:rPr>
          <w:sz w:val="22"/>
        </w:rPr>
        <w:t>LaCroix</w:t>
      </w:r>
      <w:r>
        <w:rPr>
          <w:spacing w:val="40"/>
          <w:sz w:val="22"/>
        </w:rPr>
        <w:t> </w:t>
      </w:r>
      <w:r>
        <w:rPr>
          <w:sz w:val="22"/>
        </w:rPr>
        <w:t>AZ,</w:t>
      </w:r>
      <w:r>
        <w:rPr>
          <w:spacing w:val="40"/>
          <w:sz w:val="22"/>
        </w:rPr>
        <w:t> </w:t>
      </w:r>
      <w:r>
        <w:rPr>
          <w:sz w:val="22"/>
        </w:rPr>
        <w:t>McKnight</w:t>
      </w:r>
      <w:r>
        <w:rPr>
          <w:spacing w:val="40"/>
          <w:sz w:val="22"/>
        </w:rPr>
        <w:t> </w:t>
      </w:r>
      <w:r>
        <w:rPr>
          <w:sz w:val="22"/>
        </w:rPr>
        <w:t>B,</w:t>
      </w:r>
      <w:r>
        <w:rPr>
          <w:spacing w:val="40"/>
          <w:sz w:val="22"/>
        </w:rPr>
        <w:t> </w:t>
      </w:r>
      <w:r>
        <w:rPr>
          <w:sz w:val="22"/>
        </w:rPr>
        <w:t>et</w:t>
      </w:r>
      <w:r>
        <w:rPr>
          <w:spacing w:val="40"/>
          <w:sz w:val="22"/>
        </w:rPr>
        <w:t> </w:t>
      </w:r>
      <w:r>
        <w:rPr>
          <w:sz w:val="22"/>
        </w:rPr>
        <w:t>al.</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prognosis after first myocardial infarction. </w:t>
      </w:r>
      <w:r>
        <w:rPr>
          <w:i/>
          <w:sz w:val="22"/>
        </w:rPr>
        <w:t>Am J Epidemiol</w:t>
      </w:r>
      <w:r>
        <w:rPr>
          <w:sz w:val="22"/>
        </w:rPr>
        <w:t>. 1997;145:269.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Heckbert SR, Weiss NS, Koepsell TD, et al. Duration of estrogen replacement therapy in</w:t>
      </w:r>
      <w:r>
        <w:rPr>
          <w:spacing w:val="40"/>
          <w:sz w:val="22"/>
        </w:rPr>
        <w:t> </w:t>
      </w:r>
      <w:r>
        <w:rPr>
          <w:sz w:val="22"/>
        </w:rPr>
        <w:t>relation to the risk of incident myocardial infarction in postmenopausal women. </w:t>
      </w:r>
      <w:r>
        <w:rPr>
          <w:i/>
          <w:sz w:val="22"/>
        </w:rPr>
        <w:t>Arch </w:t>
      </w:r>
      <w:r>
        <w:rPr>
          <w:i/>
          <w:sz w:val="22"/>
        </w:rPr>
        <w:t>Intern</w:t>
      </w:r>
      <w:r>
        <w:rPr>
          <w:i/>
          <w:sz w:val="22"/>
        </w:rPr>
        <w:t> Med</w:t>
      </w:r>
      <w:r>
        <w:rPr>
          <w:sz w:val="22"/>
        </w:rPr>
        <w:t>. 1997;157:1330.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Varas-Lorenzo C, García-Rodríguez LA, Perez-Gutthann S, Duque-Oliart A. </w:t>
      </w:r>
      <w:r>
        <w:rPr>
          <w:sz w:val="22"/>
        </w:rPr>
        <w:t>Hormone replacement therapy and incidence of acute myocardial infarction: a population-based nested case-control study. </w:t>
      </w:r>
      <w:r>
        <w:rPr>
          <w:i/>
          <w:sz w:val="22"/>
        </w:rPr>
        <w:t>Circulation</w:t>
      </w:r>
      <w:r>
        <w:rPr>
          <w:sz w:val="22"/>
        </w:rPr>
        <w:t>. 2000;101:2572.</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Rodriguez</w:t>
      </w:r>
      <w:r>
        <w:rPr>
          <w:spacing w:val="23"/>
          <w:sz w:val="22"/>
        </w:rPr>
        <w:t> </w:t>
      </w:r>
      <w:r>
        <w:rPr>
          <w:sz w:val="22"/>
        </w:rPr>
        <w:t>C,</w:t>
      </w:r>
      <w:r>
        <w:rPr>
          <w:spacing w:val="23"/>
          <w:sz w:val="22"/>
        </w:rPr>
        <w:t> </w:t>
      </w:r>
      <w:r>
        <w:rPr>
          <w:sz w:val="22"/>
        </w:rPr>
        <w:t>Calle</w:t>
      </w:r>
      <w:r>
        <w:rPr>
          <w:spacing w:val="23"/>
          <w:sz w:val="22"/>
        </w:rPr>
        <w:t> </w:t>
      </w:r>
      <w:r>
        <w:rPr>
          <w:sz w:val="22"/>
        </w:rPr>
        <w:t>EE,</w:t>
      </w:r>
      <w:r>
        <w:rPr>
          <w:spacing w:val="23"/>
          <w:sz w:val="22"/>
        </w:rPr>
        <w:t> </w:t>
      </w:r>
      <w:r>
        <w:rPr>
          <w:sz w:val="22"/>
        </w:rPr>
        <w:t>Patel</w:t>
      </w:r>
      <w:r>
        <w:rPr>
          <w:spacing w:val="23"/>
          <w:sz w:val="22"/>
        </w:rPr>
        <w:t> </w:t>
      </w:r>
      <w:r>
        <w:rPr>
          <w:sz w:val="22"/>
        </w:rPr>
        <w:t>AV,</w:t>
      </w:r>
      <w:r>
        <w:rPr>
          <w:spacing w:val="23"/>
          <w:sz w:val="22"/>
        </w:rPr>
        <w:t> </w:t>
      </w:r>
      <w:r>
        <w:rPr>
          <w:sz w:val="22"/>
        </w:rPr>
        <w:t>Tatham</w:t>
      </w:r>
      <w:r>
        <w:rPr>
          <w:spacing w:val="23"/>
          <w:sz w:val="22"/>
        </w:rPr>
        <w:t> </w:t>
      </w:r>
      <w:r>
        <w:rPr>
          <w:sz w:val="22"/>
        </w:rPr>
        <w:t>LM,</w:t>
      </w:r>
      <w:r>
        <w:rPr>
          <w:spacing w:val="23"/>
          <w:sz w:val="22"/>
        </w:rPr>
        <w:t> </w:t>
      </w:r>
      <w:r>
        <w:rPr>
          <w:sz w:val="22"/>
        </w:rPr>
        <w:t>Jacobs</w:t>
      </w:r>
      <w:r>
        <w:rPr>
          <w:spacing w:val="23"/>
          <w:sz w:val="22"/>
        </w:rPr>
        <w:t> </w:t>
      </w:r>
      <w:r>
        <w:rPr>
          <w:sz w:val="22"/>
        </w:rPr>
        <w:t>EJ,</w:t>
      </w:r>
      <w:r>
        <w:rPr>
          <w:spacing w:val="23"/>
          <w:sz w:val="22"/>
        </w:rPr>
        <w:t> </w:t>
      </w:r>
      <w:r>
        <w:rPr>
          <w:sz w:val="22"/>
        </w:rPr>
        <w:t>Thun</w:t>
      </w:r>
      <w:r>
        <w:rPr>
          <w:spacing w:val="23"/>
          <w:sz w:val="22"/>
        </w:rPr>
        <w:t> </w:t>
      </w:r>
      <w:r>
        <w:rPr>
          <w:sz w:val="22"/>
        </w:rPr>
        <w:t>MJ.</w:t>
      </w:r>
      <w:r>
        <w:rPr>
          <w:spacing w:val="22"/>
          <w:sz w:val="22"/>
        </w:rPr>
        <w:t> </w:t>
      </w:r>
      <w:r>
        <w:rPr>
          <w:sz w:val="22"/>
        </w:rPr>
        <w:t>Effect</w:t>
      </w:r>
      <w:r>
        <w:rPr>
          <w:spacing w:val="23"/>
          <w:sz w:val="22"/>
        </w:rPr>
        <w:t> </w:t>
      </w:r>
      <w:r>
        <w:rPr>
          <w:sz w:val="22"/>
        </w:rPr>
        <w:t>of</w:t>
      </w:r>
      <w:r>
        <w:rPr>
          <w:spacing w:val="23"/>
          <w:sz w:val="22"/>
        </w:rPr>
        <w:t> </w:t>
      </w:r>
      <w:r>
        <w:rPr>
          <w:sz w:val="22"/>
        </w:rPr>
        <w:t>body</w:t>
      </w:r>
      <w:r>
        <w:rPr>
          <w:spacing w:val="23"/>
          <w:sz w:val="22"/>
        </w:rPr>
        <w:t> </w:t>
      </w:r>
      <w:r>
        <w:rPr>
          <w:sz w:val="22"/>
        </w:rPr>
        <w:t>mass</w:t>
      </w:r>
      <w:r>
        <w:rPr>
          <w:spacing w:val="23"/>
          <w:sz w:val="22"/>
        </w:rPr>
        <w:t> </w:t>
      </w:r>
      <w:r>
        <w:rPr>
          <w:sz w:val="22"/>
        </w:rPr>
        <w:t>on the</w:t>
      </w:r>
      <w:r>
        <w:rPr>
          <w:spacing w:val="40"/>
          <w:sz w:val="22"/>
        </w:rPr>
        <w:t> </w:t>
      </w:r>
      <w:r>
        <w:rPr>
          <w:sz w:val="22"/>
        </w:rPr>
        <w:t>association</w:t>
      </w:r>
      <w:r>
        <w:rPr>
          <w:spacing w:val="40"/>
          <w:sz w:val="22"/>
        </w:rPr>
        <w:t> </w:t>
      </w:r>
      <w:r>
        <w:rPr>
          <w:sz w:val="22"/>
        </w:rPr>
        <w:t>between</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mortality</w:t>
      </w:r>
      <w:r>
        <w:rPr>
          <w:spacing w:val="40"/>
          <w:sz w:val="22"/>
        </w:rPr>
        <w:t> </w:t>
      </w:r>
      <w:r>
        <w:rPr>
          <w:sz w:val="22"/>
        </w:rPr>
        <w:t>among</w:t>
      </w:r>
      <w:r>
        <w:rPr>
          <w:spacing w:val="40"/>
          <w:sz w:val="22"/>
        </w:rPr>
        <w:t> </w:t>
      </w:r>
      <w:r>
        <w:rPr>
          <w:sz w:val="22"/>
        </w:rPr>
        <w:t>elderly</w:t>
      </w:r>
      <w:r>
        <w:rPr>
          <w:spacing w:val="40"/>
          <w:sz w:val="22"/>
        </w:rPr>
        <w:t> </w:t>
      </w:r>
      <w:r>
        <w:rPr>
          <w:sz w:val="22"/>
        </w:rPr>
        <w:t>US women. </w:t>
      </w:r>
      <w:r>
        <w:rPr>
          <w:i/>
          <w:sz w:val="22"/>
        </w:rPr>
        <w:t>Am J Epidemiol</w:t>
      </w:r>
      <w:r>
        <w:rPr>
          <w:sz w:val="22"/>
        </w:rPr>
        <w:t>. 2001;153:145.</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Shlipak MG, Angeja BG, Go AS, et al. Hormone therapy and in-hospital survival </w:t>
      </w:r>
      <w:r>
        <w:rPr>
          <w:sz w:val="22"/>
        </w:rPr>
        <w:t>after myocardial infarction in postmenopausal women. </w:t>
      </w:r>
      <w:r>
        <w:rPr>
          <w:i/>
          <w:sz w:val="22"/>
        </w:rPr>
        <w:t>Circulation</w:t>
      </w:r>
      <w:r>
        <w:rPr>
          <w:sz w:val="22"/>
        </w:rPr>
        <w:t>. 2001;104:2300.</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Reis SE, Holubkov R, Young JB, White BG, Cohn JN, Feldman AM. Estrogen is associated</w:t>
      </w:r>
      <w:r>
        <w:rPr>
          <w:spacing w:val="40"/>
          <w:sz w:val="22"/>
        </w:rPr>
        <w:t> </w:t>
      </w:r>
      <w:r>
        <w:rPr>
          <w:sz w:val="22"/>
        </w:rPr>
        <w:t>with improved survival in aging women with congestive heart failure: analysis of </w:t>
      </w:r>
      <w:r>
        <w:rPr>
          <w:sz w:val="22"/>
        </w:rPr>
        <w:t>the vesnarinone studies. </w:t>
      </w:r>
      <w:r>
        <w:rPr>
          <w:i/>
          <w:sz w:val="22"/>
        </w:rPr>
        <w:t>J Am Coll Cardiol</w:t>
      </w:r>
      <w:r>
        <w:rPr>
          <w:sz w:val="22"/>
        </w:rPr>
        <w:t>. 2000;36:529.</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Westendrorp</w:t>
      </w:r>
      <w:r>
        <w:rPr>
          <w:spacing w:val="40"/>
          <w:sz w:val="22"/>
        </w:rPr>
        <w:t> </w:t>
      </w:r>
      <w:r>
        <w:rPr>
          <w:sz w:val="22"/>
        </w:rPr>
        <w:t>IC,</w:t>
      </w:r>
      <w:r>
        <w:rPr>
          <w:spacing w:val="40"/>
          <w:sz w:val="22"/>
        </w:rPr>
        <w:t> </w:t>
      </w:r>
      <w:r>
        <w:rPr>
          <w:sz w:val="22"/>
        </w:rPr>
        <w:t>in’t</w:t>
      </w:r>
      <w:r>
        <w:rPr>
          <w:spacing w:val="40"/>
          <w:sz w:val="22"/>
        </w:rPr>
        <w:t> </w:t>
      </w:r>
      <w:r>
        <w:rPr>
          <w:sz w:val="22"/>
        </w:rPr>
        <w:t>Veld</w:t>
      </w:r>
      <w:r>
        <w:rPr>
          <w:spacing w:val="40"/>
          <w:sz w:val="22"/>
        </w:rPr>
        <w:t> </w:t>
      </w:r>
      <w:r>
        <w:rPr>
          <w:sz w:val="22"/>
        </w:rPr>
        <w:t>BA,</w:t>
      </w:r>
      <w:r>
        <w:rPr>
          <w:spacing w:val="40"/>
          <w:sz w:val="22"/>
        </w:rPr>
        <w:t> </w:t>
      </w:r>
      <w:r>
        <w:rPr>
          <w:sz w:val="22"/>
        </w:rPr>
        <w:t>Grobbee</w:t>
      </w:r>
      <w:r>
        <w:rPr>
          <w:spacing w:val="40"/>
          <w:sz w:val="22"/>
        </w:rPr>
        <w:t> </w:t>
      </w:r>
      <w:r>
        <w:rPr>
          <w:sz w:val="22"/>
        </w:rPr>
        <w:t>DE,</w:t>
      </w:r>
      <w:r>
        <w:rPr>
          <w:spacing w:val="40"/>
          <w:sz w:val="22"/>
        </w:rPr>
        <w:t> </w:t>
      </w:r>
      <w:r>
        <w:rPr>
          <w:sz w:val="22"/>
        </w:rPr>
        <w:t>et</w:t>
      </w:r>
      <w:r>
        <w:rPr>
          <w:spacing w:val="40"/>
          <w:sz w:val="22"/>
        </w:rPr>
        <w:t> </w:t>
      </w:r>
      <w:r>
        <w:rPr>
          <w:sz w:val="22"/>
        </w:rPr>
        <w:t>al.</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and peripheral arterial disease: the Rotterdam Study. </w:t>
      </w:r>
      <w:r>
        <w:rPr>
          <w:i/>
          <w:sz w:val="22"/>
        </w:rPr>
        <w:t>Arch Intern Med</w:t>
      </w:r>
      <w:r>
        <w:rPr>
          <w:sz w:val="22"/>
        </w:rPr>
        <w:t>. 2000;160:2498.</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Burch JC, Byrd BF, Vaughn WK. The effects of long-term estrogen on </w:t>
      </w:r>
      <w:r>
        <w:rPr>
          <w:sz w:val="22"/>
        </w:rPr>
        <w:t>hysterectomized</w:t>
      </w:r>
      <w:r>
        <w:rPr>
          <w:spacing w:val="80"/>
          <w:sz w:val="22"/>
        </w:rPr>
        <w:t> </w:t>
      </w:r>
      <w:r>
        <w:rPr>
          <w:sz w:val="22"/>
        </w:rPr>
        <w:t>women. </w:t>
      </w:r>
      <w:r>
        <w:rPr>
          <w:i/>
          <w:sz w:val="22"/>
        </w:rPr>
        <w:t>Am J Obstet Gynecol</w:t>
      </w:r>
      <w:r>
        <w:rPr>
          <w:sz w:val="22"/>
        </w:rPr>
        <w:t>. 1974;118:778.</w:t>
      </w:r>
    </w:p>
    <w:p>
      <w:pPr>
        <w:pStyle w:val="ListParagraph"/>
        <w:numPr>
          <w:ilvl w:val="0"/>
          <w:numId w:val="19"/>
        </w:numPr>
        <w:tabs>
          <w:tab w:pos="699" w:val="left" w:leader="none"/>
          <w:tab w:pos="718" w:val="left" w:leader="none"/>
        </w:tabs>
        <w:spacing w:line="256" w:lineRule="auto" w:before="0" w:after="0"/>
        <w:ind w:left="718" w:right="110" w:hanging="507"/>
        <w:jc w:val="both"/>
        <w:rPr>
          <w:sz w:val="22"/>
        </w:rPr>
      </w:pPr>
      <w:r>
        <w:rPr>
          <w:sz w:val="22"/>
        </w:rPr>
        <w:t>Gordon</w:t>
      </w:r>
      <w:r>
        <w:rPr>
          <w:spacing w:val="40"/>
          <w:sz w:val="22"/>
        </w:rPr>
        <w:t> </w:t>
      </w:r>
      <w:r>
        <w:rPr>
          <w:sz w:val="22"/>
        </w:rPr>
        <w:t>T,</w:t>
      </w:r>
      <w:r>
        <w:rPr>
          <w:spacing w:val="40"/>
          <w:sz w:val="22"/>
        </w:rPr>
        <w:t> </w:t>
      </w:r>
      <w:r>
        <w:rPr>
          <w:sz w:val="22"/>
        </w:rPr>
        <w:t>Kannel</w:t>
      </w:r>
      <w:r>
        <w:rPr>
          <w:spacing w:val="40"/>
          <w:sz w:val="22"/>
        </w:rPr>
        <w:t> </w:t>
      </w:r>
      <w:r>
        <w:rPr>
          <w:sz w:val="22"/>
        </w:rPr>
        <w:t>WB,</w:t>
      </w:r>
      <w:r>
        <w:rPr>
          <w:spacing w:val="40"/>
          <w:sz w:val="22"/>
        </w:rPr>
        <w:t> </w:t>
      </w:r>
      <w:r>
        <w:rPr>
          <w:sz w:val="22"/>
        </w:rPr>
        <w:t>Hjortland</w:t>
      </w:r>
      <w:r>
        <w:rPr>
          <w:spacing w:val="40"/>
          <w:sz w:val="22"/>
        </w:rPr>
        <w:t> </w:t>
      </w:r>
      <w:r>
        <w:rPr>
          <w:sz w:val="22"/>
        </w:rPr>
        <w:t>MC,</w:t>
      </w:r>
      <w:r>
        <w:rPr>
          <w:spacing w:val="40"/>
          <w:sz w:val="22"/>
        </w:rPr>
        <w:t> </w:t>
      </w:r>
      <w:r>
        <w:rPr>
          <w:sz w:val="22"/>
        </w:rPr>
        <w:t>McNamara</w:t>
      </w:r>
      <w:r>
        <w:rPr>
          <w:spacing w:val="40"/>
          <w:sz w:val="22"/>
        </w:rPr>
        <w:t> </w:t>
      </w:r>
      <w:r>
        <w:rPr>
          <w:sz w:val="22"/>
        </w:rPr>
        <w:t>PM.</w:t>
      </w:r>
      <w:r>
        <w:rPr>
          <w:spacing w:val="40"/>
          <w:sz w:val="22"/>
        </w:rPr>
        <w:t> </w:t>
      </w:r>
      <w:r>
        <w:rPr>
          <w:sz w:val="22"/>
        </w:rPr>
        <w:t>Menopause</w:t>
      </w:r>
      <w:r>
        <w:rPr>
          <w:spacing w:val="40"/>
          <w:sz w:val="22"/>
        </w:rPr>
        <w:t> </w:t>
      </w:r>
      <w:r>
        <w:rPr>
          <w:sz w:val="22"/>
        </w:rPr>
        <w:t>and</w:t>
      </w:r>
      <w:r>
        <w:rPr>
          <w:spacing w:val="40"/>
          <w:sz w:val="22"/>
        </w:rPr>
        <w:t> </w:t>
      </w:r>
      <w:r>
        <w:rPr>
          <w:sz w:val="22"/>
        </w:rPr>
        <w:t>coronary</w:t>
      </w:r>
      <w:r>
        <w:rPr>
          <w:spacing w:val="40"/>
          <w:sz w:val="22"/>
        </w:rPr>
        <w:t> </w:t>
      </w:r>
      <w:r>
        <w:rPr>
          <w:sz w:val="22"/>
        </w:rPr>
        <w:t>heart disease: the Framingham Study. </w:t>
      </w:r>
      <w:r>
        <w:rPr>
          <w:i/>
          <w:sz w:val="22"/>
        </w:rPr>
        <w:t>Ann Intern Med</w:t>
      </w:r>
      <w:r>
        <w:rPr>
          <w:sz w:val="22"/>
        </w:rPr>
        <w:t>. 1978;89:37.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Hammond CB, Jelovsek FR, Lee KL, Creasman WT, Parker RT. Effects of long-term </w:t>
      </w:r>
      <w:r>
        <w:rPr>
          <w:sz w:val="22"/>
        </w:rPr>
        <w:t>estrogen replacement therapy: I. Metabolic effects. </w:t>
      </w:r>
      <w:r>
        <w:rPr>
          <w:i/>
          <w:sz w:val="22"/>
        </w:rPr>
        <w:t>Am J Obstet Gynecol</w:t>
      </w:r>
      <w:r>
        <w:rPr>
          <w:sz w:val="22"/>
        </w:rPr>
        <w:t>. 1979;133:525.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Wilson PWF, Garrison RJ, Castelli WP. Postmenopausal estrogen use, cigarette smoking, and cardiovascular morbidity in women over 50. </w:t>
      </w:r>
      <w:r>
        <w:rPr>
          <w:i/>
          <w:sz w:val="22"/>
        </w:rPr>
        <w:t>N Engl J Med</w:t>
      </w:r>
      <w:r>
        <w:rPr>
          <w:sz w:val="22"/>
        </w:rPr>
        <w:t>. 1985;313:1038.</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Bush TL, Barrett-Connor E, Cowan DK, et al. Cardiovascular mortality and </w:t>
      </w:r>
      <w:r>
        <w:rPr>
          <w:sz w:val="22"/>
        </w:rPr>
        <w:t>noncontraceptive use of estrogen in women: results from the Lipid Research Clinics Program Follow-up Study. </w:t>
      </w:r>
      <w:r>
        <w:rPr>
          <w:i/>
          <w:sz w:val="22"/>
        </w:rPr>
        <w:t>Circulation</w:t>
      </w:r>
      <w:r>
        <w:rPr>
          <w:sz w:val="22"/>
        </w:rPr>
        <w:t>. 1987;75:1102.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Criqui MH, Suarez L, Barrett-Connor E, McPhillips J, Wingard DL, Garland </w:t>
      </w:r>
      <w:r>
        <w:rPr>
          <w:sz w:val="22"/>
        </w:rPr>
        <w:t>C.</w:t>
      </w:r>
      <w:r>
        <w:rPr>
          <w:spacing w:val="80"/>
          <w:sz w:val="22"/>
        </w:rPr>
        <w:t> </w:t>
      </w:r>
      <w:r>
        <w:rPr>
          <w:sz w:val="22"/>
        </w:rPr>
        <w:t>Postmenopausal estrogen use and mortality. </w:t>
      </w:r>
      <w:r>
        <w:rPr>
          <w:i/>
          <w:sz w:val="22"/>
        </w:rPr>
        <w:t>Am J Epidemiol</w:t>
      </w:r>
      <w:r>
        <w:rPr>
          <w:sz w:val="22"/>
        </w:rPr>
        <w:t>. 1988;128:606.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Henderson BE, Paganini-Hill A, Ross RK. Estrogen replacement therapy and protection </w:t>
      </w:r>
      <w:r>
        <w:rPr>
          <w:sz w:val="22"/>
        </w:rPr>
        <w:t>from acute myocardial infarction. </w:t>
      </w:r>
      <w:r>
        <w:rPr>
          <w:i/>
          <w:sz w:val="22"/>
        </w:rPr>
        <w:t>Am J Obstet Gynecol</w:t>
      </w:r>
      <w:r>
        <w:rPr>
          <w:sz w:val="22"/>
        </w:rPr>
        <w:t>. 1988;159:312.</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Perlman J, Wolff P, Finucane F, Madans J. Menopause and the epidemiology of </w:t>
      </w:r>
      <w:r>
        <w:rPr>
          <w:sz w:val="22"/>
        </w:rPr>
        <w:t>cardiovascular disease in women. </w:t>
      </w:r>
      <w:r>
        <w:rPr>
          <w:i/>
          <w:sz w:val="22"/>
        </w:rPr>
        <w:t>Prog Clin Biol Res</w:t>
      </w:r>
      <w:r>
        <w:rPr>
          <w:sz w:val="22"/>
        </w:rPr>
        <w:t>. 1989;320:283.</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Lafferty FW, Fiske ME. Postmenopausal estrogen replacement: a long-term cohort study. </w:t>
      </w:r>
      <w:r>
        <w:rPr>
          <w:i/>
          <w:sz w:val="22"/>
        </w:rPr>
        <w:t>Am </w:t>
      </w:r>
      <w:r>
        <w:rPr>
          <w:i/>
          <w:sz w:val="22"/>
        </w:rPr>
        <w:t>J</w:t>
      </w:r>
      <w:r>
        <w:rPr>
          <w:i/>
          <w:sz w:val="22"/>
        </w:rPr>
        <w:t> Med</w:t>
      </w:r>
      <w:r>
        <w:rPr>
          <w:sz w:val="22"/>
        </w:rPr>
        <w:t>. 1994;97:66.</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Folsom AR, Mink PJ, Sellers TA, Hong C-P, Zheng W, Potter JD. Hormonal </w:t>
      </w:r>
      <w:r>
        <w:rPr>
          <w:sz w:val="22"/>
        </w:rPr>
        <w:t>replacement therapy and morbidity and mortality in a prospective study of postmenopausal women. </w:t>
      </w:r>
      <w:r>
        <w:rPr>
          <w:i/>
          <w:sz w:val="22"/>
        </w:rPr>
        <w:t>Am J</w:t>
      </w:r>
      <w:r>
        <w:rPr>
          <w:i/>
          <w:sz w:val="22"/>
        </w:rPr>
        <w:t> Public Health</w:t>
      </w:r>
      <w:r>
        <w:rPr>
          <w:sz w:val="22"/>
        </w:rPr>
        <w:t>. 1995;85:1128.</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Grodstein F, Stampfer MJ, Manson JE, et al. Postmenopausal estrogen and progestin use </w:t>
      </w:r>
      <w:r>
        <w:rPr>
          <w:sz w:val="22"/>
        </w:rPr>
        <w:t>and</w:t>
      </w:r>
      <w:r>
        <w:rPr>
          <w:spacing w:val="40"/>
          <w:sz w:val="22"/>
        </w:rPr>
        <w:t> </w:t>
      </w:r>
      <w:r>
        <w:rPr>
          <w:sz w:val="22"/>
        </w:rPr>
        <w:t>risk of cardiovascular disease. </w:t>
      </w:r>
      <w:r>
        <w:rPr>
          <w:i/>
          <w:sz w:val="22"/>
        </w:rPr>
        <w:t>N Engl J Med</w:t>
      </w:r>
      <w:r>
        <w:rPr>
          <w:sz w:val="22"/>
        </w:rPr>
        <w:t>. 1996;335:453.</w:t>
      </w:r>
    </w:p>
    <w:p>
      <w:pPr>
        <w:pStyle w:val="ListParagraph"/>
        <w:numPr>
          <w:ilvl w:val="0"/>
          <w:numId w:val="19"/>
        </w:numPr>
        <w:tabs>
          <w:tab w:pos="710" w:val="left" w:leader="none"/>
        </w:tabs>
        <w:spacing w:line="252" w:lineRule="exact" w:before="0" w:after="0"/>
        <w:ind w:left="710" w:right="0" w:hanging="498"/>
        <w:jc w:val="both"/>
        <w:rPr>
          <w:sz w:val="22"/>
        </w:rPr>
      </w:pPr>
      <w:r>
        <w:rPr>
          <w:sz w:val="22"/>
        </w:rPr>
        <w:t>Grodstein</w:t>
      </w:r>
      <w:r>
        <w:rPr>
          <w:spacing w:val="17"/>
          <w:sz w:val="22"/>
        </w:rPr>
        <w:t> </w:t>
      </w:r>
      <w:r>
        <w:rPr>
          <w:sz w:val="22"/>
        </w:rPr>
        <w:t>F,</w:t>
      </w:r>
      <w:r>
        <w:rPr>
          <w:spacing w:val="18"/>
          <w:sz w:val="22"/>
        </w:rPr>
        <w:t> </w:t>
      </w:r>
      <w:r>
        <w:rPr>
          <w:sz w:val="22"/>
        </w:rPr>
        <w:t>Stampfer</w:t>
      </w:r>
      <w:r>
        <w:rPr>
          <w:spacing w:val="18"/>
          <w:sz w:val="22"/>
        </w:rPr>
        <w:t> </w:t>
      </w:r>
      <w:r>
        <w:rPr>
          <w:sz w:val="22"/>
        </w:rPr>
        <w:t>MJ,</w:t>
      </w:r>
      <w:r>
        <w:rPr>
          <w:spacing w:val="17"/>
          <w:sz w:val="22"/>
        </w:rPr>
        <w:t> </w:t>
      </w:r>
      <w:r>
        <w:rPr>
          <w:sz w:val="22"/>
        </w:rPr>
        <w:t>Colditz</w:t>
      </w:r>
      <w:r>
        <w:rPr>
          <w:spacing w:val="18"/>
          <w:sz w:val="22"/>
        </w:rPr>
        <w:t> </w:t>
      </w:r>
      <w:r>
        <w:rPr>
          <w:sz w:val="22"/>
        </w:rPr>
        <w:t>GA,</w:t>
      </w:r>
      <w:r>
        <w:rPr>
          <w:spacing w:val="18"/>
          <w:sz w:val="22"/>
        </w:rPr>
        <w:t> </w:t>
      </w:r>
      <w:r>
        <w:rPr>
          <w:sz w:val="22"/>
        </w:rPr>
        <w:t>et</w:t>
      </w:r>
      <w:r>
        <w:rPr>
          <w:spacing w:val="17"/>
          <w:sz w:val="22"/>
        </w:rPr>
        <w:t> </w:t>
      </w:r>
      <w:r>
        <w:rPr>
          <w:sz w:val="22"/>
        </w:rPr>
        <w:t>al.</w:t>
      </w:r>
      <w:r>
        <w:rPr>
          <w:spacing w:val="18"/>
          <w:sz w:val="22"/>
        </w:rPr>
        <w:t> </w:t>
      </w:r>
      <w:r>
        <w:rPr>
          <w:sz w:val="22"/>
        </w:rPr>
        <w:t>Postmenopausal</w:t>
      </w:r>
      <w:r>
        <w:rPr>
          <w:spacing w:val="18"/>
          <w:sz w:val="22"/>
        </w:rPr>
        <w:t> </w:t>
      </w:r>
      <w:r>
        <w:rPr>
          <w:sz w:val="22"/>
        </w:rPr>
        <w:t>hormone</w:t>
      </w:r>
      <w:r>
        <w:rPr>
          <w:spacing w:val="18"/>
          <w:sz w:val="22"/>
        </w:rPr>
        <w:t> </w:t>
      </w:r>
      <w:r>
        <w:rPr>
          <w:sz w:val="22"/>
        </w:rPr>
        <w:t>therapy</w:t>
      </w:r>
      <w:r>
        <w:rPr>
          <w:spacing w:val="17"/>
          <w:sz w:val="22"/>
        </w:rPr>
        <w:t> </w:t>
      </w:r>
      <w:r>
        <w:rPr>
          <w:sz w:val="22"/>
        </w:rPr>
        <w:t>and</w:t>
      </w:r>
      <w:r>
        <w:rPr>
          <w:spacing w:val="18"/>
          <w:sz w:val="22"/>
        </w:rPr>
        <w:t> </w:t>
      </w:r>
      <w:r>
        <w:rPr>
          <w:spacing w:val="-2"/>
          <w:sz w:val="22"/>
        </w:rPr>
        <w:t>mortality.</w:t>
      </w:r>
    </w:p>
    <w:p>
      <w:pPr>
        <w:spacing w:before="0"/>
        <w:ind w:left="718" w:right="0" w:firstLine="0"/>
        <w:jc w:val="both"/>
        <w:rPr>
          <w:sz w:val="22"/>
        </w:rPr>
      </w:pPr>
      <w:r>
        <w:rPr>
          <w:i/>
          <w:sz w:val="22"/>
        </w:rPr>
        <w:t>N</w:t>
      </w:r>
      <w:r>
        <w:rPr>
          <w:i/>
          <w:spacing w:val="6"/>
          <w:sz w:val="22"/>
        </w:rPr>
        <w:t> </w:t>
      </w:r>
      <w:r>
        <w:rPr>
          <w:i/>
          <w:sz w:val="22"/>
        </w:rPr>
        <w:t>Engl</w:t>
      </w:r>
      <w:r>
        <w:rPr>
          <w:i/>
          <w:spacing w:val="6"/>
          <w:sz w:val="22"/>
        </w:rPr>
        <w:t> </w:t>
      </w:r>
      <w:r>
        <w:rPr>
          <w:i/>
          <w:sz w:val="22"/>
        </w:rPr>
        <w:t>J</w:t>
      </w:r>
      <w:r>
        <w:rPr>
          <w:i/>
          <w:spacing w:val="6"/>
          <w:sz w:val="22"/>
        </w:rPr>
        <w:t> </w:t>
      </w:r>
      <w:r>
        <w:rPr>
          <w:i/>
          <w:sz w:val="22"/>
        </w:rPr>
        <w:t>Med</w:t>
      </w:r>
      <w:r>
        <w:rPr>
          <w:sz w:val="22"/>
        </w:rPr>
        <w:t>.</w:t>
      </w:r>
      <w:r>
        <w:rPr>
          <w:spacing w:val="7"/>
          <w:sz w:val="22"/>
        </w:rPr>
        <w:t> </w:t>
      </w:r>
      <w:r>
        <w:rPr>
          <w:spacing w:val="-2"/>
          <w:sz w:val="22"/>
        </w:rPr>
        <w:t>1997;336:1769.</w:t>
      </w:r>
    </w:p>
    <w:p>
      <w:pPr>
        <w:pStyle w:val="ListParagraph"/>
        <w:numPr>
          <w:ilvl w:val="0"/>
          <w:numId w:val="19"/>
        </w:numPr>
        <w:tabs>
          <w:tab w:pos="709" w:val="left" w:leader="none"/>
          <w:tab w:pos="718" w:val="left" w:leader="none"/>
        </w:tabs>
        <w:spacing w:line="256" w:lineRule="auto" w:before="5" w:after="0"/>
        <w:ind w:left="718" w:right="107" w:hanging="507"/>
        <w:jc w:val="both"/>
        <w:rPr>
          <w:sz w:val="22"/>
        </w:rPr>
      </w:pPr>
      <w:r>
        <w:rPr>
          <w:sz w:val="22"/>
        </w:rPr>
        <w:t>Petitti</w:t>
      </w:r>
      <w:r>
        <w:rPr>
          <w:spacing w:val="40"/>
          <w:sz w:val="22"/>
        </w:rPr>
        <w:t> </w:t>
      </w:r>
      <w:r>
        <w:rPr>
          <w:sz w:val="22"/>
        </w:rPr>
        <w:t>DB,</w:t>
      </w:r>
      <w:r>
        <w:rPr>
          <w:spacing w:val="40"/>
          <w:sz w:val="22"/>
        </w:rPr>
        <w:t> </w:t>
      </w:r>
      <w:r>
        <w:rPr>
          <w:sz w:val="22"/>
        </w:rPr>
        <w:t>Perlman</w:t>
      </w:r>
      <w:r>
        <w:rPr>
          <w:spacing w:val="40"/>
          <w:sz w:val="22"/>
        </w:rPr>
        <w:t> </w:t>
      </w:r>
      <w:r>
        <w:rPr>
          <w:sz w:val="22"/>
        </w:rPr>
        <w:t>JA,</w:t>
      </w:r>
      <w:r>
        <w:rPr>
          <w:spacing w:val="40"/>
          <w:sz w:val="22"/>
        </w:rPr>
        <w:t> </w:t>
      </w:r>
      <w:r>
        <w:rPr>
          <w:sz w:val="22"/>
        </w:rPr>
        <w:t>Sidney</w:t>
      </w:r>
      <w:r>
        <w:rPr>
          <w:spacing w:val="40"/>
          <w:sz w:val="22"/>
        </w:rPr>
        <w:t> </w:t>
      </w:r>
      <w:r>
        <w:rPr>
          <w:sz w:val="22"/>
        </w:rPr>
        <w:t>S.</w:t>
      </w:r>
      <w:r>
        <w:rPr>
          <w:spacing w:val="40"/>
          <w:sz w:val="22"/>
        </w:rPr>
        <w:t> </w:t>
      </w:r>
      <w:r>
        <w:rPr>
          <w:sz w:val="22"/>
        </w:rPr>
        <w:t>Noncontraceptive</w:t>
      </w:r>
      <w:r>
        <w:rPr>
          <w:spacing w:val="40"/>
          <w:sz w:val="22"/>
        </w:rPr>
        <w:t> </w:t>
      </w:r>
      <w:r>
        <w:rPr>
          <w:sz w:val="22"/>
        </w:rPr>
        <w:t>estrogens</w:t>
      </w:r>
      <w:r>
        <w:rPr>
          <w:spacing w:val="40"/>
          <w:sz w:val="22"/>
        </w:rPr>
        <w:t> </w:t>
      </w:r>
      <w:r>
        <w:rPr>
          <w:sz w:val="22"/>
        </w:rPr>
        <w:t>and</w:t>
      </w:r>
      <w:r>
        <w:rPr>
          <w:spacing w:val="40"/>
          <w:sz w:val="22"/>
        </w:rPr>
        <w:t> </w:t>
      </w:r>
      <w:r>
        <w:rPr>
          <w:sz w:val="22"/>
        </w:rPr>
        <w:t>mortality:</w:t>
      </w:r>
      <w:r>
        <w:rPr>
          <w:spacing w:val="40"/>
          <w:sz w:val="22"/>
        </w:rPr>
        <w:t> </w:t>
      </w:r>
      <w:r>
        <w:rPr>
          <w:sz w:val="22"/>
        </w:rPr>
        <w:t>long-</w:t>
      </w:r>
      <w:r>
        <w:rPr>
          <w:sz w:val="22"/>
        </w:rPr>
        <w:t>term follow-up of women in the Walnut Creek Study. </w:t>
      </w:r>
      <w:r>
        <w:rPr>
          <w:i/>
          <w:sz w:val="22"/>
        </w:rPr>
        <w:t>Obstet Gynecol</w:t>
      </w:r>
      <w:r>
        <w:rPr>
          <w:sz w:val="22"/>
        </w:rPr>
        <w:t>. 1987;70:289.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0" w:hanging="507"/>
        <w:jc w:val="both"/>
        <w:rPr>
          <w:sz w:val="22"/>
        </w:rPr>
      </w:pPr>
      <w:r>
        <w:rPr>
          <w:sz w:val="22"/>
        </w:rPr>
        <w:t>Ettinger</w:t>
      </w:r>
      <w:r>
        <w:rPr>
          <w:spacing w:val="40"/>
          <w:sz w:val="22"/>
        </w:rPr>
        <w:t> </w:t>
      </w:r>
      <w:r>
        <w:rPr>
          <w:sz w:val="22"/>
        </w:rPr>
        <w:t>B,</w:t>
      </w:r>
      <w:r>
        <w:rPr>
          <w:spacing w:val="40"/>
          <w:sz w:val="22"/>
        </w:rPr>
        <w:t> </w:t>
      </w:r>
      <w:r>
        <w:rPr>
          <w:sz w:val="22"/>
        </w:rPr>
        <w:t>Friedman</w:t>
      </w:r>
      <w:r>
        <w:rPr>
          <w:spacing w:val="40"/>
          <w:sz w:val="22"/>
        </w:rPr>
        <w:t> </w:t>
      </w:r>
      <w:r>
        <w:rPr>
          <w:sz w:val="22"/>
        </w:rPr>
        <w:t>GD,</w:t>
      </w:r>
      <w:r>
        <w:rPr>
          <w:spacing w:val="40"/>
          <w:sz w:val="22"/>
        </w:rPr>
        <w:t> </w:t>
      </w:r>
      <w:r>
        <w:rPr>
          <w:sz w:val="22"/>
        </w:rPr>
        <w:t>Bush</w:t>
      </w:r>
      <w:r>
        <w:rPr>
          <w:spacing w:val="40"/>
          <w:sz w:val="22"/>
        </w:rPr>
        <w:t> </w:t>
      </w:r>
      <w:r>
        <w:rPr>
          <w:sz w:val="22"/>
        </w:rPr>
        <w:t>T,</w:t>
      </w:r>
      <w:r>
        <w:rPr>
          <w:spacing w:val="40"/>
          <w:sz w:val="22"/>
        </w:rPr>
        <w:t> </w:t>
      </w:r>
      <w:r>
        <w:rPr>
          <w:sz w:val="22"/>
        </w:rPr>
        <w:t>Quesenberry</w:t>
      </w:r>
      <w:r>
        <w:rPr>
          <w:spacing w:val="40"/>
          <w:sz w:val="22"/>
        </w:rPr>
        <w:t> </w:t>
      </w:r>
      <w:r>
        <w:rPr>
          <w:sz w:val="22"/>
        </w:rPr>
        <w:t>CP</w:t>
      </w:r>
      <w:r>
        <w:rPr>
          <w:spacing w:val="40"/>
          <w:sz w:val="22"/>
        </w:rPr>
        <w:t> </w:t>
      </w:r>
      <w:r>
        <w:rPr>
          <w:sz w:val="22"/>
        </w:rPr>
        <w:t>Jr.</w:t>
      </w:r>
      <w:r>
        <w:rPr>
          <w:spacing w:val="40"/>
          <w:sz w:val="22"/>
        </w:rPr>
        <w:t> </w:t>
      </w:r>
      <w:r>
        <w:rPr>
          <w:sz w:val="22"/>
        </w:rPr>
        <w:t>Reduced</w:t>
      </w:r>
      <w:r>
        <w:rPr>
          <w:spacing w:val="40"/>
          <w:sz w:val="22"/>
        </w:rPr>
        <w:t> </w:t>
      </w:r>
      <w:r>
        <w:rPr>
          <w:sz w:val="22"/>
        </w:rPr>
        <w:t>mortality</w:t>
      </w:r>
      <w:r>
        <w:rPr>
          <w:spacing w:val="40"/>
          <w:sz w:val="22"/>
        </w:rPr>
        <w:t> </w:t>
      </w:r>
      <w:r>
        <w:rPr>
          <w:sz w:val="22"/>
        </w:rPr>
        <w:t>associated</w:t>
      </w:r>
      <w:r>
        <w:rPr>
          <w:spacing w:val="40"/>
          <w:sz w:val="22"/>
        </w:rPr>
        <w:t> </w:t>
      </w:r>
      <w:r>
        <w:rPr>
          <w:sz w:val="22"/>
        </w:rPr>
        <w:t>with long-term postmenopausal estrogen therapy. </w:t>
      </w:r>
      <w:r>
        <w:rPr>
          <w:i/>
          <w:sz w:val="22"/>
        </w:rPr>
        <w:t>Obstet Gynecol</w:t>
      </w:r>
      <w:r>
        <w:rPr>
          <w:sz w:val="22"/>
        </w:rPr>
        <w:t>. 1996;87:5.</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Schairer C, Adami H-O, Hoover R, Persson I. Cause-specific mortality in women receiving hormone replacement therapy. </w:t>
      </w:r>
      <w:r>
        <w:rPr>
          <w:i/>
          <w:sz w:val="22"/>
        </w:rPr>
        <w:t>Epidemiology</w:t>
      </w:r>
      <w:r>
        <w:rPr>
          <w:sz w:val="22"/>
        </w:rPr>
        <w:t>. 1997;8:59.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Løkkegaard E, Andreasen AH, Jacobsen RK, Nielsen LH, Agger C, Lidegaard Ø. </w:t>
      </w:r>
      <w:r>
        <w:rPr>
          <w:sz w:val="22"/>
        </w:rPr>
        <w:t>Hormone therapy</w:t>
      </w:r>
      <w:r>
        <w:rPr>
          <w:spacing w:val="40"/>
          <w:sz w:val="22"/>
        </w:rPr>
        <w:t> </w:t>
      </w:r>
      <w:r>
        <w:rPr>
          <w:sz w:val="22"/>
        </w:rPr>
        <w:t>and</w:t>
      </w:r>
      <w:r>
        <w:rPr>
          <w:spacing w:val="40"/>
          <w:sz w:val="22"/>
        </w:rPr>
        <w:t> </w:t>
      </w:r>
      <w:r>
        <w:rPr>
          <w:sz w:val="22"/>
        </w:rPr>
        <w:t>risk</w:t>
      </w:r>
      <w:r>
        <w:rPr>
          <w:spacing w:val="40"/>
          <w:sz w:val="22"/>
        </w:rPr>
        <w:t> </w:t>
      </w:r>
      <w:r>
        <w:rPr>
          <w:sz w:val="22"/>
        </w:rPr>
        <w:t>of</w:t>
      </w:r>
      <w:r>
        <w:rPr>
          <w:spacing w:val="40"/>
          <w:sz w:val="22"/>
        </w:rPr>
        <w:t> </w:t>
      </w:r>
      <w:r>
        <w:rPr>
          <w:sz w:val="22"/>
        </w:rPr>
        <w:t>myocardial</w:t>
      </w:r>
      <w:r>
        <w:rPr>
          <w:spacing w:val="40"/>
          <w:sz w:val="22"/>
        </w:rPr>
        <w:t> </w:t>
      </w:r>
      <w:r>
        <w:rPr>
          <w:sz w:val="22"/>
        </w:rPr>
        <w:t>infarction:</w:t>
      </w:r>
      <w:r>
        <w:rPr>
          <w:spacing w:val="40"/>
          <w:sz w:val="22"/>
        </w:rPr>
        <w:t> </w:t>
      </w:r>
      <w:r>
        <w:rPr>
          <w:sz w:val="22"/>
        </w:rPr>
        <w:t>a</w:t>
      </w:r>
      <w:r>
        <w:rPr>
          <w:spacing w:val="40"/>
          <w:sz w:val="22"/>
        </w:rPr>
        <w:t> </w:t>
      </w:r>
      <w:r>
        <w:rPr>
          <w:sz w:val="22"/>
        </w:rPr>
        <w:t>national</w:t>
      </w:r>
      <w:r>
        <w:rPr>
          <w:spacing w:val="40"/>
          <w:sz w:val="22"/>
        </w:rPr>
        <w:t> </w:t>
      </w:r>
      <w:r>
        <w:rPr>
          <w:sz w:val="22"/>
        </w:rPr>
        <w:t>register</w:t>
      </w:r>
      <w:r>
        <w:rPr>
          <w:spacing w:val="40"/>
          <w:sz w:val="22"/>
        </w:rPr>
        <w:t> </w:t>
      </w:r>
      <w:r>
        <w:rPr>
          <w:sz w:val="22"/>
        </w:rPr>
        <w:t>study.</w:t>
      </w:r>
      <w:r>
        <w:rPr>
          <w:spacing w:val="40"/>
          <w:sz w:val="22"/>
        </w:rPr>
        <w:t> </w:t>
      </w:r>
      <w:r>
        <w:rPr>
          <w:i/>
          <w:sz w:val="22"/>
        </w:rPr>
        <w:t>Eur</w:t>
      </w:r>
      <w:r>
        <w:rPr>
          <w:i/>
          <w:spacing w:val="40"/>
          <w:sz w:val="22"/>
        </w:rPr>
        <w:t> </w:t>
      </w:r>
      <w:r>
        <w:rPr>
          <w:i/>
          <w:sz w:val="22"/>
        </w:rPr>
        <w:t>Heart</w:t>
      </w:r>
      <w:r>
        <w:rPr>
          <w:i/>
          <w:spacing w:val="40"/>
          <w:sz w:val="22"/>
        </w:rPr>
        <w:t> </w:t>
      </w:r>
      <w:r>
        <w:rPr>
          <w:i/>
          <w:sz w:val="22"/>
        </w:rPr>
        <w:t>J</w:t>
      </w:r>
      <w:r>
        <w:rPr>
          <w:sz w:val="22"/>
        </w:rPr>
        <w:t>. </w:t>
      </w:r>
      <w:r>
        <w:rPr>
          <w:spacing w:val="-2"/>
          <w:sz w:val="22"/>
        </w:rPr>
        <w:t>2008;29:2660.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Grodstein F, Manson JE, Colditz GA, Willett WC, Speizer FE, Stampfer MJ. A prospective, observational study of postmenopausal hormone therapy and primary prevention </w:t>
      </w:r>
      <w:r>
        <w:rPr>
          <w:sz w:val="22"/>
        </w:rPr>
        <w:t>of cardiovascular disease. </w:t>
      </w:r>
      <w:r>
        <w:rPr>
          <w:i/>
          <w:sz w:val="22"/>
        </w:rPr>
        <w:t>Ann Intern Med</w:t>
      </w:r>
      <w:r>
        <w:rPr>
          <w:sz w:val="22"/>
        </w:rPr>
        <w:t>. 2000;133:933.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McLaughlin VV, Hoff JA, Rich S. Relation between hormone replacement therapy in women and coronary artery disease estimated by electron beam tomography. </w:t>
      </w:r>
      <w:r>
        <w:rPr>
          <w:i/>
          <w:sz w:val="22"/>
        </w:rPr>
        <w:t>Am Heart </w:t>
      </w:r>
      <w:r>
        <w:rPr>
          <w:i/>
          <w:sz w:val="22"/>
        </w:rPr>
        <w:t>J</w:t>
      </w:r>
      <w:r>
        <w:rPr>
          <w:sz w:val="22"/>
        </w:rPr>
        <w:t>. </w:t>
      </w:r>
      <w:r>
        <w:rPr>
          <w:spacing w:val="-2"/>
          <w:sz w:val="22"/>
        </w:rPr>
        <w:t>1997;134:1115.</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Christian</w:t>
      </w:r>
      <w:r>
        <w:rPr>
          <w:spacing w:val="40"/>
          <w:sz w:val="22"/>
        </w:rPr>
        <w:t> </w:t>
      </w:r>
      <w:r>
        <w:rPr>
          <w:sz w:val="22"/>
        </w:rPr>
        <w:t>RC,</w:t>
      </w:r>
      <w:r>
        <w:rPr>
          <w:spacing w:val="40"/>
          <w:sz w:val="22"/>
        </w:rPr>
        <w:t> </w:t>
      </w:r>
      <w:r>
        <w:rPr>
          <w:sz w:val="22"/>
        </w:rPr>
        <w:t>Harrington</w:t>
      </w:r>
      <w:r>
        <w:rPr>
          <w:spacing w:val="40"/>
          <w:sz w:val="22"/>
        </w:rPr>
        <w:t> </w:t>
      </w:r>
      <w:r>
        <w:rPr>
          <w:sz w:val="22"/>
        </w:rPr>
        <w:t>S,</w:t>
      </w:r>
      <w:r>
        <w:rPr>
          <w:spacing w:val="40"/>
          <w:sz w:val="22"/>
        </w:rPr>
        <w:t> </w:t>
      </w:r>
      <w:r>
        <w:rPr>
          <w:sz w:val="22"/>
        </w:rPr>
        <w:t>Edwards</w:t>
      </w:r>
      <w:r>
        <w:rPr>
          <w:spacing w:val="40"/>
          <w:sz w:val="22"/>
        </w:rPr>
        <w:t> </w:t>
      </w:r>
      <w:r>
        <w:rPr>
          <w:sz w:val="22"/>
        </w:rPr>
        <w:t>WD,</w:t>
      </w:r>
      <w:r>
        <w:rPr>
          <w:spacing w:val="40"/>
          <w:sz w:val="22"/>
        </w:rPr>
        <w:t> </w:t>
      </w:r>
      <w:r>
        <w:rPr>
          <w:sz w:val="22"/>
        </w:rPr>
        <w:t>Oberg</w:t>
      </w:r>
      <w:r>
        <w:rPr>
          <w:spacing w:val="40"/>
          <w:sz w:val="22"/>
        </w:rPr>
        <w:t> </w:t>
      </w:r>
      <w:r>
        <w:rPr>
          <w:sz w:val="22"/>
        </w:rPr>
        <w:t>AL,</w:t>
      </w:r>
      <w:r>
        <w:rPr>
          <w:spacing w:val="40"/>
          <w:sz w:val="22"/>
        </w:rPr>
        <w:t> </w:t>
      </w:r>
      <w:r>
        <w:rPr>
          <w:sz w:val="22"/>
        </w:rPr>
        <w:t>Fitzpatrick</w:t>
      </w:r>
      <w:r>
        <w:rPr>
          <w:spacing w:val="40"/>
          <w:sz w:val="22"/>
        </w:rPr>
        <w:t> </w:t>
      </w:r>
      <w:r>
        <w:rPr>
          <w:sz w:val="22"/>
        </w:rPr>
        <w:t>LA.</w:t>
      </w:r>
      <w:r>
        <w:rPr>
          <w:spacing w:val="40"/>
          <w:sz w:val="22"/>
        </w:rPr>
        <w:t> </w:t>
      </w:r>
      <w:r>
        <w:rPr>
          <w:sz w:val="22"/>
        </w:rPr>
        <w:t>Estrogen</w:t>
      </w:r>
      <w:r>
        <w:rPr>
          <w:spacing w:val="40"/>
          <w:sz w:val="22"/>
        </w:rPr>
        <w:t> </w:t>
      </w:r>
      <w:r>
        <w:rPr>
          <w:sz w:val="22"/>
        </w:rPr>
        <w:t>status correlates with the calcium content of coronary atherosclerotic plaques in women. </w:t>
      </w:r>
      <w:r>
        <w:rPr>
          <w:i/>
          <w:sz w:val="22"/>
        </w:rPr>
        <w:t>J Clin</w:t>
      </w:r>
      <w:r>
        <w:rPr>
          <w:i/>
          <w:sz w:val="22"/>
        </w:rPr>
        <w:t> Endocrinol Metab</w:t>
      </w:r>
      <w:r>
        <w:rPr>
          <w:sz w:val="22"/>
        </w:rPr>
        <w:t>. 2002;87:1062.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Akhrass F, Evans AT, Wang Y, et al. Hormone replacement therapy is associated with </w:t>
      </w:r>
      <w:r>
        <w:rPr>
          <w:sz w:val="22"/>
        </w:rPr>
        <w:t>less coronary atherosclerosis in postmenopausal women. </w:t>
      </w:r>
      <w:r>
        <w:rPr>
          <w:i/>
          <w:sz w:val="22"/>
        </w:rPr>
        <w:t>J Clin Endocrinol Metab</w:t>
      </w:r>
      <w:r>
        <w:rPr>
          <w:sz w:val="22"/>
        </w:rPr>
        <w:t>. 2003;88:5611.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Manson</w:t>
      </w:r>
      <w:r>
        <w:rPr>
          <w:spacing w:val="40"/>
          <w:sz w:val="22"/>
        </w:rPr>
        <w:t> </w:t>
      </w:r>
      <w:r>
        <w:rPr>
          <w:sz w:val="22"/>
        </w:rPr>
        <w:t>JE,</w:t>
      </w:r>
      <w:r>
        <w:rPr>
          <w:spacing w:val="40"/>
          <w:sz w:val="22"/>
        </w:rPr>
        <w:t> </w:t>
      </w:r>
      <w:r>
        <w:rPr>
          <w:sz w:val="22"/>
        </w:rPr>
        <w:t>Allison</w:t>
      </w:r>
      <w:r>
        <w:rPr>
          <w:spacing w:val="40"/>
          <w:sz w:val="22"/>
        </w:rPr>
        <w:t> </w:t>
      </w:r>
      <w:r>
        <w:rPr>
          <w:sz w:val="22"/>
        </w:rPr>
        <w:t>MA,</w:t>
      </w:r>
      <w:r>
        <w:rPr>
          <w:spacing w:val="40"/>
          <w:sz w:val="22"/>
        </w:rPr>
        <w:t> </w:t>
      </w:r>
      <w:r>
        <w:rPr>
          <w:sz w:val="22"/>
        </w:rPr>
        <w:t>Rossouw</w:t>
      </w:r>
      <w:r>
        <w:rPr>
          <w:spacing w:val="40"/>
          <w:sz w:val="22"/>
        </w:rPr>
        <w:t> </w:t>
      </w:r>
      <w:r>
        <w:rPr>
          <w:sz w:val="22"/>
        </w:rPr>
        <w:t>JE,</w:t>
      </w:r>
      <w:r>
        <w:rPr>
          <w:spacing w:val="40"/>
          <w:sz w:val="22"/>
        </w:rPr>
        <w:t> </w:t>
      </w:r>
      <w:r>
        <w:rPr>
          <w:sz w:val="22"/>
        </w:rPr>
        <w:t>et</w:t>
      </w:r>
      <w:r>
        <w:rPr>
          <w:spacing w:val="40"/>
          <w:sz w:val="22"/>
        </w:rPr>
        <w:t> </w:t>
      </w:r>
      <w:r>
        <w:rPr>
          <w:sz w:val="22"/>
        </w:rPr>
        <w:t>al.</w:t>
      </w:r>
      <w:r>
        <w:rPr>
          <w:spacing w:val="40"/>
          <w:sz w:val="22"/>
        </w:rPr>
        <w:t> </w:t>
      </w:r>
      <w:r>
        <w:rPr>
          <w:sz w:val="22"/>
        </w:rPr>
        <w:t>Estrogen</w:t>
      </w:r>
      <w:r>
        <w:rPr>
          <w:spacing w:val="40"/>
          <w:sz w:val="22"/>
        </w:rPr>
        <w:t> </w:t>
      </w:r>
      <w:r>
        <w:rPr>
          <w:sz w:val="22"/>
        </w:rPr>
        <w:t>therapy</w:t>
      </w:r>
      <w:r>
        <w:rPr>
          <w:spacing w:val="40"/>
          <w:sz w:val="22"/>
        </w:rPr>
        <w:t> </w:t>
      </w:r>
      <w:r>
        <w:rPr>
          <w:sz w:val="22"/>
        </w:rPr>
        <w:t>and</w:t>
      </w:r>
      <w:r>
        <w:rPr>
          <w:spacing w:val="40"/>
          <w:sz w:val="22"/>
        </w:rPr>
        <w:t> </w:t>
      </w:r>
      <w:r>
        <w:rPr>
          <w:sz w:val="22"/>
        </w:rPr>
        <w:t>coronary-</w:t>
      </w:r>
      <w:r>
        <w:rPr>
          <w:sz w:val="22"/>
        </w:rPr>
        <w:t>artery calcification. </w:t>
      </w:r>
      <w:r>
        <w:rPr>
          <w:i/>
          <w:sz w:val="22"/>
        </w:rPr>
        <w:t>N Engl J Med</w:t>
      </w:r>
      <w:r>
        <w:rPr>
          <w:sz w:val="22"/>
        </w:rPr>
        <w:t>. 2007;356:2591.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Matthews KA, Kuller LH, Wing RR, Meilahn EN, Plantinga P. Prior to use of </w:t>
      </w:r>
      <w:r>
        <w:rPr>
          <w:sz w:val="22"/>
        </w:rPr>
        <w:t>estrogen replacement therapy, are users healthier than nonusers? </w:t>
      </w:r>
      <w:r>
        <w:rPr>
          <w:i/>
          <w:sz w:val="22"/>
        </w:rPr>
        <w:t>Am J Epidemiol</w:t>
      </w:r>
      <w:r>
        <w:rPr>
          <w:sz w:val="22"/>
        </w:rPr>
        <w:t>. 1997;143:971.</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Henderson</w:t>
      </w:r>
      <w:r>
        <w:rPr>
          <w:spacing w:val="40"/>
          <w:sz w:val="22"/>
        </w:rPr>
        <w:t> </w:t>
      </w:r>
      <w:r>
        <w:rPr>
          <w:sz w:val="22"/>
        </w:rPr>
        <w:t>BE,</w:t>
      </w:r>
      <w:r>
        <w:rPr>
          <w:spacing w:val="40"/>
          <w:sz w:val="22"/>
        </w:rPr>
        <w:t> </w:t>
      </w:r>
      <w:r>
        <w:rPr>
          <w:sz w:val="22"/>
        </w:rPr>
        <w:t>Paganini-Hill</w:t>
      </w:r>
      <w:r>
        <w:rPr>
          <w:spacing w:val="40"/>
          <w:sz w:val="22"/>
        </w:rPr>
        <w:t> </w:t>
      </w:r>
      <w:r>
        <w:rPr>
          <w:sz w:val="22"/>
        </w:rPr>
        <w:t>A,</w:t>
      </w:r>
      <w:r>
        <w:rPr>
          <w:spacing w:val="40"/>
          <w:sz w:val="22"/>
        </w:rPr>
        <w:t> </w:t>
      </w:r>
      <w:r>
        <w:rPr>
          <w:sz w:val="22"/>
        </w:rPr>
        <w:t>Ross</w:t>
      </w:r>
      <w:r>
        <w:rPr>
          <w:spacing w:val="40"/>
          <w:sz w:val="22"/>
        </w:rPr>
        <w:t> </w:t>
      </w:r>
      <w:r>
        <w:rPr>
          <w:sz w:val="22"/>
        </w:rPr>
        <w:t>RK.</w:t>
      </w:r>
      <w:r>
        <w:rPr>
          <w:spacing w:val="40"/>
          <w:sz w:val="22"/>
        </w:rPr>
        <w:t> </w:t>
      </w:r>
      <w:r>
        <w:rPr>
          <w:sz w:val="22"/>
        </w:rPr>
        <w:t>Decreased</w:t>
      </w:r>
      <w:r>
        <w:rPr>
          <w:spacing w:val="40"/>
          <w:sz w:val="22"/>
        </w:rPr>
        <w:t> </w:t>
      </w:r>
      <w:r>
        <w:rPr>
          <w:sz w:val="22"/>
        </w:rPr>
        <w:t>mortality</w:t>
      </w:r>
      <w:r>
        <w:rPr>
          <w:spacing w:val="40"/>
          <w:sz w:val="22"/>
        </w:rPr>
        <w:t> </w:t>
      </w:r>
      <w:r>
        <w:rPr>
          <w:sz w:val="22"/>
        </w:rPr>
        <w:t>in</w:t>
      </w:r>
      <w:r>
        <w:rPr>
          <w:spacing w:val="40"/>
          <w:sz w:val="22"/>
        </w:rPr>
        <w:t> </w:t>
      </w:r>
      <w:r>
        <w:rPr>
          <w:sz w:val="22"/>
        </w:rPr>
        <w:t>users</w:t>
      </w:r>
      <w:r>
        <w:rPr>
          <w:spacing w:val="40"/>
          <w:sz w:val="22"/>
        </w:rPr>
        <w:t> </w:t>
      </w:r>
      <w:r>
        <w:rPr>
          <w:sz w:val="22"/>
        </w:rPr>
        <w:t>of</w:t>
      </w:r>
      <w:r>
        <w:rPr>
          <w:spacing w:val="40"/>
          <w:sz w:val="22"/>
        </w:rPr>
        <w:t> </w:t>
      </w:r>
      <w:r>
        <w:rPr>
          <w:sz w:val="22"/>
        </w:rPr>
        <w:t>estrogen replacement therapy. </w:t>
      </w:r>
      <w:r>
        <w:rPr>
          <w:i/>
          <w:sz w:val="22"/>
        </w:rPr>
        <w:t>Arch Intern Med</w:t>
      </w:r>
      <w:r>
        <w:rPr>
          <w:sz w:val="22"/>
        </w:rPr>
        <w:t>. 1991;151:75.</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Stampfer MJ, Colditz GA, Willett WC, et al. Postmenopausal estrogen therapy and cardiovascular disease: ten-year follow-up from the Nurses’ Health Study. </w:t>
      </w:r>
      <w:r>
        <w:rPr>
          <w:i/>
          <w:sz w:val="22"/>
        </w:rPr>
        <w:t>N Engl J Med</w:t>
      </w:r>
      <w:r>
        <w:rPr>
          <w:sz w:val="22"/>
        </w:rPr>
        <w:t>. </w:t>
      </w:r>
      <w:r>
        <w:rPr>
          <w:spacing w:val="-2"/>
          <w:sz w:val="22"/>
        </w:rPr>
        <w:t>1991;325:756.</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Derby CA, Hume AL, McPhillips JB, Barbour MM, Carleton RA. Prior and current </w:t>
      </w:r>
      <w:r>
        <w:rPr>
          <w:sz w:val="22"/>
        </w:rPr>
        <w:t>health characteristics of postmenopausal estrogen replacement therapy users compared to non-users. </w:t>
      </w:r>
      <w:r>
        <w:rPr>
          <w:i/>
          <w:sz w:val="22"/>
        </w:rPr>
        <w:t>Am J Obstet Gynecol</w:t>
      </w:r>
      <w:r>
        <w:rPr>
          <w:sz w:val="22"/>
        </w:rPr>
        <w:t>. 1995;173:544.</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MacLennan AH, Wilson DH, Taylor AW. Hormone replacement therapy: </w:t>
      </w:r>
      <w:r>
        <w:rPr>
          <w:sz w:val="22"/>
        </w:rPr>
        <w:t>prevalence, compliance and the “healthy women” notion. </w:t>
      </w:r>
      <w:r>
        <w:rPr>
          <w:i/>
          <w:sz w:val="22"/>
        </w:rPr>
        <w:t>Climacteric</w:t>
      </w:r>
      <w:r>
        <w:rPr>
          <w:sz w:val="22"/>
        </w:rPr>
        <w:t>. 1998;1:42.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Blumel JE, Castelo-Branco C, Roncagliolo ME, Guanes PP, Lavin P. Do</w:t>
      </w:r>
      <w:r>
        <w:rPr>
          <w:spacing w:val="40"/>
          <w:sz w:val="22"/>
        </w:rPr>
        <w:t> </w:t>
      </w:r>
      <w:r>
        <w:rPr>
          <w:sz w:val="22"/>
        </w:rPr>
        <w:t>women</w:t>
      </w:r>
      <w:r>
        <w:rPr>
          <w:spacing w:val="40"/>
          <w:sz w:val="22"/>
        </w:rPr>
        <w:t> </w:t>
      </w:r>
      <w:r>
        <w:rPr>
          <w:sz w:val="22"/>
        </w:rPr>
        <w:t>using</w:t>
      </w:r>
      <w:r>
        <w:rPr>
          <w:spacing w:val="40"/>
          <w:sz w:val="22"/>
        </w:rPr>
        <w:t> </w:t>
      </w:r>
      <w:r>
        <w:rPr>
          <w:sz w:val="22"/>
        </w:rPr>
        <w:t>hormone replacement treatment have less pre-existing cardiovascular risk. </w:t>
      </w:r>
      <w:r>
        <w:rPr>
          <w:i/>
          <w:sz w:val="22"/>
        </w:rPr>
        <w:t>Maturitas</w:t>
      </w:r>
      <w:r>
        <w:rPr>
          <w:sz w:val="22"/>
        </w:rPr>
        <w:t>. </w:t>
      </w:r>
      <w:r>
        <w:rPr>
          <w:spacing w:val="-2"/>
          <w:sz w:val="22"/>
        </w:rPr>
        <w:t>2001;38:315.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Petitti DB, Wingerd J, Pellegrin F, Ramcharan S. Risk of vascular disease in women: smoking, oral contraceptives, non-contraceptive estrogens, and other factors. </w:t>
      </w:r>
      <w:r>
        <w:rPr>
          <w:i/>
          <w:sz w:val="22"/>
        </w:rPr>
        <w:t>JAMA</w:t>
      </w:r>
      <w:r>
        <w:rPr>
          <w:sz w:val="22"/>
        </w:rPr>
        <w:t>. 1979;242:1150.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Paganini-Hill A, Ross RK, Henderson BE. Postmenopausal oestrogen treatment and stroke: </w:t>
      </w:r>
      <w:r>
        <w:rPr>
          <w:sz w:val="22"/>
        </w:rPr>
        <w:t>a prospective study. </w:t>
      </w:r>
      <w:r>
        <w:rPr>
          <w:i/>
          <w:sz w:val="22"/>
        </w:rPr>
        <w:t>Br Med J</w:t>
      </w:r>
      <w:r>
        <w:rPr>
          <w:sz w:val="22"/>
        </w:rPr>
        <w:t>. 1988;297:519.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Thompson SG, Meade TW, Greenberg G. The use of hormonal replacement therapy and the</w:t>
      </w:r>
      <w:r>
        <w:rPr>
          <w:spacing w:val="80"/>
          <w:w w:val="150"/>
          <w:sz w:val="22"/>
        </w:rPr>
        <w:t> </w:t>
      </w:r>
      <w:r>
        <w:rPr>
          <w:sz w:val="22"/>
        </w:rPr>
        <w:t>risk of stroke and myocardial infarction in women. </w:t>
      </w:r>
      <w:r>
        <w:rPr>
          <w:i/>
          <w:sz w:val="22"/>
        </w:rPr>
        <w:t>J Epidemiol Community </w:t>
      </w:r>
      <w:r>
        <w:rPr>
          <w:i/>
          <w:sz w:val="22"/>
        </w:rPr>
        <w:t>Health</w:t>
      </w:r>
      <w:r>
        <w:rPr>
          <w:sz w:val="22"/>
        </w:rPr>
        <w:t>.</w:t>
      </w:r>
      <w:r>
        <w:rPr>
          <w:spacing w:val="40"/>
          <w:sz w:val="22"/>
        </w:rPr>
        <w:t> </w:t>
      </w:r>
      <w:r>
        <w:rPr>
          <w:spacing w:val="-2"/>
          <w:sz w:val="22"/>
        </w:rPr>
        <w:t>1989;43:173.</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Hunt K, Vessey M, McPherson K. Mortality in a cohort of long-term users of hormone replacement therapy: an updated analysis. </w:t>
      </w:r>
      <w:r>
        <w:rPr>
          <w:i/>
          <w:sz w:val="22"/>
        </w:rPr>
        <w:t>Br J Obstet Gynaecol</w:t>
      </w:r>
      <w:r>
        <w:rPr>
          <w:sz w:val="22"/>
        </w:rPr>
        <w:t>. 1990;97:1080.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Finucane FF, Mardans JH, Bush TL, Wolf PH, Kleinman JC. Decreased risk of stroke among postmenopausal hormone users. </w:t>
      </w:r>
      <w:r>
        <w:rPr>
          <w:i/>
          <w:sz w:val="22"/>
        </w:rPr>
        <w:t>Arch Intern Med</w:t>
      </w:r>
      <w:r>
        <w:rPr>
          <w:sz w:val="22"/>
        </w:rPr>
        <w:t>. 1993;153:73.</w:t>
      </w:r>
    </w:p>
    <w:p>
      <w:pPr>
        <w:pStyle w:val="ListParagraph"/>
        <w:numPr>
          <w:ilvl w:val="0"/>
          <w:numId w:val="19"/>
        </w:numPr>
        <w:tabs>
          <w:tab w:pos="709" w:val="left" w:leader="none"/>
          <w:tab w:pos="718" w:val="left" w:leader="none"/>
        </w:tabs>
        <w:spacing w:line="256" w:lineRule="auto" w:before="0" w:after="0"/>
        <w:ind w:left="718" w:right="99" w:hanging="507"/>
        <w:jc w:val="both"/>
        <w:rPr>
          <w:i/>
          <w:sz w:val="22"/>
        </w:rPr>
      </w:pPr>
      <w:r>
        <w:rPr>
          <w:sz w:val="22"/>
        </w:rPr>
        <w:t>Falkeborn M, Persson I, Terent A, Adami HO, Lithell H, Bergstrom R. Hormone replacement therapy</w:t>
      </w:r>
      <w:r>
        <w:rPr>
          <w:spacing w:val="15"/>
          <w:sz w:val="22"/>
        </w:rPr>
        <w:t> </w:t>
      </w:r>
      <w:r>
        <w:rPr>
          <w:sz w:val="22"/>
        </w:rPr>
        <w:t>and</w:t>
      </w:r>
      <w:r>
        <w:rPr>
          <w:spacing w:val="15"/>
          <w:sz w:val="22"/>
        </w:rPr>
        <w:t> </w:t>
      </w:r>
      <w:r>
        <w:rPr>
          <w:sz w:val="22"/>
        </w:rPr>
        <w:t>the</w:t>
      </w:r>
      <w:r>
        <w:rPr>
          <w:spacing w:val="15"/>
          <w:sz w:val="22"/>
        </w:rPr>
        <w:t> </w:t>
      </w:r>
      <w:r>
        <w:rPr>
          <w:sz w:val="22"/>
        </w:rPr>
        <w:t>risk</w:t>
      </w:r>
      <w:r>
        <w:rPr>
          <w:spacing w:val="15"/>
          <w:sz w:val="22"/>
        </w:rPr>
        <w:t> </w:t>
      </w:r>
      <w:r>
        <w:rPr>
          <w:sz w:val="22"/>
        </w:rPr>
        <w:t>of</w:t>
      </w:r>
      <w:r>
        <w:rPr>
          <w:spacing w:val="15"/>
          <w:sz w:val="22"/>
        </w:rPr>
        <w:t> </w:t>
      </w:r>
      <w:r>
        <w:rPr>
          <w:sz w:val="22"/>
        </w:rPr>
        <w:t>stroke.</w:t>
      </w:r>
      <w:r>
        <w:rPr>
          <w:spacing w:val="15"/>
          <w:sz w:val="22"/>
        </w:rPr>
        <w:t> </w:t>
      </w:r>
      <w:r>
        <w:rPr>
          <w:sz w:val="22"/>
        </w:rPr>
        <w:t>Follow-up</w:t>
      </w:r>
      <w:r>
        <w:rPr>
          <w:spacing w:val="14"/>
          <w:sz w:val="22"/>
        </w:rPr>
        <w:t> </w:t>
      </w:r>
      <w:r>
        <w:rPr>
          <w:sz w:val="22"/>
        </w:rPr>
        <w:t>of</w:t>
      </w:r>
      <w:r>
        <w:rPr>
          <w:spacing w:val="14"/>
          <w:sz w:val="22"/>
        </w:rPr>
        <w:t> </w:t>
      </w:r>
      <w:r>
        <w:rPr>
          <w:sz w:val="22"/>
        </w:rPr>
        <w:t>a</w:t>
      </w:r>
      <w:r>
        <w:rPr>
          <w:spacing w:val="14"/>
          <w:sz w:val="22"/>
        </w:rPr>
        <w:t> </w:t>
      </w:r>
      <w:r>
        <w:rPr>
          <w:sz w:val="22"/>
        </w:rPr>
        <w:t>population-based</w:t>
      </w:r>
      <w:r>
        <w:rPr>
          <w:spacing w:val="14"/>
          <w:sz w:val="22"/>
        </w:rPr>
        <w:t> </w:t>
      </w:r>
      <w:r>
        <w:rPr>
          <w:sz w:val="22"/>
        </w:rPr>
        <w:t>cohort</w:t>
      </w:r>
      <w:r>
        <w:rPr>
          <w:spacing w:val="14"/>
          <w:sz w:val="22"/>
        </w:rPr>
        <w:t> </w:t>
      </w:r>
      <w:r>
        <w:rPr>
          <w:sz w:val="22"/>
        </w:rPr>
        <w:t>in</w:t>
      </w:r>
      <w:r>
        <w:rPr>
          <w:spacing w:val="14"/>
          <w:sz w:val="22"/>
        </w:rPr>
        <w:t> </w:t>
      </w:r>
      <w:r>
        <w:rPr>
          <w:sz w:val="22"/>
        </w:rPr>
        <w:t>Sweden.</w:t>
      </w:r>
      <w:r>
        <w:rPr>
          <w:spacing w:val="14"/>
          <w:sz w:val="22"/>
        </w:rPr>
        <w:t> </w:t>
      </w:r>
      <w:r>
        <w:rPr>
          <w:i/>
          <w:sz w:val="22"/>
        </w:rPr>
        <w:t>Arch</w:t>
      </w:r>
      <w:r>
        <w:rPr>
          <w:i/>
          <w:spacing w:val="26"/>
          <w:sz w:val="22"/>
        </w:rPr>
        <w:t> </w:t>
      </w:r>
      <w:r>
        <w:rPr>
          <w:i/>
          <w:sz w:val="22"/>
        </w:rPr>
        <w:t>Intern</w:t>
      </w:r>
    </w:p>
    <w:p>
      <w:pPr>
        <w:pStyle w:val="ListParagraph"/>
        <w:spacing w:after="0" w:line="256" w:lineRule="auto"/>
        <w:jc w:val="both"/>
        <w:rPr>
          <w:i/>
          <w:sz w:val="22"/>
        </w:rPr>
        <w:sectPr>
          <w:pgSz w:w="12240" w:h="15840"/>
          <w:pgMar w:top="1360" w:bottom="280" w:left="1440" w:right="1440"/>
        </w:sectPr>
      </w:pPr>
    </w:p>
    <w:p>
      <w:pPr>
        <w:spacing w:before="84"/>
        <w:ind w:left="718" w:right="0" w:firstLine="0"/>
        <w:jc w:val="both"/>
        <w:rPr>
          <w:sz w:val="22"/>
        </w:rPr>
      </w:pPr>
      <w:r>
        <w:rPr>
          <w:i/>
          <w:sz w:val="22"/>
        </w:rPr>
        <w:t>Med</w:t>
      </w:r>
      <w:r>
        <w:rPr>
          <w:sz w:val="22"/>
        </w:rPr>
        <w:t>.</w:t>
      </w:r>
      <w:r>
        <w:rPr>
          <w:spacing w:val="8"/>
          <w:sz w:val="22"/>
        </w:rPr>
        <w:t> </w:t>
      </w:r>
      <w:r>
        <w:rPr>
          <w:spacing w:val="-2"/>
          <w:sz w:val="22"/>
        </w:rPr>
        <w:t>1993;153:1201.</w:t>
      </w:r>
    </w:p>
    <w:p>
      <w:pPr>
        <w:pStyle w:val="ListParagraph"/>
        <w:numPr>
          <w:ilvl w:val="0"/>
          <w:numId w:val="19"/>
        </w:numPr>
        <w:tabs>
          <w:tab w:pos="709" w:val="left" w:leader="none"/>
          <w:tab w:pos="718" w:val="left" w:leader="none"/>
        </w:tabs>
        <w:spacing w:line="256" w:lineRule="auto" w:before="17" w:after="0"/>
        <w:ind w:left="718" w:right="100" w:hanging="507"/>
        <w:jc w:val="both"/>
        <w:rPr>
          <w:sz w:val="22"/>
        </w:rPr>
      </w:pPr>
      <w:r>
        <w:rPr>
          <w:sz w:val="22"/>
        </w:rPr>
        <w:t>Longstreth WT Jr, Nelson LM, Koepsell TD, van Belle G. Subarachnoid hemorrhage and hormonal factors in women: a population-based case-control study. </w:t>
      </w:r>
      <w:r>
        <w:rPr>
          <w:i/>
          <w:sz w:val="22"/>
        </w:rPr>
        <w:t>Ann Intern Med</w:t>
      </w:r>
      <w:r>
        <w:rPr>
          <w:sz w:val="22"/>
        </w:rPr>
        <w:t>. </w:t>
      </w:r>
      <w:r>
        <w:rPr>
          <w:spacing w:val="-2"/>
          <w:sz w:val="22"/>
        </w:rPr>
        <w:t>1994;121:168.</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Pedersen AT, Lidegaard Ø, Kreiner S, Ottesen B. Hormone replacement therapy and risk of</w:t>
      </w:r>
      <w:r>
        <w:rPr>
          <w:spacing w:val="80"/>
          <w:sz w:val="22"/>
        </w:rPr>
        <w:t> </w:t>
      </w:r>
      <w:r>
        <w:rPr>
          <w:sz w:val="22"/>
        </w:rPr>
        <w:t>non-fatal stroke. </w:t>
      </w:r>
      <w:r>
        <w:rPr>
          <w:i/>
          <w:sz w:val="22"/>
        </w:rPr>
        <w:t>Lancet</w:t>
      </w:r>
      <w:r>
        <w:rPr>
          <w:sz w:val="22"/>
        </w:rPr>
        <w:t>. 1997;350:1277.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Petitti DB, Sidney S, Quesenberry CP Jr, Bernstein A. Ischemic stroke and use of estrogen and estrogen/progestogen as hormone replacement therapy. </w:t>
      </w:r>
      <w:r>
        <w:rPr>
          <w:i/>
          <w:sz w:val="22"/>
        </w:rPr>
        <w:t>Stroke</w:t>
      </w:r>
      <w:r>
        <w:rPr>
          <w:sz w:val="22"/>
        </w:rPr>
        <w:t>. 1998;29:23.</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Lemaitre RN, Heckbert SR, Psaty BM, Smith NL, Kaplan RC, Longstreth WT Jr. </w:t>
      </w:r>
      <w:r>
        <w:rPr>
          <w:sz w:val="22"/>
        </w:rPr>
        <w:t>Hormone replacement</w:t>
      </w:r>
      <w:r>
        <w:rPr>
          <w:spacing w:val="40"/>
          <w:sz w:val="22"/>
        </w:rPr>
        <w:t> </w:t>
      </w:r>
      <w:r>
        <w:rPr>
          <w:sz w:val="22"/>
        </w:rPr>
        <w:t>therapy</w:t>
      </w:r>
      <w:r>
        <w:rPr>
          <w:spacing w:val="40"/>
          <w:sz w:val="22"/>
        </w:rPr>
        <w:t> </w:t>
      </w:r>
      <w:r>
        <w:rPr>
          <w:sz w:val="22"/>
        </w:rPr>
        <w:t>and</w:t>
      </w:r>
      <w:r>
        <w:rPr>
          <w:spacing w:val="40"/>
          <w:sz w:val="22"/>
        </w:rPr>
        <w:t> </w:t>
      </w:r>
      <w:r>
        <w:rPr>
          <w:sz w:val="22"/>
        </w:rPr>
        <w:t>associated</w:t>
      </w:r>
      <w:r>
        <w:rPr>
          <w:spacing w:val="40"/>
          <w:sz w:val="22"/>
        </w:rPr>
        <w:t> </w:t>
      </w:r>
      <w:r>
        <w:rPr>
          <w:sz w:val="22"/>
        </w:rPr>
        <w:t>risk</w:t>
      </w:r>
      <w:r>
        <w:rPr>
          <w:spacing w:val="40"/>
          <w:sz w:val="22"/>
        </w:rPr>
        <w:t> </w:t>
      </w:r>
      <w:r>
        <w:rPr>
          <w:sz w:val="22"/>
        </w:rPr>
        <w:t>of</w:t>
      </w:r>
      <w:r>
        <w:rPr>
          <w:spacing w:val="40"/>
          <w:sz w:val="22"/>
        </w:rPr>
        <w:t> </w:t>
      </w:r>
      <w:r>
        <w:rPr>
          <w:sz w:val="22"/>
        </w:rPr>
        <w:t>stroke</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i/>
          <w:sz w:val="22"/>
        </w:rPr>
        <w:t>Arch</w:t>
      </w:r>
      <w:r>
        <w:rPr>
          <w:i/>
          <w:spacing w:val="40"/>
          <w:sz w:val="22"/>
        </w:rPr>
        <w:t> </w:t>
      </w:r>
      <w:r>
        <w:rPr>
          <w:i/>
          <w:sz w:val="22"/>
        </w:rPr>
        <w:t>Intern</w:t>
      </w:r>
      <w:r>
        <w:rPr>
          <w:i/>
          <w:sz w:val="22"/>
        </w:rPr>
        <w:t> Med</w:t>
      </w:r>
      <w:r>
        <w:rPr>
          <w:sz w:val="22"/>
        </w:rPr>
        <w:t>. 2002;162:1954.</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Løkkegaard E, Jovanovic Z, Heitmann BL, et al. Increased</w:t>
      </w:r>
      <w:r>
        <w:rPr>
          <w:spacing w:val="40"/>
          <w:sz w:val="22"/>
        </w:rPr>
        <w:t> </w:t>
      </w:r>
      <w:r>
        <w:rPr>
          <w:sz w:val="22"/>
        </w:rPr>
        <w:t>risk</w:t>
      </w:r>
      <w:r>
        <w:rPr>
          <w:spacing w:val="40"/>
          <w:sz w:val="22"/>
        </w:rPr>
        <w:t> </w:t>
      </w:r>
      <w:r>
        <w:rPr>
          <w:sz w:val="22"/>
        </w:rPr>
        <w:t>of</w:t>
      </w:r>
      <w:r>
        <w:rPr>
          <w:spacing w:val="40"/>
          <w:sz w:val="22"/>
        </w:rPr>
        <w:t> </w:t>
      </w:r>
      <w:r>
        <w:rPr>
          <w:sz w:val="22"/>
        </w:rPr>
        <w:t>stroke</w:t>
      </w:r>
      <w:r>
        <w:rPr>
          <w:spacing w:val="40"/>
          <w:sz w:val="22"/>
        </w:rPr>
        <w:t> </w:t>
      </w:r>
      <w:r>
        <w:rPr>
          <w:sz w:val="22"/>
        </w:rPr>
        <w:t>in</w:t>
      </w:r>
      <w:r>
        <w:rPr>
          <w:spacing w:val="40"/>
          <w:sz w:val="22"/>
        </w:rPr>
        <w:t> </w:t>
      </w:r>
      <w:r>
        <w:rPr>
          <w:sz w:val="22"/>
        </w:rPr>
        <w:t>hypertensive women using hormone therapy: analyses based on the Danish Nurse Study. </w:t>
      </w:r>
      <w:r>
        <w:rPr>
          <w:i/>
          <w:sz w:val="22"/>
        </w:rPr>
        <w:t>Arch Neurol</w:t>
      </w:r>
      <w:r>
        <w:rPr>
          <w:sz w:val="22"/>
        </w:rPr>
        <w:t>. </w:t>
      </w:r>
      <w:r>
        <w:rPr>
          <w:spacing w:val="-2"/>
          <w:sz w:val="22"/>
        </w:rPr>
        <w:t>2003;60:1379.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Li</w:t>
      </w:r>
      <w:r>
        <w:rPr>
          <w:spacing w:val="40"/>
          <w:sz w:val="22"/>
        </w:rPr>
        <w:t> </w:t>
      </w:r>
      <w:r>
        <w:rPr>
          <w:sz w:val="22"/>
        </w:rPr>
        <w:t>C,</w:t>
      </w:r>
      <w:r>
        <w:rPr>
          <w:spacing w:val="40"/>
          <w:sz w:val="22"/>
        </w:rPr>
        <w:t> </w:t>
      </w:r>
      <w:r>
        <w:rPr>
          <w:sz w:val="22"/>
        </w:rPr>
        <w:t>Engström</w:t>
      </w:r>
      <w:r>
        <w:rPr>
          <w:spacing w:val="40"/>
          <w:sz w:val="22"/>
        </w:rPr>
        <w:t> </w:t>
      </w:r>
      <w:r>
        <w:rPr>
          <w:sz w:val="22"/>
        </w:rPr>
        <w:t>G,</w:t>
      </w:r>
      <w:r>
        <w:rPr>
          <w:spacing w:val="40"/>
          <w:sz w:val="22"/>
        </w:rPr>
        <w:t> </w:t>
      </w:r>
      <w:r>
        <w:rPr>
          <w:sz w:val="22"/>
        </w:rPr>
        <w:t>Hedblad</w:t>
      </w:r>
      <w:r>
        <w:rPr>
          <w:spacing w:val="40"/>
          <w:sz w:val="22"/>
        </w:rPr>
        <w:t> </w:t>
      </w:r>
      <w:r>
        <w:rPr>
          <w:sz w:val="22"/>
        </w:rPr>
        <w:t>B,</w:t>
      </w:r>
      <w:r>
        <w:rPr>
          <w:spacing w:val="40"/>
          <w:sz w:val="22"/>
        </w:rPr>
        <w:t> </w:t>
      </w:r>
      <w:r>
        <w:rPr>
          <w:sz w:val="22"/>
        </w:rPr>
        <w:t>Berglund</w:t>
      </w:r>
      <w:r>
        <w:rPr>
          <w:spacing w:val="40"/>
          <w:sz w:val="22"/>
        </w:rPr>
        <w:t> </w:t>
      </w:r>
      <w:r>
        <w:rPr>
          <w:sz w:val="22"/>
        </w:rPr>
        <w:t>G,</w:t>
      </w:r>
      <w:r>
        <w:rPr>
          <w:spacing w:val="40"/>
          <w:sz w:val="22"/>
        </w:rPr>
        <w:t> </w:t>
      </w:r>
      <w:r>
        <w:rPr>
          <w:sz w:val="22"/>
        </w:rPr>
        <w:t>Janzon</w:t>
      </w:r>
      <w:r>
        <w:rPr>
          <w:spacing w:val="40"/>
          <w:sz w:val="22"/>
        </w:rPr>
        <w:t> </w:t>
      </w:r>
      <w:r>
        <w:rPr>
          <w:sz w:val="22"/>
        </w:rPr>
        <w:t>L.</w:t>
      </w:r>
      <w:r>
        <w:rPr>
          <w:spacing w:val="40"/>
          <w:sz w:val="22"/>
        </w:rPr>
        <w:t> </w:t>
      </w:r>
      <w:r>
        <w:rPr>
          <w:sz w:val="22"/>
        </w:rPr>
        <w:t>Risk</w:t>
      </w:r>
      <w:r>
        <w:rPr>
          <w:spacing w:val="40"/>
          <w:sz w:val="22"/>
        </w:rPr>
        <w:t> </w:t>
      </w:r>
      <w:r>
        <w:rPr>
          <w:sz w:val="22"/>
        </w:rPr>
        <w:t>of</w:t>
      </w:r>
      <w:r>
        <w:rPr>
          <w:spacing w:val="40"/>
          <w:sz w:val="22"/>
        </w:rPr>
        <w:t> </w:t>
      </w:r>
      <w:r>
        <w:rPr>
          <w:sz w:val="22"/>
        </w:rPr>
        <w:t>stroke</w:t>
      </w:r>
      <w:r>
        <w:rPr>
          <w:spacing w:val="40"/>
          <w:sz w:val="22"/>
        </w:rPr>
        <w:t> </w:t>
      </w:r>
      <w:r>
        <w:rPr>
          <w:sz w:val="22"/>
        </w:rPr>
        <w:t>and</w:t>
      </w:r>
      <w:r>
        <w:rPr>
          <w:spacing w:val="40"/>
          <w:sz w:val="22"/>
        </w:rPr>
        <w:t> </w:t>
      </w:r>
      <w:r>
        <w:rPr>
          <w:sz w:val="22"/>
        </w:rPr>
        <w:t>hormone replacement therapy: a prospective cohort study. </w:t>
      </w:r>
      <w:r>
        <w:rPr>
          <w:i/>
          <w:sz w:val="22"/>
        </w:rPr>
        <w:t>Maturitas</w:t>
      </w:r>
      <w:r>
        <w:rPr>
          <w:sz w:val="22"/>
        </w:rPr>
        <w:t>. 2006;54:11.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Lind</w:t>
      </w:r>
      <w:r>
        <w:rPr>
          <w:spacing w:val="40"/>
          <w:sz w:val="22"/>
        </w:rPr>
        <w:t> </w:t>
      </w:r>
      <w:r>
        <w:rPr>
          <w:sz w:val="22"/>
        </w:rPr>
        <w:t>T,</w:t>
      </w:r>
      <w:r>
        <w:rPr>
          <w:spacing w:val="40"/>
          <w:sz w:val="22"/>
        </w:rPr>
        <w:t> </w:t>
      </w:r>
      <w:r>
        <w:rPr>
          <w:sz w:val="22"/>
        </w:rPr>
        <w:t>Cameron</w:t>
      </w:r>
      <w:r>
        <w:rPr>
          <w:spacing w:val="40"/>
          <w:sz w:val="22"/>
        </w:rPr>
        <w:t> </w:t>
      </w:r>
      <w:r>
        <w:rPr>
          <w:sz w:val="22"/>
        </w:rPr>
        <w:t>EC,</w:t>
      </w:r>
      <w:r>
        <w:rPr>
          <w:spacing w:val="40"/>
          <w:sz w:val="22"/>
        </w:rPr>
        <w:t> </w:t>
      </w:r>
      <w:r>
        <w:rPr>
          <w:sz w:val="22"/>
        </w:rPr>
        <w:t>Hunter</w:t>
      </w:r>
      <w:r>
        <w:rPr>
          <w:spacing w:val="40"/>
          <w:sz w:val="22"/>
        </w:rPr>
        <w:t> </w:t>
      </w:r>
      <w:r>
        <w:rPr>
          <w:sz w:val="22"/>
        </w:rPr>
        <w:t>WM,</w:t>
      </w:r>
      <w:r>
        <w:rPr>
          <w:spacing w:val="40"/>
          <w:sz w:val="22"/>
        </w:rPr>
        <w:t> </w:t>
      </w:r>
      <w:r>
        <w:rPr>
          <w:sz w:val="22"/>
        </w:rPr>
        <w:t>et</w:t>
      </w:r>
      <w:r>
        <w:rPr>
          <w:spacing w:val="40"/>
          <w:sz w:val="22"/>
        </w:rPr>
        <w:t> </w:t>
      </w:r>
      <w:r>
        <w:rPr>
          <w:sz w:val="22"/>
        </w:rPr>
        <w:t>al.</w:t>
      </w:r>
      <w:r>
        <w:rPr>
          <w:spacing w:val="40"/>
          <w:sz w:val="22"/>
        </w:rPr>
        <w:t> </w:t>
      </w:r>
      <w:r>
        <w:rPr>
          <w:sz w:val="22"/>
        </w:rPr>
        <w:t>A</w:t>
      </w:r>
      <w:r>
        <w:rPr>
          <w:spacing w:val="40"/>
          <w:sz w:val="22"/>
        </w:rPr>
        <w:t> </w:t>
      </w:r>
      <w:r>
        <w:rPr>
          <w:sz w:val="22"/>
        </w:rPr>
        <w:t>prospective,</w:t>
      </w:r>
      <w:r>
        <w:rPr>
          <w:spacing w:val="40"/>
          <w:sz w:val="22"/>
        </w:rPr>
        <w:t> </w:t>
      </w:r>
      <w:r>
        <w:rPr>
          <w:sz w:val="22"/>
        </w:rPr>
        <w:t>controlled</w:t>
      </w:r>
      <w:r>
        <w:rPr>
          <w:spacing w:val="40"/>
          <w:sz w:val="22"/>
        </w:rPr>
        <w:t> </w:t>
      </w:r>
      <w:r>
        <w:rPr>
          <w:sz w:val="22"/>
        </w:rPr>
        <w:t>trial</w:t>
      </w:r>
      <w:r>
        <w:rPr>
          <w:spacing w:val="40"/>
          <w:sz w:val="22"/>
        </w:rPr>
        <w:t> </w:t>
      </w:r>
      <w:r>
        <w:rPr>
          <w:sz w:val="22"/>
        </w:rPr>
        <w:t>of</w:t>
      </w:r>
      <w:r>
        <w:rPr>
          <w:spacing w:val="40"/>
          <w:sz w:val="22"/>
        </w:rPr>
        <w:t> </w:t>
      </w:r>
      <w:r>
        <w:rPr>
          <w:sz w:val="22"/>
        </w:rPr>
        <w:t>six</w:t>
      </w:r>
      <w:r>
        <w:rPr>
          <w:spacing w:val="40"/>
          <w:sz w:val="22"/>
        </w:rPr>
        <w:t> </w:t>
      </w:r>
      <w:r>
        <w:rPr>
          <w:sz w:val="22"/>
        </w:rPr>
        <w:t>forms</w:t>
      </w:r>
      <w:r>
        <w:rPr>
          <w:spacing w:val="40"/>
          <w:sz w:val="22"/>
        </w:rPr>
        <w:t> </w:t>
      </w:r>
      <w:r>
        <w:rPr>
          <w:sz w:val="22"/>
        </w:rPr>
        <w:t>of hormone replacement therapy given to postmenopausal women. </w:t>
      </w:r>
      <w:r>
        <w:rPr>
          <w:i/>
          <w:sz w:val="22"/>
        </w:rPr>
        <w:t>Br J Obstet Gynaecol</w:t>
      </w:r>
      <w:r>
        <w:rPr>
          <w:sz w:val="22"/>
        </w:rPr>
        <w:t>. 1979;86(suppl 3):1.</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Pfeffer RI, Kurosaki TT, Charlton SK. Estrogen use and blood pressure in later life. </w:t>
      </w:r>
      <w:r>
        <w:rPr>
          <w:i/>
          <w:sz w:val="22"/>
        </w:rPr>
        <w:t>Am J</w:t>
      </w:r>
      <w:r>
        <w:rPr>
          <w:i/>
          <w:sz w:val="22"/>
        </w:rPr>
        <w:t> Epidemiol</w:t>
      </w:r>
      <w:r>
        <w:rPr>
          <w:sz w:val="22"/>
        </w:rPr>
        <w:t>. 1979;110:469.</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Lutola H. Blood pressure and hemodynamics in postmenopausal women during estradiol-17 substitution. </w:t>
      </w:r>
      <w:r>
        <w:rPr>
          <w:i/>
          <w:sz w:val="22"/>
        </w:rPr>
        <w:t>Ann Clin Res</w:t>
      </w:r>
      <w:r>
        <w:rPr>
          <w:sz w:val="22"/>
        </w:rPr>
        <w:t>. 1983;15(suppl 38):9.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Wren BG, Routledge AD. The effect of type and dose of oestrogen on the blood pressure </w:t>
      </w:r>
      <w:r>
        <w:rPr>
          <w:sz w:val="22"/>
        </w:rPr>
        <w:t>of postmenopausal women. </w:t>
      </w:r>
      <w:r>
        <w:rPr>
          <w:i/>
          <w:sz w:val="22"/>
        </w:rPr>
        <w:t>Maturitas</w:t>
      </w:r>
      <w:r>
        <w:rPr>
          <w:sz w:val="22"/>
        </w:rPr>
        <w:t>. 1983;5:135.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Hassager C, Christiansen C. Blood pressure during oestrogen/progestogen substitution </w:t>
      </w:r>
      <w:r>
        <w:rPr>
          <w:sz w:val="22"/>
        </w:rPr>
        <w:t>therapy</w:t>
      </w:r>
      <w:r>
        <w:rPr>
          <w:spacing w:val="40"/>
          <w:sz w:val="22"/>
        </w:rPr>
        <w:t> </w:t>
      </w:r>
      <w:r>
        <w:rPr>
          <w:sz w:val="22"/>
        </w:rPr>
        <w:t>in healthy post-menopausal women. </w:t>
      </w:r>
      <w:r>
        <w:rPr>
          <w:i/>
          <w:sz w:val="22"/>
        </w:rPr>
        <w:t>Maturitas</w:t>
      </w:r>
      <w:r>
        <w:rPr>
          <w:sz w:val="22"/>
        </w:rPr>
        <w:t>. 1988;9:315.</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Seely EW, Walsh BW, Gerhard MD, Williams GH. Estradiol with or without progesterone </w:t>
      </w:r>
      <w:r>
        <w:rPr>
          <w:sz w:val="22"/>
        </w:rPr>
        <w:t>and ambulatory blood pressure in postmenopausal women. </w:t>
      </w:r>
      <w:r>
        <w:rPr>
          <w:i/>
          <w:sz w:val="22"/>
        </w:rPr>
        <w:t>Hypertension</w:t>
      </w:r>
      <w:r>
        <w:rPr>
          <w:sz w:val="22"/>
        </w:rPr>
        <w:t>. 1999;33:1190.</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Lip GY, Beevers M, Churchill D, Beevers DG. Hormone replacement therapy and </w:t>
      </w:r>
      <w:r>
        <w:rPr>
          <w:sz w:val="22"/>
        </w:rPr>
        <w:t>blood pressure in hypertensive women. </w:t>
      </w:r>
      <w:r>
        <w:rPr>
          <w:i/>
          <w:sz w:val="22"/>
        </w:rPr>
        <w:t>J Hum Hypertens</w:t>
      </w:r>
      <w:r>
        <w:rPr>
          <w:sz w:val="22"/>
        </w:rPr>
        <w:t>. 1994;8:491.</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Sands RH, Studd JWW, Crook D, Warren JB, Cruickshank J, Coats A. The effect of estrogen</w:t>
      </w:r>
      <w:r>
        <w:rPr>
          <w:spacing w:val="80"/>
          <w:sz w:val="22"/>
        </w:rPr>
        <w:t> </w:t>
      </w:r>
      <w:r>
        <w:rPr>
          <w:sz w:val="22"/>
        </w:rPr>
        <w:t>on blood pressure in hypertensive postmenopausal women. </w:t>
      </w:r>
      <w:r>
        <w:rPr>
          <w:i/>
          <w:sz w:val="22"/>
        </w:rPr>
        <w:t>Menopause</w:t>
      </w:r>
      <w:r>
        <w:rPr>
          <w:sz w:val="22"/>
        </w:rPr>
        <w:t>. 1997;4:115.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Kornhauser C, Malacara JM, Gray ME, Perez-Luque EL. The effect of hormone </w:t>
      </w:r>
      <w:r>
        <w:rPr>
          <w:sz w:val="22"/>
        </w:rPr>
        <w:t>replacement therapy</w:t>
      </w:r>
      <w:r>
        <w:rPr>
          <w:spacing w:val="40"/>
          <w:sz w:val="22"/>
        </w:rPr>
        <w:t> </w:t>
      </w:r>
      <w:r>
        <w:rPr>
          <w:sz w:val="22"/>
        </w:rPr>
        <w:t>on</w:t>
      </w:r>
      <w:r>
        <w:rPr>
          <w:spacing w:val="40"/>
          <w:sz w:val="22"/>
        </w:rPr>
        <w:t> </w:t>
      </w:r>
      <w:r>
        <w:rPr>
          <w:sz w:val="22"/>
        </w:rPr>
        <w:t>blood</w:t>
      </w:r>
      <w:r>
        <w:rPr>
          <w:spacing w:val="40"/>
          <w:sz w:val="22"/>
        </w:rPr>
        <w:t> </w:t>
      </w:r>
      <w:r>
        <w:rPr>
          <w:sz w:val="22"/>
        </w:rPr>
        <w:t>pressure</w:t>
      </w:r>
      <w:r>
        <w:rPr>
          <w:spacing w:val="40"/>
          <w:sz w:val="22"/>
        </w:rPr>
        <w:t> </w:t>
      </w:r>
      <w:r>
        <w:rPr>
          <w:sz w:val="22"/>
        </w:rPr>
        <w:t>and</w:t>
      </w:r>
      <w:r>
        <w:rPr>
          <w:spacing w:val="40"/>
          <w:sz w:val="22"/>
        </w:rPr>
        <w:t> </w:t>
      </w:r>
      <w:r>
        <w:rPr>
          <w:sz w:val="22"/>
        </w:rPr>
        <w:t>cardiovascular</w:t>
      </w:r>
      <w:r>
        <w:rPr>
          <w:spacing w:val="40"/>
          <w:sz w:val="22"/>
        </w:rPr>
        <w:t> </w:t>
      </w:r>
      <w:r>
        <w:rPr>
          <w:sz w:val="22"/>
        </w:rPr>
        <w:t>risk</w:t>
      </w:r>
      <w:r>
        <w:rPr>
          <w:spacing w:val="40"/>
          <w:sz w:val="22"/>
        </w:rPr>
        <w:t> </w:t>
      </w:r>
      <w:r>
        <w:rPr>
          <w:sz w:val="22"/>
        </w:rPr>
        <w:t>factors</w:t>
      </w:r>
      <w:r>
        <w:rPr>
          <w:spacing w:val="40"/>
          <w:sz w:val="22"/>
        </w:rPr>
        <w:t> </w:t>
      </w:r>
      <w:r>
        <w:rPr>
          <w:sz w:val="22"/>
        </w:rPr>
        <w:t>in</w:t>
      </w:r>
      <w:r>
        <w:rPr>
          <w:spacing w:val="40"/>
          <w:sz w:val="22"/>
        </w:rPr>
        <w:t> </w:t>
      </w:r>
      <w:r>
        <w:rPr>
          <w:sz w:val="22"/>
        </w:rPr>
        <w:t>menopausal</w:t>
      </w:r>
      <w:r>
        <w:rPr>
          <w:spacing w:val="40"/>
          <w:sz w:val="22"/>
        </w:rPr>
        <w:t> </w:t>
      </w:r>
      <w:r>
        <w:rPr>
          <w:sz w:val="22"/>
        </w:rPr>
        <w:t>women</w:t>
      </w:r>
      <w:r>
        <w:rPr>
          <w:spacing w:val="40"/>
          <w:sz w:val="22"/>
        </w:rPr>
        <w:t> </w:t>
      </w:r>
      <w:r>
        <w:rPr>
          <w:sz w:val="22"/>
        </w:rPr>
        <w:t>with moderate hypertension. </w:t>
      </w:r>
      <w:r>
        <w:rPr>
          <w:i/>
          <w:sz w:val="22"/>
        </w:rPr>
        <w:t>J Hum Hypertens</w:t>
      </w:r>
      <w:r>
        <w:rPr>
          <w:sz w:val="22"/>
        </w:rPr>
        <w:t>. 1997;11:405.</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Mercuro G, Zoncu S, Piano D, et al. Estradiol-17beta reduces blood pressure and restores </w:t>
      </w:r>
      <w:r>
        <w:rPr>
          <w:sz w:val="22"/>
        </w:rPr>
        <w:t>the normal</w:t>
      </w:r>
      <w:r>
        <w:rPr>
          <w:spacing w:val="16"/>
          <w:sz w:val="22"/>
        </w:rPr>
        <w:t> </w:t>
      </w:r>
      <w:r>
        <w:rPr>
          <w:sz w:val="22"/>
        </w:rPr>
        <w:t>amplitude</w:t>
      </w:r>
      <w:r>
        <w:rPr>
          <w:spacing w:val="16"/>
          <w:sz w:val="22"/>
        </w:rPr>
        <w:t> </w:t>
      </w:r>
      <w:r>
        <w:rPr>
          <w:sz w:val="22"/>
        </w:rPr>
        <w:t>of</w:t>
      </w:r>
      <w:r>
        <w:rPr>
          <w:spacing w:val="16"/>
          <w:sz w:val="22"/>
        </w:rPr>
        <w:t> </w:t>
      </w:r>
      <w:r>
        <w:rPr>
          <w:sz w:val="22"/>
        </w:rPr>
        <w:t>the</w:t>
      </w:r>
      <w:r>
        <w:rPr>
          <w:spacing w:val="16"/>
          <w:sz w:val="22"/>
        </w:rPr>
        <w:t> </w:t>
      </w:r>
      <w:r>
        <w:rPr>
          <w:sz w:val="22"/>
        </w:rPr>
        <w:t>circadian</w:t>
      </w:r>
      <w:r>
        <w:rPr>
          <w:spacing w:val="16"/>
          <w:sz w:val="22"/>
        </w:rPr>
        <w:t> </w:t>
      </w:r>
      <w:r>
        <w:rPr>
          <w:sz w:val="22"/>
        </w:rPr>
        <w:t>blood</w:t>
      </w:r>
      <w:r>
        <w:rPr>
          <w:spacing w:val="16"/>
          <w:sz w:val="22"/>
        </w:rPr>
        <w:t> </w:t>
      </w:r>
      <w:r>
        <w:rPr>
          <w:sz w:val="22"/>
        </w:rPr>
        <w:t>pressure</w:t>
      </w:r>
      <w:r>
        <w:rPr>
          <w:spacing w:val="16"/>
          <w:sz w:val="22"/>
        </w:rPr>
        <w:t> </w:t>
      </w:r>
      <w:r>
        <w:rPr>
          <w:sz w:val="22"/>
        </w:rPr>
        <w:t>rhythm</w:t>
      </w:r>
      <w:r>
        <w:rPr>
          <w:spacing w:val="16"/>
          <w:sz w:val="22"/>
        </w:rPr>
        <w:t> </w:t>
      </w:r>
      <w:r>
        <w:rPr>
          <w:sz w:val="22"/>
        </w:rPr>
        <w:t>in</w:t>
      </w:r>
      <w:r>
        <w:rPr>
          <w:spacing w:val="16"/>
          <w:sz w:val="22"/>
        </w:rPr>
        <w:t> </w:t>
      </w:r>
      <w:r>
        <w:rPr>
          <w:sz w:val="22"/>
        </w:rPr>
        <w:t>postmenopausal</w:t>
      </w:r>
      <w:r>
        <w:rPr>
          <w:spacing w:val="16"/>
          <w:sz w:val="22"/>
        </w:rPr>
        <w:t> </w:t>
      </w:r>
      <w:r>
        <w:rPr>
          <w:sz w:val="22"/>
        </w:rPr>
        <w:t>hypertension.</w:t>
      </w:r>
      <w:r>
        <w:rPr>
          <w:spacing w:val="16"/>
          <w:sz w:val="22"/>
        </w:rPr>
        <w:t> </w:t>
      </w:r>
      <w:r>
        <w:rPr>
          <w:i/>
          <w:sz w:val="22"/>
        </w:rPr>
        <w:t>Am</w:t>
      </w:r>
      <w:r>
        <w:rPr>
          <w:i/>
          <w:sz w:val="22"/>
        </w:rPr>
        <w:t> J Hypertens</w:t>
      </w:r>
      <w:r>
        <w:rPr>
          <w:sz w:val="22"/>
        </w:rPr>
        <w:t>. 1998;11:909.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Szekacs B, Vajo Z, Acs N, et al. Hormone replacement therapy reduces mean 24-hour blood pressure and its variability in postmenopausal women with treated hypertension. </w:t>
      </w:r>
      <w:r>
        <w:rPr>
          <w:i/>
          <w:sz w:val="22"/>
        </w:rPr>
        <w:t>Menopause</w:t>
      </w:r>
      <w:r>
        <w:rPr>
          <w:sz w:val="22"/>
        </w:rPr>
        <w:t>. </w:t>
      </w:r>
      <w:r>
        <w:rPr>
          <w:spacing w:val="-2"/>
          <w:sz w:val="22"/>
        </w:rPr>
        <w:t>2000;7:31.</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Affinito P, Palomba S, Bonifacio M, et al. Effects of hormonal replacement therapy </w:t>
      </w:r>
      <w:r>
        <w:rPr>
          <w:sz w:val="22"/>
        </w:rPr>
        <w:t>in postmenopausal hypertensive patients. </w:t>
      </w:r>
      <w:r>
        <w:rPr>
          <w:i/>
          <w:sz w:val="22"/>
        </w:rPr>
        <w:t>Maturitas</w:t>
      </w:r>
      <w:r>
        <w:rPr>
          <w:sz w:val="22"/>
        </w:rPr>
        <w:t>. 2001;40:75.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Medical</w:t>
      </w:r>
      <w:r>
        <w:rPr>
          <w:spacing w:val="35"/>
          <w:sz w:val="22"/>
        </w:rPr>
        <w:t> </w:t>
      </w:r>
      <w:r>
        <w:rPr>
          <w:sz w:val="22"/>
        </w:rPr>
        <w:t>Research</w:t>
      </w:r>
      <w:r>
        <w:rPr>
          <w:spacing w:val="35"/>
          <w:sz w:val="22"/>
        </w:rPr>
        <w:t> </w:t>
      </w:r>
      <w:r>
        <w:rPr>
          <w:sz w:val="22"/>
        </w:rPr>
        <w:t>Council’s</w:t>
      </w:r>
      <w:r>
        <w:rPr>
          <w:spacing w:val="35"/>
          <w:sz w:val="22"/>
        </w:rPr>
        <w:t> </w:t>
      </w:r>
      <w:r>
        <w:rPr>
          <w:sz w:val="22"/>
        </w:rPr>
        <w:t>General</w:t>
      </w:r>
      <w:r>
        <w:rPr>
          <w:spacing w:val="35"/>
          <w:sz w:val="22"/>
        </w:rPr>
        <w:t> </w:t>
      </w:r>
      <w:r>
        <w:rPr>
          <w:sz w:val="22"/>
        </w:rPr>
        <w:t>Practice</w:t>
      </w:r>
      <w:r>
        <w:rPr>
          <w:spacing w:val="35"/>
          <w:sz w:val="22"/>
        </w:rPr>
        <w:t> </w:t>
      </w:r>
      <w:r>
        <w:rPr>
          <w:sz w:val="22"/>
        </w:rPr>
        <w:t>Research</w:t>
      </w:r>
      <w:r>
        <w:rPr>
          <w:spacing w:val="35"/>
          <w:sz w:val="22"/>
        </w:rPr>
        <w:t> </w:t>
      </w:r>
      <w:r>
        <w:rPr>
          <w:sz w:val="22"/>
        </w:rPr>
        <w:t>Framework.</w:t>
      </w:r>
      <w:r>
        <w:rPr>
          <w:spacing w:val="35"/>
          <w:sz w:val="22"/>
        </w:rPr>
        <w:t> </w:t>
      </w:r>
      <w:r>
        <w:rPr>
          <w:sz w:val="22"/>
        </w:rPr>
        <w:t>Randomised</w:t>
      </w:r>
      <w:r>
        <w:rPr>
          <w:spacing w:val="32"/>
          <w:sz w:val="22"/>
        </w:rPr>
        <w:t> </w:t>
      </w:r>
      <w:r>
        <w:rPr>
          <w:sz w:val="22"/>
        </w:rPr>
        <w:t>comparison of oestrogen versus oestrogen plus progestogen hormone replacement therapy in women </w:t>
      </w:r>
      <w:r>
        <w:rPr>
          <w:sz w:val="22"/>
        </w:rPr>
        <w:t>with hysterectomy. </w:t>
      </w:r>
      <w:r>
        <w:rPr>
          <w:i/>
          <w:sz w:val="22"/>
        </w:rPr>
        <w:t>Br Med J</w:t>
      </w:r>
      <w:r>
        <w:rPr>
          <w:sz w:val="22"/>
        </w:rPr>
        <w:t>. 1996;312:473.</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2" w:hanging="507"/>
        <w:jc w:val="both"/>
        <w:rPr>
          <w:sz w:val="22"/>
        </w:rPr>
      </w:pPr>
      <w:r>
        <w:rPr>
          <w:sz w:val="22"/>
        </w:rPr>
        <w:t>Zarifis J, Lip GYH, Beevers DG. Effects of discontinuing hormone replacement therapy </w:t>
      </w:r>
      <w:r>
        <w:rPr>
          <w:sz w:val="22"/>
        </w:rPr>
        <w:t>in patients with uncontrolled hypertension. </w:t>
      </w:r>
      <w:r>
        <w:rPr>
          <w:i/>
          <w:sz w:val="22"/>
        </w:rPr>
        <w:t>Am J Hypertens</w:t>
      </w:r>
      <w:r>
        <w:rPr>
          <w:sz w:val="22"/>
        </w:rPr>
        <w:t>. 1995;8:1241.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Mercuro G, Zoncu S, Pilia I, Lao A, Melis GB, Cherchi A. Effects of acute administration of transdermal estrogen on postmenopausal women with systemic hypertension. </w:t>
      </w:r>
      <w:r>
        <w:rPr>
          <w:i/>
          <w:sz w:val="22"/>
        </w:rPr>
        <w:t>Am J Cardiol</w:t>
      </w:r>
      <w:r>
        <w:rPr>
          <w:sz w:val="22"/>
        </w:rPr>
        <w:t>. </w:t>
      </w:r>
      <w:r>
        <w:rPr>
          <w:spacing w:val="-2"/>
          <w:sz w:val="22"/>
        </w:rPr>
        <w:t>1997;80:652.</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Bérard A, Kahn SR, Abenhaim L. Is hormone replacement therapy protective for venous ulcer</w:t>
      </w:r>
      <w:r>
        <w:rPr>
          <w:spacing w:val="80"/>
          <w:sz w:val="22"/>
        </w:rPr>
        <w:t> </w:t>
      </w:r>
      <w:r>
        <w:rPr>
          <w:sz w:val="22"/>
        </w:rPr>
        <w:t>of the lower limbs? </w:t>
      </w:r>
      <w:r>
        <w:rPr>
          <w:i/>
          <w:sz w:val="22"/>
        </w:rPr>
        <w:t>Pharmacoepidemiol Drug Saf</w:t>
      </w:r>
      <w:r>
        <w:rPr>
          <w:sz w:val="22"/>
        </w:rPr>
        <w:t>. 2001;10:245.</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Margolis DJ, Knauss J, Bilker W. Hormone replacement therapy and prevention of pressure ulcers and venous leg ulcers. </w:t>
      </w:r>
      <w:r>
        <w:rPr>
          <w:i/>
          <w:sz w:val="22"/>
        </w:rPr>
        <w:t>Lancet</w:t>
      </w:r>
      <w:r>
        <w:rPr>
          <w:sz w:val="22"/>
        </w:rPr>
        <w:t>. 2002;359:675.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The Women’s Health Initiative Study Group. Design of the Women’s Health Initiative clinical trial and observational study. </w:t>
      </w:r>
      <w:r>
        <w:rPr>
          <w:i/>
          <w:sz w:val="22"/>
        </w:rPr>
        <w:t>Control Clin Trials</w:t>
      </w:r>
      <w:r>
        <w:rPr>
          <w:sz w:val="22"/>
        </w:rPr>
        <w:t>. 1998;19:61.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Rossouw JE, Anderson GL, Prentice RL, et al. Risks and benefits of estrogen plus progestin </w:t>
      </w:r>
      <w:r>
        <w:rPr>
          <w:sz w:val="22"/>
        </w:rPr>
        <w:t>in healthy postmenopausal women: principal results from the Women’s Health Initiative randomized controlled trial. </w:t>
      </w:r>
      <w:r>
        <w:rPr>
          <w:i/>
          <w:sz w:val="22"/>
        </w:rPr>
        <w:t>JAMA</w:t>
      </w:r>
      <w:r>
        <w:rPr>
          <w:sz w:val="22"/>
        </w:rPr>
        <w:t>. 2002;288:321.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The Women’s Health Initiative Steering Committee. Effects of conjugated equine estrogen </w:t>
      </w:r>
      <w:r>
        <w:rPr>
          <w:sz w:val="22"/>
        </w:rPr>
        <w:t>in postmenopausal women with hysterectomy. The Women’s Health Initiative randomized controlled trial. </w:t>
      </w:r>
      <w:r>
        <w:rPr>
          <w:i/>
          <w:sz w:val="22"/>
        </w:rPr>
        <w:t>JAMA</w:t>
      </w:r>
      <w:r>
        <w:rPr>
          <w:sz w:val="22"/>
        </w:rPr>
        <w:t>. 2004;291:1707.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Stefanick ML, Cochrane BB, Hsia J, Barad DH, Liu JH, Johnson SR. The Women’s Health Initiative</w:t>
      </w:r>
      <w:r>
        <w:rPr>
          <w:spacing w:val="40"/>
          <w:sz w:val="22"/>
        </w:rPr>
        <w:t> </w:t>
      </w:r>
      <w:r>
        <w:rPr>
          <w:sz w:val="22"/>
        </w:rPr>
        <w:t>postmenopausal</w:t>
      </w:r>
      <w:r>
        <w:rPr>
          <w:spacing w:val="40"/>
          <w:sz w:val="22"/>
        </w:rPr>
        <w:t> </w:t>
      </w:r>
      <w:r>
        <w:rPr>
          <w:sz w:val="22"/>
        </w:rPr>
        <w:t>hormone</w:t>
      </w:r>
      <w:r>
        <w:rPr>
          <w:spacing w:val="40"/>
          <w:sz w:val="22"/>
        </w:rPr>
        <w:t> </w:t>
      </w:r>
      <w:r>
        <w:rPr>
          <w:sz w:val="22"/>
        </w:rPr>
        <w:t>trials:</w:t>
      </w:r>
      <w:r>
        <w:rPr>
          <w:spacing w:val="40"/>
          <w:sz w:val="22"/>
        </w:rPr>
        <w:t> </w:t>
      </w:r>
      <w:r>
        <w:rPr>
          <w:sz w:val="22"/>
        </w:rPr>
        <w:t>overview</w:t>
      </w:r>
      <w:r>
        <w:rPr>
          <w:spacing w:val="40"/>
          <w:sz w:val="22"/>
        </w:rPr>
        <w:t> </w:t>
      </w:r>
      <w:r>
        <w:rPr>
          <w:sz w:val="22"/>
        </w:rPr>
        <w:t>and</w:t>
      </w:r>
      <w:r>
        <w:rPr>
          <w:spacing w:val="40"/>
          <w:sz w:val="22"/>
        </w:rPr>
        <w:t> </w:t>
      </w:r>
      <w:r>
        <w:rPr>
          <w:sz w:val="22"/>
        </w:rPr>
        <w:t>baseline</w:t>
      </w:r>
      <w:r>
        <w:rPr>
          <w:spacing w:val="40"/>
          <w:sz w:val="22"/>
        </w:rPr>
        <w:t> </w:t>
      </w:r>
      <w:r>
        <w:rPr>
          <w:sz w:val="22"/>
        </w:rPr>
        <w:t>characteristics</w:t>
      </w:r>
      <w:r>
        <w:rPr>
          <w:spacing w:val="40"/>
          <w:sz w:val="22"/>
        </w:rPr>
        <w:t> </w:t>
      </w:r>
      <w:r>
        <w:rPr>
          <w:sz w:val="22"/>
        </w:rPr>
        <w:t>of participants. </w:t>
      </w:r>
      <w:r>
        <w:rPr>
          <w:i/>
          <w:sz w:val="22"/>
        </w:rPr>
        <w:t>Ann Epidemiol</w:t>
      </w:r>
      <w:r>
        <w:rPr>
          <w:sz w:val="22"/>
        </w:rPr>
        <w:t>. 2003;13:S78.</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Hays J, Ockene JK, Brunner RL, et al. Effects of estrogen plus progestin on health-related quality of life. </w:t>
      </w:r>
      <w:r>
        <w:rPr>
          <w:i/>
          <w:sz w:val="22"/>
        </w:rPr>
        <w:t>N Engl J Med</w:t>
      </w:r>
      <w:r>
        <w:rPr>
          <w:sz w:val="22"/>
        </w:rPr>
        <w:t>. 2003;348:1839.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Manson JE, Hsia J, Johnson KC, et al. Estrogen plus progestin and the risk of coronary </w:t>
      </w:r>
      <w:r>
        <w:rPr>
          <w:sz w:val="22"/>
        </w:rPr>
        <w:t>heart disease. </w:t>
      </w:r>
      <w:r>
        <w:rPr>
          <w:i/>
          <w:sz w:val="22"/>
        </w:rPr>
        <w:t>N Engl J Med</w:t>
      </w:r>
      <w:r>
        <w:rPr>
          <w:sz w:val="22"/>
        </w:rPr>
        <w:t>. 2003;349:523.</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Chilvers CE, Knibb RC, Armstrong SJ, Woods KL, Logan RF. Post menopausal hormone replacement</w:t>
      </w:r>
      <w:r>
        <w:rPr>
          <w:spacing w:val="28"/>
          <w:sz w:val="22"/>
        </w:rPr>
        <w:t> </w:t>
      </w:r>
      <w:r>
        <w:rPr>
          <w:sz w:val="22"/>
        </w:rPr>
        <w:t>therapy</w:t>
      </w:r>
      <w:r>
        <w:rPr>
          <w:spacing w:val="28"/>
          <w:sz w:val="22"/>
        </w:rPr>
        <w:t> </w:t>
      </w:r>
      <w:r>
        <w:rPr>
          <w:sz w:val="22"/>
        </w:rPr>
        <w:t>and</w:t>
      </w:r>
      <w:r>
        <w:rPr>
          <w:spacing w:val="28"/>
          <w:sz w:val="22"/>
        </w:rPr>
        <w:t> </w:t>
      </w:r>
      <w:r>
        <w:rPr>
          <w:sz w:val="22"/>
        </w:rPr>
        <w:t>risk</w:t>
      </w:r>
      <w:r>
        <w:rPr>
          <w:spacing w:val="28"/>
          <w:sz w:val="22"/>
        </w:rPr>
        <w:t> </w:t>
      </w:r>
      <w:r>
        <w:rPr>
          <w:sz w:val="22"/>
        </w:rPr>
        <w:t>of</w:t>
      </w:r>
      <w:r>
        <w:rPr>
          <w:spacing w:val="28"/>
          <w:sz w:val="22"/>
        </w:rPr>
        <w:t> </w:t>
      </w:r>
      <w:r>
        <w:rPr>
          <w:sz w:val="22"/>
        </w:rPr>
        <w:t>acute</w:t>
      </w:r>
      <w:r>
        <w:rPr>
          <w:spacing w:val="28"/>
          <w:sz w:val="22"/>
        </w:rPr>
        <w:t> </w:t>
      </w:r>
      <w:r>
        <w:rPr>
          <w:sz w:val="22"/>
        </w:rPr>
        <w:t>myocardial</w:t>
      </w:r>
      <w:r>
        <w:rPr>
          <w:spacing w:val="28"/>
          <w:sz w:val="22"/>
        </w:rPr>
        <w:t> </w:t>
      </w:r>
      <w:r>
        <w:rPr>
          <w:sz w:val="22"/>
        </w:rPr>
        <w:t>infarction—a</w:t>
      </w:r>
      <w:r>
        <w:rPr>
          <w:spacing w:val="28"/>
          <w:sz w:val="22"/>
        </w:rPr>
        <w:t> </w:t>
      </w:r>
      <w:r>
        <w:rPr>
          <w:sz w:val="22"/>
        </w:rPr>
        <w:t>case</w:t>
      </w:r>
      <w:r>
        <w:rPr>
          <w:spacing w:val="28"/>
          <w:sz w:val="22"/>
        </w:rPr>
        <w:t> </w:t>
      </w:r>
      <w:r>
        <w:rPr>
          <w:sz w:val="22"/>
        </w:rPr>
        <w:t>control</w:t>
      </w:r>
      <w:r>
        <w:rPr>
          <w:spacing w:val="28"/>
          <w:sz w:val="22"/>
        </w:rPr>
        <w:t> </w:t>
      </w:r>
      <w:r>
        <w:rPr>
          <w:sz w:val="22"/>
        </w:rPr>
        <w:t>study</w:t>
      </w:r>
      <w:r>
        <w:rPr>
          <w:spacing w:val="28"/>
          <w:sz w:val="22"/>
        </w:rPr>
        <w:t> </w:t>
      </w:r>
      <w:r>
        <w:rPr>
          <w:sz w:val="22"/>
        </w:rPr>
        <w:t>of</w:t>
      </w:r>
      <w:r>
        <w:rPr>
          <w:spacing w:val="28"/>
          <w:sz w:val="22"/>
        </w:rPr>
        <w:t> </w:t>
      </w:r>
      <w:r>
        <w:rPr>
          <w:sz w:val="22"/>
        </w:rPr>
        <w:t>women in the East Midlands, UK. </w:t>
      </w:r>
      <w:r>
        <w:rPr>
          <w:i/>
          <w:sz w:val="22"/>
        </w:rPr>
        <w:t>Eur Heart J</w:t>
      </w:r>
      <w:r>
        <w:rPr>
          <w:sz w:val="22"/>
        </w:rPr>
        <w:t>. 2003;24:2197.</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Manson JE, Bassuk SS, Kaunitz AM, Pinkerton JV. The Women’s Health Initiative trials of menopausal hormone therapy: lessons learned. </w:t>
      </w:r>
      <w:r>
        <w:rPr>
          <w:i/>
          <w:sz w:val="22"/>
        </w:rPr>
        <w:t>Menopause</w:t>
      </w:r>
      <w:r>
        <w:rPr>
          <w:sz w:val="22"/>
        </w:rPr>
        <w:t>. 2020;27(8):918-928.</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Toh S, Hernandez-Diaz S, Logan RF, Rossouw JE, Hernan MA. Coronary heart disease in postmenopausal recipients of estrogen plus progestin therapy: does the increased risk ever disappear? A randomized trial. </w:t>
      </w:r>
      <w:r>
        <w:rPr>
          <w:i/>
          <w:sz w:val="22"/>
        </w:rPr>
        <w:t>Ann Intern Med</w:t>
      </w:r>
      <w:r>
        <w:rPr>
          <w:sz w:val="22"/>
        </w:rPr>
        <w:t>. 2010;152:211.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Appt S, Clarkson TB, Lees CJ, Anthony MS. Low dose estrogens inhibit coronary </w:t>
      </w:r>
      <w:r>
        <w:rPr>
          <w:sz w:val="22"/>
        </w:rPr>
        <w:t>artery atherosclerosis in postmenopausal monkeys. </w:t>
      </w:r>
      <w:r>
        <w:rPr>
          <w:i/>
          <w:sz w:val="22"/>
        </w:rPr>
        <w:t>Maturitas</w:t>
      </w:r>
      <w:r>
        <w:rPr>
          <w:sz w:val="22"/>
        </w:rPr>
        <w:t>. 2006;55:187.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Wassertheil-Smoller S, Hendrix SL, Limacher M, et al. Effect of estrogen plus progestin on stroke in postmenopausal women: the Women’s Health Initiative: a randomized trial. </w:t>
      </w:r>
      <w:r>
        <w:rPr>
          <w:i/>
          <w:sz w:val="22"/>
        </w:rPr>
        <w:t>JAMA</w:t>
      </w:r>
      <w:r>
        <w:rPr>
          <w:sz w:val="22"/>
        </w:rPr>
        <w:t>. </w:t>
      </w:r>
      <w:r>
        <w:rPr>
          <w:spacing w:val="-2"/>
          <w:sz w:val="22"/>
        </w:rPr>
        <w:t>2003;289:2673.</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Hendrix SL, Wassertheil-Smoller S, Johnson KC, et al. Effects of conjugated equine estrogen</w:t>
      </w:r>
      <w:r>
        <w:rPr>
          <w:spacing w:val="80"/>
          <w:sz w:val="22"/>
        </w:rPr>
        <w:t> </w:t>
      </w:r>
      <w:r>
        <w:rPr>
          <w:sz w:val="22"/>
        </w:rPr>
        <w:t>on stroke in the Women’s Health Initiative. </w:t>
      </w:r>
      <w:r>
        <w:rPr>
          <w:i/>
          <w:sz w:val="22"/>
        </w:rPr>
        <w:t>Circulation</w:t>
      </w:r>
      <w:r>
        <w:rPr>
          <w:sz w:val="22"/>
        </w:rPr>
        <w:t>. 2006;113:2425.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Viscoli CM, Brass LM, Kernan WN, Sarrel PM, Suissa S, Horwitz RL. A clinical trial of estrogen-replacement therapy after ischemic stroke. </w:t>
      </w:r>
      <w:r>
        <w:rPr>
          <w:i/>
          <w:sz w:val="22"/>
        </w:rPr>
        <w:t>N Engl J Med</w:t>
      </w:r>
      <w:r>
        <w:rPr>
          <w:sz w:val="22"/>
        </w:rPr>
        <w:t>. 2001;345:1243.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Grodstein F, Manson JE, Stampfer MJ, Rexrode K. Postmenopausal hormone therapy and</w:t>
      </w:r>
      <w:r>
        <w:rPr>
          <w:spacing w:val="40"/>
          <w:sz w:val="22"/>
        </w:rPr>
        <w:t> </w:t>
      </w:r>
      <w:r>
        <w:rPr>
          <w:sz w:val="22"/>
        </w:rPr>
        <w:t>stroke:</w:t>
      </w:r>
      <w:r>
        <w:rPr>
          <w:spacing w:val="38"/>
          <w:sz w:val="22"/>
        </w:rPr>
        <w:t> </w:t>
      </w:r>
      <w:r>
        <w:rPr>
          <w:sz w:val="22"/>
        </w:rPr>
        <w:t>role</w:t>
      </w:r>
      <w:r>
        <w:rPr>
          <w:spacing w:val="38"/>
          <w:sz w:val="22"/>
        </w:rPr>
        <w:t> </w:t>
      </w:r>
      <w:r>
        <w:rPr>
          <w:sz w:val="22"/>
        </w:rPr>
        <w:t>of</w:t>
      </w:r>
      <w:r>
        <w:rPr>
          <w:spacing w:val="38"/>
          <w:sz w:val="22"/>
        </w:rPr>
        <w:t> </w:t>
      </w:r>
      <w:r>
        <w:rPr>
          <w:sz w:val="22"/>
        </w:rPr>
        <w:t>time</w:t>
      </w:r>
      <w:r>
        <w:rPr>
          <w:spacing w:val="38"/>
          <w:sz w:val="22"/>
        </w:rPr>
        <w:t> </w:t>
      </w:r>
      <w:r>
        <w:rPr>
          <w:sz w:val="22"/>
        </w:rPr>
        <w:t>since</w:t>
      </w:r>
      <w:r>
        <w:rPr>
          <w:spacing w:val="38"/>
          <w:sz w:val="22"/>
        </w:rPr>
        <w:t> </w:t>
      </w:r>
      <w:r>
        <w:rPr>
          <w:sz w:val="22"/>
        </w:rPr>
        <w:t>menopause</w:t>
      </w:r>
      <w:r>
        <w:rPr>
          <w:spacing w:val="38"/>
          <w:sz w:val="22"/>
        </w:rPr>
        <w:t> </w:t>
      </w:r>
      <w:r>
        <w:rPr>
          <w:sz w:val="22"/>
        </w:rPr>
        <w:t>and</w:t>
      </w:r>
      <w:r>
        <w:rPr>
          <w:spacing w:val="38"/>
          <w:sz w:val="22"/>
        </w:rPr>
        <w:t> </w:t>
      </w:r>
      <w:r>
        <w:rPr>
          <w:sz w:val="22"/>
        </w:rPr>
        <w:t>age</w:t>
      </w:r>
      <w:r>
        <w:rPr>
          <w:spacing w:val="38"/>
          <w:sz w:val="22"/>
        </w:rPr>
        <w:t> </w:t>
      </w:r>
      <w:r>
        <w:rPr>
          <w:sz w:val="22"/>
        </w:rPr>
        <w:t>at</w:t>
      </w:r>
      <w:r>
        <w:rPr>
          <w:spacing w:val="38"/>
          <w:sz w:val="22"/>
        </w:rPr>
        <w:t> </w:t>
      </w:r>
      <w:r>
        <w:rPr>
          <w:sz w:val="22"/>
        </w:rPr>
        <w:t>initiation</w:t>
      </w:r>
      <w:r>
        <w:rPr>
          <w:spacing w:val="38"/>
          <w:sz w:val="22"/>
        </w:rPr>
        <w:t> </w:t>
      </w:r>
      <w:r>
        <w:rPr>
          <w:sz w:val="22"/>
        </w:rPr>
        <w:t>of</w:t>
      </w:r>
      <w:r>
        <w:rPr>
          <w:spacing w:val="38"/>
          <w:sz w:val="22"/>
        </w:rPr>
        <w:t> </w:t>
      </w:r>
      <w:r>
        <w:rPr>
          <w:sz w:val="22"/>
        </w:rPr>
        <w:t>hormone</w:t>
      </w:r>
      <w:r>
        <w:rPr>
          <w:spacing w:val="38"/>
          <w:sz w:val="22"/>
        </w:rPr>
        <w:t> </w:t>
      </w:r>
      <w:r>
        <w:rPr>
          <w:sz w:val="22"/>
        </w:rPr>
        <w:t>therapy.</w:t>
      </w:r>
      <w:r>
        <w:rPr>
          <w:spacing w:val="38"/>
          <w:sz w:val="22"/>
        </w:rPr>
        <w:t> </w:t>
      </w:r>
      <w:r>
        <w:rPr>
          <w:i/>
          <w:sz w:val="22"/>
        </w:rPr>
        <w:t>Arch</w:t>
      </w:r>
      <w:r>
        <w:rPr>
          <w:i/>
          <w:spacing w:val="40"/>
          <w:sz w:val="22"/>
        </w:rPr>
        <w:t> </w:t>
      </w:r>
      <w:r>
        <w:rPr>
          <w:i/>
          <w:sz w:val="22"/>
        </w:rPr>
        <w:t>Intern</w:t>
      </w:r>
      <w:r>
        <w:rPr>
          <w:i/>
          <w:sz w:val="22"/>
        </w:rPr>
        <w:t> Med</w:t>
      </w:r>
      <w:r>
        <w:rPr>
          <w:sz w:val="22"/>
        </w:rPr>
        <w:t>. 2008;168:861.</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Rossouw JE, Prentice RL, Manson JE, et al. Postmenopausal hormone therapy and risk </w:t>
      </w:r>
      <w:r>
        <w:rPr>
          <w:sz w:val="22"/>
        </w:rPr>
        <w:t>of cardiovascular disease by age and years since menopause. </w:t>
      </w:r>
      <w:r>
        <w:rPr>
          <w:i/>
          <w:sz w:val="22"/>
        </w:rPr>
        <w:t>JAMA</w:t>
      </w:r>
      <w:r>
        <w:rPr>
          <w:sz w:val="22"/>
        </w:rPr>
        <w:t>. 2007;297:1465.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Hulley S, Grady D, Bush T, et al. Randomized trial of estrogen plus progestin for secondary prevention of coronary heart disease in postmenopausal women. </w:t>
      </w:r>
      <w:r>
        <w:rPr>
          <w:i/>
          <w:sz w:val="22"/>
        </w:rPr>
        <w:t>JAMA</w:t>
      </w:r>
      <w:r>
        <w:rPr>
          <w:sz w:val="22"/>
        </w:rPr>
        <w:t>. 1998;280:605.</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0" w:hanging="507"/>
        <w:jc w:val="both"/>
        <w:rPr>
          <w:sz w:val="22"/>
        </w:rPr>
      </w:pPr>
      <w:r>
        <w:rPr>
          <w:sz w:val="22"/>
        </w:rPr>
        <w:t>Grady D, Herrington D, Bittner V, et al. Heart and Estrogen/progestin Replacement Study Follow-up</w:t>
      </w:r>
      <w:r>
        <w:rPr>
          <w:spacing w:val="40"/>
          <w:sz w:val="22"/>
        </w:rPr>
        <w:t> </w:t>
      </w:r>
      <w:r>
        <w:rPr>
          <w:sz w:val="22"/>
        </w:rPr>
        <w:t>(HERS</w:t>
      </w:r>
      <w:r>
        <w:rPr>
          <w:spacing w:val="40"/>
          <w:sz w:val="22"/>
        </w:rPr>
        <w:t> </w:t>
      </w:r>
      <w:r>
        <w:rPr>
          <w:sz w:val="22"/>
        </w:rPr>
        <w:t>II):</w:t>
      </w:r>
      <w:r>
        <w:rPr>
          <w:spacing w:val="40"/>
          <w:sz w:val="22"/>
        </w:rPr>
        <w:t> </w:t>
      </w:r>
      <w:r>
        <w:rPr>
          <w:sz w:val="22"/>
        </w:rPr>
        <w:t>1.</w:t>
      </w:r>
      <w:r>
        <w:rPr>
          <w:spacing w:val="40"/>
          <w:sz w:val="22"/>
        </w:rPr>
        <w:t> </w:t>
      </w:r>
      <w:r>
        <w:rPr>
          <w:sz w:val="22"/>
        </w:rPr>
        <w:t>Cardiovascular</w:t>
      </w:r>
      <w:r>
        <w:rPr>
          <w:spacing w:val="40"/>
          <w:sz w:val="22"/>
        </w:rPr>
        <w:t> </w:t>
      </w:r>
      <w:r>
        <w:rPr>
          <w:sz w:val="22"/>
        </w:rPr>
        <w:t>outcomes</w:t>
      </w:r>
      <w:r>
        <w:rPr>
          <w:spacing w:val="40"/>
          <w:sz w:val="22"/>
        </w:rPr>
        <w:t> </w:t>
      </w:r>
      <w:r>
        <w:rPr>
          <w:sz w:val="22"/>
        </w:rPr>
        <w:t>during</w:t>
      </w:r>
      <w:r>
        <w:rPr>
          <w:spacing w:val="40"/>
          <w:sz w:val="22"/>
        </w:rPr>
        <w:t> </w:t>
      </w:r>
      <w:r>
        <w:rPr>
          <w:sz w:val="22"/>
        </w:rPr>
        <w:t>6.8</w:t>
      </w:r>
      <w:r>
        <w:rPr>
          <w:spacing w:val="40"/>
          <w:sz w:val="22"/>
        </w:rPr>
        <w:t> </w:t>
      </w:r>
      <w:r>
        <w:rPr>
          <w:sz w:val="22"/>
        </w:rPr>
        <w:t>years</w:t>
      </w:r>
      <w:r>
        <w:rPr>
          <w:spacing w:val="40"/>
          <w:sz w:val="22"/>
        </w:rPr>
        <w:t> </w:t>
      </w:r>
      <w:r>
        <w:rPr>
          <w:sz w:val="22"/>
        </w:rPr>
        <w:t>of</w:t>
      </w:r>
      <w:r>
        <w:rPr>
          <w:spacing w:val="40"/>
          <w:sz w:val="22"/>
        </w:rPr>
        <w:t> </w:t>
      </w:r>
      <w:r>
        <w:rPr>
          <w:sz w:val="22"/>
        </w:rPr>
        <w:t>hormone</w:t>
      </w:r>
      <w:r>
        <w:rPr>
          <w:spacing w:val="40"/>
          <w:sz w:val="22"/>
        </w:rPr>
        <w:t> </w:t>
      </w:r>
      <w:r>
        <w:rPr>
          <w:sz w:val="22"/>
        </w:rPr>
        <w:t>therapy. </w:t>
      </w:r>
      <w:r>
        <w:rPr>
          <w:i/>
          <w:sz w:val="22"/>
        </w:rPr>
        <w:t>JAMA</w:t>
      </w:r>
      <w:r>
        <w:rPr>
          <w:sz w:val="22"/>
        </w:rPr>
        <w:t>. 2002;288:49.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Hulley</w:t>
      </w:r>
      <w:r>
        <w:rPr>
          <w:spacing w:val="40"/>
          <w:sz w:val="22"/>
        </w:rPr>
        <w:t> </w:t>
      </w:r>
      <w:r>
        <w:rPr>
          <w:sz w:val="22"/>
        </w:rPr>
        <w:t>S,</w:t>
      </w:r>
      <w:r>
        <w:rPr>
          <w:spacing w:val="40"/>
          <w:sz w:val="22"/>
        </w:rPr>
        <w:t> </w:t>
      </w:r>
      <w:r>
        <w:rPr>
          <w:sz w:val="22"/>
        </w:rPr>
        <w:t>Furberg</w:t>
      </w:r>
      <w:r>
        <w:rPr>
          <w:spacing w:val="40"/>
          <w:sz w:val="22"/>
        </w:rPr>
        <w:t> </w:t>
      </w:r>
      <w:r>
        <w:rPr>
          <w:sz w:val="22"/>
        </w:rPr>
        <w:t>C,</w:t>
      </w:r>
      <w:r>
        <w:rPr>
          <w:spacing w:val="40"/>
          <w:sz w:val="22"/>
        </w:rPr>
        <w:t> </w:t>
      </w:r>
      <w:r>
        <w:rPr>
          <w:sz w:val="22"/>
        </w:rPr>
        <w:t>Barrett-Connor</w:t>
      </w:r>
      <w:r>
        <w:rPr>
          <w:spacing w:val="40"/>
          <w:sz w:val="22"/>
        </w:rPr>
        <w:t> </w:t>
      </w:r>
      <w:r>
        <w:rPr>
          <w:sz w:val="22"/>
        </w:rPr>
        <w:t>E,</w:t>
      </w:r>
      <w:r>
        <w:rPr>
          <w:spacing w:val="40"/>
          <w:sz w:val="22"/>
        </w:rPr>
        <w:t> </w:t>
      </w:r>
      <w:r>
        <w:rPr>
          <w:sz w:val="22"/>
        </w:rPr>
        <w:t>et</w:t>
      </w:r>
      <w:r>
        <w:rPr>
          <w:spacing w:val="40"/>
          <w:sz w:val="22"/>
        </w:rPr>
        <w:t> </w:t>
      </w:r>
      <w:r>
        <w:rPr>
          <w:sz w:val="22"/>
        </w:rPr>
        <w:t>al.</w:t>
      </w:r>
      <w:r>
        <w:rPr>
          <w:spacing w:val="40"/>
          <w:sz w:val="22"/>
        </w:rPr>
        <w:t> </w:t>
      </w:r>
      <w:r>
        <w:rPr>
          <w:sz w:val="22"/>
        </w:rPr>
        <w:t>Heart</w:t>
      </w:r>
      <w:r>
        <w:rPr>
          <w:spacing w:val="40"/>
          <w:sz w:val="22"/>
        </w:rPr>
        <w:t> </w:t>
      </w:r>
      <w:r>
        <w:rPr>
          <w:sz w:val="22"/>
        </w:rPr>
        <w:t>and</w:t>
      </w:r>
      <w:r>
        <w:rPr>
          <w:spacing w:val="40"/>
          <w:sz w:val="22"/>
        </w:rPr>
        <w:t> </w:t>
      </w:r>
      <w:r>
        <w:rPr>
          <w:sz w:val="22"/>
        </w:rPr>
        <w:t>Estrogen/progestin</w:t>
      </w:r>
      <w:r>
        <w:rPr>
          <w:spacing w:val="40"/>
          <w:sz w:val="22"/>
        </w:rPr>
        <w:t> </w:t>
      </w:r>
      <w:r>
        <w:rPr>
          <w:sz w:val="22"/>
        </w:rPr>
        <w:t>Replacement Study Follow-up (HERS II): 2. Non-cardiovascular disease outcomes during 6.8 years of hormone therapy. </w:t>
      </w:r>
      <w:r>
        <w:rPr>
          <w:i/>
          <w:sz w:val="22"/>
        </w:rPr>
        <w:t>JAMA</w:t>
      </w:r>
      <w:r>
        <w:rPr>
          <w:sz w:val="22"/>
        </w:rPr>
        <w:t>. 2002;288:58.</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Hodis HN, Mack WJ, Lobo RA, et al. Estrogen in the prevention of atherosclerosis: </w:t>
      </w:r>
      <w:r>
        <w:rPr>
          <w:sz w:val="22"/>
        </w:rPr>
        <w:t>a randomized, double-blind, placebo-controlled trial. </w:t>
      </w:r>
      <w:r>
        <w:rPr>
          <w:i/>
          <w:sz w:val="22"/>
        </w:rPr>
        <w:t>Ann Intern Med</w:t>
      </w:r>
      <w:r>
        <w:rPr>
          <w:sz w:val="22"/>
        </w:rPr>
        <w:t>. 2001;135:939.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Herrington DM, Reboussin DM, Brosnihan KB, et al. Effects of estrogen replacement on </w:t>
      </w:r>
      <w:r>
        <w:rPr>
          <w:sz w:val="22"/>
        </w:rPr>
        <w:t>the progression of coronary-artery atherosclerosis. </w:t>
      </w:r>
      <w:r>
        <w:rPr>
          <w:i/>
          <w:sz w:val="22"/>
        </w:rPr>
        <w:t>N Engl J Med</w:t>
      </w:r>
      <w:r>
        <w:rPr>
          <w:sz w:val="22"/>
        </w:rPr>
        <w:t>. 2000;343:522.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Hodis HN, Mack WJ, Azen SP, et al. Hormone therapy and the progression of coronary-</w:t>
      </w:r>
      <w:r>
        <w:rPr>
          <w:sz w:val="22"/>
        </w:rPr>
        <w:t>artery atherosclerosis in postmenopausal women. </w:t>
      </w:r>
      <w:r>
        <w:rPr>
          <w:i/>
          <w:sz w:val="22"/>
        </w:rPr>
        <w:t>N Engl J Med</w:t>
      </w:r>
      <w:r>
        <w:rPr>
          <w:sz w:val="22"/>
        </w:rPr>
        <w:t>. 2003;349:535.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Clarke SC, Kelleher J, Lloyd-Jones H, Slack M, Schofield PM. A study of hormone</w:t>
      </w:r>
      <w:r>
        <w:rPr>
          <w:spacing w:val="80"/>
          <w:sz w:val="22"/>
        </w:rPr>
        <w:t> </w:t>
      </w:r>
      <w:r>
        <w:rPr>
          <w:sz w:val="22"/>
        </w:rPr>
        <w:t>replacement therapy in postmenopausal women with ischaemic heart disease: the Papworth</w:t>
      </w:r>
      <w:r>
        <w:rPr>
          <w:spacing w:val="80"/>
          <w:sz w:val="22"/>
        </w:rPr>
        <w:t> </w:t>
      </w:r>
      <w:r>
        <w:rPr>
          <w:sz w:val="22"/>
        </w:rPr>
        <w:t>HRT Atherosclerosis Study. </w:t>
      </w:r>
      <w:r>
        <w:rPr>
          <w:i/>
          <w:sz w:val="22"/>
        </w:rPr>
        <w:t>Br J Obstet Gynaecol</w:t>
      </w:r>
      <w:r>
        <w:rPr>
          <w:sz w:val="22"/>
        </w:rPr>
        <w:t>. 2002;109:1056.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Waters DD, Alderman EL, Hsia J, et al. Effects of hormone replacement therapy and</w:t>
      </w:r>
      <w:r>
        <w:rPr>
          <w:spacing w:val="80"/>
          <w:sz w:val="22"/>
        </w:rPr>
        <w:t> </w:t>
      </w:r>
      <w:r>
        <w:rPr>
          <w:sz w:val="22"/>
        </w:rPr>
        <w:t>antioxidant vitamins supplements on coronary atherosclerosis in postmenopausal women: a randomized controlled trial. </w:t>
      </w:r>
      <w:r>
        <w:rPr>
          <w:i/>
          <w:sz w:val="22"/>
        </w:rPr>
        <w:t>JAMA</w:t>
      </w:r>
      <w:r>
        <w:rPr>
          <w:sz w:val="22"/>
        </w:rPr>
        <w:t>. 2002;288:2432.</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The ESPRIT Team. Oestrogen therapy for prevention of reinfarction in </w:t>
      </w:r>
      <w:r>
        <w:rPr>
          <w:sz w:val="22"/>
        </w:rPr>
        <w:t>postmenopausal</w:t>
      </w:r>
      <w:r>
        <w:rPr>
          <w:spacing w:val="80"/>
          <w:w w:val="150"/>
          <w:sz w:val="22"/>
        </w:rPr>
        <w:t> </w:t>
      </w:r>
      <w:r>
        <w:rPr>
          <w:sz w:val="22"/>
        </w:rPr>
        <w:t>women: a randomised placebo controlled trial. </w:t>
      </w:r>
      <w:r>
        <w:rPr>
          <w:i/>
          <w:sz w:val="22"/>
        </w:rPr>
        <w:t>Lancet</w:t>
      </w:r>
      <w:r>
        <w:rPr>
          <w:sz w:val="22"/>
        </w:rPr>
        <w:t>. 2002;360:2001.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Hsia J, Langer RD, Manson JE, et al. Conjugated equine estrogens and coronary heart </w:t>
      </w:r>
      <w:r>
        <w:rPr>
          <w:sz w:val="22"/>
        </w:rPr>
        <w:t>disease: the Women’s Health Initiative. </w:t>
      </w:r>
      <w:r>
        <w:rPr>
          <w:i/>
          <w:sz w:val="22"/>
        </w:rPr>
        <w:t>Arch Intern Med</w:t>
      </w:r>
      <w:r>
        <w:rPr>
          <w:sz w:val="22"/>
        </w:rPr>
        <w:t>. 2006;166:357.</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Salpeter SR, Cheng J, Thabane L, Buckley NS, Salpeter EE. Bayesian meta-analysis </w:t>
      </w:r>
      <w:r>
        <w:rPr>
          <w:sz w:val="22"/>
        </w:rPr>
        <w:t>of</w:t>
      </w:r>
      <w:r>
        <w:rPr>
          <w:spacing w:val="80"/>
          <w:sz w:val="22"/>
        </w:rPr>
        <w:t> </w:t>
      </w:r>
      <w:r>
        <w:rPr>
          <w:sz w:val="22"/>
        </w:rPr>
        <w:t>hormone</w:t>
      </w:r>
      <w:r>
        <w:rPr>
          <w:spacing w:val="40"/>
          <w:sz w:val="22"/>
        </w:rPr>
        <w:t> </w:t>
      </w:r>
      <w:r>
        <w:rPr>
          <w:sz w:val="22"/>
        </w:rPr>
        <w:t>therapy</w:t>
      </w:r>
      <w:r>
        <w:rPr>
          <w:spacing w:val="40"/>
          <w:sz w:val="22"/>
        </w:rPr>
        <w:t> </w:t>
      </w:r>
      <w:r>
        <w:rPr>
          <w:sz w:val="22"/>
        </w:rPr>
        <w:t>and</w:t>
      </w:r>
      <w:r>
        <w:rPr>
          <w:spacing w:val="40"/>
          <w:sz w:val="22"/>
        </w:rPr>
        <w:t> </w:t>
      </w:r>
      <w:r>
        <w:rPr>
          <w:sz w:val="22"/>
        </w:rPr>
        <w:t>mortality</w:t>
      </w:r>
      <w:r>
        <w:rPr>
          <w:spacing w:val="40"/>
          <w:sz w:val="22"/>
        </w:rPr>
        <w:t> </w:t>
      </w:r>
      <w:r>
        <w:rPr>
          <w:sz w:val="22"/>
        </w:rPr>
        <w:t>in</w:t>
      </w:r>
      <w:r>
        <w:rPr>
          <w:spacing w:val="40"/>
          <w:sz w:val="22"/>
        </w:rPr>
        <w:t> </w:t>
      </w:r>
      <w:r>
        <w:rPr>
          <w:sz w:val="22"/>
        </w:rPr>
        <w:t>younger</w:t>
      </w:r>
      <w:r>
        <w:rPr>
          <w:spacing w:val="40"/>
          <w:sz w:val="22"/>
        </w:rPr>
        <w:t> </w:t>
      </w:r>
      <w:r>
        <w:rPr>
          <w:sz w:val="22"/>
        </w:rPr>
        <w:t>postmenopausal</w:t>
      </w:r>
      <w:r>
        <w:rPr>
          <w:spacing w:val="40"/>
          <w:sz w:val="22"/>
        </w:rPr>
        <w:t> </w:t>
      </w:r>
      <w:r>
        <w:rPr>
          <w:sz w:val="22"/>
        </w:rPr>
        <w:t>women.</w:t>
      </w:r>
      <w:r>
        <w:rPr>
          <w:spacing w:val="40"/>
          <w:sz w:val="22"/>
        </w:rPr>
        <w:t> </w:t>
      </w:r>
      <w:r>
        <w:rPr>
          <w:i/>
          <w:sz w:val="22"/>
        </w:rPr>
        <w:t>Am</w:t>
      </w:r>
      <w:r>
        <w:rPr>
          <w:i/>
          <w:spacing w:val="40"/>
          <w:sz w:val="22"/>
        </w:rPr>
        <w:t> </w:t>
      </w:r>
      <w:r>
        <w:rPr>
          <w:i/>
          <w:sz w:val="22"/>
        </w:rPr>
        <w:t>J</w:t>
      </w:r>
      <w:r>
        <w:rPr>
          <w:i/>
          <w:spacing w:val="40"/>
          <w:sz w:val="22"/>
        </w:rPr>
        <w:t> </w:t>
      </w:r>
      <w:r>
        <w:rPr>
          <w:i/>
          <w:sz w:val="22"/>
        </w:rPr>
        <w:t>Med</w:t>
      </w:r>
      <w:r>
        <w:rPr>
          <w:sz w:val="22"/>
        </w:rPr>
        <w:t>. </w:t>
      </w:r>
      <w:r>
        <w:rPr>
          <w:spacing w:val="-2"/>
          <w:sz w:val="22"/>
        </w:rPr>
        <w:t>2009;122:1016.</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de Kleijn MJ, Bots ML, Bak AA, et al. Hormone replacement therapy in perimenopausal</w:t>
      </w:r>
      <w:r>
        <w:rPr>
          <w:spacing w:val="80"/>
          <w:sz w:val="22"/>
        </w:rPr>
        <w:t> </w:t>
      </w:r>
      <w:r>
        <w:rPr>
          <w:sz w:val="22"/>
        </w:rPr>
        <w:t>women and 2-year change of carotid intima-media thickness. </w:t>
      </w:r>
      <w:r>
        <w:rPr>
          <w:i/>
          <w:sz w:val="22"/>
        </w:rPr>
        <w:t>Maturitas</w:t>
      </w:r>
      <w:r>
        <w:rPr>
          <w:sz w:val="22"/>
        </w:rPr>
        <w:t>. 1999;32:195.</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Salpeter SR, Walsh JME, Greyber E, Salpeter EE. Brief report: coronary heart disease events associated with hormone therapy in younger and older women: a meta-analysis. </w:t>
      </w:r>
      <w:r>
        <w:rPr>
          <w:i/>
          <w:sz w:val="22"/>
        </w:rPr>
        <w:t>J Gen </w:t>
      </w:r>
      <w:r>
        <w:rPr>
          <w:i/>
          <w:sz w:val="22"/>
        </w:rPr>
        <w:t>Intern</w:t>
      </w:r>
      <w:r>
        <w:rPr>
          <w:i/>
          <w:sz w:val="22"/>
        </w:rPr>
        <w:t> Med</w:t>
      </w:r>
      <w:r>
        <w:rPr>
          <w:sz w:val="22"/>
        </w:rPr>
        <w:t>. 2006;21:363.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Salpeter SR, Walsh JME, Greyber E, Ormiston TM, Salpeter EE. Mortality associated with hormone</w:t>
      </w:r>
      <w:r>
        <w:rPr>
          <w:spacing w:val="40"/>
          <w:sz w:val="22"/>
        </w:rPr>
        <w:t> </w:t>
      </w:r>
      <w:r>
        <w:rPr>
          <w:sz w:val="22"/>
        </w:rPr>
        <w:t>replacement</w:t>
      </w:r>
      <w:r>
        <w:rPr>
          <w:spacing w:val="40"/>
          <w:sz w:val="22"/>
        </w:rPr>
        <w:t> </w:t>
      </w:r>
      <w:r>
        <w:rPr>
          <w:sz w:val="22"/>
        </w:rPr>
        <w:t>therapy</w:t>
      </w:r>
      <w:r>
        <w:rPr>
          <w:spacing w:val="40"/>
          <w:sz w:val="22"/>
        </w:rPr>
        <w:t> </w:t>
      </w:r>
      <w:r>
        <w:rPr>
          <w:sz w:val="22"/>
        </w:rPr>
        <w:t>in</w:t>
      </w:r>
      <w:r>
        <w:rPr>
          <w:spacing w:val="40"/>
          <w:sz w:val="22"/>
        </w:rPr>
        <w:t> </w:t>
      </w:r>
      <w:r>
        <w:rPr>
          <w:sz w:val="22"/>
        </w:rPr>
        <w:t>younger</w:t>
      </w:r>
      <w:r>
        <w:rPr>
          <w:spacing w:val="40"/>
          <w:sz w:val="22"/>
        </w:rPr>
        <w:t> </w:t>
      </w:r>
      <w:r>
        <w:rPr>
          <w:sz w:val="22"/>
        </w:rPr>
        <w:t>and</w:t>
      </w:r>
      <w:r>
        <w:rPr>
          <w:spacing w:val="40"/>
          <w:sz w:val="22"/>
        </w:rPr>
        <w:t> </w:t>
      </w:r>
      <w:r>
        <w:rPr>
          <w:sz w:val="22"/>
        </w:rPr>
        <w:t>older</w:t>
      </w:r>
      <w:r>
        <w:rPr>
          <w:spacing w:val="40"/>
          <w:sz w:val="22"/>
        </w:rPr>
        <w:t> </w:t>
      </w:r>
      <w:r>
        <w:rPr>
          <w:sz w:val="22"/>
        </w:rPr>
        <w:t>women:</w:t>
      </w:r>
      <w:r>
        <w:rPr>
          <w:spacing w:val="40"/>
          <w:sz w:val="22"/>
        </w:rPr>
        <w:t> </w:t>
      </w:r>
      <w:r>
        <w:rPr>
          <w:sz w:val="22"/>
        </w:rPr>
        <w:t>a</w:t>
      </w:r>
      <w:r>
        <w:rPr>
          <w:spacing w:val="40"/>
          <w:sz w:val="22"/>
        </w:rPr>
        <w:t> </w:t>
      </w:r>
      <w:r>
        <w:rPr>
          <w:sz w:val="22"/>
        </w:rPr>
        <w:t>meta-analysis.</w:t>
      </w:r>
      <w:r>
        <w:rPr>
          <w:spacing w:val="40"/>
          <w:sz w:val="22"/>
        </w:rPr>
        <w:t> </w:t>
      </w:r>
      <w:r>
        <w:rPr>
          <w:i/>
          <w:sz w:val="22"/>
        </w:rPr>
        <w:t>J</w:t>
      </w:r>
      <w:r>
        <w:rPr>
          <w:i/>
          <w:spacing w:val="40"/>
          <w:sz w:val="22"/>
        </w:rPr>
        <w:t> </w:t>
      </w:r>
      <w:r>
        <w:rPr>
          <w:i/>
          <w:sz w:val="22"/>
        </w:rPr>
        <w:t>Gen</w:t>
      </w:r>
      <w:r>
        <w:rPr>
          <w:i/>
          <w:spacing w:val="40"/>
          <w:sz w:val="22"/>
        </w:rPr>
        <w:t> </w:t>
      </w:r>
      <w:r>
        <w:rPr>
          <w:i/>
          <w:sz w:val="22"/>
        </w:rPr>
        <w:t>Intern</w:t>
      </w:r>
      <w:r>
        <w:rPr>
          <w:i/>
          <w:sz w:val="22"/>
        </w:rPr>
        <w:t> Med</w:t>
      </w:r>
      <w:r>
        <w:rPr>
          <w:sz w:val="22"/>
        </w:rPr>
        <w:t>. 2004;19:791.</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Clarkson TB. Estrogen effects on arteries vary with stage of reproductive life and extent of subclinical atherosclerosis progression. </w:t>
      </w:r>
      <w:r>
        <w:rPr>
          <w:i/>
          <w:sz w:val="22"/>
        </w:rPr>
        <w:t>Menopause</w:t>
      </w:r>
      <w:r>
        <w:rPr>
          <w:sz w:val="22"/>
        </w:rPr>
        <w:t>. 2007;14:373.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Angerer P, Störk S, Kothny W, Schmitt P, von Schacky C. Effect of oral postmenopausal hormone replacement on progression of atherosclerosis: a randomized, controlled </w:t>
      </w:r>
      <w:r>
        <w:rPr>
          <w:sz w:val="22"/>
        </w:rPr>
        <w:t>trial. </w:t>
      </w:r>
      <w:r>
        <w:rPr>
          <w:i/>
          <w:sz w:val="22"/>
        </w:rPr>
        <w:t>Arterioscler Thromb Vasc Biol</w:t>
      </w:r>
      <w:r>
        <w:rPr>
          <w:sz w:val="22"/>
        </w:rPr>
        <w:t>. 2001;21:262.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Allison MA, Manson JE, Langer RD, Carr JJ, et al; Women’s Health Initiative and Women’s Health Initiative Coronary Artery Calcium Study Investigators. Oophorectomy, hormone therapy, and subclinical coronary artery disease in women with hysterectomy: the Women’s Health Initiative coronary artery calcium study. </w:t>
      </w:r>
      <w:r>
        <w:rPr>
          <w:i/>
          <w:sz w:val="22"/>
        </w:rPr>
        <w:t>Menopause</w:t>
      </w:r>
      <w:r>
        <w:rPr>
          <w:sz w:val="22"/>
        </w:rPr>
        <w:t>. 2008;15:639.</w:t>
      </w:r>
    </w:p>
    <w:p>
      <w:pPr>
        <w:pStyle w:val="ListParagraph"/>
        <w:numPr>
          <w:ilvl w:val="0"/>
          <w:numId w:val="19"/>
        </w:numPr>
        <w:tabs>
          <w:tab w:pos="710" w:val="left" w:leader="none"/>
        </w:tabs>
        <w:spacing w:line="250" w:lineRule="exact" w:before="0" w:after="0"/>
        <w:ind w:left="710" w:right="0" w:hanging="498"/>
        <w:jc w:val="both"/>
        <w:rPr>
          <w:sz w:val="22"/>
        </w:rPr>
      </w:pPr>
      <w:r>
        <w:rPr>
          <w:sz w:val="22"/>
        </w:rPr>
        <w:t>Speroff</w:t>
      </w:r>
      <w:r>
        <w:rPr>
          <w:spacing w:val="8"/>
          <w:sz w:val="22"/>
        </w:rPr>
        <w:t> </w:t>
      </w:r>
      <w:r>
        <w:rPr>
          <w:sz w:val="22"/>
        </w:rPr>
        <w:t>L.</w:t>
      </w:r>
      <w:r>
        <w:rPr>
          <w:spacing w:val="8"/>
          <w:sz w:val="22"/>
        </w:rPr>
        <w:t> </w:t>
      </w:r>
      <w:r>
        <w:rPr>
          <w:sz w:val="22"/>
        </w:rPr>
        <w:t>Gonads</w:t>
      </w:r>
      <w:r>
        <w:rPr>
          <w:spacing w:val="9"/>
          <w:sz w:val="22"/>
        </w:rPr>
        <w:t> </w:t>
      </w:r>
      <w:r>
        <w:rPr>
          <w:sz w:val="22"/>
        </w:rPr>
        <w:t>are</w:t>
      </w:r>
      <w:r>
        <w:rPr>
          <w:spacing w:val="8"/>
          <w:sz w:val="22"/>
        </w:rPr>
        <w:t> </w:t>
      </w:r>
      <w:r>
        <w:rPr>
          <w:sz w:val="22"/>
        </w:rPr>
        <w:t>the</w:t>
      </w:r>
      <w:r>
        <w:rPr>
          <w:spacing w:val="8"/>
          <w:sz w:val="22"/>
        </w:rPr>
        <w:t> </w:t>
      </w:r>
      <w:r>
        <w:rPr>
          <w:sz w:val="22"/>
        </w:rPr>
        <w:t>heart</w:t>
      </w:r>
      <w:r>
        <w:rPr>
          <w:spacing w:val="9"/>
          <w:sz w:val="22"/>
        </w:rPr>
        <w:t> </w:t>
      </w:r>
      <w:r>
        <w:rPr>
          <w:sz w:val="22"/>
        </w:rPr>
        <w:t>of</w:t>
      </w:r>
      <w:r>
        <w:rPr>
          <w:spacing w:val="8"/>
          <w:sz w:val="22"/>
        </w:rPr>
        <w:t> </w:t>
      </w:r>
      <w:r>
        <w:rPr>
          <w:sz w:val="22"/>
        </w:rPr>
        <w:t>the</w:t>
      </w:r>
      <w:r>
        <w:rPr>
          <w:spacing w:val="8"/>
          <w:sz w:val="22"/>
        </w:rPr>
        <w:t> </w:t>
      </w:r>
      <w:r>
        <w:rPr>
          <w:sz w:val="22"/>
        </w:rPr>
        <w:t>matter.</w:t>
      </w:r>
      <w:r>
        <w:rPr>
          <w:spacing w:val="9"/>
          <w:sz w:val="22"/>
        </w:rPr>
        <w:t> </w:t>
      </w:r>
      <w:r>
        <w:rPr>
          <w:i/>
          <w:sz w:val="22"/>
        </w:rPr>
        <w:t>Menopause</w:t>
      </w:r>
      <w:r>
        <w:rPr>
          <w:sz w:val="22"/>
        </w:rPr>
        <w:t>.</w:t>
      </w:r>
      <w:r>
        <w:rPr>
          <w:spacing w:val="8"/>
          <w:sz w:val="22"/>
        </w:rPr>
        <w:t> </w:t>
      </w:r>
      <w:r>
        <w:rPr>
          <w:spacing w:val="-2"/>
          <w:sz w:val="22"/>
        </w:rPr>
        <w:t>2007;14:385.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Rivera CM, Grossardt BR, Rhodes DJ, Rocca WA. Increased mortality for neurological and mental diseases following early bilateral oophorectomy. </w:t>
      </w:r>
      <w:r>
        <w:rPr>
          <w:i/>
          <w:sz w:val="22"/>
        </w:rPr>
        <w:t>Neuroepidemiology</w:t>
      </w:r>
      <w:r>
        <w:rPr>
          <w:sz w:val="22"/>
        </w:rPr>
        <w:t>. 2009;33:32.</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Rivera CM, Grossardt BR, Rhodes DJ, et al. Increased cardiovascular mortality after </w:t>
      </w:r>
      <w:r>
        <w:rPr>
          <w:sz w:val="22"/>
        </w:rPr>
        <w:t>early bilateral oophorectomy. </w:t>
      </w:r>
      <w:r>
        <w:rPr>
          <w:i/>
          <w:sz w:val="22"/>
        </w:rPr>
        <w:t>Menopause</w:t>
      </w:r>
      <w:r>
        <w:rPr>
          <w:sz w:val="22"/>
        </w:rPr>
        <w:t>. 2009;16:15.</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9" w:hanging="507"/>
        <w:jc w:val="both"/>
        <w:rPr>
          <w:sz w:val="22"/>
        </w:rPr>
      </w:pPr>
      <w:r>
        <w:rPr>
          <w:sz w:val="22"/>
        </w:rPr>
        <w:t>Rocca WA, Bower JH, Maraganore DM, et al. Increased risk of parkinsonism in women who underwent oophorectomy before menopause. </w:t>
      </w:r>
      <w:r>
        <w:rPr>
          <w:i/>
          <w:sz w:val="22"/>
        </w:rPr>
        <w:t>Neurology</w:t>
      </w:r>
      <w:r>
        <w:rPr>
          <w:sz w:val="22"/>
        </w:rPr>
        <w:t>. 2008;70:200.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Rocca WA, Grossardt BR, Maraganore DM. The long-term effects of oophorectomy </w:t>
      </w:r>
      <w:r>
        <w:rPr>
          <w:sz w:val="22"/>
        </w:rPr>
        <w:t>on cognitive and motor aging are age dependent. </w:t>
      </w:r>
      <w:r>
        <w:rPr>
          <w:i/>
          <w:sz w:val="22"/>
        </w:rPr>
        <w:t>Neurodegener Dis</w:t>
      </w:r>
      <w:r>
        <w:rPr>
          <w:sz w:val="22"/>
        </w:rPr>
        <w:t>. 2008;5:257.</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Rocca</w:t>
      </w:r>
      <w:r>
        <w:rPr>
          <w:spacing w:val="40"/>
          <w:sz w:val="22"/>
        </w:rPr>
        <w:t> </w:t>
      </w:r>
      <w:r>
        <w:rPr>
          <w:sz w:val="22"/>
        </w:rPr>
        <w:t>WA,</w:t>
      </w:r>
      <w:r>
        <w:rPr>
          <w:spacing w:val="40"/>
          <w:sz w:val="22"/>
        </w:rPr>
        <w:t> </w:t>
      </w:r>
      <w:r>
        <w:rPr>
          <w:sz w:val="22"/>
        </w:rPr>
        <w:t>Grossardt</w:t>
      </w:r>
      <w:r>
        <w:rPr>
          <w:spacing w:val="40"/>
          <w:sz w:val="22"/>
        </w:rPr>
        <w:t> </w:t>
      </w:r>
      <w:r>
        <w:rPr>
          <w:sz w:val="22"/>
        </w:rPr>
        <w:t>BR,</w:t>
      </w:r>
      <w:r>
        <w:rPr>
          <w:spacing w:val="40"/>
          <w:sz w:val="22"/>
        </w:rPr>
        <w:t> </w:t>
      </w:r>
      <w:r>
        <w:rPr>
          <w:sz w:val="22"/>
        </w:rPr>
        <w:t>Geda</w:t>
      </w:r>
      <w:r>
        <w:rPr>
          <w:spacing w:val="40"/>
          <w:sz w:val="22"/>
        </w:rPr>
        <w:t> </w:t>
      </w:r>
      <w:r>
        <w:rPr>
          <w:sz w:val="22"/>
        </w:rPr>
        <w:t>YE,</w:t>
      </w:r>
      <w:r>
        <w:rPr>
          <w:spacing w:val="40"/>
          <w:sz w:val="22"/>
        </w:rPr>
        <w:t> </w:t>
      </w:r>
      <w:r>
        <w:rPr>
          <w:sz w:val="22"/>
        </w:rPr>
        <w:t>et</w:t>
      </w:r>
      <w:r>
        <w:rPr>
          <w:spacing w:val="40"/>
          <w:sz w:val="22"/>
        </w:rPr>
        <w:t> </w:t>
      </w:r>
      <w:r>
        <w:rPr>
          <w:sz w:val="22"/>
        </w:rPr>
        <w:t>al.</w:t>
      </w:r>
      <w:r>
        <w:rPr>
          <w:spacing w:val="40"/>
          <w:sz w:val="22"/>
        </w:rPr>
        <w:t> </w:t>
      </w:r>
      <w:r>
        <w:rPr>
          <w:sz w:val="22"/>
        </w:rPr>
        <w:t>Long-term</w:t>
      </w:r>
      <w:r>
        <w:rPr>
          <w:spacing w:val="40"/>
          <w:sz w:val="22"/>
        </w:rPr>
        <w:t> </w:t>
      </w:r>
      <w:r>
        <w:rPr>
          <w:sz w:val="22"/>
        </w:rPr>
        <w:t>risk</w:t>
      </w:r>
      <w:r>
        <w:rPr>
          <w:spacing w:val="40"/>
          <w:sz w:val="22"/>
        </w:rPr>
        <w:t> </w:t>
      </w:r>
      <w:r>
        <w:rPr>
          <w:sz w:val="22"/>
        </w:rPr>
        <w:t>of</w:t>
      </w:r>
      <w:r>
        <w:rPr>
          <w:spacing w:val="40"/>
          <w:sz w:val="22"/>
        </w:rPr>
        <w:t> </w:t>
      </w:r>
      <w:r>
        <w:rPr>
          <w:sz w:val="22"/>
        </w:rPr>
        <w:t>depressive</w:t>
      </w:r>
      <w:r>
        <w:rPr>
          <w:spacing w:val="40"/>
          <w:sz w:val="22"/>
        </w:rPr>
        <w:t> </w:t>
      </w:r>
      <w:r>
        <w:rPr>
          <w:sz w:val="22"/>
        </w:rPr>
        <w:t>and</w:t>
      </w:r>
      <w:r>
        <w:rPr>
          <w:spacing w:val="40"/>
          <w:sz w:val="22"/>
        </w:rPr>
        <w:t> </w:t>
      </w:r>
      <w:r>
        <w:rPr>
          <w:sz w:val="22"/>
        </w:rPr>
        <w:t>anxiety symptoms after early bilateral oophorectomy. </w:t>
      </w:r>
      <w:r>
        <w:rPr>
          <w:i/>
          <w:sz w:val="22"/>
        </w:rPr>
        <w:t>Menopause</w:t>
      </w:r>
      <w:r>
        <w:rPr>
          <w:sz w:val="22"/>
        </w:rPr>
        <w:t>. 2008;15:1050.</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Parker WH, Broder MS, Chang E, et al. Ovarian conservation at the time of hysterectomy </w:t>
      </w:r>
      <w:r>
        <w:rPr>
          <w:sz w:val="22"/>
        </w:rPr>
        <w:t>and long-term health outcomes in the Nurses’ Health Study. </w:t>
      </w:r>
      <w:r>
        <w:rPr>
          <w:i/>
          <w:sz w:val="22"/>
        </w:rPr>
        <w:t>Obstet Gynecol</w:t>
      </w:r>
      <w:r>
        <w:rPr>
          <w:sz w:val="22"/>
        </w:rPr>
        <w:t>. 2009;113:1027.</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Grodstein</w:t>
      </w:r>
      <w:r>
        <w:rPr>
          <w:spacing w:val="19"/>
          <w:sz w:val="22"/>
        </w:rPr>
        <w:t> </w:t>
      </w:r>
      <w:r>
        <w:rPr>
          <w:sz w:val="22"/>
        </w:rPr>
        <w:t>F,</w:t>
      </w:r>
      <w:r>
        <w:rPr>
          <w:spacing w:val="19"/>
          <w:sz w:val="22"/>
        </w:rPr>
        <w:t> </w:t>
      </w:r>
      <w:r>
        <w:rPr>
          <w:sz w:val="22"/>
        </w:rPr>
        <w:t>Manson</w:t>
      </w:r>
      <w:r>
        <w:rPr>
          <w:spacing w:val="19"/>
          <w:sz w:val="22"/>
        </w:rPr>
        <w:t> </w:t>
      </w:r>
      <w:r>
        <w:rPr>
          <w:sz w:val="22"/>
        </w:rPr>
        <w:t>JE,</w:t>
      </w:r>
      <w:r>
        <w:rPr>
          <w:spacing w:val="19"/>
          <w:sz w:val="22"/>
        </w:rPr>
        <w:t> </w:t>
      </w:r>
      <w:r>
        <w:rPr>
          <w:sz w:val="22"/>
        </w:rPr>
        <w:t>Stampfer</w:t>
      </w:r>
      <w:r>
        <w:rPr>
          <w:spacing w:val="19"/>
          <w:sz w:val="22"/>
        </w:rPr>
        <w:t> </w:t>
      </w:r>
      <w:r>
        <w:rPr>
          <w:sz w:val="22"/>
        </w:rPr>
        <w:t>MJ.</w:t>
      </w:r>
      <w:r>
        <w:rPr>
          <w:spacing w:val="19"/>
          <w:sz w:val="22"/>
        </w:rPr>
        <w:t> </w:t>
      </w:r>
      <w:r>
        <w:rPr>
          <w:sz w:val="22"/>
        </w:rPr>
        <w:t>Hormone</w:t>
      </w:r>
      <w:r>
        <w:rPr>
          <w:spacing w:val="23"/>
          <w:sz w:val="22"/>
        </w:rPr>
        <w:t> </w:t>
      </w:r>
      <w:r>
        <w:rPr>
          <w:sz w:val="22"/>
        </w:rPr>
        <w:t>therapy</w:t>
      </w:r>
      <w:r>
        <w:rPr>
          <w:spacing w:val="23"/>
          <w:sz w:val="22"/>
        </w:rPr>
        <w:t> </w:t>
      </w:r>
      <w:r>
        <w:rPr>
          <w:sz w:val="22"/>
        </w:rPr>
        <w:t>and</w:t>
      </w:r>
      <w:r>
        <w:rPr>
          <w:spacing w:val="23"/>
          <w:sz w:val="22"/>
        </w:rPr>
        <w:t> </w:t>
      </w:r>
      <w:r>
        <w:rPr>
          <w:sz w:val="22"/>
        </w:rPr>
        <w:t>coronary</w:t>
      </w:r>
      <w:r>
        <w:rPr>
          <w:spacing w:val="23"/>
          <w:sz w:val="22"/>
        </w:rPr>
        <w:t> </w:t>
      </w:r>
      <w:r>
        <w:rPr>
          <w:sz w:val="22"/>
        </w:rPr>
        <w:t>heart</w:t>
      </w:r>
      <w:r>
        <w:rPr>
          <w:spacing w:val="23"/>
          <w:sz w:val="22"/>
        </w:rPr>
        <w:t> </w:t>
      </w:r>
      <w:r>
        <w:rPr>
          <w:sz w:val="22"/>
        </w:rPr>
        <w:t>disease:</w:t>
      </w:r>
      <w:r>
        <w:rPr>
          <w:spacing w:val="23"/>
          <w:sz w:val="22"/>
        </w:rPr>
        <w:t> </w:t>
      </w:r>
      <w:r>
        <w:rPr>
          <w:sz w:val="22"/>
        </w:rPr>
        <w:t>the</w:t>
      </w:r>
      <w:r>
        <w:rPr>
          <w:spacing w:val="23"/>
          <w:sz w:val="22"/>
        </w:rPr>
        <w:t> </w:t>
      </w:r>
      <w:r>
        <w:rPr>
          <w:sz w:val="22"/>
        </w:rPr>
        <w:t>role of time since menopause and age at hormone initiation. </w:t>
      </w:r>
      <w:r>
        <w:rPr>
          <w:i/>
          <w:sz w:val="22"/>
        </w:rPr>
        <w:t>J Womens Health</w:t>
      </w:r>
      <w:r>
        <w:rPr>
          <w:sz w:val="22"/>
        </w:rPr>
        <w:t>. 2006;15:35.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Prentice</w:t>
      </w:r>
      <w:r>
        <w:rPr>
          <w:spacing w:val="40"/>
          <w:sz w:val="22"/>
        </w:rPr>
        <w:t> </w:t>
      </w:r>
      <w:r>
        <w:rPr>
          <w:sz w:val="22"/>
        </w:rPr>
        <w:t>RL,</w:t>
      </w:r>
      <w:r>
        <w:rPr>
          <w:spacing w:val="40"/>
          <w:sz w:val="22"/>
        </w:rPr>
        <w:t> </w:t>
      </w:r>
      <w:r>
        <w:rPr>
          <w:sz w:val="22"/>
        </w:rPr>
        <w:t>Langer</w:t>
      </w:r>
      <w:r>
        <w:rPr>
          <w:spacing w:val="40"/>
          <w:sz w:val="22"/>
        </w:rPr>
        <w:t> </w:t>
      </w:r>
      <w:r>
        <w:rPr>
          <w:sz w:val="22"/>
        </w:rPr>
        <w:t>R,</w:t>
      </w:r>
      <w:r>
        <w:rPr>
          <w:spacing w:val="40"/>
          <w:sz w:val="22"/>
        </w:rPr>
        <w:t> </w:t>
      </w:r>
      <w:r>
        <w:rPr>
          <w:sz w:val="22"/>
        </w:rPr>
        <w:t>Stefanick</w:t>
      </w:r>
      <w:r>
        <w:rPr>
          <w:spacing w:val="40"/>
          <w:sz w:val="22"/>
        </w:rPr>
        <w:t> </w:t>
      </w:r>
      <w:r>
        <w:rPr>
          <w:sz w:val="22"/>
        </w:rPr>
        <w:t>ML,</w:t>
      </w:r>
      <w:r>
        <w:rPr>
          <w:spacing w:val="40"/>
          <w:sz w:val="22"/>
        </w:rPr>
        <w:t> </w:t>
      </w:r>
      <w:r>
        <w:rPr>
          <w:sz w:val="22"/>
        </w:rPr>
        <w:t>et</w:t>
      </w:r>
      <w:r>
        <w:rPr>
          <w:spacing w:val="40"/>
          <w:sz w:val="22"/>
        </w:rPr>
        <w:t> </w:t>
      </w:r>
      <w:r>
        <w:rPr>
          <w:sz w:val="22"/>
        </w:rPr>
        <w:t>al;</w:t>
      </w:r>
      <w:r>
        <w:rPr>
          <w:spacing w:val="40"/>
          <w:sz w:val="22"/>
        </w:rPr>
        <w:t> </w:t>
      </w:r>
      <w:r>
        <w:rPr>
          <w:sz w:val="22"/>
        </w:rPr>
        <w:t>Women’s</w:t>
      </w:r>
      <w:r>
        <w:rPr>
          <w:spacing w:val="40"/>
          <w:sz w:val="22"/>
        </w:rPr>
        <w:t> </w:t>
      </w:r>
      <w:r>
        <w:rPr>
          <w:sz w:val="22"/>
        </w:rPr>
        <w:t>Health</w:t>
      </w:r>
      <w:r>
        <w:rPr>
          <w:spacing w:val="40"/>
          <w:sz w:val="22"/>
        </w:rPr>
        <w:t> </w:t>
      </w:r>
      <w:r>
        <w:rPr>
          <w:sz w:val="22"/>
        </w:rPr>
        <w:t>Initiative</w:t>
      </w:r>
      <w:r>
        <w:rPr>
          <w:spacing w:val="40"/>
          <w:sz w:val="22"/>
        </w:rPr>
        <w:t> </w:t>
      </w:r>
      <w:r>
        <w:rPr>
          <w:sz w:val="22"/>
        </w:rPr>
        <w:t>Investigators. Combined postmenopausal hormone therapy and cardiovascular disease: toward resolving the discrepancy between observational studies and the Women’s Health Initiative clinical trial. </w:t>
      </w:r>
      <w:r>
        <w:rPr>
          <w:i/>
          <w:sz w:val="22"/>
        </w:rPr>
        <w:t>Am</w:t>
      </w:r>
      <w:r>
        <w:rPr>
          <w:i/>
          <w:spacing w:val="80"/>
          <w:sz w:val="22"/>
        </w:rPr>
        <w:t> </w:t>
      </w:r>
      <w:r>
        <w:rPr>
          <w:i/>
          <w:sz w:val="22"/>
        </w:rPr>
        <w:t>J Epidemiol</w:t>
      </w:r>
      <w:r>
        <w:rPr>
          <w:sz w:val="22"/>
        </w:rPr>
        <w:t>. 2005;162:404.</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Harman SM, Black DM, Naftolin F, et al. Arterial imaging outcomes and cardiovascular </w:t>
      </w:r>
      <w:r>
        <w:rPr>
          <w:sz w:val="22"/>
        </w:rPr>
        <w:t>risk factors in recently menopausal women: a randomized trial. </w:t>
      </w:r>
      <w:r>
        <w:rPr>
          <w:i/>
          <w:sz w:val="22"/>
        </w:rPr>
        <w:t>Ann Intern Med</w:t>
      </w:r>
      <w:r>
        <w:rPr>
          <w:sz w:val="22"/>
        </w:rPr>
        <w:t>. 2014;161(4):249.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Miller</w:t>
      </w:r>
      <w:r>
        <w:rPr>
          <w:spacing w:val="40"/>
          <w:sz w:val="22"/>
        </w:rPr>
        <w:t> </w:t>
      </w:r>
      <w:r>
        <w:rPr>
          <w:sz w:val="22"/>
        </w:rPr>
        <w:t>VM,</w:t>
      </w:r>
      <w:r>
        <w:rPr>
          <w:spacing w:val="40"/>
          <w:sz w:val="22"/>
        </w:rPr>
        <w:t> </w:t>
      </w:r>
      <w:r>
        <w:rPr>
          <w:sz w:val="22"/>
        </w:rPr>
        <w:t>Hodis</w:t>
      </w:r>
      <w:r>
        <w:rPr>
          <w:spacing w:val="40"/>
          <w:sz w:val="22"/>
        </w:rPr>
        <w:t> </w:t>
      </w:r>
      <w:r>
        <w:rPr>
          <w:sz w:val="22"/>
        </w:rPr>
        <w:t>HN,</w:t>
      </w:r>
      <w:r>
        <w:rPr>
          <w:spacing w:val="40"/>
          <w:sz w:val="22"/>
        </w:rPr>
        <w:t> </w:t>
      </w:r>
      <w:r>
        <w:rPr>
          <w:sz w:val="22"/>
        </w:rPr>
        <w:t>Lahr</w:t>
      </w:r>
      <w:r>
        <w:rPr>
          <w:spacing w:val="40"/>
          <w:sz w:val="22"/>
        </w:rPr>
        <w:t> </w:t>
      </w:r>
      <w:r>
        <w:rPr>
          <w:sz w:val="22"/>
        </w:rPr>
        <w:t>BD,</w:t>
      </w:r>
      <w:r>
        <w:rPr>
          <w:spacing w:val="40"/>
          <w:sz w:val="22"/>
        </w:rPr>
        <w:t> </w:t>
      </w:r>
      <w:r>
        <w:rPr>
          <w:sz w:val="22"/>
        </w:rPr>
        <w:t>Bailey</w:t>
      </w:r>
      <w:r>
        <w:rPr>
          <w:spacing w:val="40"/>
          <w:sz w:val="22"/>
        </w:rPr>
        <w:t> </w:t>
      </w:r>
      <w:r>
        <w:rPr>
          <w:sz w:val="22"/>
        </w:rPr>
        <w:t>KR,</w:t>
      </w:r>
      <w:r>
        <w:rPr>
          <w:spacing w:val="40"/>
          <w:sz w:val="22"/>
        </w:rPr>
        <w:t> </w:t>
      </w:r>
      <w:r>
        <w:rPr>
          <w:sz w:val="22"/>
        </w:rPr>
        <w:t>Jayachandran</w:t>
      </w:r>
      <w:r>
        <w:rPr>
          <w:spacing w:val="40"/>
          <w:sz w:val="22"/>
        </w:rPr>
        <w:t> </w:t>
      </w:r>
      <w:r>
        <w:rPr>
          <w:sz w:val="22"/>
        </w:rPr>
        <w:t>M.</w:t>
      </w:r>
      <w:r>
        <w:rPr>
          <w:spacing w:val="40"/>
          <w:sz w:val="22"/>
        </w:rPr>
        <w:t> </w:t>
      </w:r>
      <w:r>
        <w:rPr>
          <w:sz w:val="22"/>
        </w:rPr>
        <w:t>Changes</w:t>
      </w:r>
      <w:r>
        <w:rPr>
          <w:spacing w:val="40"/>
          <w:sz w:val="22"/>
        </w:rPr>
        <w:t> </w:t>
      </w:r>
      <w:r>
        <w:rPr>
          <w:sz w:val="22"/>
        </w:rPr>
        <w:t>in</w:t>
      </w:r>
      <w:r>
        <w:rPr>
          <w:spacing w:val="40"/>
          <w:sz w:val="22"/>
        </w:rPr>
        <w:t> </w:t>
      </w:r>
      <w:r>
        <w:rPr>
          <w:sz w:val="22"/>
        </w:rPr>
        <w:t>carotid</w:t>
      </w:r>
      <w:r>
        <w:rPr>
          <w:spacing w:val="40"/>
          <w:sz w:val="22"/>
        </w:rPr>
        <w:t> </w:t>
      </w:r>
      <w:r>
        <w:rPr>
          <w:sz w:val="22"/>
        </w:rPr>
        <w:t>artery intima-media</w:t>
      </w:r>
      <w:r>
        <w:rPr>
          <w:spacing w:val="40"/>
          <w:sz w:val="22"/>
        </w:rPr>
        <w:t> </w:t>
      </w:r>
      <w:r>
        <w:rPr>
          <w:sz w:val="22"/>
        </w:rPr>
        <w:t>thickness</w:t>
      </w:r>
      <w:r>
        <w:rPr>
          <w:spacing w:val="40"/>
          <w:sz w:val="22"/>
        </w:rPr>
        <w:t> </w:t>
      </w:r>
      <w:r>
        <w:rPr>
          <w:sz w:val="22"/>
        </w:rPr>
        <w:t>3</w:t>
      </w:r>
      <w:r>
        <w:rPr>
          <w:spacing w:val="40"/>
          <w:sz w:val="22"/>
        </w:rPr>
        <w:t> </w:t>
      </w:r>
      <w:r>
        <w:rPr>
          <w:sz w:val="22"/>
        </w:rPr>
        <w:t>years</w:t>
      </w:r>
      <w:r>
        <w:rPr>
          <w:spacing w:val="40"/>
          <w:sz w:val="22"/>
        </w:rPr>
        <w:t> </w:t>
      </w:r>
      <w:r>
        <w:rPr>
          <w:sz w:val="22"/>
        </w:rPr>
        <w:t>after</w:t>
      </w:r>
      <w:r>
        <w:rPr>
          <w:spacing w:val="40"/>
          <w:sz w:val="22"/>
        </w:rPr>
        <w:t> </w:t>
      </w:r>
      <w:r>
        <w:rPr>
          <w:sz w:val="22"/>
        </w:rPr>
        <w:t>cessation</w:t>
      </w:r>
      <w:r>
        <w:rPr>
          <w:spacing w:val="40"/>
          <w:sz w:val="22"/>
        </w:rPr>
        <w:t> </w:t>
      </w:r>
      <w:r>
        <w:rPr>
          <w:sz w:val="22"/>
        </w:rPr>
        <w:t>of</w:t>
      </w:r>
      <w:r>
        <w:rPr>
          <w:spacing w:val="40"/>
          <w:sz w:val="22"/>
        </w:rPr>
        <w:t> </w:t>
      </w:r>
      <w:r>
        <w:rPr>
          <w:sz w:val="22"/>
        </w:rPr>
        <w:t>menopausal</w:t>
      </w:r>
      <w:r>
        <w:rPr>
          <w:spacing w:val="40"/>
          <w:sz w:val="22"/>
        </w:rPr>
        <w:t> </w:t>
      </w:r>
      <w:r>
        <w:rPr>
          <w:sz w:val="22"/>
        </w:rPr>
        <w:t>hormone</w:t>
      </w:r>
      <w:r>
        <w:rPr>
          <w:spacing w:val="40"/>
          <w:sz w:val="22"/>
        </w:rPr>
        <w:t> </w:t>
      </w:r>
      <w:r>
        <w:rPr>
          <w:sz w:val="22"/>
        </w:rPr>
        <w:t>therapy:</w:t>
      </w:r>
      <w:r>
        <w:rPr>
          <w:spacing w:val="40"/>
          <w:sz w:val="22"/>
        </w:rPr>
        <w:t> </w:t>
      </w:r>
      <w:r>
        <w:rPr>
          <w:sz w:val="22"/>
        </w:rPr>
        <w:t>follow-up from the Kronos Early Estrogen Prevention Study. </w:t>
      </w:r>
      <w:r>
        <w:rPr>
          <w:i/>
          <w:sz w:val="22"/>
        </w:rPr>
        <w:t>Menopause</w:t>
      </w:r>
      <w:r>
        <w:rPr>
          <w:sz w:val="22"/>
        </w:rPr>
        <w:t>. 2019;26(1):24.</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Mikkola TS, Clarkson TB. Estrogen replacement therapy: atherosclerosis, and </w:t>
      </w:r>
      <w:r>
        <w:rPr>
          <w:sz w:val="22"/>
        </w:rPr>
        <w:t>vascular</w:t>
      </w:r>
      <w:r>
        <w:rPr>
          <w:spacing w:val="80"/>
          <w:sz w:val="22"/>
        </w:rPr>
        <w:t> </w:t>
      </w:r>
      <w:r>
        <w:rPr>
          <w:sz w:val="22"/>
        </w:rPr>
        <w:t>function. </w:t>
      </w:r>
      <w:r>
        <w:rPr>
          <w:i/>
          <w:sz w:val="22"/>
        </w:rPr>
        <w:t>Cardiovasc Res</w:t>
      </w:r>
      <w:r>
        <w:rPr>
          <w:sz w:val="22"/>
        </w:rPr>
        <w:t>. 2002;53:605.</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Herrington DM, Espeland MA, Crouse JR III, et al. Estrogen replacement and brachial artery flow-mediated vasodilation in older women. </w:t>
      </w:r>
      <w:r>
        <w:rPr>
          <w:i/>
          <w:sz w:val="22"/>
        </w:rPr>
        <w:t>Arterioscler Thromb Vasc Biol</w:t>
      </w:r>
      <w:r>
        <w:rPr>
          <w:sz w:val="22"/>
        </w:rPr>
        <w:t>. 2001;21:1955.</w:t>
      </w:r>
    </w:p>
    <w:p>
      <w:pPr>
        <w:pStyle w:val="ListParagraph"/>
        <w:numPr>
          <w:ilvl w:val="0"/>
          <w:numId w:val="19"/>
        </w:numPr>
        <w:tabs>
          <w:tab w:pos="699" w:val="left" w:leader="none"/>
          <w:tab w:pos="718" w:val="left" w:leader="none"/>
        </w:tabs>
        <w:spacing w:line="256" w:lineRule="auto" w:before="0" w:after="0"/>
        <w:ind w:left="718" w:right="97" w:hanging="507"/>
        <w:jc w:val="both"/>
        <w:rPr>
          <w:sz w:val="22"/>
        </w:rPr>
      </w:pPr>
      <w:r>
        <w:rPr>
          <w:sz w:val="22"/>
        </w:rPr>
        <w:t>Cushman M, Kuller LH, Prentice R, et al; Women’s Health Initiative Investigators. Estrogen</w:t>
      </w:r>
      <w:r>
        <w:rPr>
          <w:spacing w:val="40"/>
          <w:sz w:val="22"/>
        </w:rPr>
        <w:t> </w:t>
      </w:r>
      <w:r>
        <w:rPr>
          <w:sz w:val="22"/>
        </w:rPr>
        <w:t>plus progestin and risk of venous thrombosis. </w:t>
      </w:r>
      <w:r>
        <w:rPr>
          <w:i/>
          <w:sz w:val="22"/>
        </w:rPr>
        <w:t>JAMA</w:t>
      </w:r>
      <w:r>
        <w:rPr>
          <w:sz w:val="22"/>
        </w:rPr>
        <w:t>. 2004;292:1573.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Curb JD, Prentice RL, Bray PF, et al. Venous thrombosis and conjugated equine estrogen in women without a uterus. </w:t>
      </w:r>
      <w:r>
        <w:rPr>
          <w:i/>
          <w:sz w:val="22"/>
        </w:rPr>
        <w:t>Arch Intern Med</w:t>
      </w:r>
      <w:r>
        <w:rPr>
          <w:sz w:val="22"/>
        </w:rPr>
        <w:t>. 2006;166:772.</w:t>
      </w:r>
    </w:p>
    <w:p>
      <w:pPr>
        <w:pStyle w:val="ListParagraph"/>
        <w:numPr>
          <w:ilvl w:val="0"/>
          <w:numId w:val="19"/>
        </w:numPr>
        <w:tabs>
          <w:tab w:pos="710" w:val="left" w:leader="none"/>
        </w:tabs>
        <w:spacing w:line="252" w:lineRule="exact" w:before="0" w:after="0"/>
        <w:ind w:left="710" w:right="0" w:hanging="498"/>
        <w:jc w:val="both"/>
        <w:rPr>
          <w:sz w:val="22"/>
        </w:rPr>
      </w:pPr>
      <w:r>
        <w:rPr>
          <w:sz w:val="22"/>
        </w:rPr>
        <w:t>Cushman</w:t>
      </w:r>
      <w:r>
        <w:rPr>
          <w:spacing w:val="27"/>
          <w:sz w:val="22"/>
        </w:rPr>
        <w:t>  </w:t>
      </w:r>
      <w:r>
        <w:rPr>
          <w:sz w:val="22"/>
        </w:rPr>
        <w:t>M.</w:t>
      </w:r>
      <w:r>
        <w:rPr>
          <w:spacing w:val="27"/>
          <w:sz w:val="22"/>
        </w:rPr>
        <w:t>  </w:t>
      </w:r>
      <w:r>
        <w:rPr>
          <w:sz w:val="22"/>
        </w:rPr>
        <w:t>Epidemiology</w:t>
      </w:r>
      <w:r>
        <w:rPr>
          <w:spacing w:val="28"/>
          <w:sz w:val="22"/>
        </w:rPr>
        <w:t>  </w:t>
      </w:r>
      <w:r>
        <w:rPr>
          <w:sz w:val="22"/>
        </w:rPr>
        <w:t>and</w:t>
      </w:r>
      <w:r>
        <w:rPr>
          <w:spacing w:val="28"/>
          <w:sz w:val="22"/>
        </w:rPr>
        <w:t>  </w:t>
      </w:r>
      <w:r>
        <w:rPr>
          <w:sz w:val="22"/>
        </w:rPr>
        <w:t>risk</w:t>
      </w:r>
      <w:r>
        <w:rPr>
          <w:spacing w:val="28"/>
          <w:sz w:val="22"/>
        </w:rPr>
        <w:t>  </w:t>
      </w:r>
      <w:r>
        <w:rPr>
          <w:sz w:val="22"/>
        </w:rPr>
        <w:t>factors</w:t>
      </w:r>
      <w:r>
        <w:rPr>
          <w:spacing w:val="28"/>
          <w:sz w:val="22"/>
        </w:rPr>
        <w:t>  </w:t>
      </w:r>
      <w:r>
        <w:rPr>
          <w:sz w:val="22"/>
        </w:rPr>
        <w:t>for</w:t>
      </w:r>
      <w:r>
        <w:rPr>
          <w:spacing w:val="28"/>
          <w:sz w:val="22"/>
        </w:rPr>
        <w:t>  </w:t>
      </w:r>
      <w:r>
        <w:rPr>
          <w:sz w:val="22"/>
        </w:rPr>
        <w:t>venous</w:t>
      </w:r>
      <w:r>
        <w:rPr>
          <w:spacing w:val="28"/>
          <w:sz w:val="22"/>
        </w:rPr>
        <w:t>  </w:t>
      </w:r>
      <w:r>
        <w:rPr>
          <w:sz w:val="22"/>
        </w:rPr>
        <w:t>thrombosis.</w:t>
      </w:r>
      <w:r>
        <w:rPr>
          <w:spacing w:val="28"/>
          <w:sz w:val="22"/>
        </w:rPr>
        <w:t>  </w:t>
      </w:r>
      <w:r>
        <w:rPr>
          <w:i/>
          <w:sz w:val="22"/>
        </w:rPr>
        <w:t>Semin</w:t>
      </w:r>
      <w:r>
        <w:rPr>
          <w:i/>
          <w:spacing w:val="32"/>
          <w:sz w:val="22"/>
        </w:rPr>
        <w:t>  </w:t>
      </w:r>
      <w:r>
        <w:rPr>
          <w:i/>
          <w:spacing w:val="-2"/>
          <w:sz w:val="22"/>
        </w:rPr>
        <w:t>Hematol</w:t>
      </w:r>
      <w:r>
        <w:rPr>
          <w:spacing w:val="-2"/>
          <w:sz w:val="22"/>
        </w:rPr>
        <w:t>.</w:t>
      </w:r>
    </w:p>
    <w:p>
      <w:pPr>
        <w:spacing w:before="0"/>
        <w:ind w:left="718" w:right="0" w:firstLine="0"/>
        <w:jc w:val="left"/>
        <w:rPr>
          <w:sz w:val="22"/>
        </w:rPr>
      </w:pPr>
      <w:r>
        <w:rPr>
          <w:spacing w:val="-2"/>
          <w:sz w:val="22"/>
        </w:rPr>
        <w:t>2007;44(2):62.</w:t>
      </w:r>
    </w:p>
    <w:p>
      <w:pPr>
        <w:pStyle w:val="ListParagraph"/>
        <w:numPr>
          <w:ilvl w:val="0"/>
          <w:numId w:val="19"/>
        </w:numPr>
        <w:tabs>
          <w:tab w:pos="709" w:val="left" w:leader="none"/>
          <w:tab w:pos="718" w:val="left" w:leader="none"/>
        </w:tabs>
        <w:spacing w:line="256" w:lineRule="auto" w:before="17" w:after="0"/>
        <w:ind w:left="718" w:right="105" w:hanging="507"/>
        <w:jc w:val="both"/>
        <w:rPr>
          <w:sz w:val="22"/>
        </w:rPr>
      </w:pPr>
      <w:r>
        <w:rPr>
          <w:sz w:val="22"/>
        </w:rPr>
        <w:t>Herrington DM, Vittinghoff E, Lin F, et al. Statin therapy, cardiovascular events, and </w:t>
      </w:r>
      <w:r>
        <w:rPr>
          <w:sz w:val="22"/>
        </w:rPr>
        <w:t>total mortality in the Heart and Estrogen/Progestin Replacement Study (HERS). </w:t>
      </w:r>
      <w:r>
        <w:rPr>
          <w:i/>
          <w:sz w:val="22"/>
        </w:rPr>
        <w:t>Circulation</w:t>
      </w:r>
      <w:r>
        <w:rPr>
          <w:sz w:val="22"/>
        </w:rPr>
        <w:t>. </w:t>
      </w:r>
      <w:r>
        <w:rPr>
          <w:spacing w:val="-2"/>
          <w:sz w:val="22"/>
        </w:rPr>
        <w:t>2002;105:2962.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Pulmonary Embolism Prevention Trial Collaborative Group. Prevention of pulmonary</w:t>
      </w:r>
      <w:r>
        <w:rPr>
          <w:spacing w:val="80"/>
          <w:sz w:val="22"/>
        </w:rPr>
        <w:t> </w:t>
      </w:r>
      <w:r>
        <w:rPr>
          <w:sz w:val="22"/>
        </w:rPr>
        <w:t>embolism and deep vein thrombosis with low dose aspirin: Pulmonary Embolism Prevention (PEP) trial. </w:t>
      </w:r>
      <w:r>
        <w:rPr>
          <w:i/>
          <w:sz w:val="22"/>
        </w:rPr>
        <w:t>Lancet</w:t>
      </w:r>
      <w:r>
        <w:rPr>
          <w:sz w:val="22"/>
        </w:rPr>
        <w:t>. 2000;355:1295.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Toorians AWFT, Thomassen MCLGD, Zweegman S, et al. Venous thrombosis and changes of hemostatic variables during cross-sex hormone treatment in transsexual people. </w:t>
      </w:r>
      <w:r>
        <w:rPr>
          <w:i/>
          <w:sz w:val="22"/>
        </w:rPr>
        <w:t>J Clin</w:t>
      </w:r>
      <w:r>
        <w:rPr>
          <w:i/>
          <w:sz w:val="22"/>
        </w:rPr>
        <w:t> Endocrinol Metab</w:t>
      </w:r>
      <w:r>
        <w:rPr>
          <w:sz w:val="22"/>
        </w:rPr>
        <w:t>. 2003;88:5723.</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Canonico M, Oger E, Conard J, et al; EStrogen and THromboEmbolism Risk Study Group. Obesity and risk of venous thromboembolism among postmenopausal women: differential impact of hormone therapy by route of estrogen administration: the ESTHER study. </w:t>
      </w:r>
      <w:r>
        <w:rPr>
          <w:i/>
          <w:sz w:val="22"/>
        </w:rPr>
        <w:t>J </w:t>
      </w:r>
      <w:r>
        <w:rPr>
          <w:i/>
          <w:sz w:val="22"/>
        </w:rPr>
        <w:t>Thromb</w:t>
      </w:r>
      <w:r>
        <w:rPr>
          <w:i/>
          <w:sz w:val="22"/>
        </w:rPr>
        <w:t> Haemost</w:t>
      </w:r>
      <w:r>
        <w:rPr>
          <w:sz w:val="22"/>
        </w:rPr>
        <w:t>. 2006;4:1259.</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Canonico M. Hormone therapy and risk of venous thromboembolism among </w:t>
      </w:r>
      <w:r>
        <w:rPr>
          <w:sz w:val="22"/>
        </w:rPr>
        <w:t>postmenopausal women. </w:t>
      </w:r>
      <w:r>
        <w:rPr>
          <w:i/>
          <w:sz w:val="22"/>
        </w:rPr>
        <w:t>Maturitas</w:t>
      </w:r>
      <w:r>
        <w:rPr>
          <w:sz w:val="22"/>
        </w:rPr>
        <w:t>. 2015;82(3):304.</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Lowe</w:t>
      </w:r>
      <w:r>
        <w:rPr>
          <w:spacing w:val="24"/>
          <w:sz w:val="22"/>
        </w:rPr>
        <w:t> </w:t>
      </w:r>
      <w:r>
        <w:rPr>
          <w:sz w:val="22"/>
        </w:rPr>
        <w:t>GD,</w:t>
      </w:r>
      <w:r>
        <w:rPr>
          <w:spacing w:val="24"/>
          <w:sz w:val="22"/>
        </w:rPr>
        <w:t> </w:t>
      </w:r>
      <w:r>
        <w:rPr>
          <w:sz w:val="22"/>
        </w:rPr>
        <w:t>Upton</w:t>
      </w:r>
      <w:r>
        <w:rPr>
          <w:spacing w:val="24"/>
          <w:sz w:val="22"/>
        </w:rPr>
        <w:t> </w:t>
      </w:r>
      <w:r>
        <w:rPr>
          <w:sz w:val="22"/>
        </w:rPr>
        <w:t>MN,</w:t>
      </w:r>
      <w:r>
        <w:rPr>
          <w:spacing w:val="24"/>
          <w:sz w:val="22"/>
        </w:rPr>
        <w:t> </w:t>
      </w:r>
      <w:r>
        <w:rPr>
          <w:sz w:val="22"/>
        </w:rPr>
        <w:t>Rumley</w:t>
      </w:r>
      <w:r>
        <w:rPr>
          <w:spacing w:val="24"/>
          <w:sz w:val="22"/>
        </w:rPr>
        <w:t> </w:t>
      </w:r>
      <w:r>
        <w:rPr>
          <w:sz w:val="22"/>
        </w:rPr>
        <w:t>A,</w:t>
      </w:r>
      <w:r>
        <w:rPr>
          <w:spacing w:val="24"/>
          <w:sz w:val="22"/>
        </w:rPr>
        <w:t> </w:t>
      </w:r>
      <w:r>
        <w:rPr>
          <w:sz w:val="22"/>
        </w:rPr>
        <w:t>McConnachie</w:t>
      </w:r>
      <w:r>
        <w:rPr>
          <w:spacing w:val="24"/>
          <w:sz w:val="22"/>
        </w:rPr>
        <w:t> </w:t>
      </w:r>
      <w:r>
        <w:rPr>
          <w:sz w:val="22"/>
        </w:rPr>
        <w:t>A,</w:t>
      </w:r>
      <w:r>
        <w:rPr>
          <w:spacing w:val="24"/>
          <w:sz w:val="22"/>
        </w:rPr>
        <w:t> </w:t>
      </w:r>
      <w:r>
        <w:rPr>
          <w:sz w:val="22"/>
        </w:rPr>
        <w:t>O’Reilly</w:t>
      </w:r>
      <w:r>
        <w:rPr>
          <w:spacing w:val="24"/>
          <w:sz w:val="22"/>
        </w:rPr>
        <w:t> </w:t>
      </w:r>
      <w:r>
        <w:rPr>
          <w:sz w:val="22"/>
        </w:rPr>
        <w:t>DS,</w:t>
      </w:r>
      <w:r>
        <w:rPr>
          <w:spacing w:val="24"/>
          <w:sz w:val="22"/>
        </w:rPr>
        <w:t> </w:t>
      </w:r>
      <w:r>
        <w:rPr>
          <w:sz w:val="22"/>
        </w:rPr>
        <w:t>Watt</w:t>
      </w:r>
      <w:r>
        <w:rPr>
          <w:spacing w:val="24"/>
          <w:sz w:val="22"/>
        </w:rPr>
        <w:t> </w:t>
      </w:r>
      <w:r>
        <w:rPr>
          <w:sz w:val="22"/>
        </w:rPr>
        <w:t>GC.</w:t>
      </w:r>
      <w:r>
        <w:rPr>
          <w:spacing w:val="24"/>
          <w:sz w:val="22"/>
        </w:rPr>
        <w:t> </w:t>
      </w:r>
      <w:r>
        <w:rPr>
          <w:sz w:val="22"/>
        </w:rPr>
        <w:t>Different</w:t>
      </w:r>
      <w:r>
        <w:rPr>
          <w:spacing w:val="24"/>
          <w:sz w:val="22"/>
        </w:rPr>
        <w:t> </w:t>
      </w:r>
      <w:r>
        <w:rPr>
          <w:sz w:val="22"/>
        </w:rPr>
        <w:t>effects of oral and transdermal hormone replacement therapies on factor IX, APC resistance, t-PA,</w:t>
      </w:r>
      <w:r>
        <w:rPr>
          <w:spacing w:val="80"/>
          <w:w w:val="150"/>
          <w:sz w:val="22"/>
        </w:rPr>
        <w:t> </w:t>
      </w:r>
      <w:r>
        <w:rPr>
          <w:sz w:val="22"/>
        </w:rPr>
        <w:t>PAI, and C-reactive protein—a cross-sectional population survey. </w:t>
      </w:r>
      <w:r>
        <w:rPr>
          <w:i/>
          <w:sz w:val="22"/>
        </w:rPr>
        <w:t>Thromb Haemost</w:t>
      </w:r>
      <w:r>
        <w:rPr>
          <w:sz w:val="22"/>
        </w:rPr>
        <w:t>. </w:t>
      </w:r>
      <w:r>
        <w:rPr>
          <w:spacing w:val="-2"/>
          <w:sz w:val="22"/>
        </w:rPr>
        <w:t>2001;86:550.</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Hoibraaten E, Qvigstad E, Arnesen H, Larsen S, Wickstrom E, Sandset PM. Increased risk of recurrent venous thromboembolism during hormone replacement therapy—results of </w:t>
      </w:r>
      <w:r>
        <w:rPr>
          <w:sz w:val="22"/>
        </w:rPr>
        <w:t>the randomized, double-blind, placebo-controlled estrogen in venous thromboembolism trial (EVTET). </w:t>
      </w:r>
      <w:r>
        <w:rPr>
          <w:i/>
          <w:sz w:val="22"/>
        </w:rPr>
        <w:t>Thromb Haemost</w:t>
      </w:r>
      <w:r>
        <w:rPr>
          <w:sz w:val="22"/>
        </w:rPr>
        <w:t>. 2000;84:961.</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Ridker</w:t>
      </w:r>
      <w:r>
        <w:rPr>
          <w:spacing w:val="40"/>
          <w:sz w:val="22"/>
        </w:rPr>
        <w:t> </w:t>
      </w:r>
      <w:r>
        <w:rPr>
          <w:sz w:val="22"/>
        </w:rPr>
        <w:t>PM,</w:t>
      </w:r>
      <w:r>
        <w:rPr>
          <w:spacing w:val="40"/>
          <w:sz w:val="22"/>
        </w:rPr>
        <w:t> </w:t>
      </w:r>
      <w:r>
        <w:rPr>
          <w:sz w:val="22"/>
        </w:rPr>
        <w:t>Hennekens</w:t>
      </w:r>
      <w:r>
        <w:rPr>
          <w:spacing w:val="40"/>
          <w:sz w:val="22"/>
        </w:rPr>
        <w:t> </w:t>
      </w:r>
      <w:r>
        <w:rPr>
          <w:sz w:val="22"/>
        </w:rPr>
        <w:t>CH,</w:t>
      </w:r>
      <w:r>
        <w:rPr>
          <w:spacing w:val="40"/>
          <w:sz w:val="22"/>
        </w:rPr>
        <w:t> </w:t>
      </w:r>
      <w:r>
        <w:rPr>
          <w:sz w:val="22"/>
        </w:rPr>
        <w:t>Lindpaintner</w:t>
      </w:r>
      <w:r>
        <w:rPr>
          <w:spacing w:val="40"/>
          <w:sz w:val="22"/>
        </w:rPr>
        <w:t> </w:t>
      </w:r>
      <w:r>
        <w:rPr>
          <w:sz w:val="22"/>
        </w:rPr>
        <w:t>K,</w:t>
      </w:r>
      <w:r>
        <w:rPr>
          <w:spacing w:val="40"/>
          <w:sz w:val="22"/>
        </w:rPr>
        <w:t> </w:t>
      </w:r>
      <w:r>
        <w:rPr>
          <w:sz w:val="22"/>
        </w:rPr>
        <w:t>Stampfer</w:t>
      </w:r>
      <w:r>
        <w:rPr>
          <w:spacing w:val="40"/>
          <w:sz w:val="22"/>
        </w:rPr>
        <w:t> </w:t>
      </w:r>
      <w:r>
        <w:rPr>
          <w:sz w:val="22"/>
        </w:rPr>
        <w:t>MJ,</w:t>
      </w:r>
      <w:r>
        <w:rPr>
          <w:spacing w:val="40"/>
          <w:sz w:val="22"/>
        </w:rPr>
        <w:t> </w:t>
      </w:r>
      <w:r>
        <w:rPr>
          <w:sz w:val="22"/>
        </w:rPr>
        <w:t>Eisenberg</w:t>
      </w:r>
      <w:r>
        <w:rPr>
          <w:spacing w:val="40"/>
          <w:sz w:val="22"/>
        </w:rPr>
        <w:t> </w:t>
      </w:r>
      <w:r>
        <w:rPr>
          <w:sz w:val="22"/>
        </w:rPr>
        <w:t>PR,</w:t>
      </w:r>
      <w:r>
        <w:rPr>
          <w:spacing w:val="40"/>
          <w:sz w:val="22"/>
        </w:rPr>
        <w:t> </w:t>
      </w:r>
      <w:r>
        <w:rPr>
          <w:sz w:val="22"/>
        </w:rPr>
        <w:t>Miletich</w:t>
      </w:r>
      <w:r>
        <w:rPr>
          <w:spacing w:val="40"/>
          <w:sz w:val="22"/>
        </w:rPr>
        <w:t> </w:t>
      </w:r>
      <w:r>
        <w:rPr>
          <w:sz w:val="22"/>
        </w:rPr>
        <w:t>JP. Mutation in the gene coding for coagulation factor V and the risk of myocardial </w:t>
      </w:r>
      <w:r>
        <w:rPr>
          <w:sz w:val="22"/>
        </w:rPr>
        <w:t>infarction, stroke, and venous thrombosis in apparently healthy men. </w:t>
      </w:r>
      <w:r>
        <w:rPr>
          <w:i/>
          <w:sz w:val="22"/>
        </w:rPr>
        <w:t>N Engl J Med</w:t>
      </w:r>
      <w:r>
        <w:rPr>
          <w:sz w:val="22"/>
        </w:rPr>
        <w:t>. 1995;332:912.</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Cushman M, Rosendall FR, Psaty BM, et al. Factor V Leiden is not a risk factor for </w:t>
      </w:r>
      <w:r>
        <w:rPr>
          <w:sz w:val="22"/>
        </w:rPr>
        <w:t>arterial vascular</w:t>
      </w:r>
      <w:r>
        <w:rPr>
          <w:spacing w:val="40"/>
          <w:sz w:val="22"/>
        </w:rPr>
        <w:t> </w:t>
      </w:r>
      <w:r>
        <w:rPr>
          <w:sz w:val="22"/>
        </w:rPr>
        <w:t>disease</w:t>
      </w:r>
      <w:r>
        <w:rPr>
          <w:spacing w:val="40"/>
          <w:sz w:val="22"/>
        </w:rPr>
        <w:t> </w:t>
      </w:r>
      <w:r>
        <w:rPr>
          <w:sz w:val="22"/>
        </w:rPr>
        <w:t>in</w:t>
      </w:r>
      <w:r>
        <w:rPr>
          <w:spacing w:val="40"/>
          <w:sz w:val="22"/>
        </w:rPr>
        <w:t> </w:t>
      </w:r>
      <w:r>
        <w:rPr>
          <w:sz w:val="22"/>
        </w:rPr>
        <w:t>the</w:t>
      </w:r>
      <w:r>
        <w:rPr>
          <w:spacing w:val="40"/>
          <w:sz w:val="22"/>
        </w:rPr>
        <w:t> </w:t>
      </w:r>
      <w:r>
        <w:rPr>
          <w:sz w:val="22"/>
        </w:rPr>
        <w:t>elderly:</w:t>
      </w:r>
      <w:r>
        <w:rPr>
          <w:spacing w:val="40"/>
          <w:sz w:val="22"/>
        </w:rPr>
        <w:t> </w:t>
      </w:r>
      <w:r>
        <w:rPr>
          <w:sz w:val="22"/>
        </w:rPr>
        <w:t>results</w:t>
      </w:r>
      <w:r>
        <w:rPr>
          <w:spacing w:val="40"/>
          <w:sz w:val="22"/>
        </w:rPr>
        <w:t> </w:t>
      </w:r>
      <w:r>
        <w:rPr>
          <w:sz w:val="22"/>
        </w:rPr>
        <w:t>from</w:t>
      </w:r>
      <w:r>
        <w:rPr>
          <w:spacing w:val="40"/>
          <w:sz w:val="22"/>
        </w:rPr>
        <w:t> </w:t>
      </w:r>
      <w:r>
        <w:rPr>
          <w:sz w:val="22"/>
        </w:rPr>
        <w:t>the</w:t>
      </w:r>
      <w:r>
        <w:rPr>
          <w:spacing w:val="40"/>
          <w:sz w:val="22"/>
        </w:rPr>
        <w:t> </w:t>
      </w:r>
      <w:r>
        <w:rPr>
          <w:sz w:val="22"/>
        </w:rPr>
        <w:t>Cardiovascular</w:t>
      </w:r>
      <w:r>
        <w:rPr>
          <w:spacing w:val="40"/>
          <w:sz w:val="22"/>
        </w:rPr>
        <w:t> </w:t>
      </w:r>
      <w:r>
        <w:rPr>
          <w:sz w:val="22"/>
        </w:rPr>
        <w:t>Health</w:t>
      </w:r>
      <w:r>
        <w:rPr>
          <w:spacing w:val="40"/>
          <w:sz w:val="22"/>
        </w:rPr>
        <w:t> </w:t>
      </w:r>
      <w:r>
        <w:rPr>
          <w:sz w:val="22"/>
        </w:rPr>
        <w:t>Study.</w:t>
      </w:r>
      <w:r>
        <w:rPr>
          <w:spacing w:val="40"/>
          <w:sz w:val="22"/>
        </w:rPr>
        <w:t> </w:t>
      </w:r>
      <w:r>
        <w:rPr>
          <w:i/>
          <w:sz w:val="22"/>
        </w:rPr>
        <w:t>Thromb</w:t>
      </w:r>
      <w:r>
        <w:rPr>
          <w:i/>
          <w:sz w:val="22"/>
        </w:rPr>
        <w:t> Haemost</w:t>
      </w:r>
      <w:r>
        <w:rPr>
          <w:sz w:val="22"/>
        </w:rPr>
        <w:t>. 1998;79:912.</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Glueck CJ, Wang P, Fontaine RN, Sieve-Smith L, Lang JE. Estrogen replacement </w:t>
      </w:r>
      <w:r>
        <w:rPr>
          <w:sz w:val="22"/>
        </w:rPr>
        <w:t>therapy, thrombophilia, and atherothrombosis. </w:t>
      </w:r>
      <w:r>
        <w:rPr>
          <w:i/>
          <w:sz w:val="22"/>
        </w:rPr>
        <w:t>Metabolism</w:t>
      </w:r>
      <w:r>
        <w:rPr>
          <w:sz w:val="22"/>
        </w:rPr>
        <w:t>. 2002;51:724.</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Irani-Hakime N, Tamim H, Elias G, et al. Factor V R506Q mutation-Leiden: an independent</w:t>
      </w:r>
      <w:r>
        <w:rPr>
          <w:spacing w:val="80"/>
          <w:sz w:val="22"/>
        </w:rPr>
        <w:t> </w:t>
      </w:r>
      <w:r>
        <w:rPr>
          <w:sz w:val="22"/>
        </w:rPr>
        <w:t>risk factor for venous thrombosis but not coronary artery disease. </w:t>
      </w:r>
      <w:r>
        <w:rPr>
          <w:i/>
          <w:sz w:val="22"/>
        </w:rPr>
        <w:t>J Thromb Thrombolysis</w:t>
      </w:r>
      <w:r>
        <w:rPr>
          <w:sz w:val="22"/>
        </w:rPr>
        <w:t>. </w:t>
      </w:r>
      <w:r>
        <w:rPr>
          <w:spacing w:val="-2"/>
          <w:sz w:val="22"/>
        </w:rPr>
        <w:t>2001;11:111.</w:t>
      </w:r>
    </w:p>
    <w:p>
      <w:pPr>
        <w:pStyle w:val="ListParagraph"/>
        <w:numPr>
          <w:ilvl w:val="0"/>
          <w:numId w:val="19"/>
        </w:numPr>
        <w:tabs>
          <w:tab w:pos="710" w:val="left" w:leader="none"/>
        </w:tabs>
        <w:spacing w:line="251" w:lineRule="exact" w:before="0" w:after="0"/>
        <w:ind w:left="710" w:right="0" w:hanging="498"/>
        <w:jc w:val="both"/>
        <w:rPr>
          <w:sz w:val="22"/>
        </w:rPr>
      </w:pPr>
      <w:r>
        <w:rPr>
          <w:sz w:val="22"/>
        </w:rPr>
        <w:t>Breast</w:t>
      </w:r>
      <w:r>
        <w:rPr>
          <w:spacing w:val="19"/>
          <w:sz w:val="22"/>
        </w:rPr>
        <w:t> </w:t>
      </w:r>
      <w:r>
        <w:rPr>
          <w:sz w:val="22"/>
        </w:rPr>
        <w:t>Cancer</w:t>
      </w:r>
      <w:r>
        <w:rPr>
          <w:spacing w:val="19"/>
          <w:sz w:val="22"/>
        </w:rPr>
        <w:t> </w:t>
      </w:r>
      <w:r>
        <w:rPr>
          <w:sz w:val="22"/>
        </w:rPr>
        <w:t>Risk</w:t>
      </w:r>
      <w:r>
        <w:rPr>
          <w:spacing w:val="19"/>
          <w:sz w:val="22"/>
        </w:rPr>
        <w:t> </w:t>
      </w:r>
      <w:r>
        <w:rPr>
          <w:sz w:val="22"/>
        </w:rPr>
        <w:t>Factors.</w:t>
      </w:r>
      <w:r>
        <w:rPr>
          <w:spacing w:val="19"/>
          <w:sz w:val="22"/>
        </w:rPr>
        <w:t> </w:t>
      </w:r>
      <w:r>
        <w:rPr>
          <w:sz w:val="22"/>
        </w:rPr>
        <w:t>Centers</w:t>
      </w:r>
      <w:r>
        <w:rPr>
          <w:spacing w:val="19"/>
          <w:sz w:val="22"/>
        </w:rPr>
        <w:t> </w:t>
      </w:r>
      <w:r>
        <w:rPr>
          <w:sz w:val="22"/>
        </w:rPr>
        <w:t>for</w:t>
      </w:r>
      <w:r>
        <w:rPr>
          <w:spacing w:val="19"/>
          <w:sz w:val="22"/>
        </w:rPr>
        <w:t> </w:t>
      </w:r>
      <w:r>
        <w:rPr>
          <w:sz w:val="22"/>
        </w:rPr>
        <w:t>Disease</w:t>
      </w:r>
      <w:r>
        <w:rPr>
          <w:spacing w:val="19"/>
          <w:sz w:val="22"/>
        </w:rPr>
        <w:t> </w:t>
      </w:r>
      <w:r>
        <w:rPr>
          <w:sz w:val="22"/>
        </w:rPr>
        <w:t>Control</w:t>
      </w:r>
      <w:r>
        <w:rPr>
          <w:spacing w:val="19"/>
          <w:sz w:val="22"/>
        </w:rPr>
        <w:t> </w:t>
      </w:r>
      <w:r>
        <w:rPr>
          <w:sz w:val="22"/>
        </w:rPr>
        <w:t>and</w:t>
      </w:r>
      <w:r>
        <w:rPr>
          <w:spacing w:val="20"/>
          <w:sz w:val="22"/>
        </w:rPr>
        <w:t> </w:t>
      </w:r>
      <w:r>
        <w:rPr>
          <w:sz w:val="22"/>
        </w:rPr>
        <w:t>Prevention.</w:t>
      </w:r>
      <w:r>
        <w:rPr>
          <w:spacing w:val="19"/>
          <w:sz w:val="22"/>
        </w:rPr>
        <w:t> </w:t>
      </w:r>
      <w:r>
        <w:rPr>
          <w:sz w:val="22"/>
        </w:rPr>
        <w:t>September</w:t>
      </w:r>
      <w:r>
        <w:rPr>
          <w:spacing w:val="19"/>
          <w:sz w:val="22"/>
        </w:rPr>
        <w:t> </w:t>
      </w:r>
      <w:r>
        <w:rPr>
          <w:sz w:val="22"/>
        </w:rPr>
        <w:t>11,</w:t>
      </w:r>
      <w:r>
        <w:rPr>
          <w:spacing w:val="19"/>
          <w:sz w:val="22"/>
        </w:rPr>
        <w:t> </w:t>
      </w:r>
      <w:r>
        <w:rPr>
          <w:spacing w:val="-2"/>
          <w:sz w:val="22"/>
        </w:rPr>
        <w:t>2024.</w:t>
      </w:r>
    </w:p>
    <w:p>
      <w:pPr>
        <w:spacing w:before="9"/>
        <w:ind w:left="718" w:right="0" w:firstLine="0"/>
        <w:jc w:val="both"/>
        <w:rPr>
          <w:sz w:val="22"/>
        </w:rPr>
      </w:pPr>
      <w:r>
        <w:rPr>
          <w:sz w:val="22"/>
        </w:rPr>
        <w:t>Accessed</w:t>
      </w:r>
      <w:r>
        <w:rPr>
          <w:spacing w:val="24"/>
          <w:sz w:val="22"/>
        </w:rPr>
        <w:t> </w:t>
      </w:r>
      <w:r>
        <w:rPr>
          <w:sz w:val="22"/>
        </w:rPr>
        <w:t>July</w:t>
      </w:r>
      <w:r>
        <w:rPr>
          <w:spacing w:val="25"/>
          <w:sz w:val="22"/>
        </w:rPr>
        <w:t> </w:t>
      </w:r>
      <w:r>
        <w:rPr>
          <w:sz w:val="22"/>
        </w:rPr>
        <w:t>12,</w:t>
      </w:r>
      <w:r>
        <w:rPr>
          <w:spacing w:val="25"/>
          <w:sz w:val="22"/>
        </w:rPr>
        <w:t> </w:t>
      </w:r>
      <w:r>
        <w:rPr>
          <w:sz w:val="22"/>
        </w:rPr>
        <w:t>2025.</w:t>
      </w:r>
      <w:r>
        <w:rPr>
          <w:spacing w:val="24"/>
          <w:sz w:val="22"/>
        </w:rPr>
        <w:t> </w:t>
      </w:r>
      <w:hyperlink r:id="rId37">
        <w:r>
          <w:rPr>
            <w:sz w:val="22"/>
          </w:rPr>
          <w:t>https://www.cdc.gov/breast-cancer/risk-</w:t>
        </w:r>
        <w:r>
          <w:rPr>
            <w:spacing w:val="-2"/>
            <w:sz w:val="22"/>
          </w:rPr>
          <w:t>factors/index.html</w:t>
        </w:r>
      </w:hyperlink>
    </w:p>
    <w:p>
      <w:pPr>
        <w:pStyle w:val="ListParagraph"/>
        <w:numPr>
          <w:ilvl w:val="0"/>
          <w:numId w:val="19"/>
        </w:numPr>
        <w:tabs>
          <w:tab w:pos="709" w:val="left" w:leader="none"/>
          <w:tab w:pos="718" w:val="left" w:leader="none"/>
        </w:tabs>
        <w:spacing w:line="256" w:lineRule="auto" w:before="17" w:after="0"/>
        <w:ind w:left="718" w:right="105" w:hanging="507"/>
        <w:jc w:val="both"/>
        <w:rPr>
          <w:sz w:val="22"/>
        </w:rPr>
      </w:pPr>
      <w:r>
        <w:rPr>
          <w:sz w:val="22"/>
        </w:rPr>
        <w:t>La</w:t>
      </w:r>
      <w:r>
        <w:rPr>
          <w:spacing w:val="36"/>
          <w:sz w:val="22"/>
        </w:rPr>
        <w:t> </w:t>
      </w:r>
      <w:r>
        <w:rPr>
          <w:sz w:val="22"/>
        </w:rPr>
        <w:t>Vecchia</w:t>
      </w:r>
      <w:r>
        <w:rPr>
          <w:spacing w:val="36"/>
          <w:sz w:val="22"/>
        </w:rPr>
        <w:t> </w:t>
      </w:r>
      <w:r>
        <w:rPr>
          <w:sz w:val="22"/>
        </w:rPr>
        <w:t>C,</w:t>
      </w:r>
      <w:r>
        <w:rPr>
          <w:spacing w:val="36"/>
          <w:sz w:val="22"/>
        </w:rPr>
        <w:t> </w:t>
      </w:r>
      <w:r>
        <w:rPr>
          <w:sz w:val="22"/>
        </w:rPr>
        <w:t>Negri</w:t>
      </w:r>
      <w:r>
        <w:rPr>
          <w:spacing w:val="36"/>
          <w:sz w:val="22"/>
        </w:rPr>
        <w:t> </w:t>
      </w:r>
      <w:r>
        <w:rPr>
          <w:sz w:val="22"/>
        </w:rPr>
        <w:t>E,</w:t>
      </w:r>
      <w:r>
        <w:rPr>
          <w:spacing w:val="36"/>
          <w:sz w:val="22"/>
        </w:rPr>
        <w:t> </w:t>
      </w:r>
      <w:r>
        <w:rPr>
          <w:sz w:val="22"/>
        </w:rPr>
        <w:t>Bruzzi</w:t>
      </w:r>
      <w:r>
        <w:rPr>
          <w:spacing w:val="36"/>
          <w:sz w:val="22"/>
        </w:rPr>
        <w:t> </w:t>
      </w:r>
      <w:r>
        <w:rPr>
          <w:sz w:val="22"/>
        </w:rPr>
        <w:t>P,</w:t>
      </w:r>
      <w:r>
        <w:rPr>
          <w:spacing w:val="36"/>
          <w:sz w:val="22"/>
        </w:rPr>
        <w:t> </w:t>
      </w:r>
      <w:r>
        <w:rPr>
          <w:sz w:val="22"/>
        </w:rPr>
        <w:t>et</w:t>
      </w:r>
      <w:r>
        <w:rPr>
          <w:spacing w:val="36"/>
          <w:sz w:val="22"/>
        </w:rPr>
        <w:t> </w:t>
      </w:r>
      <w:r>
        <w:rPr>
          <w:sz w:val="22"/>
        </w:rPr>
        <w:t>al.</w:t>
      </w:r>
      <w:r>
        <w:rPr>
          <w:spacing w:val="36"/>
          <w:sz w:val="22"/>
        </w:rPr>
        <w:t> </w:t>
      </w:r>
      <w:r>
        <w:rPr>
          <w:sz w:val="22"/>
        </w:rPr>
        <w:t>The</w:t>
      </w:r>
      <w:r>
        <w:rPr>
          <w:spacing w:val="36"/>
          <w:sz w:val="22"/>
        </w:rPr>
        <w:t> </w:t>
      </w:r>
      <w:r>
        <w:rPr>
          <w:sz w:val="22"/>
        </w:rPr>
        <w:t>role</w:t>
      </w:r>
      <w:r>
        <w:rPr>
          <w:spacing w:val="36"/>
          <w:sz w:val="22"/>
        </w:rPr>
        <w:t> </w:t>
      </w:r>
      <w:r>
        <w:rPr>
          <w:sz w:val="22"/>
        </w:rPr>
        <w:t>of</w:t>
      </w:r>
      <w:r>
        <w:rPr>
          <w:spacing w:val="36"/>
          <w:sz w:val="22"/>
        </w:rPr>
        <w:t> </w:t>
      </w:r>
      <w:r>
        <w:rPr>
          <w:sz w:val="22"/>
        </w:rPr>
        <w:t>age</w:t>
      </w:r>
      <w:r>
        <w:rPr>
          <w:spacing w:val="36"/>
          <w:sz w:val="22"/>
        </w:rPr>
        <w:t> </w:t>
      </w:r>
      <w:r>
        <w:rPr>
          <w:sz w:val="22"/>
        </w:rPr>
        <w:t>at</w:t>
      </w:r>
      <w:r>
        <w:rPr>
          <w:spacing w:val="36"/>
          <w:sz w:val="22"/>
        </w:rPr>
        <w:t> </w:t>
      </w:r>
      <w:r>
        <w:rPr>
          <w:sz w:val="22"/>
        </w:rPr>
        <w:t>menarche</w:t>
      </w:r>
      <w:r>
        <w:rPr>
          <w:spacing w:val="36"/>
          <w:sz w:val="22"/>
        </w:rPr>
        <w:t> </w:t>
      </w:r>
      <w:r>
        <w:rPr>
          <w:sz w:val="22"/>
        </w:rPr>
        <w:t>and</w:t>
      </w:r>
      <w:r>
        <w:rPr>
          <w:spacing w:val="36"/>
          <w:sz w:val="22"/>
        </w:rPr>
        <w:t> </w:t>
      </w:r>
      <w:r>
        <w:rPr>
          <w:sz w:val="22"/>
        </w:rPr>
        <w:t>at</w:t>
      </w:r>
      <w:r>
        <w:rPr>
          <w:spacing w:val="36"/>
          <w:sz w:val="22"/>
        </w:rPr>
        <w:t> </w:t>
      </w:r>
      <w:r>
        <w:rPr>
          <w:sz w:val="22"/>
        </w:rPr>
        <w:t>menopause</w:t>
      </w:r>
      <w:r>
        <w:rPr>
          <w:spacing w:val="36"/>
          <w:sz w:val="22"/>
        </w:rPr>
        <w:t> </w:t>
      </w:r>
      <w:r>
        <w:rPr>
          <w:sz w:val="22"/>
        </w:rPr>
        <w:t>on breast cancer risk: combined evidence from four case-control studies. </w:t>
      </w:r>
      <w:r>
        <w:rPr>
          <w:i/>
          <w:sz w:val="22"/>
        </w:rPr>
        <w:t>Ann Oncol</w:t>
      </w:r>
      <w:r>
        <w:rPr>
          <w:sz w:val="22"/>
        </w:rPr>
        <w:t>. 1992;3:625.</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Potischman</w:t>
      </w:r>
      <w:r>
        <w:rPr>
          <w:spacing w:val="31"/>
          <w:sz w:val="22"/>
        </w:rPr>
        <w:t> </w:t>
      </w:r>
      <w:r>
        <w:rPr>
          <w:sz w:val="22"/>
        </w:rPr>
        <w:t>N,</w:t>
      </w:r>
      <w:r>
        <w:rPr>
          <w:spacing w:val="31"/>
          <w:sz w:val="22"/>
        </w:rPr>
        <w:t> </w:t>
      </w:r>
      <w:r>
        <w:rPr>
          <w:sz w:val="22"/>
        </w:rPr>
        <w:t>Swanson</w:t>
      </w:r>
      <w:r>
        <w:rPr>
          <w:spacing w:val="31"/>
          <w:sz w:val="22"/>
        </w:rPr>
        <w:t> </w:t>
      </w:r>
      <w:r>
        <w:rPr>
          <w:sz w:val="22"/>
        </w:rPr>
        <w:t>CA,</w:t>
      </w:r>
      <w:r>
        <w:rPr>
          <w:spacing w:val="31"/>
          <w:sz w:val="22"/>
        </w:rPr>
        <w:t> </w:t>
      </w:r>
      <w:r>
        <w:rPr>
          <w:sz w:val="22"/>
        </w:rPr>
        <w:t>Siiteri</w:t>
      </w:r>
      <w:r>
        <w:rPr>
          <w:spacing w:val="31"/>
          <w:sz w:val="22"/>
        </w:rPr>
        <w:t> </w:t>
      </w:r>
      <w:r>
        <w:rPr>
          <w:sz w:val="22"/>
        </w:rPr>
        <w:t>P,</w:t>
      </w:r>
      <w:r>
        <w:rPr>
          <w:spacing w:val="31"/>
          <w:sz w:val="22"/>
        </w:rPr>
        <w:t> </w:t>
      </w:r>
      <w:r>
        <w:rPr>
          <w:sz w:val="22"/>
        </w:rPr>
        <w:t>Hoover</w:t>
      </w:r>
      <w:r>
        <w:rPr>
          <w:spacing w:val="31"/>
          <w:sz w:val="22"/>
        </w:rPr>
        <w:t> </w:t>
      </w:r>
      <w:r>
        <w:rPr>
          <w:sz w:val="22"/>
        </w:rPr>
        <w:t>RN.</w:t>
      </w:r>
      <w:r>
        <w:rPr>
          <w:spacing w:val="31"/>
          <w:sz w:val="22"/>
        </w:rPr>
        <w:t> </w:t>
      </w:r>
      <w:r>
        <w:rPr>
          <w:sz w:val="22"/>
        </w:rPr>
        <w:t>Reversal</w:t>
      </w:r>
      <w:r>
        <w:rPr>
          <w:spacing w:val="34"/>
          <w:sz w:val="22"/>
        </w:rPr>
        <w:t> </w:t>
      </w:r>
      <w:r>
        <w:rPr>
          <w:sz w:val="22"/>
        </w:rPr>
        <w:t>of</w:t>
      </w:r>
      <w:r>
        <w:rPr>
          <w:spacing w:val="34"/>
          <w:sz w:val="22"/>
        </w:rPr>
        <w:t> </w:t>
      </w:r>
      <w:r>
        <w:rPr>
          <w:sz w:val="22"/>
        </w:rPr>
        <w:t>relation</w:t>
      </w:r>
      <w:r>
        <w:rPr>
          <w:spacing w:val="34"/>
          <w:sz w:val="22"/>
        </w:rPr>
        <w:t> </w:t>
      </w:r>
      <w:r>
        <w:rPr>
          <w:sz w:val="22"/>
        </w:rPr>
        <w:t>between</w:t>
      </w:r>
      <w:r>
        <w:rPr>
          <w:spacing w:val="34"/>
          <w:sz w:val="22"/>
        </w:rPr>
        <w:t> </w:t>
      </w:r>
      <w:r>
        <w:rPr>
          <w:sz w:val="22"/>
        </w:rPr>
        <w:t>body</w:t>
      </w:r>
      <w:r>
        <w:rPr>
          <w:spacing w:val="34"/>
          <w:sz w:val="22"/>
        </w:rPr>
        <w:t> </w:t>
      </w:r>
      <w:r>
        <w:rPr>
          <w:sz w:val="22"/>
        </w:rPr>
        <w:t>mass and endogenous estrogen concentrations with menopausal status. </w:t>
      </w:r>
      <w:r>
        <w:rPr>
          <w:i/>
          <w:sz w:val="22"/>
        </w:rPr>
        <w:t>J Natl Cancer </w:t>
      </w:r>
      <w:r>
        <w:rPr>
          <w:i/>
          <w:sz w:val="22"/>
        </w:rPr>
        <w:t>Inst</w:t>
      </w:r>
      <w:r>
        <w:rPr>
          <w:sz w:val="22"/>
        </w:rPr>
        <w:t>. </w:t>
      </w:r>
      <w:r>
        <w:rPr>
          <w:spacing w:val="-2"/>
          <w:sz w:val="22"/>
        </w:rPr>
        <w:t>1996;88:756.</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Yong</w:t>
      </w:r>
      <w:r>
        <w:rPr>
          <w:spacing w:val="20"/>
          <w:sz w:val="22"/>
        </w:rPr>
        <w:t> </w:t>
      </w:r>
      <w:r>
        <w:rPr>
          <w:sz w:val="22"/>
        </w:rPr>
        <w:t>L-C,</w:t>
      </w:r>
      <w:r>
        <w:rPr>
          <w:spacing w:val="20"/>
          <w:sz w:val="22"/>
        </w:rPr>
        <w:t> </w:t>
      </w:r>
      <w:r>
        <w:rPr>
          <w:sz w:val="22"/>
        </w:rPr>
        <w:t>Brown</w:t>
      </w:r>
      <w:r>
        <w:rPr>
          <w:spacing w:val="20"/>
          <w:sz w:val="22"/>
        </w:rPr>
        <w:t> </w:t>
      </w:r>
      <w:r>
        <w:rPr>
          <w:sz w:val="22"/>
        </w:rPr>
        <w:t>CC,</w:t>
      </w:r>
      <w:r>
        <w:rPr>
          <w:spacing w:val="20"/>
          <w:sz w:val="22"/>
        </w:rPr>
        <w:t> </w:t>
      </w:r>
      <w:r>
        <w:rPr>
          <w:sz w:val="22"/>
        </w:rPr>
        <w:t>Schatzkin</w:t>
      </w:r>
      <w:r>
        <w:rPr>
          <w:spacing w:val="20"/>
          <w:sz w:val="22"/>
        </w:rPr>
        <w:t> </w:t>
      </w:r>
      <w:r>
        <w:rPr>
          <w:sz w:val="22"/>
        </w:rPr>
        <w:t>A,</w:t>
      </w:r>
      <w:r>
        <w:rPr>
          <w:spacing w:val="20"/>
          <w:sz w:val="22"/>
        </w:rPr>
        <w:t> </w:t>
      </w:r>
      <w:r>
        <w:rPr>
          <w:sz w:val="22"/>
        </w:rPr>
        <w:t>Schairer</w:t>
      </w:r>
      <w:r>
        <w:rPr>
          <w:spacing w:val="20"/>
          <w:sz w:val="22"/>
        </w:rPr>
        <w:t> </w:t>
      </w:r>
      <w:r>
        <w:rPr>
          <w:sz w:val="22"/>
        </w:rPr>
        <w:t>C.</w:t>
      </w:r>
      <w:r>
        <w:rPr>
          <w:spacing w:val="20"/>
          <w:sz w:val="22"/>
        </w:rPr>
        <w:t> </w:t>
      </w:r>
      <w:r>
        <w:rPr>
          <w:sz w:val="22"/>
        </w:rPr>
        <w:t>Prospective</w:t>
      </w:r>
      <w:r>
        <w:rPr>
          <w:spacing w:val="19"/>
          <w:sz w:val="22"/>
        </w:rPr>
        <w:t> </w:t>
      </w:r>
      <w:r>
        <w:rPr>
          <w:sz w:val="22"/>
        </w:rPr>
        <w:t>study</w:t>
      </w:r>
      <w:r>
        <w:rPr>
          <w:spacing w:val="19"/>
          <w:sz w:val="22"/>
        </w:rPr>
        <w:t> </w:t>
      </w:r>
      <w:r>
        <w:rPr>
          <w:sz w:val="22"/>
        </w:rPr>
        <w:t>of</w:t>
      </w:r>
      <w:r>
        <w:rPr>
          <w:spacing w:val="19"/>
          <w:sz w:val="22"/>
        </w:rPr>
        <w:t> </w:t>
      </w:r>
      <w:r>
        <w:rPr>
          <w:sz w:val="22"/>
        </w:rPr>
        <w:t>relative</w:t>
      </w:r>
      <w:r>
        <w:rPr>
          <w:spacing w:val="19"/>
          <w:sz w:val="22"/>
        </w:rPr>
        <w:t> </w:t>
      </w:r>
      <w:r>
        <w:rPr>
          <w:sz w:val="22"/>
        </w:rPr>
        <w:t>weight</w:t>
      </w:r>
      <w:r>
        <w:rPr>
          <w:spacing w:val="19"/>
          <w:sz w:val="22"/>
        </w:rPr>
        <w:t> </w:t>
      </w:r>
      <w:r>
        <w:rPr>
          <w:sz w:val="22"/>
        </w:rPr>
        <w:t>and</w:t>
      </w:r>
      <w:r>
        <w:rPr>
          <w:spacing w:val="19"/>
          <w:sz w:val="22"/>
        </w:rPr>
        <w:t> </w:t>
      </w:r>
      <w:r>
        <w:rPr>
          <w:sz w:val="22"/>
        </w:rPr>
        <w:t>risk of breast cancer: the Breast Cancer Detection Demonstration Project follow-up study, 1979 </w:t>
      </w:r>
      <w:r>
        <w:rPr>
          <w:sz w:val="22"/>
        </w:rPr>
        <w:t>to 1987-1989. </w:t>
      </w:r>
      <w:r>
        <w:rPr>
          <w:i/>
          <w:sz w:val="22"/>
        </w:rPr>
        <w:t>Am J Epidemiol</w:t>
      </w:r>
      <w:r>
        <w:rPr>
          <w:sz w:val="22"/>
        </w:rPr>
        <w:t>. 1996;43:985.</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Ziegler</w:t>
      </w:r>
      <w:r>
        <w:rPr>
          <w:spacing w:val="40"/>
          <w:sz w:val="22"/>
        </w:rPr>
        <w:t> </w:t>
      </w:r>
      <w:r>
        <w:rPr>
          <w:sz w:val="22"/>
        </w:rPr>
        <w:t>RG,</w:t>
      </w:r>
      <w:r>
        <w:rPr>
          <w:spacing w:val="40"/>
          <w:sz w:val="22"/>
        </w:rPr>
        <w:t> </w:t>
      </w:r>
      <w:r>
        <w:rPr>
          <w:sz w:val="22"/>
        </w:rPr>
        <w:t>Hoover</w:t>
      </w:r>
      <w:r>
        <w:rPr>
          <w:spacing w:val="40"/>
          <w:sz w:val="22"/>
        </w:rPr>
        <w:t> </w:t>
      </w:r>
      <w:r>
        <w:rPr>
          <w:sz w:val="22"/>
        </w:rPr>
        <w:t>RN,</w:t>
      </w:r>
      <w:r>
        <w:rPr>
          <w:spacing w:val="40"/>
          <w:sz w:val="22"/>
        </w:rPr>
        <w:t> </w:t>
      </w:r>
      <w:r>
        <w:rPr>
          <w:sz w:val="22"/>
        </w:rPr>
        <w:t>Nomura</w:t>
      </w:r>
      <w:r>
        <w:rPr>
          <w:spacing w:val="40"/>
          <w:sz w:val="22"/>
        </w:rPr>
        <w:t> </w:t>
      </w:r>
      <w:r>
        <w:rPr>
          <w:sz w:val="22"/>
        </w:rPr>
        <w:t>AM,</w:t>
      </w:r>
      <w:r>
        <w:rPr>
          <w:spacing w:val="40"/>
          <w:sz w:val="22"/>
        </w:rPr>
        <w:t> </w:t>
      </w:r>
      <w:r>
        <w:rPr>
          <w:sz w:val="22"/>
        </w:rPr>
        <w:t>et</w:t>
      </w:r>
      <w:r>
        <w:rPr>
          <w:spacing w:val="40"/>
          <w:sz w:val="22"/>
        </w:rPr>
        <w:t> </w:t>
      </w:r>
      <w:r>
        <w:rPr>
          <w:sz w:val="22"/>
        </w:rPr>
        <w:t>al.</w:t>
      </w:r>
      <w:r>
        <w:rPr>
          <w:spacing w:val="40"/>
          <w:sz w:val="22"/>
        </w:rPr>
        <w:t> </w:t>
      </w:r>
      <w:r>
        <w:rPr>
          <w:sz w:val="22"/>
        </w:rPr>
        <w:t>Relative</w:t>
      </w:r>
      <w:r>
        <w:rPr>
          <w:spacing w:val="40"/>
          <w:sz w:val="22"/>
        </w:rPr>
        <w:t> </w:t>
      </w:r>
      <w:r>
        <w:rPr>
          <w:sz w:val="22"/>
        </w:rPr>
        <w:t>weight,</w:t>
      </w:r>
      <w:r>
        <w:rPr>
          <w:spacing w:val="40"/>
          <w:sz w:val="22"/>
        </w:rPr>
        <w:t> </w:t>
      </w:r>
      <w:r>
        <w:rPr>
          <w:sz w:val="22"/>
        </w:rPr>
        <w:t>weight</w:t>
      </w:r>
      <w:r>
        <w:rPr>
          <w:spacing w:val="40"/>
          <w:sz w:val="22"/>
        </w:rPr>
        <w:t> </w:t>
      </w:r>
      <w:r>
        <w:rPr>
          <w:sz w:val="22"/>
        </w:rPr>
        <w:t>change,</w:t>
      </w:r>
      <w:r>
        <w:rPr>
          <w:spacing w:val="40"/>
          <w:sz w:val="22"/>
        </w:rPr>
        <w:t> </w:t>
      </w:r>
      <w:r>
        <w:rPr>
          <w:sz w:val="22"/>
        </w:rPr>
        <w:t>height,</w:t>
      </w:r>
      <w:r>
        <w:rPr>
          <w:spacing w:val="40"/>
          <w:sz w:val="22"/>
        </w:rPr>
        <w:t> </w:t>
      </w:r>
      <w:r>
        <w:rPr>
          <w:sz w:val="22"/>
        </w:rPr>
        <w:t>and breast cancer risk in Asian-American women. </w:t>
      </w:r>
      <w:r>
        <w:rPr>
          <w:i/>
          <w:sz w:val="22"/>
        </w:rPr>
        <w:t>J Natl Cancer Inst</w:t>
      </w:r>
      <w:r>
        <w:rPr>
          <w:sz w:val="22"/>
        </w:rPr>
        <w:t>. 1996;88:650.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Sherman</w:t>
      </w:r>
      <w:r>
        <w:rPr>
          <w:spacing w:val="37"/>
          <w:sz w:val="22"/>
        </w:rPr>
        <w:t> </w:t>
      </w:r>
      <w:r>
        <w:rPr>
          <w:sz w:val="22"/>
        </w:rPr>
        <w:t>B,</w:t>
      </w:r>
      <w:r>
        <w:rPr>
          <w:spacing w:val="37"/>
          <w:sz w:val="22"/>
        </w:rPr>
        <w:t> </w:t>
      </w:r>
      <w:r>
        <w:rPr>
          <w:sz w:val="22"/>
        </w:rPr>
        <w:t>Wallace</w:t>
      </w:r>
      <w:r>
        <w:rPr>
          <w:spacing w:val="37"/>
          <w:sz w:val="22"/>
        </w:rPr>
        <w:t> </w:t>
      </w:r>
      <w:r>
        <w:rPr>
          <w:sz w:val="22"/>
        </w:rPr>
        <w:t>R,</w:t>
      </w:r>
      <w:r>
        <w:rPr>
          <w:spacing w:val="37"/>
          <w:sz w:val="22"/>
        </w:rPr>
        <w:t> </w:t>
      </w:r>
      <w:r>
        <w:rPr>
          <w:sz w:val="22"/>
        </w:rPr>
        <w:t>Beam</w:t>
      </w:r>
      <w:r>
        <w:rPr>
          <w:spacing w:val="37"/>
          <w:sz w:val="22"/>
        </w:rPr>
        <w:t> </w:t>
      </w:r>
      <w:r>
        <w:rPr>
          <w:sz w:val="22"/>
        </w:rPr>
        <w:t>J,</w:t>
      </w:r>
      <w:r>
        <w:rPr>
          <w:spacing w:val="37"/>
          <w:sz w:val="22"/>
        </w:rPr>
        <w:t> </w:t>
      </w:r>
      <w:r>
        <w:rPr>
          <w:sz w:val="22"/>
        </w:rPr>
        <w:t>Schlabaugh</w:t>
      </w:r>
      <w:r>
        <w:rPr>
          <w:spacing w:val="37"/>
          <w:sz w:val="22"/>
        </w:rPr>
        <w:t> </w:t>
      </w:r>
      <w:r>
        <w:rPr>
          <w:sz w:val="22"/>
        </w:rPr>
        <w:t>L.</w:t>
      </w:r>
      <w:r>
        <w:rPr>
          <w:spacing w:val="37"/>
          <w:sz w:val="22"/>
        </w:rPr>
        <w:t> </w:t>
      </w:r>
      <w:r>
        <w:rPr>
          <w:sz w:val="22"/>
        </w:rPr>
        <w:t>Relationship</w:t>
      </w:r>
      <w:r>
        <w:rPr>
          <w:spacing w:val="40"/>
          <w:sz w:val="22"/>
        </w:rPr>
        <w:t> </w:t>
      </w:r>
      <w:r>
        <w:rPr>
          <w:sz w:val="22"/>
        </w:rPr>
        <w:t>of</w:t>
      </w:r>
      <w:r>
        <w:rPr>
          <w:spacing w:val="40"/>
          <w:sz w:val="22"/>
        </w:rPr>
        <w:t> </w:t>
      </w:r>
      <w:r>
        <w:rPr>
          <w:sz w:val="22"/>
        </w:rPr>
        <w:t>body</w:t>
      </w:r>
      <w:r>
        <w:rPr>
          <w:spacing w:val="40"/>
          <w:sz w:val="22"/>
        </w:rPr>
        <w:t> </w:t>
      </w:r>
      <w:r>
        <w:rPr>
          <w:sz w:val="22"/>
        </w:rPr>
        <w:t>weight</w:t>
      </w:r>
      <w:r>
        <w:rPr>
          <w:spacing w:val="40"/>
          <w:sz w:val="22"/>
        </w:rPr>
        <w:t> </w:t>
      </w:r>
      <w:r>
        <w:rPr>
          <w:sz w:val="22"/>
        </w:rPr>
        <w:t>to</w:t>
      </w:r>
      <w:r>
        <w:rPr>
          <w:spacing w:val="40"/>
          <w:sz w:val="22"/>
        </w:rPr>
        <w:t> </w:t>
      </w:r>
      <w:r>
        <w:rPr>
          <w:sz w:val="22"/>
        </w:rPr>
        <w:t>menarcheal and</w:t>
      </w:r>
      <w:r>
        <w:rPr>
          <w:spacing w:val="40"/>
          <w:sz w:val="22"/>
        </w:rPr>
        <w:t> </w:t>
      </w:r>
      <w:r>
        <w:rPr>
          <w:sz w:val="22"/>
        </w:rPr>
        <w:t>menopausal</w:t>
      </w:r>
      <w:r>
        <w:rPr>
          <w:spacing w:val="40"/>
          <w:sz w:val="22"/>
        </w:rPr>
        <w:t> </w:t>
      </w:r>
      <w:r>
        <w:rPr>
          <w:sz w:val="22"/>
        </w:rPr>
        <w:t>age:</w:t>
      </w:r>
      <w:r>
        <w:rPr>
          <w:spacing w:val="40"/>
          <w:sz w:val="22"/>
        </w:rPr>
        <w:t> </w:t>
      </w:r>
      <w:r>
        <w:rPr>
          <w:sz w:val="22"/>
        </w:rPr>
        <w:t>implication</w:t>
      </w:r>
      <w:r>
        <w:rPr>
          <w:spacing w:val="40"/>
          <w:sz w:val="22"/>
        </w:rPr>
        <w:t> </w:t>
      </w:r>
      <w:r>
        <w:rPr>
          <w:sz w:val="22"/>
        </w:rPr>
        <w:t>for</w:t>
      </w:r>
      <w:r>
        <w:rPr>
          <w:spacing w:val="40"/>
          <w:sz w:val="22"/>
        </w:rPr>
        <w:t> </w:t>
      </w:r>
      <w:r>
        <w:rPr>
          <w:sz w:val="22"/>
        </w:rPr>
        <w:t>breast</w:t>
      </w:r>
      <w:r>
        <w:rPr>
          <w:spacing w:val="40"/>
          <w:sz w:val="22"/>
        </w:rPr>
        <w:t> </w:t>
      </w:r>
      <w:r>
        <w:rPr>
          <w:sz w:val="22"/>
        </w:rPr>
        <w:t>cancer</w:t>
      </w:r>
      <w:r>
        <w:rPr>
          <w:spacing w:val="40"/>
          <w:sz w:val="22"/>
        </w:rPr>
        <w:t> </w:t>
      </w:r>
      <w:r>
        <w:rPr>
          <w:sz w:val="22"/>
        </w:rPr>
        <w:t>risk.</w:t>
      </w:r>
      <w:r>
        <w:rPr>
          <w:spacing w:val="40"/>
          <w:sz w:val="22"/>
        </w:rPr>
        <w:t> </w:t>
      </w:r>
      <w:r>
        <w:rPr>
          <w:i/>
          <w:sz w:val="22"/>
        </w:rPr>
        <w:t>J</w:t>
      </w:r>
      <w:r>
        <w:rPr>
          <w:i/>
          <w:spacing w:val="40"/>
          <w:sz w:val="22"/>
        </w:rPr>
        <w:t> </w:t>
      </w:r>
      <w:r>
        <w:rPr>
          <w:i/>
          <w:sz w:val="22"/>
        </w:rPr>
        <w:t>Clin</w:t>
      </w:r>
      <w:r>
        <w:rPr>
          <w:i/>
          <w:spacing w:val="40"/>
          <w:sz w:val="22"/>
        </w:rPr>
        <w:t> </w:t>
      </w:r>
      <w:r>
        <w:rPr>
          <w:i/>
          <w:sz w:val="22"/>
        </w:rPr>
        <w:t>Endocrinol</w:t>
      </w:r>
      <w:r>
        <w:rPr>
          <w:i/>
          <w:spacing w:val="40"/>
          <w:sz w:val="22"/>
        </w:rPr>
        <w:t> </w:t>
      </w:r>
      <w:r>
        <w:rPr>
          <w:i/>
          <w:sz w:val="22"/>
        </w:rPr>
        <w:t>Metab</w:t>
      </w:r>
      <w:r>
        <w:rPr>
          <w:sz w:val="22"/>
        </w:rPr>
        <w:t>. </w:t>
      </w:r>
      <w:r>
        <w:rPr>
          <w:spacing w:val="-2"/>
          <w:sz w:val="22"/>
        </w:rPr>
        <w:t>1981;52:488.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Cauley JA, Lucas FL, Kuller LH, Vogt MT, Browner WS, Cummings SR; Study of</w:t>
      </w:r>
      <w:r>
        <w:rPr>
          <w:spacing w:val="80"/>
          <w:sz w:val="22"/>
        </w:rPr>
        <w:t> </w:t>
      </w:r>
      <w:r>
        <w:rPr>
          <w:sz w:val="22"/>
        </w:rPr>
        <w:t>Osteoporotic</w:t>
      </w:r>
      <w:r>
        <w:rPr>
          <w:spacing w:val="40"/>
          <w:sz w:val="22"/>
        </w:rPr>
        <w:t> </w:t>
      </w:r>
      <w:r>
        <w:rPr>
          <w:sz w:val="22"/>
        </w:rPr>
        <w:t>Fractures</w:t>
      </w:r>
      <w:r>
        <w:rPr>
          <w:spacing w:val="40"/>
          <w:sz w:val="22"/>
        </w:rPr>
        <w:t> </w:t>
      </w:r>
      <w:r>
        <w:rPr>
          <w:sz w:val="22"/>
        </w:rPr>
        <w:t>Research</w:t>
      </w:r>
      <w:r>
        <w:rPr>
          <w:spacing w:val="40"/>
          <w:sz w:val="22"/>
        </w:rPr>
        <w:t> </w:t>
      </w:r>
      <w:r>
        <w:rPr>
          <w:sz w:val="22"/>
        </w:rPr>
        <w:t>Group.</w:t>
      </w:r>
      <w:r>
        <w:rPr>
          <w:spacing w:val="40"/>
          <w:sz w:val="22"/>
        </w:rPr>
        <w:t> </w:t>
      </w:r>
      <w:r>
        <w:rPr>
          <w:sz w:val="22"/>
        </w:rPr>
        <w:t>Bone</w:t>
      </w:r>
      <w:r>
        <w:rPr>
          <w:spacing w:val="40"/>
          <w:sz w:val="22"/>
        </w:rPr>
        <w:t> </w:t>
      </w:r>
      <w:r>
        <w:rPr>
          <w:sz w:val="22"/>
        </w:rPr>
        <w:t>mineral</w:t>
      </w:r>
      <w:r>
        <w:rPr>
          <w:spacing w:val="40"/>
          <w:sz w:val="22"/>
        </w:rPr>
        <w:t> </w:t>
      </w:r>
      <w:r>
        <w:rPr>
          <w:sz w:val="22"/>
        </w:rPr>
        <w:t>density</w:t>
      </w:r>
      <w:r>
        <w:rPr>
          <w:spacing w:val="40"/>
          <w:sz w:val="22"/>
        </w:rPr>
        <w:t> </w:t>
      </w:r>
      <w:r>
        <w:rPr>
          <w:sz w:val="22"/>
        </w:rPr>
        <w:t>and</w:t>
      </w:r>
      <w:r>
        <w:rPr>
          <w:spacing w:val="40"/>
          <w:sz w:val="22"/>
        </w:rPr>
        <w:t> </w:t>
      </w:r>
      <w:r>
        <w:rPr>
          <w:sz w:val="22"/>
        </w:rPr>
        <w:t>risk</w:t>
      </w:r>
      <w:r>
        <w:rPr>
          <w:spacing w:val="40"/>
          <w:sz w:val="22"/>
        </w:rPr>
        <w:t> </w:t>
      </w:r>
      <w:r>
        <w:rPr>
          <w:sz w:val="22"/>
        </w:rPr>
        <w:t>of</w:t>
      </w:r>
      <w:r>
        <w:rPr>
          <w:spacing w:val="40"/>
          <w:sz w:val="22"/>
        </w:rPr>
        <w:t> </w:t>
      </w:r>
      <w:r>
        <w:rPr>
          <w:sz w:val="22"/>
        </w:rPr>
        <w:t>breast</w:t>
      </w:r>
      <w:r>
        <w:rPr>
          <w:spacing w:val="40"/>
          <w:sz w:val="22"/>
        </w:rPr>
        <w:t> </w:t>
      </w:r>
      <w:r>
        <w:rPr>
          <w:sz w:val="22"/>
        </w:rPr>
        <w:t>cancer</w:t>
      </w:r>
      <w:r>
        <w:rPr>
          <w:spacing w:val="40"/>
          <w:sz w:val="22"/>
        </w:rPr>
        <w:t> </w:t>
      </w:r>
      <w:r>
        <w:rPr>
          <w:sz w:val="22"/>
        </w:rPr>
        <w:t>in older women: the Study of Osteoporotic Fractures. </w:t>
      </w:r>
      <w:r>
        <w:rPr>
          <w:i/>
          <w:sz w:val="22"/>
        </w:rPr>
        <w:t>JAMA</w:t>
      </w:r>
      <w:r>
        <w:rPr>
          <w:sz w:val="22"/>
        </w:rPr>
        <w:t>. 1996;276:1404.</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Zhang Y, Kel DP, Kreger BE, et al. Bone mass and the risk of breast cancer among postmenopausal women. </w:t>
      </w:r>
      <w:r>
        <w:rPr>
          <w:i/>
          <w:sz w:val="22"/>
        </w:rPr>
        <w:t>N Engl J Med</w:t>
      </w:r>
      <w:r>
        <w:rPr>
          <w:sz w:val="22"/>
        </w:rPr>
        <w:t>. 1997;336:611.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Chen Z, Arendell L, Aickin M, Cauley J, Lewis CE, Chlebowski RT; Women’s </w:t>
      </w:r>
      <w:r>
        <w:rPr>
          <w:sz w:val="22"/>
        </w:rPr>
        <w:t>Health</w:t>
      </w:r>
      <w:r>
        <w:rPr>
          <w:spacing w:val="80"/>
          <w:w w:val="150"/>
          <w:sz w:val="22"/>
        </w:rPr>
        <w:t> </w:t>
      </w:r>
      <w:r>
        <w:rPr>
          <w:sz w:val="22"/>
        </w:rPr>
        <w:t>Initiative Program. Hip bone density predicts breast cancer risk independently of Gail score: results from the Women’s Health Initiative. </w:t>
      </w:r>
      <w:r>
        <w:rPr>
          <w:i/>
          <w:sz w:val="22"/>
        </w:rPr>
        <w:t>Cancer</w:t>
      </w:r>
      <w:r>
        <w:rPr>
          <w:sz w:val="22"/>
        </w:rPr>
        <w:t>. 2008;113:907.</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Garland CF, Friedlander NJ, Barrett-Connor E, Khaw K-T. Sex hormones and </w:t>
      </w:r>
      <w:r>
        <w:rPr>
          <w:sz w:val="22"/>
        </w:rPr>
        <w:t>postmenopausal breast cancer: a prospective study in an adult community. </w:t>
      </w:r>
      <w:r>
        <w:rPr>
          <w:i/>
          <w:sz w:val="22"/>
        </w:rPr>
        <w:t>Am J Epidemiol</w:t>
      </w:r>
      <w:r>
        <w:rPr>
          <w:sz w:val="22"/>
        </w:rPr>
        <w:t>. 1992;135:1220.</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Helzlsouer KJ, Alberg AJ, Bush TL, Longcope C, Gordon GB, Comstock GW. A </w:t>
      </w:r>
      <w:r>
        <w:rPr>
          <w:sz w:val="22"/>
        </w:rPr>
        <w:t>prospective study of endogenous hormones and breast cancer. </w:t>
      </w:r>
      <w:r>
        <w:rPr>
          <w:i/>
          <w:sz w:val="22"/>
        </w:rPr>
        <w:t>Cancer Detect Prev</w:t>
      </w:r>
      <w:r>
        <w:rPr>
          <w:sz w:val="22"/>
        </w:rPr>
        <w:t>. 1994;18:79.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Berrino</w:t>
      </w:r>
      <w:r>
        <w:rPr>
          <w:spacing w:val="40"/>
          <w:sz w:val="22"/>
        </w:rPr>
        <w:t> </w:t>
      </w:r>
      <w:r>
        <w:rPr>
          <w:sz w:val="22"/>
        </w:rPr>
        <w:t>F,</w:t>
      </w:r>
      <w:r>
        <w:rPr>
          <w:spacing w:val="40"/>
          <w:sz w:val="22"/>
        </w:rPr>
        <w:t> </w:t>
      </w:r>
      <w:r>
        <w:rPr>
          <w:sz w:val="22"/>
        </w:rPr>
        <w:t>Muti</w:t>
      </w:r>
      <w:r>
        <w:rPr>
          <w:spacing w:val="40"/>
          <w:sz w:val="22"/>
        </w:rPr>
        <w:t> </w:t>
      </w:r>
      <w:r>
        <w:rPr>
          <w:sz w:val="22"/>
        </w:rPr>
        <w:t>P,</w:t>
      </w:r>
      <w:r>
        <w:rPr>
          <w:spacing w:val="40"/>
          <w:sz w:val="22"/>
        </w:rPr>
        <w:t> </w:t>
      </w:r>
      <w:r>
        <w:rPr>
          <w:sz w:val="22"/>
        </w:rPr>
        <w:t>Micheli</w:t>
      </w:r>
      <w:r>
        <w:rPr>
          <w:spacing w:val="40"/>
          <w:sz w:val="22"/>
        </w:rPr>
        <w:t> </w:t>
      </w:r>
      <w:r>
        <w:rPr>
          <w:sz w:val="22"/>
        </w:rPr>
        <w:t>A,</w:t>
      </w:r>
      <w:r>
        <w:rPr>
          <w:spacing w:val="40"/>
          <w:sz w:val="22"/>
        </w:rPr>
        <w:t> </w:t>
      </w:r>
      <w:r>
        <w:rPr>
          <w:sz w:val="22"/>
        </w:rPr>
        <w:t>et</w:t>
      </w:r>
      <w:r>
        <w:rPr>
          <w:spacing w:val="40"/>
          <w:sz w:val="22"/>
        </w:rPr>
        <w:t> </w:t>
      </w:r>
      <w:r>
        <w:rPr>
          <w:sz w:val="22"/>
        </w:rPr>
        <w:t>al.</w:t>
      </w:r>
      <w:r>
        <w:rPr>
          <w:spacing w:val="40"/>
          <w:sz w:val="22"/>
        </w:rPr>
        <w:t> </w:t>
      </w:r>
      <w:r>
        <w:rPr>
          <w:sz w:val="22"/>
        </w:rPr>
        <w:t>Serum</w:t>
      </w:r>
      <w:r>
        <w:rPr>
          <w:spacing w:val="40"/>
          <w:sz w:val="22"/>
        </w:rPr>
        <w:t> </w:t>
      </w:r>
      <w:r>
        <w:rPr>
          <w:sz w:val="22"/>
        </w:rPr>
        <w:t>sex</w:t>
      </w:r>
      <w:r>
        <w:rPr>
          <w:spacing w:val="40"/>
          <w:sz w:val="22"/>
        </w:rPr>
        <w:t> </w:t>
      </w:r>
      <w:r>
        <w:rPr>
          <w:sz w:val="22"/>
        </w:rPr>
        <w:t>hormone</w:t>
      </w:r>
      <w:r>
        <w:rPr>
          <w:spacing w:val="40"/>
          <w:sz w:val="22"/>
        </w:rPr>
        <w:t> </w:t>
      </w:r>
      <w:r>
        <w:rPr>
          <w:sz w:val="22"/>
        </w:rPr>
        <w:t>levels</w:t>
      </w:r>
      <w:r>
        <w:rPr>
          <w:spacing w:val="40"/>
          <w:sz w:val="22"/>
        </w:rPr>
        <w:t> </w:t>
      </w:r>
      <w:r>
        <w:rPr>
          <w:sz w:val="22"/>
        </w:rPr>
        <w:t>after</w:t>
      </w:r>
      <w:r>
        <w:rPr>
          <w:spacing w:val="40"/>
          <w:sz w:val="22"/>
        </w:rPr>
        <w:t> </w:t>
      </w:r>
      <w:r>
        <w:rPr>
          <w:sz w:val="22"/>
        </w:rPr>
        <w:t>menopause</w:t>
      </w:r>
      <w:r>
        <w:rPr>
          <w:spacing w:val="40"/>
          <w:sz w:val="22"/>
        </w:rPr>
        <w:t> </w:t>
      </w:r>
      <w:r>
        <w:rPr>
          <w:sz w:val="22"/>
        </w:rPr>
        <w:t>and subsequent breast cancer. </w:t>
      </w:r>
      <w:r>
        <w:rPr>
          <w:i/>
          <w:sz w:val="22"/>
        </w:rPr>
        <w:t>J Natl Cancer Inst</w:t>
      </w:r>
      <w:r>
        <w:rPr>
          <w:sz w:val="22"/>
        </w:rPr>
        <w:t>. 1996;88:291.</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Thomas HV, Key TJ, Allen DS, et al. A prospective study of endogenous serum hormone concentrations</w:t>
      </w:r>
      <w:r>
        <w:rPr>
          <w:spacing w:val="33"/>
          <w:sz w:val="22"/>
        </w:rPr>
        <w:t> </w:t>
      </w:r>
      <w:r>
        <w:rPr>
          <w:sz w:val="22"/>
        </w:rPr>
        <w:t>and</w:t>
      </w:r>
      <w:r>
        <w:rPr>
          <w:spacing w:val="33"/>
          <w:sz w:val="22"/>
        </w:rPr>
        <w:t> </w:t>
      </w:r>
      <w:r>
        <w:rPr>
          <w:sz w:val="22"/>
        </w:rPr>
        <w:t>breast</w:t>
      </w:r>
      <w:r>
        <w:rPr>
          <w:spacing w:val="33"/>
          <w:sz w:val="22"/>
        </w:rPr>
        <w:t> </w:t>
      </w:r>
      <w:r>
        <w:rPr>
          <w:sz w:val="22"/>
        </w:rPr>
        <w:t>cancer</w:t>
      </w:r>
      <w:r>
        <w:rPr>
          <w:spacing w:val="33"/>
          <w:sz w:val="22"/>
        </w:rPr>
        <w:t> </w:t>
      </w:r>
      <w:r>
        <w:rPr>
          <w:sz w:val="22"/>
        </w:rPr>
        <w:t>risk</w:t>
      </w:r>
      <w:r>
        <w:rPr>
          <w:spacing w:val="33"/>
          <w:sz w:val="22"/>
        </w:rPr>
        <w:t> </w:t>
      </w:r>
      <w:r>
        <w:rPr>
          <w:sz w:val="22"/>
        </w:rPr>
        <w:t>in</w:t>
      </w:r>
      <w:r>
        <w:rPr>
          <w:spacing w:val="33"/>
          <w:sz w:val="22"/>
        </w:rPr>
        <w:t> </w:t>
      </w:r>
      <w:r>
        <w:rPr>
          <w:sz w:val="22"/>
        </w:rPr>
        <w:t>post-menopausal</w:t>
      </w:r>
      <w:r>
        <w:rPr>
          <w:spacing w:val="33"/>
          <w:sz w:val="22"/>
        </w:rPr>
        <w:t> </w:t>
      </w:r>
      <w:r>
        <w:rPr>
          <w:sz w:val="22"/>
        </w:rPr>
        <w:t>women</w:t>
      </w:r>
      <w:r>
        <w:rPr>
          <w:spacing w:val="33"/>
          <w:sz w:val="22"/>
        </w:rPr>
        <w:t> </w:t>
      </w:r>
      <w:r>
        <w:rPr>
          <w:sz w:val="22"/>
        </w:rPr>
        <w:t>on</w:t>
      </w:r>
      <w:r>
        <w:rPr>
          <w:spacing w:val="33"/>
          <w:sz w:val="22"/>
        </w:rPr>
        <w:t> </w:t>
      </w:r>
      <w:r>
        <w:rPr>
          <w:sz w:val="22"/>
        </w:rPr>
        <w:t>the</w:t>
      </w:r>
      <w:r>
        <w:rPr>
          <w:spacing w:val="33"/>
          <w:sz w:val="22"/>
        </w:rPr>
        <w:t> </w:t>
      </w:r>
      <w:r>
        <w:rPr>
          <w:sz w:val="22"/>
        </w:rPr>
        <w:t>island</w:t>
      </w:r>
      <w:r>
        <w:rPr>
          <w:spacing w:val="33"/>
          <w:sz w:val="22"/>
        </w:rPr>
        <w:t> </w:t>
      </w:r>
      <w:r>
        <w:rPr>
          <w:sz w:val="22"/>
        </w:rPr>
        <w:t>of</w:t>
      </w:r>
      <w:r>
        <w:rPr>
          <w:spacing w:val="33"/>
          <w:sz w:val="22"/>
        </w:rPr>
        <w:t> </w:t>
      </w:r>
      <w:r>
        <w:rPr>
          <w:sz w:val="22"/>
        </w:rPr>
        <w:t>Guernsey. </w:t>
      </w:r>
      <w:r>
        <w:rPr>
          <w:i/>
          <w:sz w:val="22"/>
        </w:rPr>
        <w:t>Br J Cancer</w:t>
      </w:r>
      <w:r>
        <w:rPr>
          <w:sz w:val="22"/>
        </w:rPr>
        <w:t>. 1997;76:401.</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2" w:hanging="507"/>
        <w:jc w:val="left"/>
        <w:rPr>
          <w:sz w:val="22"/>
        </w:rPr>
      </w:pPr>
      <w:r>
        <w:rPr>
          <w:sz w:val="22"/>
        </w:rPr>
        <w:t>Toniolo</w:t>
      </w:r>
      <w:r>
        <w:rPr>
          <w:spacing w:val="40"/>
          <w:sz w:val="22"/>
        </w:rPr>
        <w:t> </w:t>
      </w:r>
      <w:r>
        <w:rPr>
          <w:sz w:val="22"/>
        </w:rPr>
        <w:t>PG,</w:t>
      </w:r>
      <w:r>
        <w:rPr>
          <w:spacing w:val="40"/>
          <w:sz w:val="22"/>
        </w:rPr>
        <w:t> </w:t>
      </w:r>
      <w:r>
        <w:rPr>
          <w:sz w:val="22"/>
        </w:rPr>
        <w:t>Levitz</w:t>
      </w:r>
      <w:r>
        <w:rPr>
          <w:spacing w:val="40"/>
          <w:sz w:val="22"/>
        </w:rPr>
        <w:t> </w:t>
      </w:r>
      <w:r>
        <w:rPr>
          <w:sz w:val="22"/>
        </w:rPr>
        <w:t>M,</w:t>
      </w:r>
      <w:r>
        <w:rPr>
          <w:spacing w:val="40"/>
          <w:sz w:val="22"/>
        </w:rPr>
        <w:t> </w:t>
      </w:r>
      <w:r>
        <w:rPr>
          <w:sz w:val="22"/>
        </w:rPr>
        <w:t>Zeleniuch-Jacquotte</w:t>
      </w:r>
      <w:r>
        <w:rPr>
          <w:spacing w:val="40"/>
          <w:sz w:val="22"/>
        </w:rPr>
        <w:t> </w:t>
      </w:r>
      <w:r>
        <w:rPr>
          <w:sz w:val="22"/>
        </w:rPr>
        <w:t>A,</w:t>
      </w:r>
      <w:r>
        <w:rPr>
          <w:spacing w:val="40"/>
          <w:sz w:val="22"/>
        </w:rPr>
        <w:t> </w:t>
      </w:r>
      <w:r>
        <w:rPr>
          <w:sz w:val="22"/>
        </w:rPr>
        <w:t>et</w:t>
      </w:r>
      <w:r>
        <w:rPr>
          <w:spacing w:val="40"/>
          <w:sz w:val="22"/>
        </w:rPr>
        <w:t> </w:t>
      </w:r>
      <w:r>
        <w:rPr>
          <w:sz w:val="22"/>
        </w:rPr>
        <w:t>al.</w:t>
      </w:r>
      <w:r>
        <w:rPr>
          <w:spacing w:val="40"/>
          <w:sz w:val="22"/>
        </w:rPr>
        <w:t> </w:t>
      </w:r>
      <w:r>
        <w:rPr>
          <w:sz w:val="22"/>
        </w:rPr>
        <w:t>A</w:t>
      </w:r>
      <w:r>
        <w:rPr>
          <w:spacing w:val="40"/>
          <w:sz w:val="22"/>
        </w:rPr>
        <w:t> </w:t>
      </w:r>
      <w:r>
        <w:rPr>
          <w:sz w:val="22"/>
        </w:rPr>
        <w:t>prospective</w:t>
      </w:r>
      <w:r>
        <w:rPr>
          <w:spacing w:val="40"/>
          <w:sz w:val="22"/>
        </w:rPr>
        <w:t> </w:t>
      </w:r>
      <w:r>
        <w:rPr>
          <w:sz w:val="22"/>
        </w:rPr>
        <w:t>study</w:t>
      </w:r>
      <w:r>
        <w:rPr>
          <w:spacing w:val="40"/>
          <w:sz w:val="22"/>
        </w:rPr>
        <w:t> </w:t>
      </w:r>
      <w:r>
        <w:rPr>
          <w:sz w:val="22"/>
        </w:rPr>
        <w:t>of</w:t>
      </w:r>
      <w:r>
        <w:rPr>
          <w:spacing w:val="40"/>
          <w:sz w:val="22"/>
        </w:rPr>
        <w:t> </w:t>
      </w:r>
      <w:r>
        <w:rPr>
          <w:sz w:val="22"/>
        </w:rPr>
        <w:t>endogenous</w:t>
      </w:r>
      <w:r>
        <w:rPr>
          <w:spacing w:val="80"/>
          <w:sz w:val="22"/>
        </w:rPr>
        <w:t> </w:t>
      </w:r>
      <w:r>
        <w:rPr>
          <w:sz w:val="22"/>
        </w:rPr>
        <w:t>estrogens and breast cancer in postmenopausal women. </w:t>
      </w:r>
      <w:r>
        <w:rPr>
          <w:i/>
          <w:sz w:val="22"/>
        </w:rPr>
        <w:t>J Natl Cancer Inst</w:t>
      </w:r>
      <w:r>
        <w:rPr>
          <w:sz w:val="22"/>
        </w:rPr>
        <w:t>. 1995;87:190.</w:t>
      </w:r>
    </w:p>
    <w:p>
      <w:pPr>
        <w:pStyle w:val="ListParagraph"/>
        <w:numPr>
          <w:ilvl w:val="0"/>
          <w:numId w:val="19"/>
        </w:numPr>
        <w:tabs>
          <w:tab w:pos="709" w:val="left" w:leader="none"/>
          <w:tab w:pos="718" w:val="left" w:leader="none"/>
        </w:tabs>
        <w:spacing w:line="256" w:lineRule="auto" w:before="0" w:after="0"/>
        <w:ind w:left="718" w:right="111" w:hanging="507"/>
        <w:jc w:val="left"/>
        <w:rPr>
          <w:sz w:val="22"/>
        </w:rPr>
      </w:pPr>
      <w:r>
        <w:rPr>
          <w:sz w:val="22"/>
        </w:rPr>
        <w:t>Dorgan</w:t>
      </w:r>
      <w:r>
        <w:rPr>
          <w:spacing w:val="37"/>
          <w:sz w:val="22"/>
        </w:rPr>
        <w:t> </w:t>
      </w:r>
      <w:r>
        <w:rPr>
          <w:sz w:val="22"/>
        </w:rPr>
        <w:t>JF,</w:t>
      </w:r>
      <w:r>
        <w:rPr>
          <w:spacing w:val="37"/>
          <w:sz w:val="22"/>
        </w:rPr>
        <w:t> </w:t>
      </w:r>
      <w:r>
        <w:rPr>
          <w:sz w:val="22"/>
        </w:rPr>
        <w:t>Longcope</w:t>
      </w:r>
      <w:r>
        <w:rPr>
          <w:spacing w:val="37"/>
          <w:sz w:val="22"/>
        </w:rPr>
        <w:t> </w:t>
      </w:r>
      <w:r>
        <w:rPr>
          <w:sz w:val="22"/>
        </w:rPr>
        <w:t>C,</w:t>
      </w:r>
      <w:r>
        <w:rPr>
          <w:spacing w:val="37"/>
          <w:sz w:val="22"/>
        </w:rPr>
        <w:t> </w:t>
      </w:r>
      <w:r>
        <w:rPr>
          <w:sz w:val="22"/>
        </w:rPr>
        <w:t>Stephenson</w:t>
      </w:r>
      <w:r>
        <w:rPr>
          <w:spacing w:val="37"/>
          <w:sz w:val="22"/>
        </w:rPr>
        <w:t> </w:t>
      </w:r>
      <w:r>
        <w:rPr>
          <w:sz w:val="22"/>
        </w:rPr>
        <w:t>HE</w:t>
      </w:r>
      <w:r>
        <w:rPr>
          <w:spacing w:val="37"/>
          <w:sz w:val="22"/>
        </w:rPr>
        <w:t> </w:t>
      </w:r>
      <w:r>
        <w:rPr>
          <w:sz w:val="22"/>
        </w:rPr>
        <w:t>Jr,</w:t>
      </w:r>
      <w:r>
        <w:rPr>
          <w:spacing w:val="37"/>
          <w:sz w:val="22"/>
        </w:rPr>
        <w:t> </w:t>
      </w:r>
      <w:r>
        <w:rPr>
          <w:sz w:val="22"/>
        </w:rPr>
        <w:t>et</w:t>
      </w:r>
      <w:r>
        <w:rPr>
          <w:spacing w:val="37"/>
          <w:sz w:val="22"/>
        </w:rPr>
        <w:t> </w:t>
      </w:r>
      <w:r>
        <w:rPr>
          <w:sz w:val="22"/>
        </w:rPr>
        <w:t>al.</w:t>
      </w:r>
      <w:r>
        <w:rPr>
          <w:spacing w:val="37"/>
          <w:sz w:val="22"/>
        </w:rPr>
        <w:t> </w:t>
      </w:r>
      <w:r>
        <w:rPr>
          <w:sz w:val="22"/>
        </w:rPr>
        <w:t>Relation</w:t>
      </w:r>
      <w:r>
        <w:rPr>
          <w:spacing w:val="39"/>
          <w:sz w:val="22"/>
        </w:rPr>
        <w:t> </w:t>
      </w:r>
      <w:r>
        <w:rPr>
          <w:sz w:val="22"/>
        </w:rPr>
        <w:t>of</w:t>
      </w:r>
      <w:r>
        <w:rPr>
          <w:spacing w:val="39"/>
          <w:sz w:val="22"/>
        </w:rPr>
        <w:t> </w:t>
      </w:r>
      <w:r>
        <w:rPr>
          <w:sz w:val="22"/>
        </w:rPr>
        <w:t>prediagnostic</w:t>
      </w:r>
      <w:r>
        <w:rPr>
          <w:spacing w:val="39"/>
          <w:sz w:val="22"/>
        </w:rPr>
        <w:t> </w:t>
      </w:r>
      <w:r>
        <w:rPr>
          <w:sz w:val="22"/>
        </w:rPr>
        <w:t>serum</w:t>
      </w:r>
      <w:r>
        <w:rPr>
          <w:spacing w:val="39"/>
          <w:sz w:val="22"/>
        </w:rPr>
        <w:t> </w:t>
      </w:r>
      <w:r>
        <w:rPr>
          <w:sz w:val="22"/>
        </w:rPr>
        <w:t>estrogen and androgen levels to breast cancer risk. </w:t>
      </w:r>
      <w:r>
        <w:rPr>
          <w:i/>
          <w:sz w:val="22"/>
        </w:rPr>
        <w:t>Cancer Epidemiol Biomarkers Prev</w:t>
      </w:r>
      <w:r>
        <w:rPr>
          <w:sz w:val="22"/>
        </w:rPr>
        <w:t>. 1996;5:533.</w:t>
      </w:r>
    </w:p>
    <w:p>
      <w:pPr>
        <w:pStyle w:val="ListParagraph"/>
        <w:numPr>
          <w:ilvl w:val="0"/>
          <w:numId w:val="19"/>
        </w:numPr>
        <w:tabs>
          <w:tab w:pos="710" w:val="left" w:leader="none"/>
        </w:tabs>
        <w:spacing w:line="252" w:lineRule="exact" w:before="0" w:after="0"/>
        <w:ind w:left="710" w:right="0" w:hanging="498"/>
        <w:jc w:val="left"/>
        <w:rPr>
          <w:sz w:val="22"/>
        </w:rPr>
      </w:pPr>
      <w:r>
        <w:rPr>
          <w:sz w:val="22"/>
        </w:rPr>
        <w:t>Cuzick</w:t>
      </w:r>
      <w:r>
        <w:rPr>
          <w:spacing w:val="6"/>
          <w:sz w:val="22"/>
        </w:rPr>
        <w:t> </w:t>
      </w:r>
      <w:r>
        <w:rPr>
          <w:sz w:val="22"/>
        </w:rPr>
        <w:t>J,</w:t>
      </w:r>
      <w:r>
        <w:rPr>
          <w:spacing w:val="6"/>
          <w:sz w:val="22"/>
        </w:rPr>
        <w:t> </w:t>
      </w:r>
      <w:r>
        <w:rPr>
          <w:sz w:val="22"/>
        </w:rPr>
        <w:t>Wang</w:t>
      </w:r>
      <w:r>
        <w:rPr>
          <w:spacing w:val="6"/>
          <w:sz w:val="22"/>
        </w:rPr>
        <w:t> </w:t>
      </w:r>
      <w:r>
        <w:rPr>
          <w:sz w:val="22"/>
        </w:rPr>
        <w:t>DY,</w:t>
      </w:r>
      <w:r>
        <w:rPr>
          <w:spacing w:val="6"/>
          <w:sz w:val="22"/>
        </w:rPr>
        <w:t> </w:t>
      </w:r>
      <w:r>
        <w:rPr>
          <w:sz w:val="22"/>
        </w:rPr>
        <w:t>Bulbrook</w:t>
      </w:r>
      <w:r>
        <w:rPr>
          <w:spacing w:val="6"/>
          <w:sz w:val="22"/>
        </w:rPr>
        <w:t> </w:t>
      </w:r>
      <w:r>
        <w:rPr>
          <w:sz w:val="22"/>
        </w:rPr>
        <w:t>RD.</w:t>
      </w:r>
      <w:r>
        <w:rPr>
          <w:spacing w:val="6"/>
          <w:sz w:val="22"/>
        </w:rPr>
        <w:t> </w:t>
      </w:r>
      <w:r>
        <w:rPr>
          <w:sz w:val="22"/>
        </w:rPr>
        <w:t>The</w:t>
      </w:r>
      <w:r>
        <w:rPr>
          <w:spacing w:val="6"/>
          <w:sz w:val="22"/>
        </w:rPr>
        <w:t> </w:t>
      </w:r>
      <w:r>
        <w:rPr>
          <w:sz w:val="22"/>
        </w:rPr>
        <w:t>prevention</w:t>
      </w:r>
      <w:r>
        <w:rPr>
          <w:spacing w:val="6"/>
          <w:sz w:val="22"/>
        </w:rPr>
        <w:t> </w:t>
      </w:r>
      <w:r>
        <w:rPr>
          <w:sz w:val="22"/>
        </w:rPr>
        <w:t>of</w:t>
      </w:r>
      <w:r>
        <w:rPr>
          <w:spacing w:val="6"/>
          <w:sz w:val="22"/>
        </w:rPr>
        <w:t> </w:t>
      </w:r>
      <w:r>
        <w:rPr>
          <w:sz w:val="22"/>
        </w:rPr>
        <w:t>breast</w:t>
      </w:r>
      <w:r>
        <w:rPr>
          <w:spacing w:val="6"/>
          <w:sz w:val="22"/>
        </w:rPr>
        <w:t> </w:t>
      </w:r>
      <w:r>
        <w:rPr>
          <w:sz w:val="22"/>
        </w:rPr>
        <w:t>cancer.</w:t>
      </w:r>
      <w:r>
        <w:rPr>
          <w:spacing w:val="6"/>
          <w:sz w:val="22"/>
        </w:rPr>
        <w:t> </w:t>
      </w:r>
      <w:r>
        <w:rPr>
          <w:i/>
          <w:sz w:val="22"/>
        </w:rPr>
        <w:t>Lancet</w:t>
      </w:r>
      <w:r>
        <w:rPr>
          <w:sz w:val="22"/>
        </w:rPr>
        <w:t>.</w:t>
      </w:r>
      <w:r>
        <w:rPr>
          <w:spacing w:val="6"/>
          <w:sz w:val="22"/>
        </w:rPr>
        <w:t> </w:t>
      </w:r>
      <w:r>
        <w:rPr>
          <w:spacing w:val="-2"/>
          <w:sz w:val="22"/>
        </w:rPr>
        <w:t>1986;1:83.</w:t>
      </w:r>
    </w:p>
    <w:p>
      <w:pPr>
        <w:pStyle w:val="ListParagraph"/>
        <w:numPr>
          <w:ilvl w:val="0"/>
          <w:numId w:val="19"/>
        </w:numPr>
        <w:tabs>
          <w:tab w:pos="709" w:val="left" w:leader="none"/>
          <w:tab w:pos="718" w:val="left" w:leader="none"/>
        </w:tabs>
        <w:spacing w:line="256" w:lineRule="auto" w:before="16" w:after="0"/>
        <w:ind w:left="718" w:right="111" w:hanging="507"/>
        <w:jc w:val="both"/>
        <w:rPr>
          <w:sz w:val="22"/>
        </w:rPr>
      </w:pPr>
      <w:r>
        <w:rPr>
          <w:sz w:val="22"/>
        </w:rPr>
        <w:t>Hankinson SE, Willett WC, Manson JE, et al. Plasma sex steroid hormone levels and risk </w:t>
      </w:r>
      <w:r>
        <w:rPr>
          <w:sz w:val="22"/>
        </w:rPr>
        <w:t>of breast cancer in postmenopausal women. </w:t>
      </w:r>
      <w:r>
        <w:rPr>
          <w:i/>
          <w:sz w:val="22"/>
        </w:rPr>
        <w:t>J Natl Cancer Inst</w:t>
      </w:r>
      <w:r>
        <w:rPr>
          <w:sz w:val="22"/>
        </w:rPr>
        <w:t>. 1998;90:1292.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Colditz</w:t>
      </w:r>
      <w:r>
        <w:rPr>
          <w:spacing w:val="16"/>
          <w:sz w:val="22"/>
        </w:rPr>
        <w:t> </w:t>
      </w:r>
      <w:r>
        <w:rPr>
          <w:sz w:val="22"/>
        </w:rPr>
        <w:t>GA,</w:t>
      </w:r>
      <w:r>
        <w:rPr>
          <w:spacing w:val="16"/>
          <w:sz w:val="22"/>
        </w:rPr>
        <w:t> </w:t>
      </w:r>
      <w:r>
        <w:rPr>
          <w:sz w:val="22"/>
        </w:rPr>
        <w:t>Hankinson</w:t>
      </w:r>
      <w:r>
        <w:rPr>
          <w:spacing w:val="16"/>
          <w:sz w:val="22"/>
        </w:rPr>
        <w:t> </w:t>
      </w:r>
      <w:r>
        <w:rPr>
          <w:sz w:val="22"/>
        </w:rPr>
        <w:t>SE,</w:t>
      </w:r>
      <w:r>
        <w:rPr>
          <w:spacing w:val="16"/>
          <w:sz w:val="22"/>
        </w:rPr>
        <w:t> </w:t>
      </w:r>
      <w:r>
        <w:rPr>
          <w:sz w:val="22"/>
        </w:rPr>
        <w:t>Hunter</w:t>
      </w:r>
      <w:r>
        <w:rPr>
          <w:spacing w:val="16"/>
          <w:sz w:val="22"/>
        </w:rPr>
        <w:t> </w:t>
      </w:r>
      <w:r>
        <w:rPr>
          <w:sz w:val="22"/>
        </w:rPr>
        <w:t>DJ,</w:t>
      </w:r>
      <w:r>
        <w:rPr>
          <w:spacing w:val="16"/>
          <w:sz w:val="22"/>
        </w:rPr>
        <w:t> </w:t>
      </w:r>
      <w:r>
        <w:rPr>
          <w:sz w:val="22"/>
        </w:rPr>
        <w:t>et</w:t>
      </w:r>
      <w:r>
        <w:rPr>
          <w:spacing w:val="16"/>
          <w:sz w:val="22"/>
        </w:rPr>
        <w:t> </w:t>
      </w:r>
      <w:r>
        <w:rPr>
          <w:sz w:val="22"/>
        </w:rPr>
        <w:t>al.</w:t>
      </w:r>
      <w:r>
        <w:rPr>
          <w:spacing w:val="16"/>
          <w:sz w:val="22"/>
        </w:rPr>
        <w:t> </w:t>
      </w:r>
      <w:r>
        <w:rPr>
          <w:sz w:val="22"/>
        </w:rPr>
        <w:t>The</w:t>
      </w:r>
      <w:r>
        <w:rPr>
          <w:spacing w:val="16"/>
          <w:sz w:val="22"/>
        </w:rPr>
        <w:t> </w:t>
      </w:r>
      <w:r>
        <w:rPr>
          <w:sz w:val="22"/>
        </w:rPr>
        <w:t>use</w:t>
      </w:r>
      <w:r>
        <w:rPr>
          <w:spacing w:val="16"/>
          <w:sz w:val="22"/>
        </w:rPr>
        <w:t> </w:t>
      </w:r>
      <w:r>
        <w:rPr>
          <w:sz w:val="22"/>
        </w:rPr>
        <w:t>of</w:t>
      </w:r>
      <w:r>
        <w:rPr>
          <w:spacing w:val="16"/>
          <w:sz w:val="22"/>
        </w:rPr>
        <w:t> </w:t>
      </w:r>
      <w:r>
        <w:rPr>
          <w:sz w:val="22"/>
        </w:rPr>
        <w:t>estrogens</w:t>
      </w:r>
      <w:r>
        <w:rPr>
          <w:spacing w:val="16"/>
          <w:sz w:val="22"/>
        </w:rPr>
        <w:t> </w:t>
      </w:r>
      <w:r>
        <w:rPr>
          <w:sz w:val="22"/>
        </w:rPr>
        <w:t>and</w:t>
      </w:r>
      <w:r>
        <w:rPr>
          <w:spacing w:val="16"/>
          <w:sz w:val="22"/>
        </w:rPr>
        <w:t> </w:t>
      </w:r>
      <w:r>
        <w:rPr>
          <w:sz w:val="22"/>
        </w:rPr>
        <w:t>progestins</w:t>
      </w:r>
      <w:r>
        <w:rPr>
          <w:spacing w:val="16"/>
          <w:sz w:val="22"/>
        </w:rPr>
        <w:t> </w:t>
      </w:r>
      <w:r>
        <w:rPr>
          <w:sz w:val="22"/>
        </w:rPr>
        <w:t>and</w:t>
      </w:r>
      <w:r>
        <w:rPr>
          <w:spacing w:val="16"/>
          <w:sz w:val="22"/>
        </w:rPr>
        <w:t> </w:t>
      </w:r>
      <w:r>
        <w:rPr>
          <w:sz w:val="22"/>
        </w:rPr>
        <w:t>the</w:t>
      </w:r>
      <w:r>
        <w:rPr>
          <w:spacing w:val="16"/>
          <w:sz w:val="22"/>
        </w:rPr>
        <w:t> </w:t>
      </w:r>
      <w:r>
        <w:rPr>
          <w:sz w:val="22"/>
        </w:rPr>
        <w:t>risk of breast cancer in postmenopausal women. </w:t>
      </w:r>
      <w:r>
        <w:rPr>
          <w:i/>
          <w:sz w:val="22"/>
        </w:rPr>
        <w:t>N Engl J Med</w:t>
      </w:r>
      <w:r>
        <w:rPr>
          <w:sz w:val="22"/>
        </w:rPr>
        <w:t>. 1995;332:1589.</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Persson</w:t>
      </w:r>
      <w:r>
        <w:rPr>
          <w:spacing w:val="40"/>
          <w:sz w:val="22"/>
        </w:rPr>
        <w:t> </w:t>
      </w:r>
      <w:r>
        <w:rPr>
          <w:sz w:val="22"/>
        </w:rPr>
        <w:t>I,</w:t>
      </w:r>
      <w:r>
        <w:rPr>
          <w:spacing w:val="40"/>
          <w:sz w:val="22"/>
        </w:rPr>
        <w:t> </w:t>
      </w:r>
      <w:r>
        <w:rPr>
          <w:sz w:val="22"/>
        </w:rPr>
        <w:t>Weiderpass</w:t>
      </w:r>
      <w:r>
        <w:rPr>
          <w:spacing w:val="40"/>
          <w:sz w:val="22"/>
        </w:rPr>
        <w:t> </w:t>
      </w:r>
      <w:r>
        <w:rPr>
          <w:sz w:val="22"/>
        </w:rPr>
        <w:t>E,</w:t>
      </w:r>
      <w:r>
        <w:rPr>
          <w:spacing w:val="40"/>
          <w:sz w:val="22"/>
        </w:rPr>
        <w:t> </w:t>
      </w:r>
      <w:r>
        <w:rPr>
          <w:sz w:val="22"/>
        </w:rPr>
        <w:t>Bergkvist</w:t>
      </w:r>
      <w:r>
        <w:rPr>
          <w:spacing w:val="40"/>
          <w:sz w:val="22"/>
        </w:rPr>
        <w:t> </w:t>
      </w:r>
      <w:r>
        <w:rPr>
          <w:sz w:val="22"/>
        </w:rPr>
        <w:t>L,</w:t>
      </w:r>
      <w:r>
        <w:rPr>
          <w:spacing w:val="40"/>
          <w:sz w:val="22"/>
        </w:rPr>
        <w:t> </w:t>
      </w:r>
      <w:r>
        <w:rPr>
          <w:sz w:val="22"/>
        </w:rPr>
        <w:t>Bergstrom</w:t>
      </w:r>
      <w:r>
        <w:rPr>
          <w:spacing w:val="40"/>
          <w:sz w:val="22"/>
        </w:rPr>
        <w:t> </w:t>
      </w:r>
      <w:r>
        <w:rPr>
          <w:sz w:val="22"/>
        </w:rPr>
        <w:t>R,</w:t>
      </w:r>
      <w:r>
        <w:rPr>
          <w:spacing w:val="40"/>
          <w:sz w:val="22"/>
        </w:rPr>
        <w:t> </w:t>
      </w:r>
      <w:r>
        <w:rPr>
          <w:sz w:val="22"/>
        </w:rPr>
        <w:t>Schairer</w:t>
      </w:r>
      <w:r>
        <w:rPr>
          <w:spacing w:val="40"/>
          <w:sz w:val="22"/>
        </w:rPr>
        <w:t> </w:t>
      </w:r>
      <w:r>
        <w:rPr>
          <w:sz w:val="22"/>
        </w:rPr>
        <w:t>C.</w:t>
      </w:r>
      <w:r>
        <w:rPr>
          <w:spacing w:val="40"/>
          <w:sz w:val="22"/>
        </w:rPr>
        <w:t> </w:t>
      </w:r>
      <w:r>
        <w:rPr>
          <w:sz w:val="22"/>
        </w:rPr>
        <w:t>Risks</w:t>
      </w:r>
      <w:r>
        <w:rPr>
          <w:spacing w:val="40"/>
          <w:sz w:val="22"/>
        </w:rPr>
        <w:t> </w:t>
      </w:r>
      <w:r>
        <w:rPr>
          <w:sz w:val="22"/>
        </w:rPr>
        <w:t>of</w:t>
      </w:r>
      <w:r>
        <w:rPr>
          <w:spacing w:val="40"/>
          <w:sz w:val="22"/>
        </w:rPr>
        <w:t> </w:t>
      </w:r>
      <w:r>
        <w:rPr>
          <w:sz w:val="22"/>
        </w:rPr>
        <w:t>breast</w:t>
      </w:r>
      <w:r>
        <w:rPr>
          <w:spacing w:val="40"/>
          <w:sz w:val="22"/>
        </w:rPr>
        <w:t> </w:t>
      </w:r>
      <w:r>
        <w:rPr>
          <w:sz w:val="22"/>
        </w:rPr>
        <w:t>and endometrial</w:t>
      </w:r>
      <w:r>
        <w:rPr>
          <w:spacing w:val="40"/>
          <w:sz w:val="22"/>
        </w:rPr>
        <w:t> </w:t>
      </w:r>
      <w:r>
        <w:rPr>
          <w:sz w:val="22"/>
        </w:rPr>
        <w:t>cancer</w:t>
      </w:r>
      <w:r>
        <w:rPr>
          <w:spacing w:val="40"/>
          <w:sz w:val="22"/>
        </w:rPr>
        <w:t> </w:t>
      </w:r>
      <w:r>
        <w:rPr>
          <w:sz w:val="22"/>
        </w:rPr>
        <w:t>after</w:t>
      </w:r>
      <w:r>
        <w:rPr>
          <w:spacing w:val="40"/>
          <w:sz w:val="22"/>
        </w:rPr>
        <w:t> </w:t>
      </w:r>
      <w:r>
        <w:rPr>
          <w:sz w:val="22"/>
        </w:rPr>
        <w:t>estrogen</w:t>
      </w:r>
      <w:r>
        <w:rPr>
          <w:spacing w:val="40"/>
          <w:sz w:val="22"/>
        </w:rPr>
        <w:t> </w:t>
      </w:r>
      <w:r>
        <w:rPr>
          <w:sz w:val="22"/>
        </w:rPr>
        <w:t>and</w:t>
      </w:r>
      <w:r>
        <w:rPr>
          <w:spacing w:val="40"/>
          <w:sz w:val="22"/>
        </w:rPr>
        <w:t> </w:t>
      </w:r>
      <w:r>
        <w:rPr>
          <w:sz w:val="22"/>
        </w:rPr>
        <w:t>estrogen-progestin</w:t>
      </w:r>
      <w:r>
        <w:rPr>
          <w:spacing w:val="40"/>
          <w:sz w:val="22"/>
        </w:rPr>
        <w:t> </w:t>
      </w:r>
      <w:r>
        <w:rPr>
          <w:sz w:val="22"/>
        </w:rPr>
        <w:t>replacement.</w:t>
      </w:r>
      <w:r>
        <w:rPr>
          <w:spacing w:val="40"/>
          <w:sz w:val="22"/>
        </w:rPr>
        <w:t> </w:t>
      </w:r>
      <w:r>
        <w:rPr>
          <w:i/>
          <w:sz w:val="22"/>
        </w:rPr>
        <w:t>Cancer</w:t>
      </w:r>
      <w:r>
        <w:rPr>
          <w:i/>
          <w:spacing w:val="40"/>
          <w:sz w:val="22"/>
        </w:rPr>
        <w:t> </w:t>
      </w:r>
      <w:r>
        <w:rPr>
          <w:i/>
          <w:sz w:val="22"/>
        </w:rPr>
        <w:t>Causes</w:t>
      </w:r>
      <w:r>
        <w:rPr>
          <w:i/>
          <w:sz w:val="22"/>
        </w:rPr>
        <w:t> Control</w:t>
      </w:r>
      <w:r>
        <w:rPr>
          <w:sz w:val="22"/>
        </w:rPr>
        <w:t>. 1999;10:253.</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Magnusson C, Baron JA, Correia N, Bergström R, Adami HO, Persson I. Breast cancer </w:t>
      </w:r>
      <w:r>
        <w:rPr>
          <w:sz w:val="22"/>
        </w:rPr>
        <w:t>risk following long-term oestrogen- and oestrogen-progestin-replacement therapy. </w:t>
      </w:r>
      <w:r>
        <w:rPr>
          <w:i/>
          <w:sz w:val="22"/>
        </w:rPr>
        <w:t>Int J Cancer</w:t>
      </w:r>
      <w:r>
        <w:rPr>
          <w:sz w:val="22"/>
        </w:rPr>
        <w:t>. </w:t>
      </w:r>
      <w:r>
        <w:rPr>
          <w:spacing w:val="-2"/>
          <w:sz w:val="22"/>
        </w:rPr>
        <w:t>1999;81:339.</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Schairer C, Lubin J, Troisi R, Sturgeon S, Brinton L, Hoover R. Menopausal estrogen and estrogen-progestin replacement therapy and breast cancer risk. </w:t>
      </w:r>
      <w:r>
        <w:rPr>
          <w:i/>
          <w:sz w:val="22"/>
        </w:rPr>
        <w:t>JAMA</w:t>
      </w:r>
      <w:r>
        <w:rPr>
          <w:sz w:val="22"/>
        </w:rPr>
        <w:t>. 2000;283:485.</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Ross</w:t>
      </w:r>
      <w:r>
        <w:rPr>
          <w:spacing w:val="40"/>
          <w:sz w:val="22"/>
        </w:rPr>
        <w:t> </w:t>
      </w:r>
      <w:r>
        <w:rPr>
          <w:sz w:val="22"/>
        </w:rPr>
        <w:t>RK,</w:t>
      </w:r>
      <w:r>
        <w:rPr>
          <w:spacing w:val="40"/>
          <w:sz w:val="22"/>
        </w:rPr>
        <w:t> </w:t>
      </w:r>
      <w:r>
        <w:rPr>
          <w:sz w:val="22"/>
        </w:rPr>
        <w:t>Paganini-Hill</w:t>
      </w:r>
      <w:r>
        <w:rPr>
          <w:spacing w:val="40"/>
          <w:sz w:val="22"/>
        </w:rPr>
        <w:t> </w:t>
      </w:r>
      <w:r>
        <w:rPr>
          <w:sz w:val="22"/>
        </w:rPr>
        <w:t>A,</w:t>
      </w:r>
      <w:r>
        <w:rPr>
          <w:spacing w:val="40"/>
          <w:sz w:val="22"/>
        </w:rPr>
        <w:t> </w:t>
      </w:r>
      <w:r>
        <w:rPr>
          <w:sz w:val="22"/>
        </w:rPr>
        <w:t>Wan</w:t>
      </w:r>
      <w:r>
        <w:rPr>
          <w:spacing w:val="40"/>
          <w:sz w:val="22"/>
        </w:rPr>
        <w:t> </w:t>
      </w:r>
      <w:r>
        <w:rPr>
          <w:sz w:val="22"/>
        </w:rPr>
        <w:t>PC,</w:t>
      </w:r>
      <w:r>
        <w:rPr>
          <w:spacing w:val="40"/>
          <w:sz w:val="22"/>
        </w:rPr>
        <w:t> </w:t>
      </w:r>
      <w:r>
        <w:rPr>
          <w:sz w:val="22"/>
        </w:rPr>
        <w:t>Pike</w:t>
      </w:r>
      <w:r>
        <w:rPr>
          <w:spacing w:val="40"/>
          <w:sz w:val="22"/>
        </w:rPr>
        <w:t> </w:t>
      </w:r>
      <w:r>
        <w:rPr>
          <w:sz w:val="22"/>
        </w:rPr>
        <w:t>MC.</w:t>
      </w:r>
      <w:r>
        <w:rPr>
          <w:spacing w:val="40"/>
          <w:sz w:val="22"/>
        </w:rPr>
        <w:t> </w:t>
      </w:r>
      <w:r>
        <w:rPr>
          <w:sz w:val="22"/>
        </w:rPr>
        <w:t>Effect</w:t>
      </w:r>
      <w:r>
        <w:rPr>
          <w:spacing w:val="40"/>
          <w:sz w:val="22"/>
        </w:rPr>
        <w:t> </w:t>
      </w:r>
      <w:r>
        <w:rPr>
          <w:sz w:val="22"/>
        </w:rPr>
        <w:t>of</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on breast cancer risk: estrogen versus estrogen plus progestin. </w:t>
      </w:r>
      <w:r>
        <w:rPr>
          <w:i/>
          <w:sz w:val="22"/>
        </w:rPr>
        <w:t>J Natl Cancer Inst</w:t>
      </w:r>
      <w:r>
        <w:rPr>
          <w:sz w:val="22"/>
        </w:rPr>
        <w:t>. 2000;92:328.</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Newcomb</w:t>
      </w:r>
      <w:r>
        <w:rPr>
          <w:spacing w:val="26"/>
          <w:sz w:val="22"/>
        </w:rPr>
        <w:t> </w:t>
      </w:r>
      <w:r>
        <w:rPr>
          <w:sz w:val="22"/>
        </w:rPr>
        <w:t>PA,</w:t>
      </w:r>
      <w:r>
        <w:rPr>
          <w:spacing w:val="26"/>
          <w:sz w:val="22"/>
        </w:rPr>
        <w:t> </w:t>
      </w:r>
      <w:r>
        <w:rPr>
          <w:sz w:val="22"/>
        </w:rPr>
        <w:t>Titus-Ernstoff</w:t>
      </w:r>
      <w:r>
        <w:rPr>
          <w:spacing w:val="26"/>
          <w:sz w:val="22"/>
        </w:rPr>
        <w:t> </w:t>
      </w:r>
      <w:r>
        <w:rPr>
          <w:sz w:val="22"/>
        </w:rPr>
        <w:t>L,</w:t>
      </w:r>
      <w:r>
        <w:rPr>
          <w:spacing w:val="26"/>
          <w:sz w:val="22"/>
        </w:rPr>
        <w:t> </w:t>
      </w:r>
      <w:r>
        <w:rPr>
          <w:sz w:val="22"/>
        </w:rPr>
        <w:t>Egan</w:t>
      </w:r>
      <w:r>
        <w:rPr>
          <w:spacing w:val="26"/>
          <w:sz w:val="22"/>
        </w:rPr>
        <w:t> </w:t>
      </w:r>
      <w:r>
        <w:rPr>
          <w:sz w:val="22"/>
        </w:rPr>
        <w:t>KM,</w:t>
      </w:r>
      <w:r>
        <w:rPr>
          <w:spacing w:val="26"/>
          <w:sz w:val="22"/>
        </w:rPr>
        <w:t> </w:t>
      </w:r>
      <w:r>
        <w:rPr>
          <w:sz w:val="22"/>
        </w:rPr>
        <w:t>et</w:t>
      </w:r>
      <w:r>
        <w:rPr>
          <w:spacing w:val="26"/>
          <w:sz w:val="22"/>
        </w:rPr>
        <w:t> </w:t>
      </w:r>
      <w:r>
        <w:rPr>
          <w:sz w:val="22"/>
        </w:rPr>
        <w:t>al.</w:t>
      </w:r>
      <w:r>
        <w:rPr>
          <w:spacing w:val="25"/>
          <w:sz w:val="22"/>
        </w:rPr>
        <w:t> </w:t>
      </w:r>
      <w:r>
        <w:rPr>
          <w:sz w:val="22"/>
        </w:rPr>
        <w:t>Postmenopausal</w:t>
      </w:r>
      <w:r>
        <w:rPr>
          <w:spacing w:val="28"/>
          <w:sz w:val="22"/>
        </w:rPr>
        <w:t> </w:t>
      </w:r>
      <w:r>
        <w:rPr>
          <w:sz w:val="22"/>
        </w:rPr>
        <w:t>estrogen</w:t>
      </w:r>
      <w:r>
        <w:rPr>
          <w:spacing w:val="28"/>
          <w:sz w:val="22"/>
        </w:rPr>
        <w:t> </w:t>
      </w:r>
      <w:r>
        <w:rPr>
          <w:sz w:val="22"/>
        </w:rPr>
        <w:t>and</w:t>
      </w:r>
      <w:r>
        <w:rPr>
          <w:spacing w:val="28"/>
          <w:sz w:val="22"/>
        </w:rPr>
        <w:t> </w:t>
      </w:r>
      <w:r>
        <w:rPr>
          <w:sz w:val="22"/>
        </w:rPr>
        <w:t>progestin</w:t>
      </w:r>
      <w:r>
        <w:rPr>
          <w:spacing w:val="28"/>
          <w:sz w:val="22"/>
        </w:rPr>
        <w:t> </w:t>
      </w:r>
      <w:r>
        <w:rPr>
          <w:sz w:val="22"/>
        </w:rPr>
        <w:t>use in relation to breast cancer risk. </w:t>
      </w:r>
      <w:r>
        <w:rPr>
          <w:i/>
          <w:sz w:val="22"/>
        </w:rPr>
        <w:t>Cancer Epidemiol Biomarkers Prev</w:t>
      </w:r>
      <w:r>
        <w:rPr>
          <w:sz w:val="22"/>
        </w:rPr>
        <w:t>. 2002;11:593.</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Porch</w:t>
      </w:r>
      <w:r>
        <w:rPr>
          <w:spacing w:val="40"/>
          <w:sz w:val="22"/>
        </w:rPr>
        <w:t> </w:t>
      </w:r>
      <w:r>
        <w:rPr>
          <w:sz w:val="22"/>
        </w:rPr>
        <w:t>JV,</w:t>
      </w:r>
      <w:r>
        <w:rPr>
          <w:spacing w:val="40"/>
          <w:sz w:val="22"/>
        </w:rPr>
        <w:t> </w:t>
      </w:r>
      <w:r>
        <w:rPr>
          <w:sz w:val="22"/>
        </w:rPr>
        <w:t>Lee</w:t>
      </w:r>
      <w:r>
        <w:rPr>
          <w:spacing w:val="40"/>
          <w:sz w:val="22"/>
        </w:rPr>
        <w:t> </w:t>
      </w:r>
      <w:r>
        <w:rPr>
          <w:sz w:val="22"/>
        </w:rPr>
        <w:t>IM,</w:t>
      </w:r>
      <w:r>
        <w:rPr>
          <w:spacing w:val="40"/>
          <w:sz w:val="22"/>
        </w:rPr>
        <w:t> </w:t>
      </w:r>
      <w:r>
        <w:rPr>
          <w:sz w:val="22"/>
        </w:rPr>
        <w:t>Cook</w:t>
      </w:r>
      <w:r>
        <w:rPr>
          <w:spacing w:val="40"/>
          <w:sz w:val="22"/>
        </w:rPr>
        <w:t> </w:t>
      </w:r>
      <w:r>
        <w:rPr>
          <w:sz w:val="22"/>
        </w:rPr>
        <w:t>NR,</w:t>
      </w:r>
      <w:r>
        <w:rPr>
          <w:spacing w:val="40"/>
          <w:sz w:val="22"/>
        </w:rPr>
        <w:t> </w:t>
      </w:r>
      <w:r>
        <w:rPr>
          <w:sz w:val="22"/>
        </w:rPr>
        <w:t>Rexrode</w:t>
      </w:r>
      <w:r>
        <w:rPr>
          <w:spacing w:val="40"/>
          <w:sz w:val="22"/>
        </w:rPr>
        <w:t> </w:t>
      </w:r>
      <w:r>
        <w:rPr>
          <w:sz w:val="22"/>
        </w:rPr>
        <w:t>KM,</w:t>
      </w:r>
      <w:r>
        <w:rPr>
          <w:spacing w:val="40"/>
          <w:sz w:val="22"/>
        </w:rPr>
        <w:t> </w:t>
      </w:r>
      <w:r>
        <w:rPr>
          <w:sz w:val="22"/>
        </w:rPr>
        <w:t>Buring</w:t>
      </w:r>
      <w:r>
        <w:rPr>
          <w:spacing w:val="40"/>
          <w:sz w:val="22"/>
        </w:rPr>
        <w:t> </w:t>
      </w:r>
      <w:r>
        <w:rPr>
          <w:sz w:val="22"/>
        </w:rPr>
        <w:t>JE.</w:t>
      </w:r>
      <w:r>
        <w:rPr>
          <w:spacing w:val="40"/>
          <w:sz w:val="22"/>
        </w:rPr>
        <w:t> </w:t>
      </w:r>
      <w:r>
        <w:rPr>
          <w:sz w:val="22"/>
        </w:rPr>
        <w:t>Estrogen-progestin</w:t>
      </w:r>
      <w:r>
        <w:rPr>
          <w:spacing w:val="40"/>
          <w:sz w:val="22"/>
        </w:rPr>
        <w:t> </w:t>
      </w:r>
      <w:r>
        <w:rPr>
          <w:sz w:val="22"/>
        </w:rPr>
        <w:t>replacement therapy and breast cancer risk: the Women’s Health Study (United States). </w:t>
      </w:r>
      <w:r>
        <w:rPr>
          <w:i/>
          <w:sz w:val="22"/>
        </w:rPr>
        <w:t>Cancer Causes</w:t>
      </w:r>
      <w:r>
        <w:rPr>
          <w:i/>
          <w:sz w:val="22"/>
        </w:rPr>
        <w:t> Control</w:t>
      </w:r>
      <w:r>
        <w:rPr>
          <w:sz w:val="22"/>
        </w:rPr>
        <w:t>. 2002;13:847.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Weiss LK, Burkman RT, Cushing-Haugen KL, et al. Hormone replacement therapy </w:t>
      </w:r>
      <w:r>
        <w:rPr>
          <w:sz w:val="22"/>
        </w:rPr>
        <w:t>regimens and breast cancer risk. </w:t>
      </w:r>
      <w:r>
        <w:rPr>
          <w:i/>
          <w:sz w:val="22"/>
        </w:rPr>
        <w:t>Obstet Gynecol</w:t>
      </w:r>
      <w:r>
        <w:rPr>
          <w:sz w:val="22"/>
        </w:rPr>
        <w:t>. 2002;100:1148.</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Li</w:t>
      </w:r>
      <w:r>
        <w:rPr>
          <w:spacing w:val="40"/>
          <w:sz w:val="22"/>
        </w:rPr>
        <w:t> </w:t>
      </w:r>
      <w:r>
        <w:rPr>
          <w:sz w:val="22"/>
        </w:rPr>
        <w:t>CI,</w:t>
      </w:r>
      <w:r>
        <w:rPr>
          <w:spacing w:val="40"/>
          <w:sz w:val="22"/>
        </w:rPr>
        <w:t> </w:t>
      </w:r>
      <w:r>
        <w:rPr>
          <w:sz w:val="22"/>
        </w:rPr>
        <w:t>Malone</w:t>
      </w:r>
      <w:r>
        <w:rPr>
          <w:spacing w:val="40"/>
          <w:sz w:val="22"/>
        </w:rPr>
        <w:t> </w:t>
      </w:r>
      <w:r>
        <w:rPr>
          <w:sz w:val="22"/>
        </w:rPr>
        <w:t>KE,</w:t>
      </w:r>
      <w:r>
        <w:rPr>
          <w:spacing w:val="40"/>
          <w:sz w:val="22"/>
        </w:rPr>
        <w:t> </w:t>
      </w:r>
      <w:r>
        <w:rPr>
          <w:sz w:val="22"/>
        </w:rPr>
        <w:t>Porter</w:t>
      </w:r>
      <w:r>
        <w:rPr>
          <w:spacing w:val="40"/>
          <w:sz w:val="22"/>
        </w:rPr>
        <w:t> </w:t>
      </w:r>
      <w:r>
        <w:rPr>
          <w:sz w:val="22"/>
        </w:rPr>
        <w:t>PL,</w:t>
      </w:r>
      <w:r>
        <w:rPr>
          <w:spacing w:val="40"/>
          <w:sz w:val="22"/>
        </w:rPr>
        <w:t> </w:t>
      </w:r>
      <w:r>
        <w:rPr>
          <w:sz w:val="22"/>
        </w:rPr>
        <w:t>et</w:t>
      </w:r>
      <w:r>
        <w:rPr>
          <w:spacing w:val="40"/>
          <w:sz w:val="22"/>
        </w:rPr>
        <w:t> </w:t>
      </w:r>
      <w:r>
        <w:rPr>
          <w:sz w:val="22"/>
        </w:rPr>
        <w:t>al.</w:t>
      </w:r>
      <w:r>
        <w:rPr>
          <w:spacing w:val="40"/>
          <w:sz w:val="22"/>
        </w:rPr>
        <w:t> </w:t>
      </w:r>
      <w:r>
        <w:rPr>
          <w:sz w:val="22"/>
        </w:rPr>
        <w:t>Relationship</w:t>
      </w:r>
      <w:r>
        <w:rPr>
          <w:spacing w:val="40"/>
          <w:sz w:val="22"/>
        </w:rPr>
        <w:t> </w:t>
      </w:r>
      <w:r>
        <w:rPr>
          <w:sz w:val="22"/>
        </w:rPr>
        <w:t>between</w:t>
      </w:r>
      <w:r>
        <w:rPr>
          <w:spacing w:val="40"/>
          <w:sz w:val="22"/>
        </w:rPr>
        <w:t> </w:t>
      </w:r>
      <w:r>
        <w:rPr>
          <w:sz w:val="22"/>
        </w:rPr>
        <w:t>long</w:t>
      </w:r>
      <w:r>
        <w:rPr>
          <w:spacing w:val="40"/>
          <w:sz w:val="22"/>
        </w:rPr>
        <w:t> </w:t>
      </w:r>
      <w:r>
        <w:rPr>
          <w:sz w:val="22"/>
        </w:rPr>
        <w:t>durations</w:t>
      </w:r>
      <w:r>
        <w:rPr>
          <w:spacing w:val="40"/>
          <w:sz w:val="22"/>
        </w:rPr>
        <w:t> </w:t>
      </w:r>
      <w:r>
        <w:rPr>
          <w:sz w:val="22"/>
        </w:rPr>
        <w:t>and</w:t>
      </w:r>
      <w:r>
        <w:rPr>
          <w:spacing w:val="40"/>
          <w:sz w:val="22"/>
        </w:rPr>
        <w:t> </w:t>
      </w:r>
      <w:r>
        <w:rPr>
          <w:sz w:val="22"/>
        </w:rPr>
        <w:t>different regimens of hormone therapy and risk of breast cancer. </w:t>
      </w:r>
      <w:r>
        <w:rPr>
          <w:i/>
          <w:sz w:val="22"/>
        </w:rPr>
        <w:t>JAMA</w:t>
      </w:r>
      <w:r>
        <w:rPr>
          <w:sz w:val="22"/>
        </w:rPr>
        <w:t>. 2003;289:3254.</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Olsson HL, Ingvar C, Bladstrom A. Hormone replacement therapy containing progestins </w:t>
      </w:r>
      <w:r>
        <w:rPr>
          <w:sz w:val="22"/>
        </w:rPr>
        <w:t>and given continuously increases breast carcinoma risk in Sweden. </w:t>
      </w:r>
      <w:r>
        <w:rPr>
          <w:i/>
          <w:sz w:val="22"/>
        </w:rPr>
        <w:t>Cancer</w:t>
      </w:r>
      <w:r>
        <w:rPr>
          <w:sz w:val="22"/>
        </w:rPr>
        <w:t>. 2003;97:1387.</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Kerlikowske K, Miglioretti DL, Ballard-Barbash R, et al. Prognostic characteristics of </w:t>
      </w:r>
      <w:r>
        <w:rPr>
          <w:sz w:val="22"/>
        </w:rPr>
        <w:t>breast cancer among postmenopausal hormone users in a screened population. </w:t>
      </w:r>
      <w:r>
        <w:rPr>
          <w:i/>
          <w:sz w:val="22"/>
        </w:rPr>
        <w:t>J Clin Oncol</w:t>
      </w:r>
      <w:r>
        <w:rPr>
          <w:sz w:val="22"/>
        </w:rPr>
        <w:t>. </w:t>
      </w:r>
      <w:r>
        <w:rPr>
          <w:spacing w:val="-2"/>
          <w:sz w:val="22"/>
        </w:rPr>
        <w:t>2003;21:4314.</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Million Women Study Collaborators. Breast cancer and hormone-replacement therapy in the Million Women Study. </w:t>
      </w:r>
      <w:r>
        <w:rPr>
          <w:i/>
          <w:sz w:val="22"/>
        </w:rPr>
        <w:t>Lancet</w:t>
      </w:r>
      <w:r>
        <w:rPr>
          <w:sz w:val="22"/>
        </w:rPr>
        <w:t>. 2003;362:419.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Stahlberg C, Pedersen AT, Lynge E, et al. Increased risk of breast cancer following different regimens of hormone replacement therapy frequently used in Europe. </w:t>
      </w:r>
      <w:r>
        <w:rPr>
          <w:i/>
          <w:sz w:val="22"/>
        </w:rPr>
        <w:t>Int J </w:t>
      </w:r>
      <w:r>
        <w:rPr>
          <w:i/>
          <w:sz w:val="22"/>
        </w:rPr>
        <w:t>Cancer</w:t>
      </w:r>
      <w:r>
        <w:rPr>
          <w:sz w:val="22"/>
        </w:rPr>
        <w:t>. </w:t>
      </w:r>
      <w:r>
        <w:rPr>
          <w:spacing w:val="-2"/>
          <w:sz w:val="22"/>
        </w:rPr>
        <w:t>2004;109:721.</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Opatrny L, Dell’Aniello S, Assouline S, Suissa S. Hormone replacement therapy use </w:t>
      </w:r>
      <w:r>
        <w:rPr>
          <w:sz w:val="22"/>
        </w:rPr>
        <w:t>and variations in the risk of breast cancer. </w:t>
      </w:r>
      <w:r>
        <w:rPr>
          <w:i/>
          <w:sz w:val="22"/>
        </w:rPr>
        <w:t>Br J Obstet Gynaecol</w:t>
      </w:r>
      <w:r>
        <w:rPr>
          <w:sz w:val="22"/>
        </w:rPr>
        <w:t>. 2008;115:169.</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Flesch-Janys D, Slanger T, Mutschelknauss E, et al. Risk of different histological types of postmenopausal breast cancer by type and regimen of menopausal hormone therapy. </w:t>
      </w:r>
      <w:r>
        <w:rPr>
          <w:i/>
          <w:sz w:val="22"/>
        </w:rPr>
        <w:t>Int J</w:t>
      </w:r>
      <w:r>
        <w:rPr>
          <w:i/>
          <w:sz w:val="22"/>
        </w:rPr>
        <w:t> Cancer</w:t>
      </w:r>
      <w:r>
        <w:rPr>
          <w:sz w:val="22"/>
        </w:rPr>
        <w:t>. 2008;123:933.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Calle EE, Feigelson HS, Hildebrand JS, Teras LR, Thun MJ, Rodriguez C. Postmenopausal hormone use and breast cancer associations differ by hormone regimen and histologic subtype. </w:t>
      </w:r>
      <w:r>
        <w:rPr>
          <w:i/>
          <w:sz w:val="22"/>
        </w:rPr>
        <w:t>Cancer</w:t>
      </w:r>
      <w:r>
        <w:rPr>
          <w:sz w:val="22"/>
        </w:rPr>
        <w:t>. 2009;115:936.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Jick</w:t>
      </w:r>
      <w:r>
        <w:rPr>
          <w:spacing w:val="40"/>
          <w:sz w:val="22"/>
        </w:rPr>
        <w:t> </w:t>
      </w:r>
      <w:r>
        <w:rPr>
          <w:sz w:val="22"/>
        </w:rPr>
        <w:t>SS,</w:t>
      </w:r>
      <w:r>
        <w:rPr>
          <w:spacing w:val="40"/>
          <w:sz w:val="22"/>
        </w:rPr>
        <w:t> </w:t>
      </w:r>
      <w:r>
        <w:rPr>
          <w:sz w:val="22"/>
        </w:rPr>
        <w:t>Hagberg</w:t>
      </w:r>
      <w:r>
        <w:rPr>
          <w:spacing w:val="40"/>
          <w:sz w:val="22"/>
        </w:rPr>
        <w:t> </w:t>
      </w:r>
      <w:r>
        <w:rPr>
          <w:sz w:val="22"/>
        </w:rPr>
        <w:t>KW,</w:t>
      </w:r>
      <w:r>
        <w:rPr>
          <w:spacing w:val="40"/>
          <w:sz w:val="22"/>
        </w:rPr>
        <w:t> </w:t>
      </w:r>
      <w:r>
        <w:rPr>
          <w:sz w:val="22"/>
        </w:rPr>
        <w:t>Kaye</w:t>
      </w:r>
      <w:r>
        <w:rPr>
          <w:spacing w:val="40"/>
          <w:sz w:val="22"/>
        </w:rPr>
        <w:t> </w:t>
      </w:r>
      <w:r>
        <w:rPr>
          <w:sz w:val="22"/>
        </w:rPr>
        <w:t>JA,</w:t>
      </w:r>
      <w:r>
        <w:rPr>
          <w:spacing w:val="40"/>
          <w:sz w:val="22"/>
        </w:rPr>
        <w:t> </w:t>
      </w:r>
      <w:r>
        <w:rPr>
          <w:sz w:val="22"/>
        </w:rPr>
        <w:t>Jick</w:t>
      </w:r>
      <w:r>
        <w:rPr>
          <w:spacing w:val="40"/>
          <w:sz w:val="22"/>
        </w:rPr>
        <w:t> </w:t>
      </w:r>
      <w:r>
        <w:rPr>
          <w:sz w:val="22"/>
        </w:rPr>
        <w:t>H.</w:t>
      </w:r>
      <w:r>
        <w:rPr>
          <w:spacing w:val="40"/>
          <w:sz w:val="22"/>
        </w:rPr>
        <w:t> </w:t>
      </w:r>
      <w:r>
        <w:rPr>
          <w:sz w:val="22"/>
        </w:rPr>
        <w:t>Postmenopausal</w:t>
      </w:r>
      <w:r>
        <w:rPr>
          <w:spacing w:val="40"/>
          <w:sz w:val="22"/>
        </w:rPr>
        <w:t> </w:t>
      </w:r>
      <w:r>
        <w:rPr>
          <w:sz w:val="22"/>
        </w:rPr>
        <w:t>estrogen-containing</w:t>
      </w:r>
      <w:r>
        <w:rPr>
          <w:spacing w:val="40"/>
          <w:sz w:val="22"/>
        </w:rPr>
        <w:t> </w:t>
      </w:r>
      <w:r>
        <w:rPr>
          <w:sz w:val="22"/>
        </w:rPr>
        <w:t>hormone therapy and the risk of breast cancer. </w:t>
      </w:r>
      <w:r>
        <w:rPr>
          <w:i/>
          <w:sz w:val="22"/>
        </w:rPr>
        <w:t>Obstet Gynecol</w:t>
      </w:r>
      <w:r>
        <w:rPr>
          <w:sz w:val="22"/>
        </w:rPr>
        <w:t>. 2009;113:74.</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9" w:hanging="507"/>
        <w:jc w:val="both"/>
        <w:rPr>
          <w:sz w:val="22"/>
        </w:rPr>
      </w:pPr>
      <w:r>
        <w:rPr>
          <w:sz w:val="22"/>
        </w:rPr>
        <w:t>Collaborative Group on Hormonal Factors in Breast Cancer. Breast cancer and hormone replacement</w:t>
      </w:r>
      <w:r>
        <w:rPr>
          <w:spacing w:val="40"/>
          <w:sz w:val="22"/>
        </w:rPr>
        <w:t> </w:t>
      </w:r>
      <w:r>
        <w:rPr>
          <w:sz w:val="22"/>
        </w:rPr>
        <w:t>therapy:</w:t>
      </w:r>
      <w:r>
        <w:rPr>
          <w:spacing w:val="40"/>
          <w:sz w:val="22"/>
        </w:rPr>
        <w:t> </w:t>
      </w:r>
      <w:r>
        <w:rPr>
          <w:sz w:val="22"/>
        </w:rPr>
        <w:t>collaborative</w:t>
      </w:r>
      <w:r>
        <w:rPr>
          <w:spacing w:val="40"/>
          <w:sz w:val="22"/>
        </w:rPr>
        <w:t> </w:t>
      </w:r>
      <w:r>
        <w:rPr>
          <w:sz w:val="22"/>
        </w:rPr>
        <w:t>reanalysis</w:t>
      </w:r>
      <w:r>
        <w:rPr>
          <w:spacing w:val="40"/>
          <w:sz w:val="22"/>
        </w:rPr>
        <w:t> </w:t>
      </w:r>
      <w:r>
        <w:rPr>
          <w:sz w:val="22"/>
        </w:rPr>
        <w:t>of</w:t>
      </w:r>
      <w:r>
        <w:rPr>
          <w:spacing w:val="40"/>
          <w:sz w:val="22"/>
        </w:rPr>
        <w:t> </w:t>
      </w:r>
      <w:r>
        <w:rPr>
          <w:sz w:val="22"/>
        </w:rPr>
        <w:t>data</w:t>
      </w:r>
      <w:r>
        <w:rPr>
          <w:spacing w:val="40"/>
          <w:sz w:val="22"/>
        </w:rPr>
        <w:t> </w:t>
      </w:r>
      <w:r>
        <w:rPr>
          <w:sz w:val="22"/>
        </w:rPr>
        <w:t>from</w:t>
      </w:r>
      <w:r>
        <w:rPr>
          <w:spacing w:val="40"/>
          <w:sz w:val="22"/>
        </w:rPr>
        <w:t> </w:t>
      </w:r>
      <w:r>
        <w:rPr>
          <w:sz w:val="22"/>
        </w:rPr>
        <w:t>51</w:t>
      </w:r>
      <w:r>
        <w:rPr>
          <w:spacing w:val="40"/>
          <w:sz w:val="22"/>
        </w:rPr>
        <w:t> </w:t>
      </w:r>
      <w:r>
        <w:rPr>
          <w:sz w:val="22"/>
        </w:rPr>
        <w:t>epidemiological</w:t>
      </w:r>
      <w:r>
        <w:rPr>
          <w:spacing w:val="40"/>
          <w:sz w:val="22"/>
        </w:rPr>
        <w:t> </w:t>
      </w:r>
      <w:r>
        <w:rPr>
          <w:sz w:val="22"/>
        </w:rPr>
        <w:t>studies</w:t>
      </w:r>
      <w:r>
        <w:rPr>
          <w:spacing w:val="40"/>
          <w:sz w:val="22"/>
        </w:rPr>
        <w:t> </w:t>
      </w:r>
      <w:r>
        <w:rPr>
          <w:sz w:val="22"/>
        </w:rPr>
        <w:t>of 52,705 women with breast cancer and 108,411 women without breast cancer. </w:t>
      </w:r>
      <w:r>
        <w:rPr>
          <w:i/>
          <w:sz w:val="22"/>
        </w:rPr>
        <w:t>Lancet</w:t>
      </w:r>
      <w:r>
        <w:rPr>
          <w:sz w:val="22"/>
        </w:rPr>
        <w:t>. </w:t>
      </w:r>
      <w:r>
        <w:rPr>
          <w:spacing w:val="-2"/>
          <w:sz w:val="22"/>
        </w:rPr>
        <w:t>1997;350:1047.</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Gramling R, Eaton CB, Rothman KJ, Cabral H, Silliman RA, Lash TL. Hormone replacement therapy, family history, and breast cancer risk among postmenopausal women. </w:t>
      </w:r>
      <w:r>
        <w:rPr>
          <w:i/>
          <w:sz w:val="22"/>
        </w:rPr>
        <w:t>Epidemiology</w:t>
      </w:r>
      <w:r>
        <w:rPr>
          <w:sz w:val="22"/>
        </w:rPr>
        <w:t>. </w:t>
      </w:r>
      <w:r>
        <w:rPr>
          <w:spacing w:val="-2"/>
          <w:sz w:val="22"/>
        </w:rPr>
        <w:t>2009;20:752.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Stahlberg C, Lynge E, Andersen ZJ, et al. Breast cancer incidence, case-fatality and breast</w:t>
      </w:r>
      <w:r>
        <w:rPr>
          <w:spacing w:val="40"/>
          <w:sz w:val="22"/>
        </w:rPr>
        <w:t> </w:t>
      </w:r>
      <w:r>
        <w:rPr>
          <w:sz w:val="22"/>
        </w:rPr>
        <w:t>cancer mortality in Danish women using hormone replacement therapy—a </w:t>
      </w:r>
      <w:r>
        <w:rPr>
          <w:sz w:val="22"/>
        </w:rPr>
        <w:t>prospective observational study. </w:t>
      </w:r>
      <w:r>
        <w:rPr>
          <w:i/>
          <w:sz w:val="22"/>
        </w:rPr>
        <w:t>Int J Epidemiol</w:t>
      </w:r>
      <w:r>
        <w:rPr>
          <w:sz w:val="22"/>
        </w:rPr>
        <w:t>. 2005;34:931.</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Li</w:t>
      </w:r>
      <w:r>
        <w:rPr>
          <w:spacing w:val="32"/>
          <w:sz w:val="22"/>
        </w:rPr>
        <w:t> </w:t>
      </w:r>
      <w:r>
        <w:rPr>
          <w:sz w:val="22"/>
        </w:rPr>
        <w:t>CI,</w:t>
      </w:r>
      <w:r>
        <w:rPr>
          <w:spacing w:val="32"/>
          <w:sz w:val="22"/>
        </w:rPr>
        <w:t> </w:t>
      </w:r>
      <w:r>
        <w:rPr>
          <w:sz w:val="22"/>
        </w:rPr>
        <w:t>Malone</w:t>
      </w:r>
      <w:r>
        <w:rPr>
          <w:spacing w:val="32"/>
          <w:sz w:val="22"/>
        </w:rPr>
        <w:t> </w:t>
      </w:r>
      <w:r>
        <w:rPr>
          <w:sz w:val="22"/>
        </w:rPr>
        <w:t>KE,</w:t>
      </w:r>
      <w:r>
        <w:rPr>
          <w:spacing w:val="32"/>
          <w:sz w:val="22"/>
        </w:rPr>
        <w:t> </w:t>
      </w:r>
      <w:r>
        <w:rPr>
          <w:sz w:val="22"/>
        </w:rPr>
        <w:t>Porter</w:t>
      </w:r>
      <w:r>
        <w:rPr>
          <w:spacing w:val="32"/>
          <w:sz w:val="22"/>
        </w:rPr>
        <w:t> </w:t>
      </w:r>
      <w:r>
        <w:rPr>
          <w:sz w:val="22"/>
        </w:rPr>
        <w:t>PL,</w:t>
      </w:r>
      <w:r>
        <w:rPr>
          <w:spacing w:val="32"/>
          <w:sz w:val="22"/>
        </w:rPr>
        <w:t> </w:t>
      </w:r>
      <w:r>
        <w:rPr>
          <w:sz w:val="22"/>
        </w:rPr>
        <w:t>et</w:t>
      </w:r>
      <w:r>
        <w:rPr>
          <w:spacing w:val="32"/>
          <w:sz w:val="22"/>
        </w:rPr>
        <w:t> </w:t>
      </w:r>
      <w:r>
        <w:rPr>
          <w:sz w:val="22"/>
        </w:rPr>
        <w:t>al.</w:t>
      </w:r>
      <w:r>
        <w:rPr>
          <w:spacing w:val="32"/>
          <w:sz w:val="22"/>
        </w:rPr>
        <w:t> </w:t>
      </w:r>
      <w:r>
        <w:rPr>
          <w:sz w:val="22"/>
        </w:rPr>
        <w:t>Relationship</w:t>
      </w:r>
      <w:r>
        <w:rPr>
          <w:spacing w:val="33"/>
          <w:sz w:val="22"/>
        </w:rPr>
        <w:t> </w:t>
      </w:r>
      <w:r>
        <w:rPr>
          <w:sz w:val="22"/>
        </w:rPr>
        <w:t>between</w:t>
      </w:r>
      <w:r>
        <w:rPr>
          <w:spacing w:val="33"/>
          <w:sz w:val="22"/>
        </w:rPr>
        <w:t> </w:t>
      </w:r>
      <w:r>
        <w:rPr>
          <w:sz w:val="22"/>
        </w:rPr>
        <w:t>menopausal</w:t>
      </w:r>
      <w:r>
        <w:rPr>
          <w:spacing w:val="33"/>
          <w:sz w:val="22"/>
        </w:rPr>
        <w:t> </w:t>
      </w:r>
      <w:r>
        <w:rPr>
          <w:sz w:val="22"/>
        </w:rPr>
        <w:t>hormone</w:t>
      </w:r>
      <w:r>
        <w:rPr>
          <w:spacing w:val="33"/>
          <w:sz w:val="22"/>
        </w:rPr>
        <w:t> </w:t>
      </w:r>
      <w:r>
        <w:rPr>
          <w:sz w:val="22"/>
        </w:rPr>
        <w:t>therapy</w:t>
      </w:r>
      <w:r>
        <w:rPr>
          <w:spacing w:val="33"/>
          <w:sz w:val="22"/>
        </w:rPr>
        <w:t> </w:t>
      </w:r>
      <w:r>
        <w:rPr>
          <w:sz w:val="22"/>
        </w:rPr>
        <w:t>and risk of ductal, lobular, and ductal-lobular breast carcinomas. </w:t>
      </w:r>
      <w:r>
        <w:rPr>
          <w:i/>
          <w:sz w:val="22"/>
        </w:rPr>
        <w:t>Cancer Epidemiol </w:t>
      </w:r>
      <w:r>
        <w:rPr>
          <w:i/>
          <w:sz w:val="22"/>
        </w:rPr>
        <w:t>Biomarkers</w:t>
      </w:r>
      <w:r>
        <w:rPr>
          <w:i/>
          <w:spacing w:val="40"/>
          <w:sz w:val="22"/>
        </w:rPr>
        <w:t> </w:t>
      </w:r>
      <w:r>
        <w:rPr>
          <w:i/>
          <w:sz w:val="22"/>
        </w:rPr>
        <w:t>Prev</w:t>
      </w:r>
      <w:r>
        <w:rPr>
          <w:sz w:val="22"/>
        </w:rPr>
        <w:t>. 2008;17:43.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Rosenberg LU, Magnusson C, Lindström E, Wedrén S, Hall P, Dickman PW. </w:t>
      </w:r>
      <w:r>
        <w:rPr>
          <w:sz w:val="22"/>
        </w:rPr>
        <w:t>Menopausal hormone therapy and other breast cancer risk factors in relation to the risk of different histological subtypes of breast cancer: a case-control study. </w:t>
      </w:r>
      <w:r>
        <w:rPr>
          <w:i/>
          <w:sz w:val="22"/>
        </w:rPr>
        <w:t>Breast Cancer Res</w:t>
      </w:r>
      <w:r>
        <w:rPr>
          <w:sz w:val="22"/>
        </w:rPr>
        <w:t>. 2006;8:R11.</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Chlebowski RT, Hendrix SL, Langer RD, et al. Influence of estrogen plus progestin on breast cancer and mammography in healthy postmenopausal women: the Women’s Health Initiative randomized trial. </w:t>
      </w:r>
      <w:r>
        <w:rPr>
          <w:i/>
          <w:sz w:val="22"/>
        </w:rPr>
        <w:t>JAMA</w:t>
      </w:r>
      <w:r>
        <w:rPr>
          <w:sz w:val="22"/>
        </w:rPr>
        <w:t>. 2003;289:3243.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Anderson</w:t>
      </w:r>
      <w:r>
        <w:rPr>
          <w:spacing w:val="33"/>
          <w:sz w:val="22"/>
        </w:rPr>
        <w:t> </w:t>
      </w:r>
      <w:r>
        <w:rPr>
          <w:sz w:val="22"/>
        </w:rPr>
        <w:t>GL,</w:t>
      </w:r>
      <w:r>
        <w:rPr>
          <w:spacing w:val="33"/>
          <w:sz w:val="22"/>
        </w:rPr>
        <w:t> </w:t>
      </w:r>
      <w:r>
        <w:rPr>
          <w:sz w:val="22"/>
        </w:rPr>
        <w:t>Chlebowski</w:t>
      </w:r>
      <w:r>
        <w:rPr>
          <w:spacing w:val="33"/>
          <w:sz w:val="22"/>
        </w:rPr>
        <w:t> </w:t>
      </w:r>
      <w:r>
        <w:rPr>
          <w:sz w:val="22"/>
        </w:rPr>
        <w:t>RT,</w:t>
      </w:r>
      <w:r>
        <w:rPr>
          <w:spacing w:val="33"/>
          <w:sz w:val="22"/>
        </w:rPr>
        <w:t> </w:t>
      </w:r>
      <w:r>
        <w:rPr>
          <w:sz w:val="22"/>
        </w:rPr>
        <w:t>Rossouw</w:t>
      </w:r>
      <w:r>
        <w:rPr>
          <w:spacing w:val="33"/>
          <w:sz w:val="22"/>
        </w:rPr>
        <w:t> </w:t>
      </w:r>
      <w:r>
        <w:rPr>
          <w:sz w:val="22"/>
        </w:rPr>
        <w:t>JE,</w:t>
      </w:r>
      <w:r>
        <w:rPr>
          <w:spacing w:val="33"/>
          <w:sz w:val="22"/>
        </w:rPr>
        <w:t> </w:t>
      </w:r>
      <w:r>
        <w:rPr>
          <w:sz w:val="22"/>
        </w:rPr>
        <w:t>et</w:t>
      </w:r>
      <w:r>
        <w:rPr>
          <w:spacing w:val="33"/>
          <w:sz w:val="22"/>
        </w:rPr>
        <w:t> </w:t>
      </w:r>
      <w:r>
        <w:rPr>
          <w:sz w:val="22"/>
        </w:rPr>
        <w:t>al.</w:t>
      </w:r>
      <w:r>
        <w:rPr>
          <w:spacing w:val="33"/>
          <w:sz w:val="22"/>
        </w:rPr>
        <w:t> </w:t>
      </w:r>
      <w:r>
        <w:rPr>
          <w:sz w:val="22"/>
        </w:rPr>
        <w:t>Prior</w:t>
      </w:r>
      <w:r>
        <w:rPr>
          <w:spacing w:val="36"/>
          <w:sz w:val="22"/>
        </w:rPr>
        <w:t> </w:t>
      </w:r>
      <w:r>
        <w:rPr>
          <w:sz w:val="22"/>
        </w:rPr>
        <w:t>hormone</w:t>
      </w:r>
      <w:r>
        <w:rPr>
          <w:spacing w:val="36"/>
          <w:sz w:val="22"/>
        </w:rPr>
        <w:t> </w:t>
      </w:r>
      <w:r>
        <w:rPr>
          <w:sz w:val="22"/>
        </w:rPr>
        <w:t>therapy</w:t>
      </w:r>
      <w:r>
        <w:rPr>
          <w:spacing w:val="36"/>
          <w:sz w:val="22"/>
        </w:rPr>
        <w:t> </w:t>
      </w:r>
      <w:r>
        <w:rPr>
          <w:sz w:val="22"/>
        </w:rPr>
        <w:t>and</w:t>
      </w:r>
      <w:r>
        <w:rPr>
          <w:spacing w:val="36"/>
          <w:sz w:val="22"/>
        </w:rPr>
        <w:t> </w:t>
      </w:r>
      <w:r>
        <w:rPr>
          <w:sz w:val="22"/>
        </w:rPr>
        <w:t>breast</w:t>
      </w:r>
      <w:r>
        <w:rPr>
          <w:spacing w:val="36"/>
          <w:sz w:val="22"/>
        </w:rPr>
        <w:t> </w:t>
      </w:r>
      <w:r>
        <w:rPr>
          <w:sz w:val="22"/>
        </w:rPr>
        <w:t>cancer risk in the Women’s Health Initiative randomized trial of estrogen plus progestin. </w:t>
      </w:r>
      <w:r>
        <w:rPr>
          <w:i/>
          <w:sz w:val="22"/>
        </w:rPr>
        <w:t>Maturitas</w:t>
      </w:r>
      <w:r>
        <w:rPr>
          <w:sz w:val="22"/>
        </w:rPr>
        <w:t>. </w:t>
      </w:r>
      <w:r>
        <w:rPr>
          <w:spacing w:val="-2"/>
          <w:sz w:val="22"/>
        </w:rPr>
        <w:t>2006;55:103.</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LaCroix AZ, Chlebowski RT, Manson JE, et al; WHI Investigators. Health outcomes </w:t>
      </w:r>
      <w:r>
        <w:rPr>
          <w:sz w:val="22"/>
        </w:rPr>
        <w:t>after stopping</w:t>
      </w:r>
      <w:r>
        <w:rPr>
          <w:spacing w:val="40"/>
          <w:sz w:val="22"/>
        </w:rPr>
        <w:t> </w:t>
      </w:r>
      <w:r>
        <w:rPr>
          <w:sz w:val="22"/>
        </w:rPr>
        <w:t>conjugated</w:t>
      </w:r>
      <w:r>
        <w:rPr>
          <w:spacing w:val="40"/>
          <w:sz w:val="22"/>
        </w:rPr>
        <w:t> </w:t>
      </w:r>
      <w:r>
        <w:rPr>
          <w:sz w:val="22"/>
        </w:rPr>
        <w:t>equine</w:t>
      </w:r>
      <w:r>
        <w:rPr>
          <w:spacing w:val="40"/>
          <w:sz w:val="22"/>
        </w:rPr>
        <w:t> </w:t>
      </w:r>
      <w:r>
        <w:rPr>
          <w:sz w:val="22"/>
        </w:rPr>
        <w:t>estrogens</w:t>
      </w:r>
      <w:r>
        <w:rPr>
          <w:spacing w:val="40"/>
          <w:sz w:val="22"/>
        </w:rPr>
        <w:t> </w:t>
      </w:r>
      <w:r>
        <w:rPr>
          <w:sz w:val="22"/>
        </w:rPr>
        <w:t>among</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prior hysterectomy: a randomized controlled trial. </w:t>
      </w:r>
      <w:r>
        <w:rPr>
          <w:i/>
          <w:sz w:val="22"/>
        </w:rPr>
        <w:t>JAMA</w:t>
      </w:r>
      <w:r>
        <w:rPr>
          <w:sz w:val="22"/>
        </w:rPr>
        <w:t>. 2011;305(13):1305.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Stefanick ML, Anderson GL, Margolis KL, et al. Effects of conjugated equine estrogens on breast cancer and mammography screening in postmenopausal women with hysterectomy. </w:t>
      </w:r>
      <w:r>
        <w:rPr>
          <w:i/>
          <w:sz w:val="22"/>
        </w:rPr>
        <w:t>JAMA</w:t>
      </w:r>
      <w:r>
        <w:rPr>
          <w:sz w:val="22"/>
        </w:rPr>
        <w:t>. 2006;295:1647.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Chlebowski</w:t>
      </w:r>
      <w:r>
        <w:rPr>
          <w:spacing w:val="40"/>
          <w:sz w:val="22"/>
        </w:rPr>
        <w:t> </w:t>
      </w:r>
      <w:r>
        <w:rPr>
          <w:sz w:val="22"/>
        </w:rPr>
        <w:t>RT,</w:t>
      </w:r>
      <w:r>
        <w:rPr>
          <w:spacing w:val="40"/>
          <w:sz w:val="22"/>
        </w:rPr>
        <w:t> </w:t>
      </w:r>
      <w:r>
        <w:rPr>
          <w:sz w:val="22"/>
        </w:rPr>
        <w:t>Anderson</w:t>
      </w:r>
      <w:r>
        <w:rPr>
          <w:spacing w:val="40"/>
          <w:sz w:val="22"/>
        </w:rPr>
        <w:t> </w:t>
      </w:r>
      <w:r>
        <w:rPr>
          <w:sz w:val="22"/>
        </w:rPr>
        <w:t>GL,</w:t>
      </w:r>
      <w:r>
        <w:rPr>
          <w:spacing w:val="40"/>
          <w:sz w:val="22"/>
        </w:rPr>
        <w:t> </w:t>
      </w:r>
      <w:r>
        <w:rPr>
          <w:sz w:val="22"/>
        </w:rPr>
        <w:t>Aragaki</w:t>
      </w:r>
      <w:r>
        <w:rPr>
          <w:spacing w:val="40"/>
          <w:sz w:val="22"/>
        </w:rPr>
        <w:t> </w:t>
      </w:r>
      <w:r>
        <w:rPr>
          <w:sz w:val="22"/>
        </w:rPr>
        <w:t>AK,</w:t>
      </w:r>
      <w:r>
        <w:rPr>
          <w:spacing w:val="40"/>
          <w:sz w:val="22"/>
        </w:rPr>
        <w:t> </w:t>
      </w:r>
      <w:r>
        <w:rPr>
          <w:sz w:val="22"/>
        </w:rPr>
        <w:t>et</w:t>
      </w:r>
      <w:r>
        <w:rPr>
          <w:spacing w:val="40"/>
          <w:sz w:val="22"/>
        </w:rPr>
        <w:t> </w:t>
      </w:r>
      <w:r>
        <w:rPr>
          <w:sz w:val="22"/>
        </w:rPr>
        <w:t>al.</w:t>
      </w:r>
      <w:r>
        <w:rPr>
          <w:spacing w:val="40"/>
          <w:sz w:val="22"/>
        </w:rPr>
        <w:t> </w:t>
      </w:r>
      <w:r>
        <w:rPr>
          <w:sz w:val="22"/>
        </w:rPr>
        <w:t>Association</w:t>
      </w:r>
      <w:r>
        <w:rPr>
          <w:spacing w:val="40"/>
          <w:sz w:val="22"/>
        </w:rPr>
        <w:t> </w:t>
      </w:r>
      <w:r>
        <w:rPr>
          <w:sz w:val="22"/>
        </w:rPr>
        <w:t>of</w:t>
      </w:r>
      <w:r>
        <w:rPr>
          <w:spacing w:val="40"/>
          <w:sz w:val="22"/>
        </w:rPr>
        <w:t> </w:t>
      </w:r>
      <w:r>
        <w:rPr>
          <w:sz w:val="22"/>
        </w:rPr>
        <w:t>menopausal</w:t>
      </w:r>
      <w:r>
        <w:rPr>
          <w:spacing w:val="40"/>
          <w:sz w:val="22"/>
        </w:rPr>
        <w:t> </w:t>
      </w:r>
      <w:r>
        <w:rPr>
          <w:sz w:val="22"/>
        </w:rPr>
        <w:t>hormone therapy</w:t>
      </w:r>
      <w:r>
        <w:rPr>
          <w:spacing w:val="40"/>
          <w:sz w:val="22"/>
        </w:rPr>
        <w:t> </w:t>
      </w:r>
      <w:r>
        <w:rPr>
          <w:sz w:val="22"/>
        </w:rPr>
        <w:t>with</w:t>
      </w:r>
      <w:r>
        <w:rPr>
          <w:spacing w:val="40"/>
          <w:sz w:val="22"/>
        </w:rPr>
        <w:t> </w:t>
      </w:r>
      <w:r>
        <w:rPr>
          <w:sz w:val="22"/>
        </w:rPr>
        <w:t>breast</w:t>
      </w:r>
      <w:r>
        <w:rPr>
          <w:spacing w:val="40"/>
          <w:sz w:val="22"/>
        </w:rPr>
        <w:t> </w:t>
      </w:r>
      <w:r>
        <w:rPr>
          <w:sz w:val="22"/>
        </w:rPr>
        <w:t>cancer</w:t>
      </w:r>
      <w:r>
        <w:rPr>
          <w:spacing w:val="40"/>
          <w:sz w:val="22"/>
        </w:rPr>
        <w:t> </w:t>
      </w:r>
      <w:r>
        <w:rPr>
          <w:sz w:val="22"/>
        </w:rPr>
        <w:t>incidence</w:t>
      </w:r>
      <w:r>
        <w:rPr>
          <w:spacing w:val="40"/>
          <w:sz w:val="22"/>
        </w:rPr>
        <w:t> </w:t>
      </w:r>
      <w:r>
        <w:rPr>
          <w:sz w:val="22"/>
        </w:rPr>
        <w:t>and</w:t>
      </w:r>
      <w:r>
        <w:rPr>
          <w:spacing w:val="40"/>
          <w:sz w:val="22"/>
        </w:rPr>
        <w:t> </w:t>
      </w:r>
      <w:r>
        <w:rPr>
          <w:sz w:val="22"/>
        </w:rPr>
        <w:t>mortality</w:t>
      </w:r>
      <w:r>
        <w:rPr>
          <w:spacing w:val="40"/>
          <w:sz w:val="22"/>
        </w:rPr>
        <w:t> </w:t>
      </w:r>
      <w:r>
        <w:rPr>
          <w:sz w:val="22"/>
        </w:rPr>
        <w:t>during</w:t>
      </w:r>
      <w:r>
        <w:rPr>
          <w:spacing w:val="40"/>
          <w:sz w:val="22"/>
        </w:rPr>
        <w:t> </w:t>
      </w:r>
      <w:r>
        <w:rPr>
          <w:sz w:val="22"/>
        </w:rPr>
        <w:t>long-term</w:t>
      </w:r>
      <w:r>
        <w:rPr>
          <w:spacing w:val="40"/>
          <w:sz w:val="22"/>
        </w:rPr>
        <w:t> </w:t>
      </w:r>
      <w:r>
        <w:rPr>
          <w:sz w:val="22"/>
        </w:rPr>
        <w:t>follow-up</w:t>
      </w:r>
      <w:r>
        <w:rPr>
          <w:spacing w:val="40"/>
          <w:sz w:val="22"/>
        </w:rPr>
        <w:t> </w:t>
      </w:r>
      <w:r>
        <w:rPr>
          <w:sz w:val="22"/>
        </w:rPr>
        <w:t>of</w:t>
      </w:r>
      <w:r>
        <w:rPr>
          <w:spacing w:val="40"/>
          <w:sz w:val="22"/>
        </w:rPr>
        <w:t> </w:t>
      </w:r>
      <w:r>
        <w:rPr>
          <w:sz w:val="22"/>
        </w:rPr>
        <w:t>the Women’s Health Initiative randomized clinical trials. </w:t>
      </w:r>
      <w:r>
        <w:rPr>
          <w:i/>
          <w:sz w:val="22"/>
        </w:rPr>
        <w:t>JAMA</w:t>
      </w:r>
      <w:r>
        <w:rPr>
          <w:sz w:val="22"/>
        </w:rPr>
        <w:t>. 2020;324(4):369-380.</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Anderson GL, Chlebowski RT, Aragaki AK, et al. Conjugated equine oestrogen and </w:t>
      </w:r>
      <w:r>
        <w:rPr>
          <w:sz w:val="22"/>
        </w:rPr>
        <w:t>breast cancer</w:t>
      </w:r>
      <w:r>
        <w:rPr>
          <w:spacing w:val="40"/>
          <w:sz w:val="22"/>
        </w:rPr>
        <w:t> </w:t>
      </w:r>
      <w:r>
        <w:rPr>
          <w:sz w:val="22"/>
        </w:rPr>
        <w:t>incidence</w:t>
      </w:r>
      <w:r>
        <w:rPr>
          <w:spacing w:val="40"/>
          <w:sz w:val="22"/>
        </w:rPr>
        <w:t> </w:t>
      </w:r>
      <w:r>
        <w:rPr>
          <w:sz w:val="22"/>
        </w:rPr>
        <w:t>and</w:t>
      </w:r>
      <w:r>
        <w:rPr>
          <w:spacing w:val="40"/>
          <w:sz w:val="22"/>
        </w:rPr>
        <w:t> </w:t>
      </w:r>
      <w:r>
        <w:rPr>
          <w:sz w:val="22"/>
        </w:rPr>
        <w:t>mortality</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hysterectomy:</w:t>
      </w:r>
      <w:r>
        <w:rPr>
          <w:spacing w:val="40"/>
          <w:sz w:val="22"/>
        </w:rPr>
        <w:t> </w:t>
      </w:r>
      <w:r>
        <w:rPr>
          <w:sz w:val="22"/>
        </w:rPr>
        <w:t>extended follow-up</w:t>
      </w:r>
      <w:r>
        <w:rPr>
          <w:spacing w:val="40"/>
          <w:sz w:val="22"/>
        </w:rPr>
        <w:t> </w:t>
      </w:r>
      <w:r>
        <w:rPr>
          <w:sz w:val="22"/>
        </w:rPr>
        <w:t>of</w:t>
      </w:r>
      <w:r>
        <w:rPr>
          <w:spacing w:val="40"/>
          <w:sz w:val="22"/>
        </w:rPr>
        <w:t> </w:t>
      </w:r>
      <w:r>
        <w:rPr>
          <w:sz w:val="22"/>
        </w:rPr>
        <w:t>the</w:t>
      </w:r>
      <w:r>
        <w:rPr>
          <w:spacing w:val="40"/>
          <w:sz w:val="22"/>
        </w:rPr>
        <w:t> </w:t>
      </w:r>
      <w:r>
        <w:rPr>
          <w:sz w:val="22"/>
        </w:rPr>
        <w:t>Women’s</w:t>
      </w:r>
      <w:r>
        <w:rPr>
          <w:spacing w:val="40"/>
          <w:sz w:val="22"/>
        </w:rPr>
        <w:t> </w:t>
      </w:r>
      <w:r>
        <w:rPr>
          <w:sz w:val="22"/>
        </w:rPr>
        <w:t>Health</w:t>
      </w:r>
      <w:r>
        <w:rPr>
          <w:spacing w:val="40"/>
          <w:sz w:val="22"/>
        </w:rPr>
        <w:t> </w:t>
      </w:r>
      <w:r>
        <w:rPr>
          <w:sz w:val="22"/>
        </w:rPr>
        <w:t>Initiative</w:t>
      </w:r>
      <w:r>
        <w:rPr>
          <w:spacing w:val="40"/>
          <w:sz w:val="22"/>
        </w:rPr>
        <w:t> </w:t>
      </w:r>
      <w:r>
        <w:rPr>
          <w:sz w:val="22"/>
        </w:rPr>
        <w:t>randomised</w:t>
      </w:r>
      <w:r>
        <w:rPr>
          <w:spacing w:val="40"/>
          <w:sz w:val="22"/>
        </w:rPr>
        <w:t> </w:t>
      </w:r>
      <w:r>
        <w:rPr>
          <w:sz w:val="22"/>
        </w:rPr>
        <w:t>placebo-controlled</w:t>
      </w:r>
      <w:r>
        <w:rPr>
          <w:spacing w:val="40"/>
          <w:sz w:val="22"/>
        </w:rPr>
        <w:t> </w:t>
      </w:r>
      <w:r>
        <w:rPr>
          <w:sz w:val="22"/>
        </w:rPr>
        <w:t>trial.</w:t>
      </w:r>
      <w:r>
        <w:rPr>
          <w:spacing w:val="40"/>
          <w:sz w:val="22"/>
        </w:rPr>
        <w:t> </w:t>
      </w:r>
      <w:r>
        <w:rPr>
          <w:i/>
          <w:sz w:val="22"/>
        </w:rPr>
        <w:t>Lancet</w:t>
      </w:r>
      <w:r>
        <w:rPr>
          <w:i/>
          <w:sz w:val="22"/>
        </w:rPr>
        <w:t> Oncol</w:t>
      </w:r>
      <w:r>
        <w:rPr>
          <w:sz w:val="22"/>
        </w:rPr>
        <w:t>. 2012;13(5):476.</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Lyytinen H, Pukkala E, Ylikorkala O. Breast cancer risk in postmenopausal women </w:t>
      </w:r>
      <w:r>
        <w:rPr>
          <w:sz w:val="22"/>
        </w:rPr>
        <w:t>using estrogen-only therapy. </w:t>
      </w:r>
      <w:r>
        <w:rPr>
          <w:i/>
          <w:sz w:val="22"/>
        </w:rPr>
        <w:t>Obstet Gynecol</w:t>
      </w:r>
      <w:r>
        <w:rPr>
          <w:sz w:val="22"/>
        </w:rPr>
        <w:t>. 2006;108:1354.</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Lyytinen H, Pukkala E, Ylikorkala O. Breast cancer risk in postmenopausal women </w:t>
      </w:r>
      <w:r>
        <w:rPr>
          <w:sz w:val="22"/>
        </w:rPr>
        <w:t>using estradiol-progestogen therapy. </w:t>
      </w:r>
      <w:r>
        <w:rPr>
          <w:i/>
          <w:sz w:val="22"/>
        </w:rPr>
        <w:t>Obstet Gynecol</w:t>
      </w:r>
      <w:r>
        <w:rPr>
          <w:sz w:val="22"/>
        </w:rPr>
        <w:t>. 2009;113:65.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Chen WY, Manson JE, Hankinson SE, et al. Unopposed estrogen therapy and the risk </w:t>
      </w:r>
      <w:r>
        <w:rPr>
          <w:sz w:val="22"/>
        </w:rPr>
        <w:t>of</w:t>
      </w:r>
      <w:r>
        <w:rPr>
          <w:spacing w:val="40"/>
          <w:sz w:val="22"/>
        </w:rPr>
        <w:t> </w:t>
      </w:r>
      <w:r>
        <w:rPr>
          <w:sz w:val="22"/>
        </w:rPr>
        <w:t>invasive breast cancer. </w:t>
      </w:r>
      <w:r>
        <w:rPr>
          <w:i/>
          <w:sz w:val="22"/>
        </w:rPr>
        <w:t>Arch Intern Med</w:t>
      </w:r>
      <w:r>
        <w:rPr>
          <w:sz w:val="22"/>
        </w:rPr>
        <w:t>. 2006;166:1027.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Topo P, Luoto R, Hemminki E, Uutela A. Declining socioeconomic differences in the use </w:t>
      </w:r>
      <w:r>
        <w:rPr>
          <w:sz w:val="22"/>
        </w:rPr>
        <w:t>of menopausal and postmenopausal hormone therapy in Finland. Maturitas. 1999;32:141.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Bergkvist L, Adami H-O, Persson I, Bergstrom R, Krusemo UB. Prognosis after breast </w:t>
      </w:r>
      <w:r>
        <w:rPr>
          <w:sz w:val="22"/>
        </w:rPr>
        <w:t>cancer diagnosis in women exposed to estrogen and estrogen-progestogen replacement therapy. </w:t>
      </w:r>
      <w:r>
        <w:rPr>
          <w:i/>
          <w:sz w:val="22"/>
        </w:rPr>
        <w:t>Am J</w:t>
      </w:r>
      <w:r>
        <w:rPr>
          <w:i/>
          <w:sz w:val="22"/>
        </w:rPr>
        <w:t> Epidemiol</w:t>
      </w:r>
      <w:r>
        <w:rPr>
          <w:sz w:val="22"/>
        </w:rPr>
        <w:t>. 1989;130:221.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Persson</w:t>
      </w:r>
      <w:r>
        <w:rPr>
          <w:spacing w:val="40"/>
          <w:sz w:val="22"/>
        </w:rPr>
        <w:t> </w:t>
      </w:r>
      <w:r>
        <w:rPr>
          <w:sz w:val="22"/>
        </w:rPr>
        <w:t>I,</w:t>
      </w:r>
      <w:r>
        <w:rPr>
          <w:spacing w:val="40"/>
          <w:sz w:val="22"/>
        </w:rPr>
        <w:t> </w:t>
      </w:r>
      <w:r>
        <w:rPr>
          <w:sz w:val="22"/>
        </w:rPr>
        <w:t>Yuen</w:t>
      </w:r>
      <w:r>
        <w:rPr>
          <w:spacing w:val="40"/>
          <w:sz w:val="22"/>
        </w:rPr>
        <w:t> </w:t>
      </w:r>
      <w:r>
        <w:rPr>
          <w:sz w:val="22"/>
        </w:rPr>
        <w:t>J,</w:t>
      </w:r>
      <w:r>
        <w:rPr>
          <w:spacing w:val="40"/>
          <w:sz w:val="22"/>
        </w:rPr>
        <w:t> </w:t>
      </w:r>
      <w:r>
        <w:rPr>
          <w:sz w:val="22"/>
        </w:rPr>
        <w:t>Bergkvist</w:t>
      </w:r>
      <w:r>
        <w:rPr>
          <w:spacing w:val="40"/>
          <w:sz w:val="22"/>
        </w:rPr>
        <w:t> </w:t>
      </w:r>
      <w:r>
        <w:rPr>
          <w:sz w:val="22"/>
        </w:rPr>
        <w:t>L,</w:t>
      </w:r>
      <w:r>
        <w:rPr>
          <w:spacing w:val="40"/>
          <w:sz w:val="22"/>
        </w:rPr>
        <w:t> </w:t>
      </w:r>
      <w:r>
        <w:rPr>
          <w:sz w:val="22"/>
        </w:rPr>
        <w:t>Schairer</w:t>
      </w:r>
      <w:r>
        <w:rPr>
          <w:spacing w:val="40"/>
          <w:sz w:val="22"/>
        </w:rPr>
        <w:t> </w:t>
      </w:r>
      <w:r>
        <w:rPr>
          <w:sz w:val="22"/>
        </w:rPr>
        <w:t>C.</w:t>
      </w:r>
      <w:r>
        <w:rPr>
          <w:spacing w:val="40"/>
          <w:sz w:val="22"/>
        </w:rPr>
        <w:t> </w:t>
      </w:r>
      <w:r>
        <w:rPr>
          <w:sz w:val="22"/>
        </w:rPr>
        <w:t>Cancer</w:t>
      </w:r>
      <w:r>
        <w:rPr>
          <w:spacing w:val="40"/>
          <w:sz w:val="22"/>
        </w:rPr>
        <w:t> </w:t>
      </w:r>
      <w:r>
        <w:rPr>
          <w:sz w:val="22"/>
        </w:rPr>
        <w:t>incidence</w:t>
      </w:r>
      <w:r>
        <w:rPr>
          <w:spacing w:val="40"/>
          <w:sz w:val="22"/>
        </w:rPr>
        <w:t> </w:t>
      </w:r>
      <w:r>
        <w:rPr>
          <w:sz w:val="22"/>
        </w:rPr>
        <w:t>and</w:t>
      </w:r>
      <w:r>
        <w:rPr>
          <w:spacing w:val="40"/>
          <w:sz w:val="22"/>
        </w:rPr>
        <w:t> </w:t>
      </w:r>
      <w:r>
        <w:rPr>
          <w:sz w:val="22"/>
        </w:rPr>
        <w:t>mortality</w:t>
      </w:r>
      <w:r>
        <w:rPr>
          <w:spacing w:val="40"/>
          <w:sz w:val="22"/>
        </w:rPr>
        <w:t> </w:t>
      </w:r>
      <w:r>
        <w:rPr>
          <w:sz w:val="22"/>
        </w:rPr>
        <w:t>in</w:t>
      </w:r>
      <w:r>
        <w:rPr>
          <w:spacing w:val="40"/>
          <w:sz w:val="22"/>
        </w:rPr>
        <w:t> </w:t>
      </w:r>
      <w:r>
        <w:rPr>
          <w:sz w:val="22"/>
        </w:rPr>
        <w:t>women receiving</w:t>
      </w:r>
      <w:r>
        <w:rPr>
          <w:spacing w:val="71"/>
          <w:sz w:val="22"/>
        </w:rPr>
        <w:t> </w:t>
      </w:r>
      <w:r>
        <w:rPr>
          <w:sz w:val="22"/>
        </w:rPr>
        <w:t>estrogen</w:t>
      </w:r>
      <w:r>
        <w:rPr>
          <w:spacing w:val="71"/>
          <w:sz w:val="22"/>
        </w:rPr>
        <w:t> </w:t>
      </w:r>
      <w:r>
        <w:rPr>
          <w:sz w:val="22"/>
        </w:rPr>
        <w:t>and</w:t>
      </w:r>
      <w:r>
        <w:rPr>
          <w:spacing w:val="71"/>
          <w:sz w:val="22"/>
        </w:rPr>
        <w:t> </w:t>
      </w:r>
      <w:r>
        <w:rPr>
          <w:sz w:val="22"/>
        </w:rPr>
        <w:t>estrogen-progestin</w:t>
      </w:r>
      <w:r>
        <w:rPr>
          <w:spacing w:val="71"/>
          <w:sz w:val="22"/>
        </w:rPr>
        <w:t> </w:t>
      </w:r>
      <w:r>
        <w:rPr>
          <w:sz w:val="22"/>
        </w:rPr>
        <w:t>replacement</w:t>
      </w:r>
      <w:r>
        <w:rPr>
          <w:spacing w:val="71"/>
          <w:sz w:val="22"/>
        </w:rPr>
        <w:t> </w:t>
      </w:r>
      <w:r>
        <w:rPr>
          <w:sz w:val="22"/>
        </w:rPr>
        <w:t>therapy—long-term</w:t>
      </w:r>
      <w:r>
        <w:rPr>
          <w:spacing w:val="71"/>
          <w:sz w:val="22"/>
        </w:rPr>
        <w:t> </w:t>
      </w:r>
      <w:r>
        <w:rPr>
          <w:sz w:val="22"/>
        </w:rPr>
        <w:t>follow-up</w:t>
      </w:r>
      <w:r>
        <w:rPr>
          <w:spacing w:val="71"/>
          <w:sz w:val="22"/>
        </w:rPr>
        <w:t> </w:t>
      </w:r>
      <w:r>
        <w:rPr>
          <w:sz w:val="22"/>
        </w:rPr>
        <w:t>of</w:t>
      </w:r>
      <w:r>
        <w:rPr>
          <w:spacing w:val="71"/>
          <w:sz w:val="22"/>
        </w:rPr>
        <w:t> </w:t>
      </w:r>
      <w:r>
        <w:rPr>
          <w:sz w:val="22"/>
        </w:rPr>
        <w:t>a</w:t>
      </w:r>
    </w:p>
    <w:p>
      <w:pPr>
        <w:pStyle w:val="ListParagraph"/>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Swedish</w:t>
      </w:r>
      <w:r>
        <w:rPr>
          <w:spacing w:val="10"/>
          <w:sz w:val="22"/>
        </w:rPr>
        <w:t> </w:t>
      </w:r>
      <w:r>
        <w:rPr>
          <w:sz w:val="22"/>
        </w:rPr>
        <w:t>cohort.</w:t>
      </w:r>
      <w:r>
        <w:rPr>
          <w:spacing w:val="10"/>
          <w:sz w:val="22"/>
        </w:rPr>
        <w:t> </w:t>
      </w:r>
      <w:r>
        <w:rPr>
          <w:i/>
          <w:sz w:val="22"/>
        </w:rPr>
        <w:t>Int</w:t>
      </w:r>
      <w:r>
        <w:rPr>
          <w:i/>
          <w:spacing w:val="11"/>
          <w:sz w:val="22"/>
        </w:rPr>
        <w:t> </w:t>
      </w:r>
      <w:r>
        <w:rPr>
          <w:i/>
          <w:sz w:val="22"/>
        </w:rPr>
        <w:t>J</w:t>
      </w:r>
      <w:r>
        <w:rPr>
          <w:i/>
          <w:spacing w:val="10"/>
          <w:sz w:val="22"/>
        </w:rPr>
        <w:t> </w:t>
      </w:r>
      <w:r>
        <w:rPr>
          <w:i/>
          <w:sz w:val="22"/>
        </w:rPr>
        <w:t>Cancer</w:t>
      </w:r>
      <w:r>
        <w:rPr>
          <w:sz w:val="22"/>
        </w:rPr>
        <w:t>.</w:t>
      </w:r>
      <w:r>
        <w:rPr>
          <w:spacing w:val="11"/>
          <w:sz w:val="22"/>
        </w:rPr>
        <w:t> </w:t>
      </w:r>
      <w:r>
        <w:rPr>
          <w:spacing w:val="-2"/>
          <w:sz w:val="22"/>
        </w:rPr>
        <w:t>1996;67:327.</w:t>
      </w:r>
    </w:p>
    <w:p>
      <w:pPr>
        <w:pStyle w:val="ListParagraph"/>
        <w:numPr>
          <w:ilvl w:val="0"/>
          <w:numId w:val="19"/>
        </w:numPr>
        <w:tabs>
          <w:tab w:pos="709" w:val="left" w:leader="none"/>
          <w:tab w:pos="718" w:val="left" w:leader="none"/>
        </w:tabs>
        <w:spacing w:line="256" w:lineRule="auto" w:before="17" w:after="0"/>
        <w:ind w:left="718" w:right="101" w:hanging="507"/>
        <w:jc w:val="both"/>
        <w:rPr>
          <w:sz w:val="22"/>
        </w:rPr>
      </w:pPr>
      <w:r>
        <w:rPr>
          <w:sz w:val="22"/>
        </w:rPr>
        <w:t>Willis DB, Calle EE, Miracle-McMahill HL, Heath CW Jr. Estrogen replacement therapy </w:t>
      </w:r>
      <w:r>
        <w:rPr>
          <w:sz w:val="22"/>
        </w:rPr>
        <w:t>and risk of fatal breast cancer in a prospective cohort of postmenopausal women in the United</w:t>
      </w:r>
      <w:r>
        <w:rPr>
          <w:spacing w:val="80"/>
          <w:sz w:val="22"/>
        </w:rPr>
        <w:t> </w:t>
      </w:r>
      <w:r>
        <w:rPr>
          <w:sz w:val="22"/>
        </w:rPr>
        <w:t>States. </w:t>
      </w:r>
      <w:r>
        <w:rPr>
          <w:i/>
          <w:sz w:val="22"/>
        </w:rPr>
        <w:t>Cancer Causes Control</w:t>
      </w:r>
      <w:r>
        <w:rPr>
          <w:sz w:val="22"/>
        </w:rPr>
        <w:t>. 1996;7:449.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Sellers TA, Mink PJ, Cerhan JR, et al. The role of hormone replacement therapy in the risk for breast cancer and total mortality in women with a family history of breast cancer. </w:t>
      </w:r>
      <w:r>
        <w:rPr>
          <w:i/>
          <w:sz w:val="22"/>
        </w:rPr>
        <w:t>Ann Intern</w:t>
      </w:r>
      <w:r>
        <w:rPr>
          <w:i/>
          <w:sz w:val="22"/>
        </w:rPr>
        <w:t> Med</w:t>
      </w:r>
      <w:r>
        <w:rPr>
          <w:sz w:val="22"/>
        </w:rPr>
        <w:t>. 1997;127:973.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Schairer</w:t>
      </w:r>
      <w:r>
        <w:rPr>
          <w:spacing w:val="12"/>
          <w:sz w:val="22"/>
        </w:rPr>
        <w:t> </w:t>
      </w:r>
      <w:r>
        <w:rPr>
          <w:sz w:val="22"/>
        </w:rPr>
        <w:t>C,</w:t>
      </w:r>
      <w:r>
        <w:rPr>
          <w:spacing w:val="12"/>
          <w:sz w:val="22"/>
        </w:rPr>
        <w:t> </w:t>
      </w:r>
      <w:r>
        <w:rPr>
          <w:sz w:val="22"/>
        </w:rPr>
        <w:t>Gail</w:t>
      </w:r>
      <w:r>
        <w:rPr>
          <w:spacing w:val="12"/>
          <w:sz w:val="22"/>
        </w:rPr>
        <w:t> </w:t>
      </w:r>
      <w:r>
        <w:rPr>
          <w:sz w:val="22"/>
        </w:rPr>
        <w:t>M,</w:t>
      </w:r>
      <w:r>
        <w:rPr>
          <w:spacing w:val="12"/>
          <w:sz w:val="22"/>
        </w:rPr>
        <w:t> </w:t>
      </w:r>
      <w:r>
        <w:rPr>
          <w:sz w:val="22"/>
        </w:rPr>
        <w:t>Byrne</w:t>
      </w:r>
      <w:r>
        <w:rPr>
          <w:spacing w:val="12"/>
          <w:sz w:val="22"/>
        </w:rPr>
        <w:t> </w:t>
      </w:r>
      <w:r>
        <w:rPr>
          <w:sz w:val="22"/>
        </w:rPr>
        <w:t>C,</w:t>
      </w:r>
      <w:r>
        <w:rPr>
          <w:spacing w:val="12"/>
          <w:sz w:val="22"/>
        </w:rPr>
        <w:t> </w:t>
      </w:r>
      <w:r>
        <w:rPr>
          <w:sz w:val="22"/>
        </w:rPr>
        <w:t>et</w:t>
      </w:r>
      <w:r>
        <w:rPr>
          <w:spacing w:val="12"/>
          <w:sz w:val="22"/>
        </w:rPr>
        <w:t> </w:t>
      </w:r>
      <w:r>
        <w:rPr>
          <w:sz w:val="22"/>
        </w:rPr>
        <w:t>al.</w:t>
      </w:r>
      <w:r>
        <w:rPr>
          <w:spacing w:val="12"/>
          <w:sz w:val="22"/>
        </w:rPr>
        <w:t> </w:t>
      </w:r>
      <w:r>
        <w:rPr>
          <w:sz w:val="22"/>
        </w:rPr>
        <w:t>Estrogen</w:t>
      </w:r>
      <w:r>
        <w:rPr>
          <w:spacing w:val="14"/>
          <w:sz w:val="22"/>
        </w:rPr>
        <w:t> </w:t>
      </w:r>
      <w:r>
        <w:rPr>
          <w:sz w:val="22"/>
        </w:rPr>
        <w:t>replacement</w:t>
      </w:r>
      <w:r>
        <w:rPr>
          <w:spacing w:val="14"/>
          <w:sz w:val="22"/>
        </w:rPr>
        <w:t> </w:t>
      </w:r>
      <w:r>
        <w:rPr>
          <w:sz w:val="22"/>
        </w:rPr>
        <w:t>therapy</w:t>
      </w:r>
      <w:r>
        <w:rPr>
          <w:spacing w:val="14"/>
          <w:sz w:val="22"/>
        </w:rPr>
        <w:t> </w:t>
      </w:r>
      <w:r>
        <w:rPr>
          <w:sz w:val="22"/>
        </w:rPr>
        <w:t>and</w:t>
      </w:r>
      <w:r>
        <w:rPr>
          <w:spacing w:val="14"/>
          <w:sz w:val="22"/>
        </w:rPr>
        <w:t> </w:t>
      </w:r>
      <w:r>
        <w:rPr>
          <w:sz w:val="22"/>
        </w:rPr>
        <w:t>breast</w:t>
      </w:r>
      <w:r>
        <w:rPr>
          <w:spacing w:val="14"/>
          <w:sz w:val="22"/>
        </w:rPr>
        <w:t> </w:t>
      </w:r>
      <w:r>
        <w:rPr>
          <w:sz w:val="22"/>
        </w:rPr>
        <w:t>cancer</w:t>
      </w:r>
      <w:r>
        <w:rPr>
          <w:spacing w:val="14"/>
          <w:sz w:val="22"/>
        </w:rPr>
        <w:t> </w:t>
      </w:r>
      <w:r>
        <w:rPr>
          <w:sz w:val="22"/>
        </w:rPr>
        <w:t>survival</w:t>
      </w:r>
      <w:r>
        <w:rPr>
          <w:spacing w:val="14"/>
          <w:sz w:val="22"/>
        </w:rPr>
        <w:t> </w:t>
      </w:r>
      <w:r>
        <w:rPr>
          <w:sz w:val="22"/>
        </w:rPr>
        <w:t>in a large screening study. </w:t>
      </w:r>
      <w:r>
        <w:rPr>
          <w:i/>
          <w:sz w:val="22"/>
        </w:rPr>
        <w:t>J Natl Cancer Inst</w:t>
      </w:r>
      <w:r>
        <w:rPr>
          <w:sz w:val="22"/>
        </w:rPr>
        <w:t>. 1999;91:264.</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Fowble</w:t>
      </w:r>
      <w:r>
        <w:rPr>
          <w:spacing w:val="40"/>
          <w:sz w:val="22"/>
        </w:rPr>
        <w:t> </w:t>
      </w:r>
      <w:r>
        <w:rPr>
          <w:sz w:val="22"/>
        </w:rPr>
        <w:t>B,</w:t>
      </w:r>
      <w:r>
        <w:rPr>
          <w:spacing w:val="40"/>
          <w:sz w:val="22"/>
        </w:rPr>
        <w:t> </w:t>
      </w:r>
      <w:r>
        <w:rPr>
          <w:sz w:val="22"/>
        </w:rPr>
        <w:t>Hanlon</w:t>
      </w:r>
      <w:r>
        <w:rPr>
          <w:spacing w:val="40"/>
          <w:sz w:val="22"/>
        </w:rPr>
        <w:t> </w:t>
      </w:r>
      <w:r>
        <w:rPr>
          <w:sz w:val="22"/>
        </w:rPr>
        <w:t>A,</w:t>
      </w:r>
      <w:r>
        <w:rPr>
          <w:spacing w:val="40"/>
          <w:sz w:val="22"/>
        </w:rPr>
        <w:t> </w:t>
      </w:r>
      <w:r>
        <w:rPr>
          <w:sz w:val="22"/>
        </w:rPr>
        <w:t>Greedman</w:t>
      </w:r>
      <w:r>
        <w:rPr>
          <w:spacing w:val="40"/>
          <w:sz w:val="22"/>
        </w:rPr>
        <w:t> </w:t>
      </w:r>
      <w:r>
        <w:rPr>
          <w:sz w:val="22"/>
        </w:rPr>
        <w:t>G,</w:t>
      </w:r>
      <w:r>
        <w:rPr>
          <w:spacing w:val="40"/>
          <w:sz w:val="22"/>
        </w:rPr>
        <w:t> </w:t>
      </w:r>
      <w:r>
        <w:rPr>
          <w:sz w:val="22"/>
        </w:rPr>
        <w:t>et</w:t>
      </w:r>
      <w:r>
        <w:rPr>
          <w:spacing w:val="40"/>
          <w:sz w:val="22"/>
        </w:rPr>
        <w:t> </w:t>
      </w:r>
      <w:r>
        <w:rPr>
          <w:sz w:val="22"/>
        </w:rPr>
        <w:t>al.</w:t>
      </w:r>
      <w:r>
        <w:rPr>
          <w:spacing w:val="40"/>
          <w:sz w:val="22"/>
        </w:rPr>
        <w:t> </w:t>
      </w:r>
      <w:r>
        <w:rPr>
          <w:sz w:val="22"/>
        </w:rPr>
        <w:t>Postmenopausal</w:t>
      </w:r>
      <w:r>
        <w:rPr>
          <w:spacing w:val="40"/>
          <w:sz w:val="22"/>
        </w:rPr>
        <w:t> </w:t>
      </w:r>
      <w:r>
        <w:rPr>
          <w:sz w:val="22"/>
        </w:rPr>
        <w:t>hormone</w:t>
      </w:r>
      <w:r>
        <w:rPr>
          <w:spacing w:val="40"/>
          <w:sz w:val="22"/>
        </w:rPr>
        <w:t> </w:t>
      </w:r>
      <w:r>
        <w:rPr>
          <w:sz w:val="22"/>
        </w:rPr>
        <w:t>replacement</w:t>
      </w:r>
      <w:r>
        <w:rPr>
          <w:spacing w:val="40"/>
          <w:sz w:val="22"/>
        </w:rPr>
        <w:t> </w:t>
      </w:r>
      <w:r>
        <w:rPr>
          <w:sz w:val="22"/>
        </w:rPr>
        <w:t>therapy: effect</w:t>
      </w:r>
      <w:r>
        <w:rPr>
          <w:spacing w:val="40"/>
          <w:sz w:val="22"/>
        </w:rPr>
        <w:t> </w:t>
      </w:r>
      <w:r>
        <w:rPr>
          <w:sz w:val="22"/>
        </w:rPr>
        <w:t>on</w:t>
      </w:r>
      <w:r>
        <w:rPr>
          <w:spacing w:val="40"/>
          <w:sz w:val="22"/>
        </w:rPr>
        <w:t> </w:t>
      </w:r>
      <w:r>
        <w:rPr>
          <w:sz w:val="22"/>
        </w:rPr>
        <w:t>diagnosis</w:t>
      </w:r>
      <w:r>
        <w:rPr>
          <w:spacing w:val="40"/>
          <w:sz w:val="22"/>
        </w:rPr>
        <w:t> </w:t>
      </w:r>
      <w:r>
        <w:rPr>
          <w:sz w:val="22"/>
        </w:rPr>
        <w:t>and</w:t>
      </w:r>
      <w:r>
        <w:rPr>
          <w:spacing w:val="40"/>
          <w:sz w:val="22"/>
        </w:rPr>
        <w:t> </w:t>
      </w:r>
      <w:r>
        <w:rPr>
          <w:sz w:val="22"/>
        </w:rPr>
        <w:t>outcome</w:t>
      </w:r>
      <w:r>
        <w:rPr>
          <w:spacing w:val="40"/>
          <w:sz w:val="22"/>
        </w:rPr>
        <w:t> </w:t>
      </w:r>
      <w:r>
        <w:rPr>
          <w:sz w:val="22"/>
        </w:rPr>
        <w:t>in</w:t>
      </w:r>
      <w:r>
        <w:rPr>
          <w:spacing w:val="40"/>
          <w:sz w:val="22"/>
        </w:rPr>
        <w:t> </w:t>
      </w:r>
      <w:r>
        <w:rPr>
          <w:sz w:val="22"/>
        </w:rPr>
        <w:t>early-stage</w:t>
      </w:r>
      <w:r>
        <w:rPr>
          <w:spacing w:val="40"/>
          <w:sz w:val="22"/>
        </w:rPr>
        <w:t> </w:t>
      </w:r>
      <w:r>
        <w:rPr>
          <w:sz w:val="22"/>
        </w:rPr>
        <w:t>invasive</w:t>
      </w:r>
      <w:r>
        <w:rPr>
          <w:spacing w:val="40"/>
          <w:sz w:val="22"/>
        </w:rPr>
        <w:t> </w:t>
      </w:r>
      <w:r>
        <w:rPr>
          <w:sz w:val="22"/>
        </w:rPr>
        <w:t>breast</w:t>
      </w:r>
      <w:r>
        <w:rPr>
          <w:spacing w:val="40"/>
          <w:sz w:val="22"/>
        </w:rPr>
        <w:t> </w:t>
      </w:r>
      <w:r>
        <w:rPr>
          <w:sz w:val="22"/>
        </w:rPr>
        <w:t>cancer</w:t>
      </w:r>
      <w:r>
        <w:rPr>
          <w:spacing w:val="40"/>
          <w:sz w:val="22"/>
        </w:rPr>
        <w:t> </w:t>
      </w:r>
      <w:r>
        <w:rPr>
          <w:sz w:val="22"/>
        </w:rPr>
        <w:t>treated</w:t>
      </w:r>
      <w:r>
        <w:rPr>
          <w:spacing w:val="40"/>
          <w:sz w:val="22"/>
        </w:rPr>
        <w:t> </w:t>
      </w:r>
      <w:r>
        <w:rPr>
          <w:sz w:val="22"/>
        </w:rPr>
        <w:t>with conservative surgery and radiation. </w:t>
      </w:r>
      <w:r>
        <w:rPr>
          <w:i/>
          <w:sz w:val="22"/>
        </w:rPr>
        <w:t>J Clin Oncol</w:t>
      </w:r>
      <w:r>
        <w:rPr>
          <w:sz w:val="22"/>
        </w:rPr>
        <w:t>. 1999;17:1680.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Jernström H, Frenander J, Fernö M, Olsson H. Hormone replacement therapy before breast cancer diagnosis significantly reduces the overall death rate compared with never-use among</w:t>
      </w:r>
      <w:r>
        <w:rPr>
          <w:spacing w:val="40"/>
          <w:sz w:val="22"/>
        </w:rPr>
        <w:t> </w:t>
      </w:r>
      <w:r>
        <w:rPr>
          <w:sz w:val="22"/>
        </w:rPr>
        <w:t>984 breast cancer patients. </w:t>
      </w:r>
      <w:r>
        <w:rPr>
          <w:i/>
          <w:sz w:val="22"/>
        </w:rPr>
        <w:t>Br J Cancer</w:t>
      </w:r>
      <w:r>
        <w:rPr>
          <w:sz w:val="22"/>
        </w:rPr>
        <w:t>. 1999;80:1453.</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Nanda K, Bastian LA, Schulz K. Hormone replacement therapy and the risk of death </w:t>
      </w:r>
      <w:r>
        <w:rPr>
          <w:sz w:val="22"/>
        </w:rPr>
        <w:t>from</w:t>
      </w:r>
      <w:r>
        <w:rPr>
          <w:spacing w:val="80"/>
          <w:sz w:val="22"/>
        </w:rPr>
        <w:t> </w:t>
      </w:r>
      <w:r>
        <w:rPr>
          <w:sz w:val="22"/>
        </w:rPr>
        <w:t>breast cancer: a systematic review. </w:t>
      </w:r>
      <w:r>
        <w:rPr>
          <w:i/>
          <w:sz w:val="22"/>
        </w:rPr>
        <w:t>Am J Obstet Gynecol</w:t>
      </w:r>
      <w:r>
        <w:rPr>
          <w:sz w:val="22"/>
        </w:rPr>
        <w:t>. 2002;186:325.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Schuetz F, Diel IJ, Pueschel M, et al. Reduced incidence of distant metastases and lower mortality in 1072 patients with breast cancer with a history of hormone replacement therapy.</w:t>
      </w:r>
      <w:r>
        <w:rPr>
          <w:spacing w:val="80"/>
          <w:sz w:val="22"/>
        </w:rPr>
        <w:t> </w:t>
      </w:r>
      <w:r>
        <w:rPr>
          <w:i/>
          <w:sz w:val="22"/>
        </w:rPr>
        <w:t>Am J Obstet Gynecol</w:t>
      </w:r>
      <w:r>
        <w:rPr>
          <w:sz w:val="22"/>
        </w:rPr>
        <w:t>. 2007;196:342.e1.</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Christante D, Pommier S, Garreau J, Muller P, LaFleur B, Pommier R. Improved breast cancer survival among hormone replacement therapy users is durable after 5 years of additional</w:t>
      </w:r>
      <w:r>
        <w:rPr>
          <w:spacing w:val="80"/>
          <w:w w:val="150"/>
          <w:sz w:val="22"/>
        </w:rPr>
        <w:t> </w:t>
      </w:r>
      <w:r>
        <w:rPr>
          <w:sz w:val="22"/>
        </w:rPr>
        <w:t>follow-up. </w:t>
      </w:r>
      <w:r>
        <w:rPr>
          <w:i/>
          <w:sz w:val="22"/>
        </w:rPr>
        <w:t>Am J Surg</w:t>
      </w:r>
      <w:r>
        <w:rPr>
          <w:sz w:val="22"/>
        </w:rPr>
        <w:t>. 2008;196:505.</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Squitieri R, Tartter P, Ahmed S, Brower ST. Carcinoma of the breast in </w:t>
      </w:r>
      <w:r>
        <w:rPr>
          <w:sz w:val="22"/>
        </w:rPr>
        <w:t>postmenopausal hormone user and nonuser control groups. </w:t>
      </w:r>
      <w:r>
        <w:rPr>
          <w:i/>
          <w:sz w:val="22"/>
        </w:rPr>
        <w:t>J Am Coll Surg</w:t>
      </w:r>
      <w:r>
        <w:rPr>
          <w:sz w:val="22"/>
        </w:rPr>
        <w:t>. 1994;178:167.</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Bonnier P, Romain S, Giacalone PL, Laffargue F, Martin PM, Piana L. Clinical and biologic prognostic factors in breast cancer diagnosed during postmenopausal hormone </w:t>
      </w:r>
      <w:r>
        <w:rPr>
          <w:sz w:val="22"/>
        </w:rPr>
        <w:t>replacement therapy. </w:t>
      </w:r>
      <w:r>
        <w:rPr>
          <w:i/>
          <w:sz w:val="22"/>
        </w:rPr>
        <w:t>Obstet Gynecol</w:t>
      </w:r>
      <w:r>
        <w:rPr>
          <w:sz w:val="22"/>
        </w:rPr>
        <w:t>. 1995;85:11.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Magnusson C, Holmberg L, Norden T, Lindgren A, Persson I. Prognostic characteristics </w:t>
      </w:r>
      <w:r>
        <w:rPr>
          <w:sz w:val="22"/>
        </w:rPr>
        <w:t>in</w:t>
      </w:r>
      <w:r>
        <w:rPr>
          <w:spacing w:val="40"/>
          <w:sz w:val="22"/>
        </w:rPr>
        <w:t> </w:t>
      </w:r>
      <w:r>
        <w:rPr>
          <w:sz w:val="22"/>
        </w:rPr>
        <w:t>breast cancers after hormone replacement therapy. </w:t>
      </w:r>
      <w:r>
        <w:rPr>
          <w:i/>
          <w:sz w:val="22"/>
        </w:rPr>
        <w:t>Breast Cancer Res Treat</w:t>
      </w:r>
      <w:r>
        <w:rPr>
          <w:sz w:val="22"/>
        </w:rPr>
        <w:t>. 1996;38:325.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Harding C, Knox WF, Faragher EB, Baildam A, Bundred NJ. Hormone replacement </w:t>
      </w:r>
      <w:r>
        <w:rPr>
          <w:sz w:val="22"/>
        </w:rPr>
        <w:t>therapy</w:t>
      </w:r>
      <w:r>
        <w:rPr>
          <w:spacing w:val="80"/>
          <w:sz w:val="22"/>
        </w:rPr>
        <w:t> </w:t>
      </w:r>
      <w:r>
        <w:rPr>
          <w:sz w:val="22"/>
        </w:rPr>
        <w:t>and tumour grade in breast cancer: prospective study in screening unit. </w:t>
      </w:r>
      <w:r>
        <w:rPr>
          <w:i/>
          <w:sz w:val="22"/>
        </w:rPr>
        <w:t>Br Med J</w:t>
      </w:r>
      <w:r>
        <w:rPr>
          <w:sz w:val="22"/>
        </w:rPr>
        <w:t>.</w:t>
      </w:r>
      <w:r>
        <w:rPr>
          <w:spacing w:val="40"/>
          <w:sz w:val="22"/>
        </w:rPr>
        <w:t> </w:t>
      </w:r>
      <w:r>
        <w:rPr>
          <w:spacing w:val="-2"/>
          <w:sz w:val="22"/>
        </w:rPr>
        <w:t>1996;312:1646.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Holli K, Isola J, Cuzick J. Low biologic aggressiveness in breast cancer in women using hormone replacement therapy. </w:t>
      </w:r>
      <w:r>
        <w:rPr>
          <w:i/>
          <w:sz w:val="22"/>
        </w:rPr>
        <w:t>J Clin Oncol</w:t>
      </w:r>
      <w:r>
        <w:rPr>
          <w:sz w:val="22"/>
        </w:rPr>
        <w:t>. 1998;16:3115.</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O’Connor</w:t>
      </w:r>
      <w:r>
        <w:rPr>
          <w:spacing w:val="40"/>
          <w:sz w:val="22"/>
        </w:rPr>
        <w:t> </w:t>
      </w:r>
      <w:r>
        <w:rPr>
          <w:sz w:val="22"/>
        </w:rPr>
        <w:t>IF,</w:t>
      </w:r>
      <w:r>
        <w:rPr>
          <w:spacing w:val="40"/>
          <w:sz w:val="22"/>
        </w:rPr>
        <w:t> </w:t>
      </w:r>
      <w:r>
        <w:rPr>
          <w:sz w:val="22"/>
        </w:rPr>
        <w:t>Shembekar</w:t>
      </w:r>
      <w:r>
        <w:rPr>
          <w:spacing w:val="40"/>
          <w:sz w:val="22"/>
        </w:rPr>
        <w:t> </w:t>
      </w:r>
      <w:r>
        <w:rPr>
          <w:sz w:val="22"/>
        </w:rPr>
        <w:t>MV,</w:t>
      </w:r>
      <w:r>
        <w:rPr>
          <w:spacing w:val="40"/>
          <w:sz w:val="22"/>
        </w:rPr>
        <w:t> </w:t>
      </w:r>
      <w:r>
        <w:rPr>
          <w:sz w:val="22"/>
        </w:rPr>
        <w:t>Shousha</w:t>
      </w:r>
      <w:r>
        <w:rPr>
          <w:spacing w:val="40"/>
          <w:sz w:val="22"/>
        </w:rPr>
        <w:t> </w:t>
      </w:r>
      <w:r>
        <w:rPr>
          <w:sz w:val="22"/>
        </w:rPr>
        <w:t>S.</w:t>
      </w:r>
      <w:r>
        <w:rPr>
          <w:spacing w:val="40"/>
          <w:sz w:val="22"/>
        </w:rPr>
        <w:t> </w:t>
      </w:r>
      <w:r>
        <w:rPr>
          <w:sz w:val="22"/>
        </w:rPr>
        <w:t>Breast</w:t>
      </w:r>
      <w:r>
        <w:rPr>
          <w:spacing w:val="40"/>
          <w:sz w:val="22"/>
        </w:rPr>
        <w:t> </w:t>
      </w:r>
      <w:r>
        <w:rPr>
          <w:sz w:val="22"/>
        </w:rPr>
        <w:t>carcinoma</w:t>
      </w:r>
      <w:r>
        <w:rPr>
          <w:spacing w:val="40"/>
          <w:sz w:val="22"/>
        </w:rPr>
        <w:t> </w:t>
      </w:r>
      <w:r>
        <w:rPr>
          <w:sz w:val="22"/>
        </w:rPr>
        <w:t>developing</w:t>
      </w:r>
      <w:r>
        <w:rPr>
          <w:spacing w:val="40"/>
          <w:sz w:val="22"/>
        </w:rPr>
        <w:t> </w:t>
      </w:r>
      <w:r>
        <w:rPr>
          <w:sz w:val="22"/>
        </w:rPr>
        <w:t>in</w:t>
      </w:r>
      <w:r>
        <w:rPr>
          <w:spacing w:val="40"/>
          <w:sz w:val="22"/>
        </w:rPr>
        <w:t> </w:t>
      </w:r>
      <w:r>
        <w:rPr>
          <w:sz w:val="22"/>
        </w:rPr>
        <w:t>patients</w:t>
      </w:r>
      <w:r>
        <w:rPr>
          <w:spacing w:val="40"/>
          <w:sz w:val="22"/>
        </w:rPr>
        <w:t> </w:t>
      </w:r>
      <w:r>
        <w:rPr>
          <w:sz w:val="22"/>
        </w:rPr>
        <w:t>on hormone replacement therapy: a histological and immunohistological study. </w:t>
      </w:r>
      <w:r>
        <w:rPr>
          <w:i/>
          <w:sz w:val="22"/>
        </w:rPr>
        <w:t>J Clin Pathol</w:t>
      </w:r>
      <w:r>
        <w:rPr>
          <w:sz w:val="22"/>
        </w:rPr>
        <w:t>. </w:t>
      </w:r>
      <w:r>
        <w:rPr>
          <w:spacing w:val="-2"/>
          <w:sz w:val="22"/>
        </w:rPr>
        <w:t>1998;51:935.</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Salmon</w:t>
      </w:r>
      <w:r>
        <w:rPr>
          <w:spacing w:val="40"/>
          <w:sz w:val="22"/>
        </w:rPr>
        <w:t> </w:t>
      </w:r>
      <w:r>
        <w:rPr>
          <w:sz w:val="22"/>
        </w:rPr>
        <w:t>RJ,</w:t>
      </w:r>
      <w:r>
        <w:rPr>
          <w:spacing w:val="40"/>
          <w:sz w:val="22"/>
        </w:rPr>
        <w:t> </w:t>
      </w:r>
      <w:r>
        <w:rPr>
          <w:sz w:val="22"/>
        </w:rPr>
        <w:t>Ansquer</w:t>
      </w:r>
      <w:r>
        <w:rPr>
          <w:spacing w:val="40"/>
          <w:sz w:val="22"/>
        </w:rPr>
        <w:t> </w:t>
      </w:r>
      <w:r>
        <w:rPr>
          <w:sz w:val="22"/>
        </w:rPr>
        <w:t>Y,</w:t>
      </w:r>
      <w:r>
        <w:rPr>
          <w:spacing w:val="40"/>
          <w:sz w:val="22"/>
        </w:rPr>
        <w:t> </w:t>
      </w:r>
      <w:r>
        <w:rPr>
          <w:sz w:val="22"/>
        </w:rPr>
        <w:t>Asselain</w:t>
      </w:r>
      <w:r>
        <w:rPr>
          <w:spacing w:val="40"/>
          <w:sz w:val="22"/>
        </w:rPr>
        <w:t> </w:t>
      </w:r>
      <w:r>
        <w:rPr>
          <w:sz w:val="22"/>
        </w:rPr>
        <w:t>B,</w:t>
      </w:r>
      <w:r>
        <w:rPr>
          <w:spacing w:val="40"/>
          <w:sz w:val="22"/>
        </w:rPr>
        <w:t> </w:t>
      </w:r>
      <w:r>
        <w:rPr>
          <w:sz w:val="22"/>
        </w:rPr>
        <w:t>Languille</w:t>
      </w:r>
      <w:r>
        <w:rPr>
          <w:spacing w:val="40"/>
          <w:sz w:val="22"/>
        </w:rPr>
        <w:t> </w:t>
      </w:r>
      <w:r>
        <w:rPr>
          <w:sz w:val="22"/>
        </w:rPr>
        <w:t>O,</w:t>
      </w:r>
      <w:r>
        <w:rPr>
          <w:spacing w:val="40"/>
          <w:sz w:val="22"/>
        </w:rPr>
        <w:t> </w:t>
      </w:r>
      <w:r>
        <w:rPr>
          <w:sz w:val="22"/>
        </w:rPr>
        <w:t>Lesec</w:t>
      </w:r>
      <w:r>
        <w:rPr>
          <w:spacing w:val="40"/>
          <w:sz w:val="22"/>
        </w:rPr>
        <w:t> </w:t>
      </w:r>
      <w:r>
        <w:rPr>
          <w:sz w:val="22"/>
        </w:rPr>
        <w:t>G,</w:t>
      </w:r>
      <w:r>
        <w:rPr>
          <w:spacing w:val="40"/>
          <w:sz w:val="22"/>
        </w:rPr>
        <w:t> </w:t>
      </w:r>
      <w:r>
        <w:rPr>
          <w:sz w:val="22"/>
        </w:rPr>
        <w:t>Remvikos</w:t>
      </w:r>
      <w:r>
        <w:rPr>
          <w:spacing w:val="40"/>
          <w:sz w:val="22"/>
        </w:rPr>
        <w:t> </w:t>
      </w:r>
      <w:r>
        <w:rPr>
          <w:sz w:val="22"/>
        </w:rPr>
        <w:t>Y.</w:t>
      </w:r>
      <w:r>
        <w:rPr>
          <w:spacing w:val="40"/>
          <w:sz w:val="22"/>
        </w:rPr>
        <w:t> </w:t>
      </w:r>
      <w:r>
        <w:rPr>
          <w:sz w:val="22"/>
        </w:rPr>
        <w:t>Clinical</w:t>
      </w:r>
      <w:r>
        <w:rPr>
          <w:spacing w:val="40"/>
          <w:sz w:val="22"/>
        </w:rPr>
        <w:t> </w:t>
      </w:r>
      <w:r>
        <w:rPr>
          <w:sz w:val="22"/>
        </w:rPr>
        <w:t>and biological characteristics of breast cancers in post-menopausal women receiving </w:t>
      </w:r>
      <w:r>
        <w:rPr>
          <w:sz w:val="22"/>
        </w:rPr>
        <w:t>hormone replacement therapy for menopause. </w:t>
      </w:r>
      <w:r>
        <w:rPr>
          <w:i/>
          <w:sz w:val="22"/>
        </w:rPr>
        <w:t>Oncol Rep</w:t>
      </w:r>
      <w:r>
        <w:rPr>
          <w:sz w:val="22"/>
        </w:rPr>
        <w:t>. 1999;6:699.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Bilimoria MM, Winchester DJ, Sener SF, Motykie G, Sehgal UL, Winchester DP. </w:t>
      </w:r>
      <w:r>
        <w:rPr>
          <w:sz w:val="22"/>
        </w:rPr>
        <w:t>Estrogen replacement therapy and breast cancer: analysis of age of onset and tumor characteristics. </w:t>
      </w:r>
      <w:r>
        <w:rPr>
          <w:i/>
          <w:sz w:val="22"/>
        </w:rPr>
        <w:t>Ann</w:t>
      </w:r>
      <w:r>
        <w:rPr>
          <w:i/>
          <w:sz w:val="22"/>
        </w:rPr>
        <w:t> Surg Oncol</w:t>
      </w:r>
      <w:r>
        <w:rPr>
          <w:sz w:val="22"/>
        </w:rPr>
        <w:t>. 1999;6:200.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Stallard S, Litherland JC, Cordiner CM, et al. Effect of hormone replacement therapy on </w:t>
      </w:r>
      <w:r>
        <w:rPr>
          <w:sz w:val="22"/>
        </w:rPr>
        <w:t>the pathological stage of breast cancer: population based, cross sectional study. </w:t>
      </w:r>
      <w:r>
        <w:rPr>
          <w:i/>
          <w:sz w:val="22"/>
        </w:rPr>
        <w:t>Br Med J</w:t>
      </w:r>
      <w:r>
        <w:rPr>
          <w:sz w:val="22"/>
        </w:rPr>
        <w:t>. </w:t>
      </w:r>
      <w:r>
        <w:rPr>
          <w:spacing w:val="-2"/>
          <w:sz w:val="22"/>
        </w:rPr>
        <w:t>2000;320:348.</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9" w:hanging="507"/>
        <w:jc w:val="both"/>
        <w:rPr>
          <w:sz w:val="22"/>
        </w:rPr>
      </w:pPr>
      <w:r>
        <w:rPr>
          <w:sz w:val="22"/>
        </w:rPr>
        <w:t>Manjer</w:t>
      </w:r>
      <w:r>
        <w:rPr>
          <w:spacing w:val="40"/>
          <w:sz w:val="22"/>
        </w:rPr>
        <w:t> </w:t>
      </w:r>
      <w:r>
        <w:rPr>
          <w:sz w:val="22"/>
        </w:rPr>
        <w:t>J,</w:t>
      </w:r>
      <w:r>
        <w:rPr>
          <w:spacing w:val="40"/>
          <w:sz w:val="22"/>
        </w:rPr>
        <w:t> </w:t>
      </w:r>
      <w:r>
        <w:rPr>
          <w:sz w:val="22"/>
        </w:rPr>
        <w:t>Malina</w:t>
      </w:r>
      <w:r>
        <w:rPr>
          <w:spacing w:val="40"/>
          <w:sz w:val="22"/>
        </w:rPr>
        <w:t> </w:t>
      </w:r>
      <w:r>
        <w:rPr>
          <w:sz w:val="22"/>
        </w:rPr>
        <w:t>J,</w:t>
      </w:r>
      <w:r>
        <w:rPr>
          <w:spacing w:val="40"/>
          <w:sz w:val="22"/>
        </w:rPr>
        <w:t> </w:t>
      </w:r>
      <w:r>
        <w:rPr>
          <w:sz w:val="22"/>
        </w:rPr>
        <w:t>Berglund</w:t>
      </w:r>
      <w:r>
        <w:rPr>
          <w:spacing w:val="40"/>
          <w:sz w:val="22"/>
        </w:rPr>
        <w:t> </w:t>
      </w:r>
      <w:r>
        <w:rPr>
          <w:sz w:val="22"/>
        </w:rPr>
        <w:t>G,</w:t>
      </w:r>
      <w:r>
        <w:rPr>
          <w:spacing w:val="40"/>
          <w:sz w:val="22"/>
        </w:rPr>
        <w:t> </w:t>
      </w:r>
      <w:r>
        <w:rPr>
          <w:sz w:val="22"/>
        </w:rPr>
        <w:t>Bondeson</w:t>
      </w:r>
      <w:r>
        <w:rPr>
          <w:spacing w:val="40"/>
          <w:sz w:val="22"/>
        </w:rPr>
        <w:t> </w:t>
      </w:r>
      <w:r>
        <w:rPr>
          <w:sz w:val="22"/>
        </w:rPr>
        <w:t>L,</w:t>
      </w:r>
      <w:r>
        <w:rPr>
          <w:spacing w:val="40"/>
          <w:sz w:val="22"/>
        </w:rPr>
        <w:t> </w:t>
      </w:r>
      <w:r>
        <w:rPr>
          <w:sz w:val="22"/>
        </w:rPr>
        <w:t>Garne</w:t>
      </w:r>
      <w:r>
        <w:rPr>
          <w:spacing w:val="40"/>
          <w:sz w:val="22"/>
        </w:rPr>
        <w:t> </w:t>
      </w:r>
      <w:r>
        <w:rPr>
          <w:sz w:val="22"/>
        </w:rPr>
        <w:t>JP,</w:t>
      </w:r>
      <w:r>
        <w:rPr>
          <w:spacing w:val="40"/>
          <w:sz w:val="22"/>
        </w:rPr>
        <w:t> </w:t>
      </w:r>
      <w:r>
        <w:rPr>
          <w:sz w:val="22"/>
        </w:rPr>
        <w:t>Janzon</w:t>
      </w:r>
      <w:r>
        <w:rPr>
          <w:spacing w:val="40"/>
          <w:sz w:val="22"/>
        </w:rPr>
        <w:t> </w:t>
      </w:r>
      <w:r>
        <w:rPr>
          <w:sz w:val="22"/>
        </w:rPr>
        <w:t>L.</w:t>
      </w:r>
      <w:r>
        <w:rPr>
          <w:spacing w:val="40"/>
          <w:sz w:val="22"/>
        </w:rPr>
        <w:t> </w:t>
      </w:r>
      <w:r>
        <w:rPr>
          <w:sz w:val="22"/>
        </w:rPr>
        <w:t>Increased</w:t>
      </w:r>
      <w:r>
        <w:rPr>
          <w:spacing w:val="40"/>
          <w:sz w:val="22"/>
        </w:rPr>
        <w:t> </w:t>
      </w:r>
      <w:r>
        <w:rPr>
          <w:sz w:val="22"/>
        </w:rPr>
        <w:t>incidence</w:t>
      </w:r>
      <w:r>
        <w:rPr>
          <w:spacing w:val="40"/>
          <w:sz w:val="22"/>
        </w:rPr>
        <w:t> </w:t>
      </w:r>
      <w:r>
        <w:rPr>
          <w:sz w:val="22"/>
        </w:rPr>
        <w:t>of small and well-differentiated breast tumours in post-menopausal women following </w:t>
      </w:r>
      <w:r>
        <w:rPr>
          <w:sz w:val="22"/>
        </w:rPr>
        <w:t>hormone-replacement therapy. </w:t>
      </w:r>
      <w:r>
        <w:rPr>
          <w:i/>
          <w:sz w:val="22"/>
        </w:rPr>
        <w:t>Int J Cancer</w:t>
      </w:r>
      <w:r>
        <w:rPr>
          <w:sz w:val="22"/>
        </w:rPr>
        <w:t>. 2001;92:919.</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Delgado RC, Lubian Lopez DM. Prognosis of breast cancers detected in women </w:t>
      </w:r>
      <w:r>
        <w:rPr>
          <w:sz w:val="22"/>
        </w:rPr>
        <w:t>receiving hormone replacement therapy. </w:t>
      </w:r>
      <w:r>
        <w:rPr>
          <w:i/>
          <w:sz w:val="22"/>
        </w:rPr>
        <w:t>Maturitas</w:t>
      </w:r>
      <w:r>
        <w:rPr>
          <w:sz w:val="22"/>
        </w:rPr>
        <w:t>. 2001;20:147.</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Sacchini V, Zurrida S, Andreoni G, et al. Pathologic and biological prognostic factors of breast cancers in short- and long-term hormone replacement therapy users. </w:t>
      </w:r>
      <w:r>
        <w:rPr>
          <w:i/>
          <w:sz w:val="22"/>
        </w:rPr>
        <w:t>Ann Surg Oncol</w:t>
      </w:r>
      <w:r>
        <w:rPr>
          <w:sz w:val="22"/>
        </w:rPr>
        <w:t>. </w:t>
      </w:r>
      <w:r>
        <w:rPr>
          <w:spacing w:val="-2"/>
          <w:sz w:val="22"/>
        </w:rPr>
        <w:t>2002;9:266.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Cheek J, Lacy J, Toth-Fejel S, Morris K, Calhoun K, Pommier RF. The impact of </w:t>
      </w:r>
      <w:r>
        <w:rPr>
          <w:sz w:val="22"/>
        </w:rPr>
        <w:t>hormone replacement therapy on the detection and stage of breast cancer. </w:t>
      </w:r>
      <w:r>
        <w:rPr>
          <w:i/>
          <w:sz w:val="22"/>
        </w:rPr>
        <w:t>Arch Surg</w:t>
      </w:r>
      <w:r>
        <w:rPr>
          <w:sz w:val="22"/>
        </w:rPr>
        <w:t>. 2002;137:1015.</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Esteve J, Seradour B, Jacquemier J, Remontet L. Does a better grade of tumour occurring </w:t>
      </w:r>
      <w:r>
        <w:rPr>
          <w:sz w:val="22"/>
        </w:rPr>
        <w:t>in women</w:t>
      </w:r>
      <w:r>
        <w:rPr>
          <w:spacing w:val="40"/>
          <w:sz w:val="22"/>
        </w:rPr>
        <w:t> </w:t>
      </w:r>
      <w:r>
        <w:rPr>
          <w:sz w:val="22"/>
        </w:rPr>
        <w:t>under</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compensate</w:t>
      </w:r>
      <w:r>
        <w:rPr>
          <w:spacing w:val="40"/>
          <w:sz w:val="22"/>
        </w:rPr>
        <w:t> </w:t>
      </w:r>
      <w:r>
        <w:rPr>
          <w:sz w:val="22"/>
        </w:rPr>
        <w:t>for</w:t>
      </w:r>
      <w:r>
        <w:rPr>
          <w:spacing w:val="40"/>
          <w:sz w:val="22"/>
        </w:rPr>
        <w:t> </w:t>
      </w:r>
      <w:r>
        <w:rPr>
          <w:sz w:val="22"/>
        </w:rPr>
        <w:t>their</w:t>
      </w:r>
      <w:r>
        <w:rPr>
          <w:spacing w:val="40"/>
          <w:sz w:val="22"/>
        </w:rPr>
        <w:t> </w:t>
      </w:r>
      <w:r>
        <w:rPr>
          <w:sz w:val="22"/>
        </w:rPr>
        <w:t>lower</w:t>
      </w:r>
      <w:r>
        <w:rPr>
          <w:spacing w:val="40"/>
          <w:sz w:val="22"/>
        </w:rPr>
        <w:t> </w:t>
      </w:r>
      <w:r>
        <w:rPr>
          <w:sz w:val="22"/>
        </w:rPr>
        <w:t>probability</w:t>
      </w:r>
      <w:r>
        <w:rPr>
          <w:spacing w:val="40"/>
          <w:sz w:val="22"/>
        </w:rPr>
        <w:t> </w:t>
      </w:r>
      <w:r>
        <w:rPr>
          <w:sz w:val="22"/>
        </w:rPr>
        <w:t>of detection by screening mammography. </w:t>
      </w:r>
      <w:r>
        <w:rPr>
          <w:i/>
          <w:sz w:val="22"/>
        </w:rPr>
        <w:t>J Med Screen</w:t>
      </w:r>
      <w:r>
        <w:rPr>
          <w:sz w:val="22"/>
        </w:rPr>
        <w:t>. 2002;9:70.</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Pappo I, Meirshon I, Karni T, et al. The characteristics of malignant breast tumors in hormone replacement therapy users versus nonusers. </w:t>
      </w:r>
      <w:r>
        <w:rPr>
          <w:i/>
          <w:sz w:val="22"/>
        </w:rPr>
        <w:t>Ann Surg Oncol</w:t>
      </w:r>
      <w:r>
        <w:rPr>
          <w:sz w:val="22"/>
        </w:rPr>
        <w:t>. 2004;11:52.</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Gertig DM, Erbas B, Fletcher A, Amos A, Kavanagh AM. Duration of hormone replacement therapy, breast tumour size and grade in a screening programme. </w:t>
      </w:r>
      <w:r>
        <w:rPr>
          <w:i/>
          <w:sz w:val="22"/>
        </w:rPr>
        <w:t>Breast Cancer Res Treat</w:t>
      </w:r>
      <w:r>
        <w:rPr>
          <w:sz w:val="22"/>
        </w:rPr>
        <w:t>. </w:t>
      </w:r>
      <w:r>
        <w:rPr>
          <w:spacing w:val="-2"/>
          <w:sz w:val="22"/>
        </w:rPr>
        <w:t>2003;80:267.</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Sener</w:t>
      </w:r>
      <w:r>
        <w:rPr>
          <w:spacing w:val="26"/>
          <w:sz w:val="22"/>
        </w:rPr>
        <w:t> </w:t>
      </w:r>
      <w:r>
        <w:rPr>
          <w:sz w:val="22"/>
        </w:rPr>
        <w:t>SF,</w:t>
      </w:r>
      <w:r>
        <w:rPr>
          <w:spacing w:val="26"/>
          <w:sz w:val="22"/>
        </w:rPr>
        <w:t> </w:t>
      </w:r>
      <w:r>
        <w:rPr>
          <w:sz w:val="22"/>
        </w:rPr>
        <w:t>Winchester</w:t>
      </w:r>
      <w:r>
        <w:rPr>
          <w:spacing w:val="26"/>
          <w:sz w:val="22"/>
        </w:rPr>
        <w:t> </w:t>
      </w:r>
      <w:r>
        <w:rPr>
          <w:sz w:val="22"/>
        </w:rPr>
        <w:t>DJ,</w:t>
      </w:r>
      <w:r>
        <w:rPr>
          <w:spacing w:val="26"/>
          <w:sz w:val="22"/>
        </w:rPr>
        <w:t> </w:t>
      </w:r>
      <w:r>
        <w:rPr>
          <w:sz w:val="22"/>
        </w:rPr>
        <w:t>Winchester</w:t>
      </w:r>
      <w:r>
        <w:rPr>
          <w:spacing w:val="26"/>
          <w:sz w:val="22"/>
        </w:rPr>
        <w:t> </w:t>
      </w:r>
      <w:r>
        <w:rPr>
          <w:sz w:val="22"/>
        </w:rPr>
        <w:t>DP,</w:t>
      </w:r>
      <w:r>
        <w:rPr>
          <w:spacing w:val="26"/>
          <w:sz w:val="22"/>
        </w:rPr>
        <w:t> </w:t>
      </w:r>
      <w:r>
        <w:rPr>
          <w:sz w:val="22"/>
        </w:rPr>
        <w:t>et</w:t>
      </w:r>
      <w:r>
        <w:rPr>
          <w:spacing w:val="26"/>
          <w:sz w:val="22"/>
        </w:rPr>
        <w:t> </w:t>
      </w:r>
      <w:r>
        <w:rPr>
          <w:sz w:val="22"/>
        </w:rPr>
        <w:t>al.</w:t>
      </w:r>
      <w:r>
        <w:rPr>
          <w:spacing w:val="26"/>
          <w:sz w:val="22"/>
        </w:rPr>
        <w:t> </w:t>
      </w:r>
      <w:r>
        <w:rPr>
          <w:sz w:val="22"/>
        </w:rPr>
        <w:t>The</w:t>
      </w:r>
      <w:r>
        <w:rPr>
          <w:spacing w:val="27"/>
          <w:sz w:val="22"/>
        </w:rPr>
        <w:t> </w:t>
      </w:r>
      <w:r>
        <w:rPr>
          <w:sz w:val="22"/>
        </w:rPr>
        <w:t>effects</w:t>
      </w:r>
      <w:r>
        <w:rPr>
          <w:spacing w:val="27"/>
          <w:sz w:val="22"/>
        </w:rPr>
        <w:t> </w:t>
      </w:r>
      <w:r>
        <w:rPr>
          <w:sz w:val="22"/>
        </w:rPr>
        <w:t>of</w:t>
      </w:r>
      <w:r>
        <w:rPr>
          <w:spacing w:val="27"/>
          <w:sz w:val="22"/>
        </w:rPr>
        <w:t> </w:t>
      </w:r>
      <w:r>
        <w:rPr>
          <w:sz w:val="22"/>
        </w:rPr>
        <w:t>hormone</w:t>
      </w:r>
      <w:r>
        <w:rPr>
          <w:spacing w:val="27"/>
          <w:sz w:val="22"/>
        </w:rPr>
        <w:t> </w:t>
      </w:r>
      <w:r>
        <w:rPr>
          <w:sz w:val="22"/>
        </w:rPr>
        <w:t>replacement</w:t>
      </w:r>
      <w:r>
        <w:rPr>
          <w:spacing w:val="27"/>
          <w:sz w:val="22"/>
        </w:rPr>
        <w:t> </w:t>
      </w:r>
      <w:r>
        <w:rPr>
          <w:sz w:val="22"/>
        </w:rPr>
        <w:t>therapy on postmenopausal breast cancer biology and survival. </w:t>
      </w:r>
      <w:r>
        <w:rPr>
          <w:i/>
          <w:sz w:val="22"/>
        </w:rPr>
        <w:t>Am J Surg</w:t>
      </w:r>
      <w:r>
        <w:rPr>
          <w:sz w:val="22"/>
        </w:rPr>
        <w:t>. 2009;197:403.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Fletcher AS, Erbas B, Kavanagh AM, Hart S, Rodger A, Gertig DM. Use of hormone replacement therapy (HRT) and survival following breast cancer diagnosis. </w:t>
      </w:r>
      <w:r>
        <w:rPr>
          <w:i/>
          <w:sz w:val="22"/>
        </w:rPr>
        <w:t>Breast</w:t>
      </w:r>
      <w:r>
        <w:rPr>
          <w:sz w:val="22"/>
        </w:rPr>
        <w:t>.</w:t>
      </w:r>
      <w:r>
        <w:rPr>
          <w:spacing w:val="80"/>
          <w:sz w:val="22"/>
        </w:rPr>
        <w:t> </w:t>
      </w:r>
      <w:r>
        <w:rPr>
          <w:spacing w:val="-2"/>
          <w:sz w:val="22"/>
        </w:rPr>
        <w:t>2005;14:192.</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Carney</w:t>
      </w:r>
      <w:r>
        <w:rPr>
          <w:spacing w:val="40"/>
          <w:sz w:val="22"/>
        </w:rPr>
        <w:t> </w:t>
      </w:r>
      <w:r>
        <w:rPr>
          <w:sz w:val="22"/>
        </w:rPr>
        <w:t>PA,</w:t>
      </w:r>
      <w:r>
        <w:rPr>
          <w:spacing w:val="40"/>
          <w:sz w:val="22"/>
        </w:rPr>
        <w:t> </w:t>
      </w:r>
      <w:r>
        <w:rPr>
          <w:sz w:val="22"/>
        </w:rPr>
        <w:t>Miglioretti</w:t>
      </w:r>
      <w:r>
        <w:rPr>
          <w:spacing w:val="40"/>
          <w:sz w:val="22"/>
        </w:rPr>
        <w:t> </w:t>
      </w:r>
      <w:r>
        <w:rPr>
          <w:sz w:val="22"/>
        </w:rPr>
        <w:t>DL,</w:t>
      </w:r>
      <w:r>
        <w:rPr>
          <w:spacing w:val="40"/>
          <w:sz w:val="22"/>
        </w:rPr>
        <w:t> </w:t>
      </w:r>
      <w:r>
        <w:rPr>
          <w:sz w:val="22"/>
        </w:rPr>
        <w:t>Yankaskas</w:t>
      </w:r>
      <w:r>
        <w:rPr>
          <w:spacing w:val="40"/>
          <w:sz w:val="22"/>
        </w:rPr>
        <w:t> </w:t>
      </w:r>
      <w:r>
        <w:rPr>
          <w:sz w:val="22"/>
        </w:rPr>
        <w:t>BC,</w:t>
      </w:r>
      <w:r>
        <w:rPr>
          <w:spacing w:val="40"/>
          <w:sz w:val="22"/>
        </w:rPr>
        <w:t> </w:t>
      </w:r>
      <w:r>
        <w:rPr>
          <w:sz w:val="22"/>
        </w:rPr>
        <w:t>et</w:t>
      </w:r>
      <w:r>
        <w:rPr>
          <w:spacing w:val="40"/>
          <w:sz w:val="22"/>
        </w:rPr>
        <w:t> </w:t>
      </w:r>
      <w:r>
        <w:rPr>
          <w:sz w:val="22"/>
        </w:rPr>
        <w:t>al.</w:t>
      </w:r>
      <w:r>
        <w:rPr>
          <w:spacing w:val="40"/>
          <w:sz w:val="22"/>
        </w:rPr>
        <w:t> </w:t>
      </w:r>
      <w:r>
        <w:rPr>
          <w:sz w:val="22"/>
        </w:rPr>
        <w:t>Individual</w:t>
      </w:r>
      <w:r>
        <w:rPr>
          <w:spacing w:val="40"/>
          <w:sz w:val="22"/>
        </w:rPr>
        <w:t> </w:t>
      </w:r>
      <w:r>
        <w:rPr>
          <w:sz w:val="22"/>
        </w:rPr>
        <w:t>and</w:t>
      </w:r>
      <w:r>
        <w:rPr>
          <w:spacing w:val="40"/>
          <w:sz w:val="22"/>
        </w:rPr>
        <w:t> </w:t>
      </w:r>
      <w:r>
        <w:rPr>
          <w:sz w:val="22"/>
        </w:rPr>
        <w:t>combined</w:t>
      </w:r>
      <w:r>
        <w:rPr>
          <w:spacing w:val="40"/>
          <w:sz w:val="22"/>
        </w:rPr>
        <w:t> </w:t>
      </w:r>
      <w:r>
        <w:rPr>
          <w:sz w:val="22"/>
        </w:rPr>
        <w:t>effects</w:t>
      </w:r>
      <w:r>
        <w:rPr>
          <w:spacing w:val="40"/>
          <w:sz w:val="22"/>
        </w:rPr>
        <w:t> </w:t>
      </w:r>
      <w:r>
        <w:rPr>
          <w:sz w:val="22"/>
        </w:rPr>
        <w:t>of</w:t>
      </w:r>
      <w:r>
        <w:rPr>
          <w:spacing w:val="40"/>
          <w:sz w:val="22"/>
        </w:rPr>
        <w:t> </w:t>
      </w:r>
      <w:r>
        <w:rPr>
          <w:sz w:val="22"/>
        </w:rPr>
        <w:t>age, breast density, and hormone replacement therapy use on the accuracy of screening mammography. </w:t>
      </w:r>
      <w:r>
        <w:rPr>
          <w:i/>
          <w:sz w:val="22"/>
        </w:rPr>
        <w:t>Ann Intern Med</w:t>
      </w:r>
      <w:r>
        <w:rPr>
          <w:sz w:val="22"/>
        </w:rPr>
        <w:t>. 2005;138:168.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Carter CL, Allen C, Henson DE. Relation of tumor size, lymph node status, and survival in 24,740 breast cancer cases. </w:t>
      </w:r>
      <w:r>
        <w:rPr>
          <w:i/>
          <w:sz w:val="22"/>
        </w:rPr>
        <w:t>Cancer</w:t>
      </w:r>
      <w:r>
        <w:rPr>
          <w:sz w:val="22"/>
        </w:rPr>
        <w:t>. 1989;63:181.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Port ER, Tan LK, Borgen PI, Van Zee KJ. Incidence of axillary lymph node metastases in T1a and T1b breast carcinoma. </w:t>
      </w:r>
      <w:r>
        <w:rPr>
          <w:i/>
          <w:sz w:val="22"/>
        </w:rPr>
        <w:t>Ann Surg Oncol</w:t>
      </w:r>
      <w:r>
        <w:rPr>
          <w:sz w:val="22"/>
        </w:rPr>
        <w:t>. 1998;5:23.</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Gajdos C, Tartter PI, Bleiweiss IJ. Lymphatic invasion, tumor size, and age are independent predictors of axillary lymph node metastases in women with T1 breast cancers. </w:t>
      </w:r>
      <w:r>
        <w:rPr>
          <w:i/>
          <w:sz w:val="22"/>
        </w:rPr>
        <w:t>Ann </w:t>
      </w:r>
      <w:r>
        <w:rPr>
          <w:i/>
          <w:sz w:val="22"/>
        </w:rPr>
        <w:t>Surg</w:t>
      </w:r>
      <w:r>
        <w:rPr>
          <w:sz w:val="22"/>
        </w:rPr>
        <w:t>. </w:t>
      </w:r>
      <w:r>
        <w:rPr>
          <w:spacing w:val="-2"/>
          <w:sz w:val="22"/>
        </w:rPr>
        <w:t>1999;230:692.</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Heimann</w:t>
      </w:r>
      <w:r>
        <w:rPr>
          <w:spacing w:val="24"/>
          <w:sz w:val="22"/>
        </w:rPr>
        <w:t> </w:t>
      </w:r>
      <w:r>
        <w:rPr>
          <w:sz w:val="22"/>
        </w:rPr>
        <w:t>R,</w:t>
      </w:r>
      <w:r>
        <w:rPr>
          <w:spacing w:val="24"/>
          <w:sz w:val="22"/>
        </w:rPr>
        <w:t> </w:t>
      </w:r>
      <w:r>
        <w:rPr>
          <w:sz w:val="22"/>
        </w:rPr>
        <w:t>Munsell</w:t>
      </w:r>
      <w:r>
        <w:rPr>
          <w:spacing w:val="24"/>
          <w:sz w:val="22"/>
        </w:rPr>
        <w:t> </w:t>
      </w:r>
      <w:r>
        <w:rPr>
          <w:sz w:val="22"/>
        </w:rPr>
        <w:t>M,</w:t>
      </w:r>
      <w:r>
        <w:rPr>
          <w:spacing w:val="24"/>
          <w:sz w:val="22"/>
        </w:rPr>
        <w:t> </w:t>
      </w:r>
      <w:r>
        <w:rPr>
          <w:sz w:val="22"/>
        </w:rPr>
        <w:t>McBride</w:t>
      </w:r>
      <w:r>
        <w:rPr>
          <w:spacing w:val="24"/>
          <w:sz w:val="22"/>
        </w:rPr>
        <w:t> </w:t>
      </w:r>
      <w:r>
        <w:rPr>
          <w:sz w:val="22"/>
        </w:rPr>
        <w:t>R.</w:t>
      </w:r>
      <w:r>
        <w:rPr>
          <w:spacing w:val="24"/>
          <w:sz w:val="22"/>
        </w:rPr>
        <w:t> </w:t>
      </w:r>
      <w:r>
        <w:rPr>
          <w:sz w:val="22"/>
        </w:rPr>
        <w:t>Mammographically</w:t>
      </w:r>
      <w:r>
        <w:rPr>
          <w:spacing w:val="28"/>
          <w:sz w:val="22"/>
        </w:rPr>
        <w:t> </w:t>
      </w:r>
      <w:r>
        <w:rPr>
          <w:sz w:val="22"/>
        </w:rPr>
        <w:t>detected</w:t>
      </w:r>
      <w:r>
        <w:rPr>
          <w:spacing w:val="28"/>
          <w:sz w:val="22"/>
        </w:rPr>
        <w:t> </w:t>
      </w:r>
      <w:r>
        <w:rPr>
          <w:sz w:val="22"/>
        </w:rPr>
        <w:t>breast</w:t>
      </w:r>
      <w:r>
        <w:rPr>
          <w:spacing w:val="28"/>
          <w:sz w:val="22"/>
        </w:rPr>
        <w:t> </w:t>
      </w:r>
      <w:r>
        <w:rPr>
          <w:sz w:val="22"/>
        </w:rPr>
        <w:t>cancers</w:t>
      </w:r>
      <w:r>
        <w:rPr>
          <w:spacing w:val="28"/>
          <w:sz w:val="22"/>
        </w:rPr>
        <w:t> </w:t>
      </w:r>
      <w:r>
        <w:rPr>
          <w:sz w:val="22"/>
        </w:rPr>
        <w:t>and</w:t>
      </w:r>
      <w:r>
        <w:rPr>
          <w:spacing w:val="28"/>
          <w:sz w:val="22"/>
        </w:rPr>
        <w:t> </w:t>
      </w:r>
      <w:r>
        <w:rPr>
          <w:sz w:val="22"/>
        </w:rPr>
        <w:t>the</w:t>
      </w:r>
      <w:r>
        <w:rPr>
          <w:spacing w:val="28"/>
          <w:sz w:val="22"/>
        </w:rPr>
        <w:t> </w:t>
      </w:r>
      <w:r>
        <w:rPr>
          <w:sz w:val="22"/>
        </w:rPr>
        <w:t>risk of axillary lymph node involvement: is it just the tumor size? </w:t>
      </w:r>
      <w:r>
        <w:rPr>
          <w:i/>
          <w:sz w:val="22"/>
        </w:rPr>
        <w:t>Cancer J</w:t>
      </w:r>
      <w:r>
        <w:rPr>
          <w:sz w:val="22"/>
        </w:rPr>
        <w:t>. 2002;8:276.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Heiss G, Wallace R, Anderson GL, et al; WHI Investigators. Health risks and benefits 3 years after stopping randomized treatment with estrogen and progestin. </w:t>
      </w:r>
      <w:r>
        <w:rPr>
          <w:i/>
          <w:sz w:val="22"/>
        </w:rPr>
        <w:t>JAMA</w:t>
      </w:r>
      <w:r>
        <w:rPr>
          <w:sz w:val="22"/>
        </w:rPr>
        <w:t>. 2008;299:1036.</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Crandall CJ, Karlamangla A, Huang MH, Ursin G, Guan M, Greendale GA. Association</w:t>
      </w:r>
      <w:r>
        <w:rPr>
          <w:spacing w:val="40"/>
          <w:sz w:val="22"/>
        </w:rPr>
        <w:t> </w:t>
      </w:r>
      <w:r>
        <w:rPr>
          <w:sz w:val="22"/>
        </w:rPr>
        <w:t>of</w:t>
      </w:r>
      <w:r>
        <w:rPr>
          <w:spacing w:val="40"/>
          <w:sz w:val="22"/>
        </w:rPr>
        <w:t> </w:t>
      </w:r>
      <w:r>
        <w:rPr>
          <w:sz w:val="22"/>
        </w:rPr>
        <w:t>new-onset breast discomfort with an increase in mammographic density during hormone</w:t>
      </w:r>
      <w:r>
        <w:rPr>
          <w:spacing w:val="40"/>
          <w:sz w:val="22"/>
        </w:rPr>
        <w:t> </w:t>
      </w:r>
      <w:r>
        <w:rPr>
          <w:sz w:val="22"/>
        </w:rPr>
        <w:t>therapy. </w:t>
      </w:r>
      <w:r>
        <w:rPr>
          <w:i/>
          <w:sz w:val="22"/>
        </w:rPr>
        <w:t>Arch Intern Med</w:t>
      </w:r>
      <w:r>
        <w:rPr>
          <w:sz w:val="22"/>
        </w:rPr>
        <w:t>. 2006;166:1578.</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Crandall</w:t>
      </w:r>
      <w:r>
        <w:rPr>
          <w:spacing w:val="28"/>
          <w:sz w:val="22"/>
        </w:rPr>
        <w:t> </w:t>
      </w:r>
      <w:r>
        <w:rPr>
          <w:sz w:val="22"/>
        </w:rPr>
        <w:t>CJ,</w:t>
      </w:r>
      <w:r>
        <w:rPr>
          <w:spacing w:val="28"/>
          <w:sz w:val="22"/>
        </w:rPr>
        <w:t> </w:t>
      </w:r>
      <w:r>
        <w:rPr>
          <w:sz w:val="22"/>
        </w:rPr>
        <w:t>Aragaki</w:t>
      </w:r>
      <w:r>
        <w:rPr>
          <w:spacing w:val="28"/>
          <w:sz w:val="22"/>
        </w:rPr>
        <w:t> </w:t>
      </w:r>
      <w:r>
        <w:rPr>
          <w:sz w:val="22"/>
        </w:rPr>
        <w:t>AK,</w:t>
      </w:r>
      <w:r>
        <w:rPr>
          <w:spacing w:val="28"/>
          <w:sz w:val="22"/>
        </w:rPr>
        <w:t> </w:t>
      </w:r>
      <w:r>
        <w:rPr>
          <w:sz w:val="22"/>
        </w:rPr>
        <w:t>Chlebowski</w:t>
      </w:r>
      <w:r>
        <w:rPr>
          <w:spacing w:val="28"/>
          <w:sz w:val="22"/>
        </w:rPr>
        <w:t> </w:t>
      </w:r>
      <w:r>
        <w:rPr>
          <w:sz w:val="22"/>
        </w:rPr>
        <w:t>RT,</w:t>
      </w:r>
      <w:r>
        <w:rPr>
          <w:spacing w:val="28"/>
          <w:sz w:val="22"/>
        </w:rPr>
        <w:t> </w:t>
      </w:r>
      <w:r>
        <w:rPr>
          <w:sz w:val="22"/>
        </w:rPr>
        <w:t>et</w:t>
      </w:r>
      <w:r>
        <w:rPr>
          <w:spacing w:val="28"/>
          <w:sz w:val="22"/>
        </w:rPr>
        <w:t> </w:t>
      </w:r>
      <w:r>
        <w:rPr>
          <w:sz w:val="22"/>
        </w:rPr>
        <w:t>al.</w:t>
      </w:r>
      <w:r>
        <w:rPr>
          <w:spacing w:val="27"/>
          <w:sz w:val="22"/>
        </w:rPr>
        <w:t> </w:t>
      </w:r>
      <w:r>
        <w:rPr>
          <w:sz w:val="22"/>
        </w:rPr>
        <w:t>New-onset</w:t>
      </w:r>
      <w:r>
        <w:rPr>
          <w:spacing w:val="32"/>
          <w:sz w:val="22"/>
        </w:rPr>
        <w:t> </w:t>
      </w:r>
      <w:r>
        <w:rPr>
          <w:sz w:val="22"/>
        </w:rPr>
        <w:t>breast</w:t>
      </w:r>
      <w:r>
        <w:rPr>
          <w:spacing w:val="32"/>
          <w:sz w:val="22"/>
        </w:rPr>
        <w:t> </w:t>
      </w:r>
      <w:r>
        <w:rPr>
          <w:sz w:val="22"/>
        </w:rPr>
        <w:t>tenderness</w:t>
      </w:r>
      <w:r>
        <w:rPr>
          <w:spacing w:val="32"/>
          <w:sz w:val="22"/>
        </w:rPr>
        <w:t> </w:t>
      </w:r>
      <w:r>
        <w:rPr>
          <w:sz w:val="22"/>
        </w:rPr>
        <w:t>after</w:t>
      </w:r>
      <w:r>
        <w:rPr>
          <w:spacing w:val="32"/>
          <w:sz w:val="22"/>
        </w:rPr>
        <w:t> </w:t>
      </w:r>
      <w:r>
        <w:rPr>
          <w:sz w:val="22"/>
        </w:rPr>
        <w:t>initiation of estrogen plus progestin therapy and breast cancer risk. </w:t>
      </w:r>
      <w:r>
        <w:rPr>
          <w:i/>
          <w:sz w:val="22"/>
        </w:rPr>
        <w:t>Arch Intern Med</w:t>
      </w:r>
      <w:r>
        <w:rPr>
          <w:sz w:val="22"/>
        </w:rPr>
        <w:t>. 2009;169:1684.</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Boyd NF, Martin LJ, Sun L, et al. Mammographic density as a surrogate marker for the </w:t>
      </w:r>
      <w:r>
        <w:rPr>
          <w:sz w:val="22"/>
        </w:rPr>
        <w:t>effects</w:t>
      </w:r>
      <w:r>
        <w:rPr>
          <w:spacing w:val="40"/>
          <w:sz w:val="22"/>
        </w:rPr>
        <w:t> </w:t>
      </w:r>
      <w:r>
        <w:rPr>
          <w:sz w:val="22"/>
        </w:rPr>
        <w:t>of</w:t>
      </w:r>
      <w:r>
        <w:rPr>
          <w:spacing w:val="40"/>
          <w:sz w:val="22"/>
        </w:rPr>
        <w:t> </w:t>
      </w:r>
      <w:r>
        <w:rPr>
          <w:sz w:val="22"/>
        </w:rPr>
        <w:t>hormone</w:t>
      </w:r>
      <w:r>
        <w:rPr>
          <w:spacing w:val="40"/>
          <w:sz w:val="22"/>
        </w:rPr>
        <w:t> </w:t>
      </w:r>
      <w:r>
        <w:rPr>
          <w:sz w:val="22"/>
        </w:rPr>
        <w:t>therapy</w:t>
      </w:r>
      <w:r>
        <w:rPr>
          <w:spacing w:val="40"/>
          <w:sz w:val="22"/>
        </w:rPr>
        <w:t> </w:t>
      </w:r>
      <w:r>
        <w:rPr>
          <w:sz w:val="22"/>
        </w:rPr>
        <w:t>on</w:t>
      </w:r>
      <w:r>
        <w:rPr>
          <w:spacing w:val="40"/>
          <w:sz w:val="22"/>
        </w:rPr>
        <w:t> </w:t>
      </w:r>
      <w:r>
        <w:rPr>
          <w:sz w:val="22"/>
        </w:rPr>
        <w:t>risk</w:t>
      </w:r>
      <w:r>
        <w:rPr>
          <w:spacing w:val="40"/>
          <w:sz w:val="22"/>
        </w:rPr>
        <w:t> </w:t>
      </w:r>
      <w:r>
        <w:rPr>
          <w:sz w:val="22"/>
        </w:rPr>
        <w:t>of</w:t>
      </w:r>
      <w:r>
        <w:rPr>
          <w:spacing w:val="40"/>
          <w:sz w:val="22"/>
        </w:rPr>
        <w:t> </w:t>
      </w:r>
      <w:r>
        <w:rPr>
          <w:sz w:val="22"/>
        </w:rPr>
        <w:t>breast</w:t>
      </w:r>
      <w:r>
        <w:rPr>
          <w:spacing w:val="40"/>
          <w:sz w:val="22"/>
        </w:rPr>
        <w:t> </w:t>
      </w:r>
      <w:r>
        <w:rPr>
          <w:sz w:val="22"/>
        </w:rPr>
        <w:t>cancer.</w:t>
      </w:r>
      <w:r>
        <w:rPr>
          <w:spacing w:val="40"/>
          <w:sz w:val="22"/>
        </w:rPr>
        <w:t> </w:t>
      </w:r>
      <w:r>
        <w:rPr>
          <w:i/>
          <w:sz w:val="22"/>
        </w:rPr>
        <w:t>Cancer</w:t>
      </w:r>
      <w:r>
        <w:rPr>
          <w:i/>
          <w:spacing w:val="40"/>
          <w:sz w:val="22"/>
        </w:rPr>
        <w:t> </w:t>
      </w:r>
      <w:r>
        <w:rPr>
          <w:i/>
          <w:sz w:val="22"/>
        </w:rPr>
        <w:t>Epidemiol</w:t>
      </w:r>
      <w:r>
        <w:rPr>
          <w:i/>
          <w:spacing w:val="40"/>
          <w:sz w:val="22"/>
        </w:rPr>
        <w:t> </w:t>
      </w:r>
      <w:r>
        <w:rPr>
          <w:i/>
          <w:sz w:val="22"/>
        </w:rPr>
        <w:t>Biomarkers</w:t>
      </w:r>
      <w:r>
        <w:rPr>
          <w:i/>
          <w:spacing w:val="40"/>
          <w:sz w:val="22"/>
        </w:rPr>
        <w:t> </w:t>
      </w:r>
      <w:r>
        <w:rPr>
          <w:i/>
          <w:sz w:val="22"/>
        </w:rPr>
        <w:t>Prev</w:t>
      </w:r>
      <w:r>
        <w:rPr>
          <w:sz w:val="22"/>
        </w:rPr>
        <w:t>. </w:t>
      </w:r>
      <w:r>
        <w:rPr>
          <w:spacing w:val="-2"/>
          <w:sz w:val="22"/>
        </w:rPr>
        <w:t>2006;15:961.</w:t>
      </w:r>
    </w:p>
    <w:p>
      <w:pPr>
        <w:pStyle w:val="ListParagraph"/>
        <w:numPr>
          <w:ilvl w:val="0"/>
          <w:numId w:val="19"/>
        </w:numPr>
        <w:tabs>
          <w:tab w:pos="699" w:val="left" w:leader="none"/>
          <w:tab w:pos="718" w:val="left" w:leader="none"/>
        </w:tabs>
        <w:spacing w:line="256" w:lineRule="auto" w:before="0" w:after="0"/>
        <w:ind w:left="718" w:right="103" w:hanging="507"/>
        <w:jc w:val="both"/>
        <w:rPr>
          <w:sz w:val="22"/>
        </w:rPr>
      </w:pPr>
      <w:r>
        <w:rPr>
          <w:sz w:val="22"/>
        </w:rPr>
        <w:t>Rockhill</w:t>
      </w:r>
      <w:r>
        <w:rPr>
          <w:spacing w:val="40"/>
          <w:sz w:val="22"/>
        </w:rPr>
        <w:t> </w:t>
      </w:r>
      <w:r>
        <w:rPr>
          <w:sz w:val="22"/>
        </w:rPr>
        <w:t>B,</w:t>
      </w:r>
      <w:r>
        <w:rPr>
          <w:spacing w:val="40"/>
          <w:sz w:val="22"/>
        </w:rPr>
        <w:t> </w:t>
      </w:r>
      <w:r>
        <w:rPr>
          <w:sz w:val="22"/>
        </w:rPr>
        <w:t>Spiegelman</w:t>
      </w:r>
      <w:r>
        <w:rPr>
          <w:spacing w:val="40"/>
          <w:sz w:val="22"/>
        </w:rPr>
        <w:t> </w:t>
      </w:r>
      <w:r>
        <w:rPr>
          <w:sz w:val="22"/>
        </w:rPr>
        <w:t>D,</w:t>
      </w:r>
      <w:r>
        <w:rPr>
          <w:spacing w:val="40"/>
          <w:sz w:val="22"/>
        </w:rPr>
        <w:t> </w:t>
      </w:r>
      <w:r>
        <w:rPr>
          <w:sz w:val="22"/>
        </w:rPr>
        <w:t>Byrne</w:t>
      </w:r>
      <w:r>
        <w:rPr>
          <w:spacing w:val="40"/>
          <w:sz w:val="22"/>
        </w:rPr>
        <w:t> </w:t>
      </w:r>
      <w:r>
        <w:rPr>
          <w:sz w:val="22"/>
        </w:rPr>
        <w:t>C,</w:t>
      </w:r>
      <w:r>
        <w:rPr>
          <w:spacing w:val="40"/>
          <w:sz w:val="22"/>
        </w:rPr>
        <w:t> </w:t>
      </w:r>
      <w:r>
        <w:rPr>
          <w:sz w:val="22"/>
        </w:rPr>
        <w:t>Hunter</w:t>
      </w:r>
      <w:r>
        <w:rPr>
          <w:spacing w:val="40"/>
          <w:sz w:val="22"/>
        </w:rPr>
        <w:t> </w:t>
      </w:r>
      <w:r>
        <w:rPr>
          <w:sz w:val="22"/>
        </w:rPr>
        <w:t>DJ,</w:t>
      </w:r>
      <w:r>
        <w:rPr>
          <w:spacing w:val="40"/>
          <w:sz w:val="22"/>
        </w:rPr>
        <w:t> </w:t>
      </w:r>
      <w:r>
        <w:rPr>
          <w:sz w:val="22"/>
        </w:rPr>
        <w:t>Colditz</w:t>
      </w:r>
      <w:r>
        <w:rPr>
          <w:spacing w:val="40"/>
          <w:sz w:val="22"/>
        </w:rPr>
        <w:t> </w:t>
      </w:r>
      <w:r>
        <w:rPr>
          <w:sz w:val="22"/>
        </w:rPr>
        <w:t>GA.</w:t>
      </w:r>
      <w:r>
        <w:rPr>
          <w:spacing w:val="40"/>
          <w:sz w:val="22"/>
        </w:rPr>
        <w:t> </w:t>
      </w:r>
      <w:r>
        <w:rPr>
          <w:sz w:val="22"/>
        </w:rPr>
        <w:t>Validation</w:t>
      </w:r>
      <w:r>
        <w:rPr>
          <w:spacing w:val="40"/>
          <w:sz w:val="22"/>
        </w:rPr>
        <w:t> </w:t>
      </w:r>
      <w:r>
        <w:rPr>
          <w:sz w:val="22"/>
        </w:rPr>
        <w:t>of</w:t>
      </w:r>
      <w:r>
        <w:rPr>
          <w:spacing w:val="40"/>
          <w:sz w:val="22"/>
        </w:rPr>
        <w:t> </w:t>
      </w:r>
      <w:r>
        <w:rPr>
          <w:sz w:val="22"/>
        </w:rPr>
        <w:t>the</w:t>
      </w:r>
      <w:r>
        <w:rPr>
          <w:spacing w:val="40"/>
          <w:sz w:val="22"/>
        </w:rPr>
        <w:t> </w:t>
      </w:r>
      <w:r>
        <w:rPr>
          <w:sz w:val="22"/>
        </w:rPr>
        <w:t>Gail</w:t>
      </w:r>
      <w:r>
        <w:rPr>
          <w:spacing w:val="40"/>
          <w:sz w:val="22"/>
        </w:rPr>
        <w:t> </w:t>
      </w:r>
      <w:r>
        <w:rPr>
          <w:sz w:val="22"/>
        </w:rPr>
        <w:t>et</w:t>
      </w:r>
      <w:r>
        <w:rPr>
          <w:spacing w:val="40"/>
          <w:sz w:val="22"/>
        </w:rPr>
        <w:t> </w:t>
      </w:r>
      <w:r>
        <w:rPr>
          <w:sz w:val="22"/>
        </w:rPr>
        <w:t>al. model of breast cancer risk prediction and implications for chemoprevention. </w:t>
      </w:r>
      <w:r>
        <w:rPr>
          <w:i/>
          <w:sz w:val="22"/>
        </w:rPr>
        <w:t>J Natl Cancer</w:t>
      </w:r>
      <w:r>
        <w:rPr>
          <w:i/>
          <w:spacing w:val="80"/>
          <w:sz w:val="22"/>
        </w:rPr>
        <w:t> </w:t>
      </w:r>
      <w:r>
        <w:rPr>
          <w:i/>
          <w:sz w:val="22"/>
        </w:rPr>
        <w:t>Inst</w:t>
      </w:r>
      <w:r>
        <w:rPr>
          <w:sz w:val="22"/>
        </w:rPr>
        <w:t>. 2001;93:358.</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3" w:hanging="507"/>
        <w:jc w:val="both"/>
        <w:rPr>
          <w:sz w:val="22"/>
        </w:rPr>
      </w:pPr>
      <w:r>
        <w:rPr>
          <w:sz w:val="22"/>
        </w:rPr>
        <w:t>Elmore JG, Barton MB, Moceri VM, Polk S, Arena PJ, Fletcher SW. Ten-year risk of </w:t>
      </w:r>
      <w:r>
        <w:rPr>
          <w:sz w:val="22"/>
        </w:rPr>
        <w:t>false positive screening mammograms and clinical breast examinations. </w:t>
      </w:r>
      <w:r>
        <w:rPr>
          <w:i/>
          <w:sz w:val="22"/>
        </w:rPr>
        <w:t>N Engl J Med</w:t>
      </w:r>
      <w:r>
        <w:rPr>
          <w:sz w:val="22"/>
        </w:rPr>
        <w:t>. </w:t>
      </w:r>
      <w:r>
        <w:rPr>
          <w:spacing w:val="-2"/>
          <w:sz w:val="22"/>
        </w:rPr>
        <w:t>1998;338:1089.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Freedman M, San Martin J, O’Gorman J, et al. Digitized mammography: a clinical trial </w:t>
      </w:r>
      <w:r>
        <w:rPr>
          <w:sz w:val="22"/>
        </w:rPr>
        <w:t>of postmenopausal women randomly assigned to receive raloxifene, estrogen, or placebo. </w:t>
      </w:r>
      <w:r>
        <w:rPr>
          <w:i/>
          <w:sz w:val="22"/>
        </w:rPr>
        <w:t>J Natl</w:t>
      </w:r>
      <w:r>
        <w:rPr>
          <w:i/>
          <w:sz w:val="22"/>
        </w:rPr>
        <w:t> Cancer Inst</w:t>
      </w:r>
      <w:r>
        <w:rPr>
          <w:sz w:val="22"/>
        </w:rPr>
        <w:t>. 2001;93:51.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Mandelson</w:t>
      </w:r>
      <w:r>
        <w:rPr>
          <w:spacing w:val="40"/>
          <w:sz w:val="22"/>
        </w:rPr>
        <w:t> </w:t>
      </w:r>
      <w:r>
        <w:rPr>
          <w:sz w:val="22"/>
        </w:rPr>
        <w:t>MT,</w:t>
      </w:r>
      <w:r>
        <w:rPr>
          <w:spacing w:val="40"/>
          <w:sz w:val="22"/>
        </w:rPr>
        <w:t> </w:t>
      </w:r>
      <w:r>
        <w:rPr>
          <w:sz w:val="22"/>
        </w:rPr>
        <w:t>Oestreicher</w:t>
      </w:r>
      <w:r>
        <w:rPr>
          <w:spacing w:val="40"/>
          <w:sz w:val="22"/>
        </w:rPr>
        <w:t> </w:t>
      </w:r>
      <w:r>
        <w:rPr>
          <w:sz w:val="22"/>
        </w:rPr>
        <w:t>N,</w:t>
      </w:r>
      <w:r>
        <w:rPr>
          <w:spacing w:val="40"/>
          <w:sz w:val="22"/>
        </w:rPr>
        <w:t> </w:t>
      </w:r>
      <w:r>
        <w:rPr>
          <w:sz w:val="22"/>
        </w:rPr>
        <w:t>Porter</w:t>
      </w:r>
      <w:r>
        <w:rPr>
          <w:spacing w:val="40"/>
          <w:sz w:val="22"/>
        </w:rPr>
        <w:t> </w:t>
      </w:r>
      <w:r>
        <w:rPr>
          <w:sz w:val="22"/>
        </w:rPr>
        <w:t>PL,</w:t>
      </w:r>
      <w:r>
        <w:rPr>
          <w:spacing w:val="40"/>
          <w:sz w:val="22"/>
        </w:rPr>
        <w:t> </w:t>
      </w:r>
      <w:r>
        <w:rPr>
          <w:sz w:val="22"/>
        </w:rPr>
        <w:t>et</w:t>
      </w:r>
      <w:r>
        <w:rPr>
          <w:spacing w:val="40"/>
          <w:sz w:val="22"/>
        </w:rPr>
        <w:t> </w:t>
      </w:r>
      <w:r>
        <w:rPr>
          <w:sz w:val="22"/>
        </w:rPr>
        <w:t>al.</w:t>
      </w:r>
      <w:r>
        <w:rPr>
          <w:spacing w:val="40"/>
          <w:sz w:val="22"/>
        </w:rPr>
        <w:t> </w:t>
      </w:r>
      <w:r>
        <w:rPr>
          <w:sz w:val="22"/>
        </w:rPr>
        <w:t>Breast</w:t>
      </w:r>
      <w:r>
        <w:rPr>
          <w:spacing w:val="40"/>
          <w:sz w:val="22"/>
        </w:rPr>
        <w:t> </w:t>
      </w:r>
      <w:r>
        <w:rPr>
          <w:sz w:val="22"/>
        </w:rPr>
        <w:t>density</w:t>
      </w:r>
      <w:r>
        <w:rPr>
          <w:spacing w:val="40"/>
          <w:sz w:val="22"/>
        </w:rPr>
        <w:t> </w:t>
      </w:r>
      <w:r>
        <w:rPr>
          <w:sz w:val="22"/>
        </w:rPr>
        <w:t>as</w:t>
      </w:r>
      <w:r>
        <w:rPr>
          <w:spacing w:val="40"/>
          <w:sz w:val="22"/>
        </w:rPr>
        <w:t> </w:t>
      </w:r>
      <w:r>
        <w:rPr>
          <w:sz w:val="22"/>
        </w:rPr>
        <w:t>a</w:t>
      </w:r>
      <w:r>
        <w:rPr>
          <w:spacing w:val="40"/>
          <w:sz w:val="22"/>
        </w:rPr>
        <w:t> </w:t>
      </w:r>
      <w:r>
        <w:rPr>
          <w:sz w:val="22"/>
        </w:rPr>
        <w:t>predictor</w:t>
      </w:r>
      <w:r>
        <w:rPr>
          <w:spacing w:val="40"/>
          <w:sz w:val="22"/>
        </w:rPr>
        <w:t> </w:t>
      </w:r>
      <w:r>
        <w:rPr>
          <w:sz w:val="22"/>
        </w:rPr>
        <w:t>of mammographic detection: comparison of interval- and screen-detected cancers. </w:t>
      </w:r>
      <w:r>
        <w:rPr>
          <w:i/>
          <w:sz w:val="22"/>
        </w:rPr>
        <w:t>J Natl Cancer</w:t>
      </w:r>
      <w:r>
        <w:rPr>
          <w:i/>
          <w:sz w:val="22"/>
        </w:rPr>
        <w:t> Inst</w:t>
      </w:r>
      <w:r>
        <w:rPr>
          <w:sz w:val="22"/>
        </w:rPr>
        <w:t>. 2000;92:1081.</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Ong</w:t>
      </w:r>
      <w:r>
        <w:rPr>
          <w:spacing w:val="39"/>
          <w:sz w:val="22"/>
        </w:rPr>
        <w:t> </w:t>
      </w:r>
      <w:r>
        <w:rPr>
          <w:sz w:val="22"/>
        </w:rPr>
        <w:t>G,</w:t>
      </w:r>
      <w:r>
        <w:rPr>
          <w:spacing w:val="39"/>
          <w:sz w:val="22"/>
        </w:rPr>
        <w:t> </w:t>
      </w:r>
      <w:r>
        <w:rPr>
          <w:sz w:val="22"/>
        </w:rPr>
        <w:t>Austoker</w:t>
      </w:r>
      <w:r>
        <w:rPr>
          <w:spacing w:val="39"/>
          <w:sz w:val="22"/>
        </w:rPr>
        <w:t> </w:t>
      </w:r>
      <w:r>
        <w:rPr>
          <w:sz w:val="22"/>
        </w:rPr>
        <w:t>J,</w:t>
      </w:r>
      <w:r>
        <w:rPr>
          <w:spacing w:val="39"/>
          <w:sz w:val="22"/>
        </w:rPr>
        <w:t> </w:t>
      </w:r>
      <w:r>
        <w:rPr>
          <w:sz w:val="22"/>
        </w:rPr>
        <w:t>Brett</w:t>
      </w:r>
      <w:r>
        <w:rPr>
          <w:spacing w:val="39"/>
          <w:sz w:val="22"/>
        </w:rPr>
        <w:t> </w:t>
      </w:r>
      <w:r>
        <w:rPr>
          <w:sz w:val="22"/>
        </w:rPr>
        <w:t>J.</w:t>
      </w:r>
      <w:r>
        <w:rPr>
          <w:spacing w:val="39"/>
          <w:sz w:val="22"/>
        </w:rPr>
        <w:t> </w:t>
      </w:r>
      <w:r>
        <w:rPr>
          <w:sz w:val="22"/>
        </w:rPr>
        <w:t>Breast</w:t>
      </w:r>
      <w:r>
        <w:rPr>
          <w:spacing w:val="40"/>
          <w:sz w:val="22"/>
        </w:rPr>
        <w:t> </w:t>
      </w:r>
      <w:r>
        <w:rPr>
          <w:sz w:val="22"/>
        </w:rPr>
        <w:t>screening:</w:t>
      </w:r>
      <w:r>
        <w:rPr>
          <w:spacing w:val="40"/>
          <w:sz w:val="22"/>
        </w:rPr>
        <w:t> </w:t>
      </w:r>
      <w:r>
        <w:rPr>
          <w:sz w:val="22"/>
        </w:rPr>
        <w:t>adverse</w:t>
      </w:r>
      <w:r>
        <w:rPr>
          <w:spacing w:val="40"/>
          <w:sz w:val="22"/>
        </w:rPr>
        <w:t> </w:t>
      </w:r>
      <w:r>
        <w:rPr>
          <w:sz w:val="22"/>
        </w:rPr>
        <w:t>psychological</w:t>
      </w:r>
      <w:r>
        <w:rPr>
          <w:spacing w:val="40"/>
          <w:sz w:val="22"/>
        </w:rPr>
        <w:t> </w:t>
      </w:r>
      <w:r>
        <w:rPr>
          <w:sz w:val="22"/>
        </w:rPr>
        <w:t>consequences</w:t>
      </w:r>
      <w:r>
        <w:rPr>
          <w:spacing w:val="40"/>
          <w:sz w:val="22"/>
        </w:rPr>
        <w:t> </w:t>
      </w:r>
      <w:r>
        <w:rPr>
          <w:sz w:val="22"/>
        </w:rPr>
        <w:t>1</w:t>
      </w:r>
      <w:r>
        <w:rPr>
          <w:spacing w:val="40"/>
          <w:sz w:val="22"/>
        </w:rPr>
        <w:t> </w:t>
      </w:r>
      <w:r>
        <w:rPr>
          <w:sz w:val="22"/>
        </w:rPr>
        <w:t>month after placing women on early recall because of a diagnostic uncertainty. A multicentre study. </w:t>
      </w:r>
      <w:r>
        <w:rPr>
          <w:i/>
          <w:sz w:val="22"/>
        </w:rPr>
        <w:t>J</w:t>
      </w:r>
      <w:r>
        <w:rPr>
          <w:i/>
          <w:sz w:val="22"/>
        </w:rPr>
        <w:t> Med Screen</w:t>
      </w:r>
      <w:r>
        <w:rPr>
          <w:sz w:val="22"/>
        </w:rPr>
        <w:t>. 1997;4:158.</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El-Bastawissi AY, White E, Mandelson MT, Taplin SH. Reproductive and hormonal factors associated with mammographic breast density by age (United States). </w:t>
      </w:r>
      <w:r>
        <w:rPr>
          <w:i/>
          <w:sz w:val="22"/>
        </w:rPr>
        <w:t>Cancer Causes </w:t>
      </w:r>
      <w:r>
        <w:rPr>
          <w:i/>
          <w:sz w:val="22"/>
        </w:rPr>
        <w:t>Control</w:t>
      </w:r>
      <w:r>
        <w:rPr>
          <w:sz w:val="22"/>
        </w:rPr>
        <w:t>. </w:t>
      </w:r>
      <w:r>
        <w:rPr>
          <w:spacing w:val="-2"/>
          <w:sz w:val="22"/>
        </w:rPr>
        <w:t>2000;11:955.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Boyd NF, Martin LJ, Rommens JM, et al. Mammographic density: a heritable risk factor </w:t>
      </w:r>
      <w:r>
        <w:rPr>
          <w:sz w:val="22"/>
        </w:rPr>
        <w:t>for breast cancer. </w:t>
      </w:r>
      <w:r>
        <w:rPr>
          <w:i/>
          <w:sz w:val="22"/>
        </w:rPr>
        <w:t>Methods Mol Biol</w:t>
      </w:r>
      <w:r>
        <w:rPr>
          <w:sz w:val="22"/>
        </w:rPr>
        <w:t>. 2009;472:343.</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Byrne</w:t>
      </w:r>
      <w:r>
        <w:rPr>
          <w:spacing w:val="35"/>
          <w:sz w:val="22"/>
        </w:rPr>
        <w:t> </w:t>
      </w:r>
      <w:r>
        <w:rPr>
          <w:sz w:val="22"/>
        </w:rPr>
        <w:t>C,</w:t>
      </w:r>
      <w:r>
        <w:rPr>
          <w:spacing w:val="35"/>
          <w:sz w:val="22"/>
        </w:rPr>
        <w:t> </w:t>
      </w:r>
      <w:r>
        <w:rPr>
          <w:sz w:val="22"/>
        </w:rPr>
        <w:t>Schairer</w:t>
      </w:r>
      <w:r>
        <w:rPr>
          <w:spacing w:val="35"/>
          <w:sz w:val="22"/>
        </w:rPr>
        <w:t> </w:t>
      </w:r>
      <w:r>
        <w:rPr>
          <w:sz w:val="22"/>
        </w:rPr>
        <w:t>C,</w:t>
      </w:r>
      <w:r>
        <w:rPr>
          <w:spacing w:val="35"/>
          <w:sz w:val="22"/>
        </w:rPr>
        <w:t> </w:t>
      </w:r>
      <w:r>
        <w:rPr>
          <w:sz w:val="22"/>
        </w:rPr>
        <w:t>Wolfe</w:t>
      </w:r>
      <w:r>
        <w:rPr>
          <w:spacing w:val="35"/>
          <w:sz w:val="22"/>
        </w:rPr>
        <w:t> </w:t>
      </w:r>
      <w:r>
        <w:rPr>
          <w:sz w:val="22"/>
        </w:rPr>
        <w:t>J,</w:t>
      </w:r>
      <w:r>
        <w:rPr>
          <w:spacing w:val="35"/>
          <w:sz w:val="22"/>
        </w:rPr>
        <w:t> </w:t>
      </w:r>
      <w:r>
        <w:rPr>
          <w:sz w:val="22"/>
        </w:rPr>
        <w:t>et</w:t>
      </w:r>
      <w:r>
        <w:rPr>
          <w:spacing w:val="35"/>
          <w:sz w:val="22"/>
        </w:rPr>
        <w:t> </w:t>
      </w:r>
      <w:r>
        <w:rPr>
          <w:sz w:val="22"/>
        </w:rPr>
        <w:t>al.</w:t>
      </w:r>
      <w:r>
        <w:rPr>
          <w:spacing w:val="35"/>
          <w:sz w:val="22"/>
        </w:rPr>
        <w:t> </w:t>
      </w:r>
      <w:r>
        <w:rPr>
          <w:sz w:val="22"/>
        </w:rPr>
        <w:t>Mammographic</w:t>
      </w:r>
      <w:r>
        <w:rPr>
          <w:spacing w:val="36"/>
          <w:sz w:val="22"/>
        </w:rPr>
        <w:t> </w:t>
      </w:r>
      <w:r>
        <w:rPr>
          <w:sz w:val="22"/>
        </w:rPr>
        <w:t>features</w:t>
      </w:r>
      <w:r>
        <w:rPr>
          <w:spacing w:val="36"/>
          <w:sz w:val="22"/>
        </w:rPr>
        <w:t> </w:t>
      </w:r>
      <w:r>
        <w:rPr>
          <w:sz w:val="22"/>
        </w:rPr>
        <w:t>and</w:t>
      </w:r>
      <w:r>
        <w:rPr>
          <w:spacing w:val="36"/>
          <w:sz w:val="22"/>
        </w:rPr>
        <w:t> </w:t>
      </w:r>
      <w:r>
        <w:rPr>
          <w:sz w:val="22"/>
        </w:rPr>
        <w:t>breast</w:t>
      </w:r>
      <w:r>
        <w:rPr>
          <w:spacing w:val="36"/>
          <w:sz w:val="22"/>
        </w:rPr>
        <w:t> </w:t>
      </w:r>
      <w:r>
        <w:rPr>
          <w:sz w:val="22"/>
        </w:rPr>
        <w:t>cancer</w:t>
      </w:r>
      <w:r>
        <w:rPr>
          <w:spacing w:val="36"/>
          <w:sz w:val="22"/>
        </w:rPr>
        <w:t> </w:t>
      </w:r>
      <w:r>
        <w:rPr>
          <w:sz w:val="22"/>
        </w:rPr>
        <w:t>risk:</w:t>
      </w:r>
      <w:r>
        <w:rPr>
          <w:spacing w:val="36"/>
          <w:sz w:val="22"/>
        </w:rPr>
        <w:t> </w:t>
      </w:r>
      <w:r>
        <w:rPr>
          <w:sz w:val="22"/>
        </w:rPr>
        <w:t>effects with time, age, and menopause status. </w:t>
      </w:r>
      <w:r>
        <w:rPr>
          <w:i/>
          <w:sz w:val="22"/>
        </w:rPr>
        <w:t>J Natl Cancer Inst</w:t>
      </w:r>
      <w:r>
        <w:rPr>
          <w:sz w:val="22"/>
        </w:rPr>
        <w:t>. 1995;87:1622.</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Byng JW, Yaffe MJ, Jong RA, et al. Analysis of mammographic density and breast cancer risk from digitized mammograms. </w:t>
      </w:r>
      <w:r>
        <w:rPr>
          <w:i/>
          <w:sz w:val="22"/>
        </w:rPr>
        <w:t>Radiographics</w:t>
      </w:r>
      <w:r>
        <w:rPr>
          <w:sz w:val="22"/>
        </w:rPr>
        <w:t>. 1998;18:1587.</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Ursin</w:t>
      </w:r>
      <w:r>
        <w:rPr>
          <w:spacing w:val="40"/>
          <w:sz w:val="22"/>
        </w:rPr>
        <w:t> </w:t>
      </w:r>
      <w:r>
        <w:rPr>
          <w:sz w:val="22"/>
        </w:rPr>
        <w:t>G,</w:t>
      </w:r>
      <w:r>
        <w:rPr>
          <w:spacing w:val="40"/>
          <w:sz w:val="22"/>
        </w:rPr>
        <w:t> </w:t>
      </w:r>
      <w:r>
        <w:rPr>
          <w:sz w:val="22"/>
        </w:rPr>
        <w:t>Ma</w:t>
      </w:r>
      <w:r>
        <w:rPr>
          <w:spacing w:val="40"/>
          <w:sz w:val="22"/>
        </w:rPr>
        <w:t> </w:t>
      </w:r>
      <w:r>
        <w:rPr>
          <w:sz w:val="22"/>
        </w:rPr>
        <w:t>H,</w:t>
      </w:r>
      <w:r>
        <w:rPr>
          <w:spacing w:val="40"/>
          <w:sz w:val="22"/>
        </w:rPr>
        <w:t> </w:t>
      </w:r>
      <w:r>
        <w:rPr>
          <w:sz w:val="22"/>
        </w:rPr>
        <w:t>Wu</w:t>
      </w:r>
      <w:r>
        <w:rPr>
          <w:spacing w:val="40"/>
          <w:sz w:val="22"/>
        </w:rPr>
        <w:t> </w:t>
      </w:r>
      <w:r>
        <w:rPr>
          <w:sz w:val="22"/>
        </w:rPr>
        <w:t>AH,</w:t>
      </w:r>
      <w:r>
        <w:rPr>
          <w:spacing w:val="40"/>
          <w:sz w:val="22"/>
        </w:rPr>
        <w:t> </w:t>
      </w:r>
      <w:r>
        <w:rPr>
          <w:sz w:val="22"/>
        </w:rPr>
        <w:t>et</w:t>
      </w:r>
      <w:r>
        <w:rPr>
          <w:spacing w:val="40"/>
          <w:sz w:val="22"/>
        </w:rPr>
        <w:t> </w:t>
      </w:r>
      <w:r>
        <w:rPr>
          <w:sz w:val="22"/>
        </w:rPr>
        <w:t>al.</w:t>
      </w:r>
      <w:r>
        <w:rPr>
          <w:spacing w:val="40"/>
          <w:sz w:val="22"/>
        </w:rPr>
        <w:t> </w:t>
      </w:r>
      <w:r>
        <w:rPr>
          <w:sz w:val="22"/>
        </w:rPr>
        <w:t>Mammographic</w:t>
      </w:r>
      <w:r>
        <w:rPr>
          <w:spacing w:val="40"/>
          <w:sz w:val="22"/>
        </w:rPr>
        <w:t> </w:t>
      </w:r>
      <w:r>
        <w:rPr>
          <w:sz w:val="22"/>
        </w:rPr>
        <w:t>density</w:t>
      </w:r>
      <w:r>
        <w:rPr>
          <w:spacing w:val="40"/>
          <w:sz w:val="22"/>
        </w:rPr>
        <w:t> </w:t>
      </w:r>
      <w:r>
        <w:rPr>
          <w:sz w:val="22"/>
        </w:rPr>
        <w:t>and</w:t>
      </w:r>
      <w:r>
        <w:rPr>
          <w:spacing w:val="40"/>
          <w:sz w:val="22"/>
        </w:rPr>
        <w:t> </w:t>
      </w:r>
      <w:r>
        <w:rPr>
          <w:sz w:val="22"/>
        </w:rPr>
        <w:t>breast</w:t>
      </w:r>
      <w:r>
        <w:rPr>
          <w:spacing w:val="40"/>
          <w:sz w:val="22"/>
        </w:rPr>
        <w:t> </w:t>
      </w:r>
      <w:r>
        <w:rPr>
          <w:sz w:val="22"/>
        </w:rPr>
        <w:t>cancer</w:t>
      </w:r>
      <w:r>
        <w:rPr>
          <w:spacing w:val="40"/>
          <w:sz w:val="22"/>
        </w:rPr>
        <w:t> </w:t>
      </w:r>
      <w:r>
        <w:rPr>
          <w:sz w:val="22"/>
        </w:rPr>
        <w:t>in</w:t>
      </w:r>
      <w:r>
        <w:rPr>
          <w:spacing w:val="40"/>
          <w:sz w:val="22"/>
        </w:rPr>
        <w:t> </w:t>
      </w:r>
      <w:r>
        <w:rPr>
          <w:sz w:val="22"/>
        </w:rPr>
        <w:t>three</w:t>
      </w:r>
      <w:r>
        <w:rPr>
          <w:spacing w:val="40"/>
          <w:sz w:val="22"/>
        </w:rPr>
        <w:t> </w:t>
      </w:r>
      <w:r>
        <w:rPr>
          <w:sz w:val="22"/>
        </w:rPr>
        <w:t>ethnic groups. </w:t>
      </w:r>
      <w:r>
        <w:rPr>
          <w:i/>
          <w:sz w:val="22"/>
        </w:rPr>
        <w:t>Cancer Epidemiol Biomarkers Prev</w:t>
      </w:r>
      <w:r>
        <w:rPr>
          <w:sz w:val="22"/>
        </w:rPr>
        <w:t>. 2003;12:332.</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Vacek PM, Geller BM. A prospective study of breast cancer risk using routine </w:t>
      </w:r>
      <w:r>
        <w:rPr>
          <w:sz w:val="22"/>
        </w:rPr>
        <w:t>mammographic breast density measurements. </w:t>
      </w:r>
      <w:r>
        <w:rPr>
          <w:i/>
          <w:sz w:val="22"/>
        </w:rPr>
        <w:t>Cancer Epidemiol Biomarkers Prev</w:t>
      </w:r>
      <w:r>
        <w:rPr>
          <w:sz w:val="22"/>
        </w:rPr>
        <w:t>. 2004;13:715.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Marugg RC, van der Mooren MJ, Hendriks JHCL, Rolland R, Ruijs SHJ. Mammographic changes</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on</w:t>
      </w:r>
      <w:r>
        <w:rPr>
          <w:spacing w:val="40"/>
          <w:sz w:val="22"/>
        </w:rPr>
        <w:t> </w:t>
      </w:r>
      <w:r>
        <w:rPr>
          <w:sz w:val="22"/>
        </w:rPr>
        <w:t>hormonal</w:t>
      </w:r>
      <w:r>
        <w:rPr>
          <w:spacing w:val="40"/>
          <w:sz w:val="22"/>
        </w:rPr>
        <w:t> </w:t>
      </w:r>
      <w:r>
        <w:rPr>
          <w:sz w:val="22"/>
        </w:rPr>
        <w:t>replacement</w:t>
      </w:r>
      <w:r>
        <w:rPr>
          <w:spacing w:val="40"/>
          <w:sz w:val="22"/>
        </w:rPr>
        <w:t> </w:t>
      </w:r>
      <w:r>
        <w:rPr>
          <w:sz w:val="22"/>
        </w:rPr>
        <w:t>therapy.</w:t>
      </w:r>
      <w:r>
        <w:rPr>
          <w:spacing w:val="40"/>
          <w:sz w:val="22"/>
        </w:rPr>
        <w:t> </w:t>
      </w:r>
      <w:r>
        <w:rPr>
          <w:i/>
          <w:sz w:val="22"/>
        </w:rPr>
        <w:t>Eur</w:t>
      </w:r>
      <w:r>
        <w:rPr>
          <w:i/>
          <w:spacing w:val="40"/>
          <w:sz w:val="22"/>
        </w:rPr>
        <w:t> </w:t>
      </w:r>
      <w:r>
        <w:rPr>
          <w:i/>
          <w:sz w:val="22"/>
        </w:rPr>
        <w:t>Radiol</w:t>
      </w:r>
      <w:r>
        <w:rPr>
          <w:sz w:val="22"/>
        </w:rPr>
        <w:t>. </w:t>
      </w:r>
      <w:r>
        <w:rPr>
          <w:spacing w:val="-2"/>
          <w:sz w:val="22"/>
        </w:rPr>
        <w:t>1997;7:749.</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Persson I, Thurfjell E, Holmberg L. Effect of estrogen and estrogen-progestin </w:t>
      </w:r>
      <w:r>
        <w:rPr>
          <w:sz w:val="22"/>
        </w:rPr>
        <w:t>replacement regimens on mammographic parenchymal density. </w:t>
      </w:r>
      <w:r>
        <w:rPr>
          <w:i/>
          <w:sz w:val="22"/>
        </w:rPr>
        <w:t>J Clin Oncol</w:t>
      </w:r>
      <w:r>
        <w:rPr>
          <w:sz w:val="22"/>
        </w:rPr>
        <w:t>. 1997;15:3201.</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Sala E, Warren R, McCann J, Duffy S, Luben R, Day N. High-risk </w:t>
      </w:r>
      <w:r>
        <w:rPr>
          <w:sz w:val="22"/>
        </w:rPr>
        <w:t>mammographic</w:t>
      </w:r>
      <w:r>
        <w:rPr>
          <w:spacing w:val="80"/>
          <w:sz w:val="22"/>
        </w:rPr>
        <w:t> </w:t>
      </w:r>
      <w:r>
        <w:rPr>
          <w:sz w:val="22"/>
        </w:rPr>
        <w:t>parenchymal</w:t>
      </w:r>
      <w:r>
        <w:rPr>
          <w:spacing w:val="40"/>
          <w:sz w:val="22"/>
        </w:rPr>
        <w:t> </w:t>
      </w:r>
      <w:r>
        <w:rPr>
          <w:sz w:val="22"/>
        </w:rPr>
        <w:t>patterns,</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other</w:t>
      </w:r>
      <w:r>
        <w:rPr>
          <w:spacing w:val="40"/>
          <w:sz w:val="22"/>
        </w:rPr>
        <w:t> </w:t>
      </w:r>
      <w:r>
        <w:rPr>
          <w:sz w:val="22"/>
        </w:rPr>
        <w:t>risk</w:t>
      </w:r>
      <w:r>
        <w:rPr>
          <w:spacing w:val="40"/>
          <w:sz w:val="22"/>
        </w:rPr>
        <w:t> </w:t>
      </w:r>
      <w:r>
        <w:rPr>
          <w:sz w:val="22"/>
        </w:rPr>
        <w:t>factors:</w:t>
      </w:r>
      <w:r>
        <w:rPr>
          <w:spacing w:val="40"/>
          <w:sz w:val="22"/>
        </w:rPr>
        <w:t> </w:t>
      </w:r>
      <w:r>
        <w:rPr>
          <w:sz w:val="22"/>
        </w:rPr>
        <w:t>a</w:t>
      </w:r>
      <w:r>
        <w:rPr>
          <w:spacing w:val="40"/>
          <w:sz w:val="22"/>
        </w:rPr>
        <w:t> </w:t>
      </w:r>
      <w:r>
        <w:rPr>
          <w:sz w:val="22"/>
        </w:rPr>
        <w:t>case-control study. </w:t>
      </w:r>
      <w:r>
        <w:rPr>
          <w:i/>
          <w:sz w:val="22"/>
        </w:rPr>
        <w:t>Int J Epidemiol</w:t>
      </w:r>
      <w:r>
        <w:rPr>
          <w:sz w:val="22"/>
        </w:rPr>
        <w:t>. 2000;29:629.</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Rutter</w:t>
      </w:r>
      <w:r>
        <w:rPr>
          <w:spacing w:val="40"/>
          <w:sz w:val="22"/>
        </w:rPr>
        <w:t> </w:t>
      </w:r>
      <w:r>
        <w:rPr>
          <w:sz w:val="22"/>
        </w:rPr>
        <w:t>CM,</w:t>
      </w:r>
      <w:r>
        <w:rPr>
          <w:spacing w:val="40"/>
          <w:sz w:val="22"/>
        </w:rPr>
        <w:t> </w:t>
      </w:r>
      <w:r>
        <w:rPr>
          <w:sz w:val="22"/>
        </w:rPr>
        <w:t>Mandelson</w:t>
      </w:r>
      <w:r>
        <w:rPr>
          <w:spacing w:val="40"/>
          <w:sz w:val="22"/>
        </w:rPr>
        <w:t> </w:t>
      </w:r>
      <w:r>
        <w:rPr>
          <w:sz w:val="22"/>
        </w:rPr>
        <w:t>MT,</w:t>
      </w:r>
      <w:r>
        <w:rPr>
          <w:spacing w:val="40"/>
          <w:sz w:val="22"/>
        </w:rPr>
        <w:t> </w:t>
      </w:r>
      <w:r>
        <w:rPr>
          <w:sz w:val="22"/>
        </w:rPr>
        <w:t>Laya</w:t>
      </w:r>
      <w:r>
        <w:rPr>
          <w:spacing w:val="40"/>
          <w:sz w:val="22"/>
        </w:rPr>
        <w:t> </w:t>
      </w:r>
      <w:r>
        <w:rPr>
          <w:sz w:val="22"/>
        </w:rPr>
        <w:t>MB,</w:t>
      </w:r>
      <w:r>
        <w:rPr>
          <w:spacing w:val="40"/>
          <w:sz w:val="22"/>
        </w:rPr>
        <w:t> </w:t>
      </w:r>
      <w:r>
        <w:rPr>
          <w:sz w:val="22"/>
        </w:rPr>
        <w:t>Seger</w:t>
      </w:r>
      <w:r>
        <w:rPr>
          <w:spacing w:val="40"/>
          <w:sz w:val="22"/>
        </w:rPr>
        <w:t> </w:t>
      </w:r>
      <w:r>
        <w:rPr>
          <w:sz w:val="22"/>
        </w:rPr>
        <w:t>DJ,</w:t>
      </w:r>
      <w:r>
        <w:rPr>
          <w:spacing w:val="40"/>
          <w:sz w:val="22"/>
        </w:rPr>
        <w:t> </w:t>
      </w:r>
      <w:r>
        <w:rPr>
          <w:sz w:val="22"/>
        </w:rPr>
        <w:t>Taplin</w:t>
      </w:r>
      <w:r>
        <w:rPr>
          <w:spacing w:val="40"/>
          <w:sz w:val="22"/>
        </w:rPr>
        <w:t> </w:t>
      </w:r>
      <w:r>
        <w:rPr>
          <w:sz w:val="22"/>
        </w:rPr>
        <w:t>S.</w:t>
      </w:r>
      <w:r>
        <w:rPr>
          <w:spacing w:val="40"/>
          <w:sz w:val="22"/>
        </w:rPr>
        <w:t> </w:t>
      </w:r>
      <w:r>
        <w:rPr>
          <w:sz w:val="22"/>
        </w:rPr>
        <w:t>Changes</w:t>
      </w:r>
      <w:r>
        <w:rPr>
          <w:spacing w:val="40"/>
          <w:sz w:val="22"/>
        </w:rPr>
        <w:t> </w:t>
      </w:r>
      <w:r>
        <w:rPr>
          <w:sz w:val="22"/>
        </w:rPr>
        <w:t>in</w:t>
      </w:r>
      <w:r>
        <w:rPr>
          <w:spacing w:val="40"/>
          <w:sz w:val="22"/>
        </w:rPr>
        <w:t> </w:t>
      </w:r>
      <w:r>
        <w:rPr>
          <w:sz w:val="22"/>
        </w:rPr>
        <w:t>breast</w:t>
      </w:r>
      <w:r>
        <w:rPr>
          <w:spacing w:val="40"/>
          <w:sz w:val="22"/>
        </w:rPr>
        <w:t> </w:t>
      </w:r>
      <w:r>
        <w:rPr>
          <w:sz w:val="22"/>
        </w:rPr>
        <w:t>density associated</w:t>
      </w:r>
      <w:r>
        <w:rPr>
          <w:spacing w:val="40"/>
          <w:sz w:val="22"/>
        </w:rPr>
        <w:t> </w:t>
      </w:r>
      <w:r>
        <w:rPr>
          <w:sz w:val="22"/>
        </w:rPr>
        <w:t>with</w:t>
      </w:r>
      <w:r>
        <w:rPr>
          <w:spacing w:val="40"/>
          <w:sz w:val="22"/>
        </w:rPr>
        <w:t> </w:t>
      </w:r>
      <w:r>
        <w:rPr>
          <w:sz w:val="22"/>
        </w:rPr>
        <w:t>initiation,</w:t>
      </w:r>
      <w:r>
        <w:rPr>
          <w:spacing w:val="40"/>
          <w:sz w:val="22"/>
        </w:rPr>
        <w:t> </w:t>
      </w:r>
      <w:r>
        <w:rPr>
          <w:sz w:val="22"/>
        </w:rPr>
        <w:t>discontinuation,</w:t>
      </w:r>
      <w:r>
        <w:rPr>
          <w:spacing w:val="40"/>
          <w:sz w:val="22"/>
        </w:rPr>
        <w:t> </w:t>
      </w:r>
      <w:r>
        <w:rPr>
          <w:sz w:val="22"/>
        </w:rPr>
        <w:t>and</w:t>
      </w:r>
      <w:r>
        <w:rPr>
          <w:spacing w:val="40"/>
          <w:sz w:val="22"/>
        </w:rPr>
        <w:t> </w:t>
      </w:r>
      <w:r>
        <w:rPr>
          <w:sz w:val="22"/>
        </w:rPr>
        <w:t>continuing</w:t>
      </w:r>
      <w:r>
        <w:rPr>
          <w:spacing w:val="40"/>
          <w:sz w:val="22"/>
        </w:rPr>
        <w:t> </w:t>
      </w:r>
      <w:r>
        <w:rPr>
          <w:sz w:val="22"/>
        </w:rPr>
        <w:t>use</w:t>
      </w:r>
      <w:r>
        <w:rPr>
          <w:spacing w:val="40"/>
          <w:sz w:val="22"/>
        </w:rPr>
        <w:t> </w:t>
      </w:r>
      <w:r>
        <w:rPr>
          <w:sz w:val="22"/>
        </w:rPr>
        <w:t>of</w:t>
      </w:r>
      <w:r>
        <w:rPr>
          <w:spacing w:val="40"/>
          <w:sz w:val="22"/>
        </w:rPr>
        <w:t> </w:t>
      </w:r>
      <w:r>
        <w:rPr>
          <w:sz w:val="22"/>
        </w:rPr>
        <w:t>hormone</w:t>
      </w:r>
      <w:r>
        <w:rPr>
          <w:spacing w:val="40"/>
          <w:sz w:val="22"/>
        </w:rPr>
        <w:t> </w:t>
      </w:r>
      <w:r>
        <w:rPr>
          <w:sz w:val="22"/>
        </w:rPr>
        <w:t>replacement therapy. </w:t>
      </w:r>
      <w:r>
        <w:rPr>
          <w:i/>
          <w:sz w:val="22"/>
        </w:rPr>
        <w:t>JAMA</w:t>
      </w:r>
      <w:r>
        <w:rPr>
          <w:sz w:val="22"/>
        </w:rPr>
        <w:t>. 2001;285:171.</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Greendale GA, Reboussin BA, Sie A, et al. Effects of estrogen and estrogen-progestin on mammographic parenchymal density. </w:t>
      </w:r>
      <w:r>
        <w:rPr>
          <w:i/>
          <w:sz w:val="22"/>
        </w:rPr>
        <w:t>Ann Intern Med</w:t>
      </w:r>
      <w:r>
        <w:rPr>
          <w:sz w:val="22"/>
        </w:rPr>
        <w:t>. 1999;130:262.</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McTiernan A, Martin CF, Peck JD, et al; Women’s Health Initiative Mammogram Density</w:t>
      </w:r>
      <w:r>
        <w:rPr>
          <w:spacing w:val="40"/>
          <w:sz w:val="22"/>
        </w:rPr>
        <w:t> </w:t>
      </w:r>
      <w:r>
        <w:rPr>
          <w:sz w:val="22"/>
        </w:rPr>
        <w:t>Study</w:t>
      </w:r>
      <w:r>
        <w:rPr>
          <w:spacing w:val="40"/>
          <w:sz w:val="22"/>
        </w:rPr>
        <w:t> </w:t>
      </w:r>
      <w:r>
        <w:rPr>
          <w:sz w:val="22"/>
        </w:rPr>
        <w:t>Investigators.</w:t>
      </w:r>
      <w:r>
        <w:rPr>
          <w:spacing w:val="40"/>
          <w:sz w:val="22"/>
        </w:rPr>
        <w:t> </w:t>
      </w:r>
      <w:r>
        <w:rPr>
          <w:sz w:val="22"/>
        </w:rPr>
        <w:t>Estrogen-plus-progestin</w:t>
      </w:r>
      <w:r>
        <w:rPr>
          <w:spacing w:val="40"/>
          <w:sz w:val="22"/>
        </w:rPr>
        <w:t> </w:t>
      </w:r>
      <w:r>
        <w:rPr>
          <w:sz w:val="22"/>
        </w:rPr>
        <w:t>use</w:t>
      </w:r>
      <w:r>
        <w:rPr>
          <w:spacing w:val="40"/>
          <w:sz w:val="22"/>
        </w:rPr>
        <w:t> </w:t>
      </w:r>
      <w:r>
        <w:rPr>
          <w:sz w:val="22"/>
        </w:rPr>
        <w:t>and</w:t>
      </w:r>
      <w:r>
        <w:rPr>
          <w:spacing w:val="40"/>
          <w:sz w:val="22"/>
        </w:rPr>
        <w:t> </w:t>
      </w:r>
      <w:r>
        <w:rPr>
          <w:sz w:val="22"/>
        </w:rPr>
        <w:t>mammographic</w:t>
      </w:r>
      <w:r>
        <w:rPr>
          <w:spacing w:val="40"/>
          <w:sz w:val="22"/>
        </w:rPr>
        <w:t> </w:t>
      </w:r>
      <w:r>
        <w:rPr>
          <w:sz w:val="22"/>
        </w:rPr>
        <w:t>density</w:t>
      </w:r>
      <w:r>
        <w:rPr>
          <w:spacing w:val="40"/>
          <w:sz w:val="22"/>
        </w:rPr>
        <w:t> </w:t>
      </w:r>
      <w:r>
        <w:rPr>
          <w:sz w:val="22"/>
        </w:rPr>
        <w:t>in postmenopausal women: Women’s Health Initiative randomized trial. </w:t>
      </w:r>
      <w:r>
        <w:rPr>
          <w:i/>
          <w:sz w:val="22"/>
        </w:rPr>
        <w:t>J Natl Cancer Inst</w:t>
      </w:r>
      <w:r>
        <w:rPr>
          <w:sz w:val="22"/>
        </w:rPr>
        <w:t>. </w:t>
      </w:r>
      <w:r>
        <w:rPr>
          <w:spacing w:val="-2"/>
          <w:sz w:val="22"/>
        </w:rPr>
        <w:t>2005;97:1366.</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Lundström E, Wilczek B, von Palffy Z, Söderqvist G, von Schoultz B. Mammographic </w:t>
      </w:r>
      <w:r>
        <w:rPr>
          <w:sz w:val="22"/>
        </w:rPr>
        <w:t>breast density during hormone replacement therapy: differences according to treatment. </w:t>
      </w:r>
      <w:r>
        <w:rPr>
          <w:i/>
          <w:sz w:val="22"/>
        </w:rPr>
        <w:t>Am J Obstet</w:t>
      </w:r>
      <w:r>
        <w:rPr>
          <w:i/>
          <w:sz w:val="22"/>
        </w:rPr>
        <w:t> Gynecol</w:t>
      </w:r>
      <w:r>
        <w:rPr>
          <w:sz w:val="22"/>
        </w:rPr>
        <w:t>. 1999;181:348.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Lundström E, Wilczek B, von Palffy Z, Söderqvist G, von Schoultz B. Mammographic </w:t>
      </w:r>
      <w:r>
        <w:rPr>
          <w:sz w:val="22"/>
        </w:rPr>
        <w:t>breast density during hormone replacement therapy: effects of continuous combination, unopposed transdermal and low-potency estrogen regimens. </w:t>
      </w:r>
      <w:r>
        <w:rPr>
          <w:i/>
          <w:sz w:val="22"/>
        </w:rPr>
        <w:t>Climacteric</w:t>
      </w:r>
      <w:r>
        <w:rPr>
          <w:sz w:val="22"/>
        </w:rPr>
        <w:t>. 2001;4:42.</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7" w:hanging="507"/>
        <w:jc w:val="both"/>
        <w:rPr>
          <w:sz w:val="22"/>
        </w:rPr>
      </w:pPr>
      <w:r>
        <w:rPr>
          <w:sz w:val="22"/>
        </w:rPr>
        <w:t>Erel CT, Esen G, Seyisoglu H, et al. Mammographic density increase in women receiving different hormone replacement regimens. </w:t>
      </w:r>
      <w:r>
        <w:rPr>
          <w:i/>
          <w:sz w:val="22"/>
        </w:rPr>
        <w:t>Maturitas</w:t>
      </w:r>
      <w:r>
        <w:rPr>
          <w:sz w:val="22"/>
        </w:rPr>
        <w:t>. 2001;40:151.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Ziv E, Tice J, Smith-Bindman R, Shepherd J, Cummiongs S, Kerlikowske K. </w:t>
      </w:r>
      <w:r>
        <w:rPr>
          <w:sz w:val="22"/>
        </w:rPr>
        <w:t>Mammographic density and estrogen receptor status of breast cancer. </w:t>
      </w:r>
      <w:r>
        <w:rPr>
          <w:i/>
          <w:sz w:val="22"/>
        </w:rPr>
        <w:t>Cancer Epidemiol Biomarkers Prev</w:t>
      </w:r>
      <w:r>
        <w:rPr>
          <w:sz w:val="22"/>
        </w:rPr>
        <w:t>. </w:t>
      </w:r>
      <w:r>
        <w:rPr>
          <w:spacing w:val="-2"/>
          <w:sz w:val="22"/>
        </w:rPr>
        <w:t>2004;13:2090.</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Roubidoux</w:t>
      </w:r>
      <w:r>
        <w:rPr>
          <w:spacing w:val="40"/>
          <w:sz w:val="22"/>
        </w:rPr>
        <w:t> </w:t>
      </w:r>
      <w:r>
        <w:rPr>
          <w:sz w:val="22"/>
        </w:rPr>
        <w:t>MA,</w:t>
      </w:r>
      <w:r>
        <w:rPr>
          <w:spacing w:val="40"/>
          <w:sz w:val="22"/>
        </w:rPr>
        <w:t> </w:t>
      </w:r>
      <w:r>
        <w:rPr>
          <w:sz w:val="22"/>
        </w:rPr>
        <w:t>Bailey</w:t>
      </w:r>
      <w:r>
        <w:rPr>
          <w:spacing w:val="40"/>
          <w:sz w:val="22"/>
        </w:rPr>
        <w:t> </w:t>
      </w:r>
      <w:r>
        <w:rPr>
          <w:sz w:val="22"/>
        </w:rPr>
        <w:t>JE,</w:t>
      </w:r>
      <w:r>
        <w:rPr>
          <w:spacing w:val="40"/>
          <w:sz w:val="22"/>
        </w:rPr>
        <w:t> </w:t>
      </w:r>
      <w:r>
        <w:rPr>
          <w:sz w:val="22"/>
        </w:rPr>
        <w:t>Wray</w:t>
      </w:r>
      <w:r>
        <w:rPr>
          <w:spacing w:val="40"/>
          <w:sz w:val="22"/>
        </w:rPr>
        <w:t> </w:t>
      </w:r>
      <w:r>
        <w:rPr>
          <w:sz w:val="22"/>
        </w:rPr>
        <w:t>LA,</w:t>
      </w:r>
      <w:r>
        <w:rPr>
          <w:spacing w:val="40"/>
          <w:sz w:val="22"/>
        </w:rPr>
        <w:t> </w:t>
      </w:r>
      <w:r>
        <w:rPr>
          <w:sz w:val="22"/>
        </w:rPr>
        <w:t>Helvie</w:t>
      </w:r>
      <w:r>
        <w:rPr>
          <w:spacing w:val="40"/>
          <w:sz w:val="22"/>
        </w:rPr>
        <w:t> </w:t>
      </w:r>
      <w:r>
        <w:rPr>
          <w:sz w:val="22"/>
        </w:rPr>
        <w:t>MA.</w:t>
      </w:r>
      <w:r>
        <w:rPr>
          <w:spacing w:val="40"/>
          <w:sz w:val="22"/>
        </w:rPr>
        <w:t> </w:t>
      </w:r>
      <w:r>
        <w:rPr>
          <w:sz w:val="22"/>
        </w:rPr>
        <w:t>Invasive</w:t>
      </w:r>
      <w:r>
        <w:rPr>
          <w:spacing w:val="40"/>
          <w:sz w:val="22"/>
        </w:rPr>
        <w:t> </w:t>
      </w:r>
      <w:r>
        <w:rPr>
          <w:sz w:val="22"/>
        </w:rPr>
        <w:t>cancers</w:t>
      </w:r>
      <w:r>
        <w:rPr>
          <w:spacing w:val="40"/>
          <w:sz w:val="22"/>
        </w:rPr>
        <w:t> </w:t>
      </w:r>
      <w:r>
        <w:rPr>
          <w:sz w:val="22"/>
        </w:rPr>
        <w:t>detected</w:t>
      </w:r>
      <w:r>
        <w:rPr>
          <w:spacing w:val="40"/>
          <w:sz w:val="22"/>
        </w:rPr>
        <w:t> </w:t>
      </w:r>
      <w:r>
        <w:rPr>
          <w:sz w:val="22"/>
        </w:rPr>
        <w:t>after</w:t>
      </w:r>
      <w:r>
        <w:rPr>
          <w:spacing w:val="40"/>
          <w:sz w:val="22"/>
        </w:rPr>
        <w:t> </w:t>
      </w:r>
      <w:r>
        <w:rPr>
          <w:sz w:val="22"/>
        </w:rPr>
        <w:t>breast cancer screening yielded a negative result: relationship of mammographic density to tumor prognostic factors. </w:t>
      </w:r>
      <w:r>
        <w:rPr>
          <w:i/>
          <w:sz w:val="22"/>
        </w:rPr>
        <w:t>Radiology</w:t>
      </w:r>
      <w:r>
        <w:rPr>
          <w:sz w:val="22"/>
        </w:rPr>
        <w:t>. 2004;230:42.</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Ziv E, Shepherd J, Smith-Bindman R, Kerlikowske K. Mammographic breast density </w:t>
      </w:r>
      <w:r>
        <w:rPr>
          <w:sz w:val="22"/>
        </w:rPr>
        <w:t>and</w:t>
      </w:r>
      <w:r>
        <w:rPr>
          <w:spacing w:val="80"/>
          <w:sz w:val="22"/>
        </w:rPr>
        <w:t> </w:t>
      </w:r>
      <w:r>
        <w:rPr>
          <w:sz w:val="22"/>
        </w:rPr>
        <w:t>family history of breast cancer. </w:t>
      </w:r>
      <w:r>
        <w:rPr>
          <w:i/>
          <w:sz w:val="22"/>
        </w:rPr>
        <w:t>J Natl Cancer Inst</w:t>
      </w:r>
      <w:r>
        <w:rPr>
          <w:sz w:val="22"/>
        </w:rPr>
        <w:t>. 2003;95:556.</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Vachon CM, Sellers TA, Vierkant RA, Wu FF, Brandt KR. Case-control study of increased mammographic breast density response to hormone replacement therapy. </w:t>
      </w:r>
      <w:r>
        <w:rPr>
          <w:i/>
          <w:sz w:val="22"/>
        </w:rPr>
        <w:t>Cancer </w:t>
      </w:r>
      <w:r>
        <w:rPr>
          <w:i/>
          <w:sz w:val="22"/>
        </w:rPr>
        <w:t>Epidemiol</w:t>
      </w:r>
      <w:r>
        <w:rPr>
          <w:i/>
          <w:sz w:val="22"/>
        </w:rPr>
        <w:t> Biomarkers Prev</w:t>
      </w:r>
      <w:r>
        <w:rPr>
          <w:sz w:val="22"/>
        </w:rPr>
        <w:t>. 2002;11:1382.</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Harvey JA, Santen RJ, Petroni GR, et al. Histologic changes in the breast with menopausal hormone therapy use: correlation with breast density, estrogen receptor, progesterone receptor, and proliferation indices. </w:t>
      </w:r>
      <w:r>
        <w:rPr>
          <w:i/>
          <w:sz w:val="22"/>
        </w:rPr>
        <w:t>Menopause</w:t>
      </w:r>
      <w:r>
        <w:rPr>
          <w:sz w:val="22"/>
        </w:rPr>
        <w:t>. 2008;15:67.</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Hirschberg AL, Tani E, Brismar K, Lundström E. Effects of drospirenone and </w:t>
      </w:r>
      <w:r>
        <w:rPr>
          <w:sz w:val="22"/>
        </w:rPr>
        <w:t>norethisterone acetate</w:t>
      </w:r>
      <w:r>
        <w:rPr>
          <w:spacing w:val="40"/>
          <w:sz w:val="22"/>
        </w:rPr>
        <w:t> </w:t>
      </w:r>
      <w:r>
        <w:rPr>
          <w:sz w:val="22"/>
        </w:rPr>
        <w:t>combined</w:t>
      </w:r>
      <w:r>
        <w:rPr>
          <w:spacing w:val="40"/>
          <w:sz w:val="22"/>
        </w:rPr>
        <w:t> </w:t>
      </w:r>
      <w:r>
        <w:rPr>
          <w:sz w:val="22"/>
        </w:rPr>
        <w:t>with</w:t>
      </w:r>
      <w:r>
        <w:rPr>
          <w:spacing w:val="40"/>
          <w:sz w:val="22"/>
        </w:rPr>
        <w:t> </w:t>
      </w:r>
      <w:r>
        <w:rPr>
          <w:sz w:val="22"/>
        </w:rPr>
        <w:t>estradiol</w:t>
      </w:r>
      <w:r>
        <w:rPr>
          <w:spacing w:val="40"/>
          <w:sz w:val="22"/>
        </w:rPr>
        <w:t> </w:t>
      </w:r>
      <w:r>
        <w:rPr>
          <w:sz w:val="22"/>
        </w:rPr>
        <w:t>on</w:t>
      </w:r>
      <w:r>
        <w:rPr>
          <w:spacing w:val="40"/>
          <w:sz w:val="22"/>
        </w:rPr>
        <w:t> </w:t>
      </w:r>
      <w:r>
        <w:rPr>
          <w:sz w:val="22"/>
        </w:rPr>
        <w:t>mammographic</w:t>
      </w:r>
      <w:r>
        <w:rPr>
          <w:spacing w:val="40"/>
          <w:sz w:val="22"/>
        </w:rPr>
        <w:t> </w:t>
      </w:r>
      <w:r>
        <w:rPr>
          <w:sz w:val="22"/>
        </w:rPr>
        <w:t>density</w:t>
      </w:r>
      <w:r>
        <w:rPr>
          <w:spacing w:val="40"/>
          <w:sz w:val="22"/>
        </w:rPr>
        <w:t> </w:t>
      </w:r>
      <w:r>
        <w:rPr>
          <w:sz w:val="22"/>
        </w:rPr>
        <w:t>and</w:t>
      </w:r>
      <w:r>
        <w:rPr>
          <w:spacing w:val="40"/>
          <w:sz w:val="22"/>
        </w:rPr>
        <w:t> </w:t>
      </w:r>
      <w:r>
        <w:rPr>
          <w:sz w:val="22"/>
        </w:rPr>
        <w:t>proliferation</w:t>
      </w:r>
      <w:r>
        <w:rPr>
          <w:spacing w:val="40"/>
          <w:sz w:val="22"/>
        </w:rPr>
        <w:t> </w:t>
      </w:r>
      <w:r>
        <w:rPr>
          <w:sz w:val="22"/>
        </w:rPr>
        <w:t>of</w:t>
      </w:r>
      <w:r>
        <w:rPr>
          <w:spacing w:val="40"/>
          <w:sz w:val="22"/>
        </w:rPr>
        <w:t> </w:t>
      </w:r>
      <w:r>
        <w:rPr>
          <w:sz w:val="22"/>
        </w:rPr>
        <w:t>breast epithelial cells-A prospective randomized trial. </w:t>
      </w:r>
      <w:r>
        <w:rPr>
          <w:i/>
          <w:sz w:val="22"/>
        </w:rPr>
        <w:t>Maturitas</w:t>
      </w:r>
      <w:r>
        <w:rPr>
          <w:sz w:val="22"/>
        </w:rPr>
        <w:t>. 2019;126:18-24.</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Lundström E, Bygdeson M, Svane G, Azavedo E, Von Schoultz B. Neutral effect of ultra-low-dose continuous combined estradiol and norethisterone acetate on mammographic breast</w:t>
      </w:r>
      <w:r>
        <w:rPr>
          <w:spacing w:val="40"/>
          <w:sz w:val="22"/>
        </w:rPr>
        <w:t> </w:t>
      </w:r>
      <w:r>
        <w:rPr>
          <w:sz w:val="22"/>
        </w:rPr>
        <w:t>density. </w:t>
      </w:r>
      <w:r>
        <w:rPr>
          <w:i/>
          <w:sz w:val="22"/>
        </w:rPr>
        <w:t>Climacteric</w:t>
      </w:r>
      <w:r>
        <w:rPr>
          <w:sz w:val="22"/>
        </w:rPr>
        <w:t>. 2007;10:249.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Lundström E, Söderqvist G, Svane G, et al. Digitized assessment of mammographic breast density</w:t>
      </w:r>
      <w:r>
        <w:rPr>
          <w:spacing w:val="40"/>
          <w:sz w:val="22"/>
        </w:rPr>
        <w:t> </w:t>
      </w:r>
      <w:r>
        <w:rPr>
          <w:sz w:val="22"/>
        </w:rPr>
        <w:t>in</w:t>
      </w:r>
      <w:r>
        <w:rPr>
          <w:spacing w:val="40"/>
          <w:sz w:val="22"/>
        </w:rPr>
        <w:t> </w:t>
      </w:r>
      <w:r>
        <w:rPr>
          <w:sz w:val="22"/>
        </w:rPr>
        <w:t>patients</w:t>
      </w:r>
      <w:r>
        <w:rPr>
          <w:spacing w:val="40"/>
          <w:sz w:val="22"/>
        </w:rPr>
        <w:t> </w:t>
      </w:r>
      <w:r>
        <w:rPr>
          <w:sz w:val="22"/>
        </w:rPr>
        <w:t>who</w:t>
      </w:r>
      <w:r>
        <w:rPr>
          <w:spacing w:val="40"/>
          <w:sz w:val="22"/>
        </w:rPr>
        <w:t> </w:t>
      </w:r>
      <w:r>
        <w:rPr>
          <w:sz w:val="22"/>
        </w:rPr>
        <w:t>received</w:t>
      </w:r>
      <w:r>
        <w:rPr>
          <w:spacing w:val="40"/>
          <w:sz w:val="22"/>
        </w:rPr>
        <w:t> </w:t>
      </w:r>
      <w:r>
        <w:rPr>
          <w:sz w:val="22"/>
        </w:rPr>
        <w:t>low-dose</w:t>
      </w:r>
      <w:r>
        <w:rPr>
          <w:spacing w:val="40"/>
          <w:sz w:val="22"/>
        </w:rPr>
        <w:t> </w:t>
      </w:r>
      <w:r>
        <w:rPr>
          <w:sz w:val="22"/>
        </w:rPr>
        <w:t>intrauterine</w:t>
      </w:r>
      <w:r>
        <w:rPr>
          <w:spacing w:val="40"/>
          <w:sz w:val="22"/>
        </w:rPr>
        <w:t> </w:t>
      </w:r>
      <w:r>
        <w:rPr>
          <w:sz w:val="22"/>
        </w:rPr>
        <w:t>levonorgestrel</w:t>
      </w:r>
      <w:r>
        <w:rPr>
          <w:spacing w:val="40"/>
          <w:sz w:val="22"/>
        </w:rPr>
        <w:t> </w:t>
      </w:r>
      <w:r>
        <w:rPr>
          <w:sz w:val="22"/>
        </w:rPr>
        <w:t>in</w:t>
      </w:r>
      <w:r>
        <w:rPr>
          <w:spacing w:val="40"/>
          <w:sz w:val="22"/>
        </w:rPr>
        <w:t> </w:t>
      </w:r>
      <w:r>
        <w:rPr>
          <w:sz w:val="22"/>
        </w:rPr>
        <w:t>continuous combination with oral estradiol valerate: a pilot study. </w:t>
      </w:r>
      <w:r>
        <w:rPr>
          <w:i/>
          <w:sz w:val="22"/>
        </w:rPr>
        <w:t>Fertil Steril</w:t>
      </w:r>
      <w:r>
        <w:rPr>
          <w:sz w:val="22"/>
        </w:rPr>
        <w:t>. 2006;85:989.</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Huck LC, Truhn D, Wilpert C, et al. Background parenchymal enhancement in contrast-enhanced MR imaging suggests systemic effects of intrauterine contraceptive devices. </w:t>
      </w:r>
      <w:r>
        <w:rPr>
          <w:i/>
          <w:sz w:val="22"/>
        </w:rPr>
        <w:t>Eur</w:t>
      </w:r>
      <w:r>
        <w:rPr>
          <w:i/>
          <w:sz w:val="22"/>
        </w:rPr>
        <w:t> Radiol</w:t>
      </w:r>
      <w:r>
        <w:rPr>
          <w:sz w:val="22"/>
        </w:rPr>
        <w:t>. 2022;32(11):7430-7438.</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Cigler T, Tu D, Yaffe MJ, et al. A randomized, placebo-controlled trial (NCIC CTG MAP1) examining the effects of letrozole on mammographic breast density and other end organs </w:t>
      </w:r>
      <w:r>
        <w:rPr>
          <w:sz w:val="22"/>
        </w:rPr>
        <w:t>in postmenopausal women. </w:t>
      </w:r>
      <w:r>
        <w:rPr>
          <w:i/>
          <w:sz w:val="22"/>
        </w:rPr>
        <w:t>Breast Cancer Res Treat</w:t>
      </w:r>
      <w:r>
        <w:rPr>
          <w:sz w:val="22"/>
        </w:rPr>
        <w:t>. 2010;120(2):427.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Berkowitz JE, Gatewood OMB, Goldblum LE, Gayler BW. Hormonal replacement </w:t>
      </w:r>
      <w:r>
        <w:rPr>
          <w:sz w:val="22"/>
        </w:rPr>
        <w:t>therapy: mammographic manifestations. </w:t>
      </w:r>
      <w:r>
        <w:rPr>
          <w:i/>
          <w:sz w:val="22"/>
        </w:rPr>
        <w:t>Radiology</w:t>
      </w:r>
      <w:r>
        <w:rPr>
          <w:sz w:val="22"/>
        </w:rPr>
        <w:t>. 1990;174:199.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Harvey JA, Pinkerton JV, Herman CR. Short-term cessation of hormone replacement </w:t>
      </w:r>
      <w:r>
        <w:rPr>
          <w:sz w:val="22"/>
        </w:rPr>
        <w:t>therapy and improvement of mammographic specificity. </w:t>
      </w:r>
      <w:r>
        <w:rPr>
          <w:i/>
          <w:sz w:val="22"/>
        </w:rPr>
        <w:t>J Natl Cancer Inst</w:t>
      </w:r>
      <w:r>
        <w:rPr>
          <w:sz w:val="22"/>
        </w:rPr>
        <w:t>. 1997;89:1623.</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Colacurci N, Fornaro F, De Franciscis P, Mele D, Palermo M, del Vecchio W. Effects of a</w:t>
      </w:r>
      <w:r>
        <w:rPr>
          <w:spacing w:val="80"/>
          <w:sz w:val="22"/>
        </w:rPr>
        <w:t> </w:t>
      </w:r>
      <w:r>
        <w:rPr>
          <w:sz w:val="22"/>
        </w:rPr>
        <w:t>short-term</w:t>
      </w:r>
      <w:r>
        <w:rPr>
          <w:spacing w:val="40"/>
          <w:sz w:val="22"/>
        </w:rPr>
        <w:t> </w:t>
      </w:r>
      <w:r>
        <w:rPr>
          <w:sz w:val="22"/>
        </w:rPr>
        <w:t>suspension</w:t>
      </w:r>
      <w:r>
        <w:rPr>
          <w:spacing w:val="40"/>
          <w:sz w:val="22"/>
        </w:rPr>
        <w:t> </w:t>
      </w:r>
      <w:r>
        <w:rPr>
          <w:sz w:val="22"/>
        </w:rPr>
        <w:t>of</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on</w:t>
      </w:r>
      <w:r>
        <w:rPr>
          <w:spacing w:val="40"/>
          <w:sz w:val="22"/>
        </w:rPr>
        <w:t> </w:t>
      </w:r>
      <w:r>
        <w:rPr>
          <w:sz w:val="22"/>
        </w:rPr>
        <w:t>mammographic</w:t>
      </w:r>
      <w:r>
        <w:rPr>
          <w:spacing w:val="40"/>
          <w:sz w:val="22"/>
        </w:rPr>
        <w:t> </w:t>
      </w:r>
      <w:r>
        <w:rPr>
          <w:sz w:val="22"/>
        </w:rPr>
        <w:t>density.</w:t>
      </w:r>
      <w:r>
        <w:rPr>
          <w:spacing w:val="40"/>
          <w:sz w:val="22"/>
        </w:rPr>
        <w:t> </w:t>
      </w:r>
      <w:r>
        <w:rPr>
          <w:i/>
          <w:sz w:val="22"/>
        </w:rPr>
        <w:t>Fertil</w:t>
      </w:r>
      <w:r>
        <w:rPr>
          <w:i/>
          <w:sz w:val="22"/>
        </w:rPr>
        <w:t> Steril</w:t>
      </w:r>
      <w:r>
        <w:rPr>
          <w:sz w:val="22"/>
        </w:rPr>
        <w:t>. 2001;76:451.</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Buist DS, Anderson ML, Reed SD, et al. Short-term hormone therapy suspension and mammography recall: a randomized trial. </w:t>
      </w:r>
      <w:r>
        <w:rPr>
          <w:i/>
          <w:sz w:val="22"/>
        </w:rPr>
        <w:t>Ann Intern Med</w:t>
      </w:r>
      <w:r>
        <w:rPr>
          <w:sz w:val="22"/>
        </w:rPr>
        <w:t>. 2009;150:752.</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Weaver</w:t>
      </w:r>
      <w:r>
        <w:rPr>
          <w:spacing w:val="40"/>
          <w:sz w:val="22"/>
        </w:rPr>
        <w:t> </w:t>
      </w:r>
      <w:r>
        <w:rPr>
          <w:sz w:val="22"/>
        </w:rPr>
        <w:t>K,</w:t>
      </w:r>
      <w:r>
        <w:rPr>
          <w:spacing w:val="40"/>
          <w:sz w:val="22"/>
        </w:rPr>
        <w:t> </w:t>
      </w:r>
      <w:r>
        <w:rPr>
          <w:sz w:val="22"/>
        </w:rPr>
        <w:t>Kataoka</w:t>
      </w:r>
      <w:r>
        <w:rPr>
          <w:spacing w:val="40"/>
          <w:sz w:val="22"/>
        </w:rPr>
        <w:t> </w:t>
      </w:r>
      <w:r>
        <w:rPr>
          <w:sz w:val="22"/>
        </w:rPr>
        <w:t>M,</w:t>
      </w:r>
      <w:r>
        <w:rPr>
          <w:spacing w:val="40"/>
          <w:sz w:val="22"/>
        </w:rPr>
        <w:t> </w:t>
      </w:r>
      <w:r>
        <w:rPr>
          <w:sz w:val="22"/>
        </w:rPr>
        <w:t>Murray</w:t>
      </w:r>
      <w:r>
        <w:rPr>
          <w:spacing w:val="40"/>
          <w:sz w:val="22"/>
        </w:rPr>
        <w:t> </w:t>
      </w:r>
      <w:r>
        <w:rPr>
          <w:sz w:val="22"/>
        </w:rPr>
        <w:t>J,</w:t>
      </w:r>
      <w:r>
        <w:rPr>
          <w:spacing w:val="40"/>
          <w:sz w:val="22"/>
        </w:rPr>
        <w:t> </w:t>
      </w:r>
      <w:r>
        <w:rPr>
          <w:sz w:val="22"/>
        </w:rPr>
        <w:t>et</w:t>
      </w:r>
      <w:r>
        <w:rPr>
          <w:spacing w:val="40"/>
          <w:sz w:val="22"/>
        </w:rPr>
        <w:t> </w:t>
      </w:r>
      <w:r>
        <w:rPr>
          <w:sz w:val="22"/>
        </w:rPr>
        <w:t>al.</w:t>
      </w:r>
      <w:r>
        <w:rPr>
          <w:spacing w:val="40"/>
          <w:sz w:val="22"/>
        </w:rPr>
        <w:t> </w:t>
      </w:r>
      <w:r>
        <w:rPr>
          <w:sz w:val="22"/>
        </w:rPr>
        <w:t>Does</w:t>
      </w:r>
      <w:r>
        <w:rPr>
          <w:spacing w:val="40"/>
          <w:sz w:val="22"/>
        </w:rPr>
        <w:t> </w:t>
      </w:r>
      <w:r>
        <w:rPr>
          <w:sz w:val="22"/>
        </w:rPr>
        <w:t>a</w:t>
      </w:r>
      <w:r>
        <w:rPr>
          <w:spacing w:val="40"/>
          <w:sz w:val="22"/>
        </w:rPr>
        <w:t> </w:t>
      </w:r>
      <w:r>
        <w:rPr>
          <w:sz w:val="22"/>
        </w:rPr>
        <w:t>short</w:t>
      </w:r>
      <w:r>
        <w:rPr>
          <w:spacing w:val="40"/>
          <w:sz w:val="22"/>
        </w:rPr>
        <w:t> </w:t>
      </w:r>
      <w:r>
        <w:rPr>
          <w:sz w:val="22"/>
        </w:rPr>
        <w:t>cessation</w:t>
      </w:r>
      <w:r>
        <w:rPr>
          <w:spacing w:val="40"/>
          <w:sz w:val="22"/>
        </w:rPr>
        <w:t> </w:t>
      </w:r>
      <w:r>
        <w:rPr>
          <w:sz w:val="22"/>
        </w:rPr>
        <w:t>of</w:t>
      </w:r>
      <w:r>
        <w:rPr>
          <w:spacing w:val="40"/>
          <w:sz w:val="22"/>
        </w:rPr>
        <w:t> </w:t>
      </w:r>
      <w:r>
        <w:rPr>
          <w:sz w:val="22"/>
        </w:rPr>
        <w:t>HRT</w:t>
      </w:r>
      <w:r>
        <w:rPr>
          <w:spacing w:val="40"/>
          <w:sz w:val="22"/>
        </w:rPr>
        <w:t> </w:t>
      </w:r>
      <w:r>
        <w:rPr>
          <w:sz w:val="22"/>
        </w:rPr>
        <w:t>decrease mammographic density?. </w:t>
      </w:r>
      <w:r>
        <w:rPr>
          <w:i/>
          <w:sz w:val="22"/>
        </w:rPr>
        <w:t>Maturitas</w:t>
      </w:r>
      <w:r>
        <w:rPr>
          <w:sz w:val="22"/>
        </w:rPr>
        <w:t>. 2008;59:315.</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Dinger J, Bardenheuer K, Minh TD. Levonorgestrel-releasing and copper intrauterine </w:t>
      </w:r>
      <w:r>
        <w:rPr>
          <w:sz w:val="22"/>
        </w:rPr>
        <w:t>devices and the risk of breast cancer. </w:t>
      </w:r>
      <w:r>
        <w:rPr>
          <w:i/>
          <w:sz w:val="22"/>
        </w:rPr>
        <w:t>Contraception</w:t>
      </w:r>
      <w:r>
        <w:rPr>
          <w:sz w:val="22"/>
        </w:rPr>
        <w:t>. 2011;83(3):211.</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Bleyer A, Welch HG. Effect of three decades of screening mammography on breast-</w:t>
      </w:r>
      <w:r>
        <w:rPr>
          <w:sz w:val="22"/>
        </w:rPr>
        <w:t>cancer incidence. </w:t>
      </w:r>
      <w:r>
        <w:rPr>
          <w:i/>
          <w:sz w:val="22"/>
        </w:rPr>
        <w:t>N Engl J Med</w:t>
      </w:r>
      <w:r>
        <w:rPr>
          <w:sz w:val="22"/>
        </w:rPr>
        <w:t>. 2012;367(21):1998.</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Banks E. Hormone replacement therapy and the sensitivity and specificity of breast </w:t>
      </w:r>
      <w:r>
        <w:rPr>
          <w:sz w:val="22"/>
        </w:rPr>
        <w:t>cancer screening: a review. </w:t>
      </w:r>
      <w:r>
        <w:rPr>
          <w:i/>
          <w:sz w:val="22"/>
        </w:rPr>
        <w:t>J Med Screen</w:t>
      </w:r>
      <w:r>
        <w:rPr>
          <w:sz w:val="22"/>
        </w:rPr>
        <w:t>. 2001;8:29.</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11" w:hanging="507"/>
        <w:jc w:val="both"/>
        <w:rPr>
          <w:sz w:val="22"/>
        </w:rPr>
      </w:pPr>
      <w:r>
        <w:rPr>
          <w:sz w:val="22"/>
        </w:rPr>
        <w:t>Laya MB, Larson EB, Taplin SH, White E. Effect of estrogen replacement therapy on the specificity and sensitivity of screening mammography. </w:t>
      </w:r>
      <w:r>
        <w:rPr>
          <w:i/>
          <w:sz w:val="22"/>
        </w:rPr>
        <w:t>J Natl Cancer Inst</w:t>
      </w:r>
      <w:r>
        <w:rPr>
          <w:sz w:val="22"/>
        </w:rPr>
        <w:t>. 1996;88:643.</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Rosenberg RD, Hunt WC, Williamson MR, et al. Effects of age, breast density, ethnicity, and estrogen replacement therapy on screening mammographic sensitivity and cancer stage </w:t>
      </w:r>
      <w:r>
        <w:rPr>
          <w:sz w:val="22"/>
        </w:rPr>
        <w:t>at diagnosis: review of 183,134 screening mammograms in Albuquerque, New Mexico.</w:t>
      </w:r>
      <w:r>
        <w:rPr>
          <w:spacing w:val="80"/>
          <w:sz w:val="22"/>
        </w:rPr>
        <w:t> </w:t>
      </w:r>
      <w:r>
        <w:rPr>
          <w:i/>
          <w:sz w:val="22"/>
        </w:rPr>
        <w:t>Radiology</w:t>
      </w:r>
      <w:r>
        <w:rPr>
          <w:sz w:val="22"/>
        </w:rPr>
        <w:t>. 1998;209:511.</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Litherland JC, Stallard S, Hole D, Cordiner C. The effect of hormone replacement therapy on</w:t>
      </w:r>
      <w:r>
        <w:rPr>
          <w:spacing w:val="40"/>
          <w:sz w:val="22"/>
        </w:rPr>
        <w:t> </w:t>
      </w:r>
      <w:r>
        <w:rPr>
          <w:sz w:val="22"/>
        </w:rPr>
        <w:t>the sensitivity of screening mammograms. </w:t>
      </w:r>
      <w:r>
        <w:rPr>
          <w:i/>
          <w:sz w:val="22"/>
        </w:rPr>
        <w:t>Clin Radiol</w:t>
      </w:r>
      <w:r>
        <w:rPr>
          <w:sz w:val="22"/>
        </w:rPr>
        <w:t>. 1999;54:285.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Kavanagh AM, Mitchell H, Giles GG. Hormone replacement therapy and accuracy </w:t>
      </w:r>
      <w:r>
        <w:rPr>
          <w:sz w:val="22"/>
        </w:rPr>
        <w:t>of mammographic screening. </w:t>
      </w:r>
      <w:r>
        <w:rPr>
          <w:i/>
          <w:sz w:val="22"/>
        </w:rPr>
        <w:t>Lancet</w:t>
      </w:r>
      <w:r>
        <w:rPr>
          <w:sz w:val="22"/>
        </w:rPr>
        <w:t>. 2000;355:270.</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Salminen TM, Saarenmaa IE, Heikkila MM, Hakama M. Is a dense </w:t>
      </w:r>
      <w:r>
        <w:rPr>
          <w:sz w:val="22"/>
        </w:rPr>
        <w:t>mammographic</w:t>
      </w:r>
      <w:r>
        <w:rPr>
          <w:spacing w:val="40"/>
          <w:sz w:val="22"/>
        </w:rPr>
        <w:t> </w:t>
      </w:r>
      <w:r>
        <w:rPr>
          <w:sz w:val="22"/>
        </w:rPr>
        <w:t>parenchymal pattern a contraindication to hormonal replacement therapy? </w:t>
      </w:r>
      <w:r>
        <w:rPr>
          <w:i/>
          <w:sz w:val="22"/>
        </w:rPr>
        <w:t>Acta Oncol</w:t>
      </w:r>
      <w:r>
        <w:rPr>
          <w:sz w:val="22"/>
        </w:rPr>
        <w:t>. </w:t>
      </w:r>
      <w:r>
        <w:rPr>
          <w:spacing w:val="-2"/>
          <w:sz w:val="22"/>
        </w:rPr>
        <w:t>2000;39:969.</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Séradour B, Esteve J, Heid P, Jacquemier J. Hormone replacement therapy and screening mammography: analysis of the results in the Bouches du Rhône programme. </w:t>
      </w:r>
      <w:r>
        <w:rPr>
          <w:i/>
          <w:sz w:val="22"/>
        </w:rPr>
        <w:t>J Med Screen</w:t>
      </w:r>
      <w:r>
        <w:rPr>
          <w:sz w:val="22"/>
        </w:rPr>
        <w:t>. </w:t>
      </w:r>
      <w:r>
        <w:rPr>
          <w:spacing w:val="-2"/>
          <w:sz w:val="22"/>
        </w:rPr>
        <w:t>1999;6:99.</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Moy L, Slanetz PJ, Yeh ED, Moore RH, Rafferty EA, Kopans DB. Hormone replacement therapy rarely complicates or alters interpretation on screening mammography: a prospective analysis (abstract). </w:t>
      </w:r>
      <w:r>
        <w:rPr>
          <w:i/>
          <w:sz w:val="22"/>
        </w:rPr>
        <w:t>Radiology</w:t>
      </w:r>
      <w:r>
        <w:rPr>
          <w:sz w:val="22"/>
        </w:rPr>
        <w:t>. 2000;217:446.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Carney PA, Kasales CJ, Tosteson AN, et al. Likelihood of additional work-up among </w:t>
      </w:r>
      <w:r>
        <w:rPr>
          <w:sz w:val="22"/>
        </w:rPr>
        <w:t>women undergoing routine screening mammography: the impact of age, breast density, and hormone therapy use. </w:t>
      </w:r>
      <w:r>
        <w:rPr>
          <w:i/>
          <w:sz w:val="22"/>
        </w:rPr>
        <w:t>Prev Med</w:t>
      </w:r>
      <w:r>
        <w:rPr>
          <w:sz w:val="22"/>
        </w:rPr>
        <w:t>. 2004;39:48.</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Chlebowski RT, Anderson G, Pettinger M, et al; Women’s Health Initiative Investigators. Estrogen and progestin and breast cancer detection by means of mammography and </w:t>
      </w:r>
      <w:r>
        <w:rPr>
          <w:sz w:val="22"/>
        </w:rPr>
        <w:t>breast biopsy. </w:t>
      </w:r>
      <w:r>
        <w:rPr>
          <w:i/>
          <w:sz w:val="22"/>
        </w:rPr>
        <w:t>Arch Intern Med</w:t>
      </w:r>
      <w:r>
        <w:rPr>
          <w:sz w:val="22"/>
        </w:rPr>
        <w:t>. 2008;168:370.</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Berg</w:t>
      </w:r>
      <w:r>
        <w:rPr>
          <w:spacing w:val="40"/>
          <w:sz w:val="22"/>
        </w:rPr>
        <w:t> </w:t>
      </w:r>
      <w:r>
        <w:rPr>
          <w:sz w:val="22"/>
        </w:rPr>
        <w:t>WA,</w:t>
      </w:r>
      <w:r>
        <w:rPr>
          <w:spacing w:val="40"/>
          <w:sz w:val="22"/>
        </w:rPr>
        <w:t> </w:t>
      </w:r>
      <w:r>
        <w:rPr>
          <w:sz w:val="22"/>
        </w:rPr>
        <w:t>Blume</w:t>
      </w:r>
      <w:r>
        <w:rPr>
          <w:spacing w:val="40"/>
          <w:sz w:val="22"/>
        </w:rPr>
        <w:t> </w:t>
      </w:r>
      <w:r>
        <w:rPr>
          <w:sz w:val="22"/>
        </w:rPr>
        <w:t>JD,</w:t>
      </w:r>
      <w:r>
        <w:rPr>
          <w:spacing w:val="40"/>
          <w:sz w:val="22"/>
        </w:rPr>
        <w:t> </w:t>
      </w:r>
      <w:r>
        <w:rPr>
          <w:sz w:val="22"/>
        </w:rPr>
        <w:t>Cormack</w:t>
      </w:r>
      <w:r>
        <w:rPr>
          <w:spacing w:val="40"/>
          <w:sz w:val="22"/>
        </w:rPr>
        <w:t> </w:t>
      </w:r>
      <w:r>
        <w:rPr>
          <w:sz w:val="22"/>
        </w:rPr>
        <w:t>JB,</w:t>
      </w:r>
      <w:r>
        <w:rPr>
          <w:spacing w:val="40"/>
          <w:sz w:val="22"/>
        </w:rPr>
        <w:t> </w:t>
      </w:r>
      <w:r>
        <w:rPr>
          <w:sz w:val="22"/>
        </w:rPr>
        <w:t>et</w:t>
      </w:r>
      <w:r>
        <w:rPr>
          <w:spacing w:val="40"/>
          <w:sz w:val="22"/>
        </w:rPr>
        <w:t> </w:t>
      </w:r>
      <w:r>
        <w:rPr>
          <w:sz w:val="22"/>
        </w:rPr>
        <w:t>al;</w:t>
      </w:r>
      <w:r>
        <w:rPr>
          <w:spacing w:val="40"/>
          <w:sz w:val="22"/>
        </w:rPr>
        <w:t> </w:t>
      </w:r>
      <w:r>
        <w:rPr>
          <w:sz w:val="22"/>
        </w:rPr>
        <w:t>ACRIN</w:t>
      </w:r>
      <w:r>
        <w:rPr>
          <w:spacing w:val="40"/>
          <w:sz w:val="22"/>
        </w:rPr>
        <w:t> </w:t>
      </w:r>
      <w:r>
        <w:rPr>
          <w:sz w:val="22"/>
        </w:rPr>
        <w:t>6666</w:t>
      </w:r>
      <w:r>
        <w:rPr>
          <w:spacing w:val="40"/>
          <w:sz w:val="22"/>
        </w:rPr>
        <w:t> </w:t>
      </w:r>
      <w:r>
        <w:rPr>
          <w:sz w:val="22"/>
        </w:rPr>
        <w:t>Investigators.</w:t>
      </w:r>
      <w:r>
        <w:rPr>
          <w:spacing w:val="40"/>
          <w:sz w:val="22"/>
        </w:rPr>
        <w:t> </w:t>
      </w:r>
      <w:r>
        <w:rPr>
          <w:sz w:val="22"/>
        </w:rPr>
        <w:t>Combined</w:t>
      </w:r>
      <w:r>
        <w:rPr>
          <w:spacing w:val="40"/>
          <w:sz w:val="22"/>
        </w:rPr>
        <w:t> </w:t>
      </w:r>
      <w:r>
        <w:rPr>
          <w:sz w:val="22"/>
        </w:rPr>
        <w:t>screening with</w:t>
      </w:r>
      <w:r>
        <w:rPr>
          <w:spacing w:val="40"/>
          <w:sz w:val="22"/>
        </w:rPr>
        <w:t> </w:t>
      </w:r>
      <w:r>
        <w:rPr>
          <w:sz w:val="22"/>
        </w:rPr>
        <w:t>ultrasound</w:t>
      </w:r>
      <w:r>
        <w:rPr>
          <w:spacing w:val="40"/>
          <w:sz w:val="22"/>
        </w:rPr>
        <w:t> </w:t>
      </w:r>
      <w:r>
        <w:rPr>
          <w:sz w:val="22"/>
        </w:rPr>
        <w:t>and</w:t>
      </w:r>
      <w:r>
        <w:rPr>
          <w:spacing w:val="40"/>
          <w:sz w:val="22"/>
        </w:rPr>
        <w:t> </w:t>
      </w:r>
      <w:r>
        <w:rPr>
          <w:sz w:val="22"/>
        </w:rPr>
        <w:t>mammography</w:t>
      </w:r>
      <w:r>
        <w:rPr>
          <w:spacing w:val="40"/>
          <w:sz w:val="22"/>
        </w:rPr>
        <w:t> </w:t>
      </w:r>
      <w:r>
        <w:rPr>
          <w:sz w:val="22"/>
        </w:rPr>
        <w:t>vs</w:t>
      </w:r>
      <w:r>
        <w:rPr>
          <w:spacing w:val="40"/>
          <w:sz w:val="22"/>
        </w:rPr>
        <w:t> </w:t>
      </w:r>
      <w:r>
        <w:rPr>
          <w:sz w:val="22"/>
        </w:rPr>
        <w:t>mammography</w:t>
      </w:r>
      <w:r>
        <w:rPr>
          <w:spacing w:val="40"/>
          <w:sz w:val="22"/>
        </w:rPr>
        <w:t> </w:t>
      </w:r>
      <w:r>
        <w:rPr>
          <w:sz w:val="22"/>
        </w:rPr>
        <w:t>alone</w:t>
      </w:r>
      <w:r>
        <w:rPr>
          <w:spacing w:val="40"/>
          <w:sz w:val="22"/>
        </w:rPr>
        <w:t> </w:t>
      </w:r>
      <w:r>
        <w:rPr>
          <w:sz w:val="22"/>
        </w:rPr>
        <w:t>in</w:t>
      </w:r>
      <w:r>
        <w:rPr>
          <w:spacing w:val="40"/>
          <w:sz w:val="22"/>
        </w:rPr>
        <w:t> </w:t>
      </w:r>
      <w:r>
        <w:rPr>
          <w:sz w:val="22"/>
        </w:rPr>
        <w:t>women</w:t>
      </w:r>
      <w:r>
        <w:rPr>
          <w:spacing w:val="40"/>
          <w:sz w:val="22"/>
        </w:rPr>
        <w:t> </w:t>
      </w:r>
      <w:r>
        <w:rPr>
          <w:sz w:val="22"/>
        </w:rPr>
        <w:t>at</w:t>
      </w:r>
      <w:r>
        <w:rPr>
          <w:spacing w:val="40"/>
          <w:sz w:val="22"/>
        </w:rPr>
        <w:t> </w:t>
      </w:r>
      <w:r>
        <w:rPr>
          <w:sz w:val="22"/>
        </w:rPr>
        <w:t>elevated</w:t>
      </w:r>
      <w:r>
        <w:rPr>
          <w:spacing w:val="40"/>
          <w:sz w:val="22"/>
        </w:rPr>
        <w:t> </w:t>
      </w:r>
      <w:r>
        <w:rPr>
          <w:sz w:val="22"/>
        </w:rPr>
        <w:t>risk</w:t>
      </w:r>
      <w:r>
        <w:rPr>
          <w:spacing w:val="40"/>
          <w:sz w:val="22"/>
        </w:rPr>
        <w:t> </w:t>
      </w:r>
      <w:r>
        <w:rPr>
          <w:sz w:val="22"/>
        </w:rPr>
        <w:t>of breast cancer. </w:t>
      </w:r>
      <w:r>
        <w:rPr>
          <w:i/>
          <w:sz w:val="22"/>
        </w:rPr>
        <w:t>JAMA</w:t>
      </w:r>
      <w:r>
        <w:rPr>
          <w:sz w:val="22"/>
        </w:rPr>
        <w:t>. 2008;299:2151.</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Corsetti V, Ferrari A, Ghirardi M, et al. Role of ultrasonography in </w:t>
      </w:r>
      <w:r>
        <w:rPr>
          <w:sz w:val="22"/>
        </w:rPr>
        <w:t>detecting</w:t>
      </w:r>
      <w:r>
        <w:rPr>
          <w:spacing w:val="80"/>
          <w:sz w:val="22"/>
        </w:rPr>
        <w:t> </w:t>
      </w:r>
      <w:r>
        <w:rPr>
          <w:sz w:val="22"/>
        </w:rPr>
        <w:t>mammographically occult breast carcinoma in women with dense breasts. </w:t>
      </w:r>
      <w:r>
        <w:rPr>
          <w:i/>
          <w:sz w:val="22"/>
        </w:rPr>
        <w:t>Radiol Med</w:t>
      </w:r>
      <w:r>
        <w:rPr>
          <w:sz w:val="22"/>
        </w:rPr>
        <w:t>. </w:t>
      </w:r>
      <w:r>
        <w:rPr>
          <w:spacing w:val="-2"/>
          <w:sz w:val="22"/>
        </w:rPr>
        <w:t>2006;111:440.</w:t>
      </w:r>
    </w:p>
    <w:p>
      <w:pPr>
        <w:pStyle w:val="ListParagraph"/>
        <w:numPr>
          <w:ilvl w:val="0"/>
          <w:numId w:val="19"/>
        </w:numPr>
        <w:tabs>
          <w:tab w:pos="709" w:val="left" w:leader="none"/>
          <w:tab w:pos="718" w:val="left" w:leader="none"/>
        </w:tabs>
        <w:spacing w:line="256" w:lineRule="auto" w:before="0" w:after="0"/>
        <w:ind w:left="718" w:right="103" w:hanging="507"/>
        <w:jc w:val="both"/>
        <w:rPr>
          <w:sz w:val="22"/>
        </w:rPr>
      </w:pPr>
      <w:r>
        <w:rPr>
          <w:sz w:val="22"/>
        </w:rPr>
        <w:t>Melnikow J, Fenton JJ, Whitlock EP, et al; U.S. Preventive Services Task Force Evidence Syntheses, formerly Systematic Evidence Reviews. Supplemental Screening for Breast </w:t>
      </w:r>
      <w:r>
        <w:rPr>
          <w:sz w:val="22"/>
        </w:rPr>
        <w:t>Cancer</w:t>
      </w:r>
      <w:r>
        <w:rPr>
          <w:spacing w:val="40"/>
          <w:sz w:val="22"/>
        </w:rPr>
        <w:t> </w:t>
      </w:r>
      <w:r>
        <w:rPr>
          <w:sz w:val="22"/>
        </w:rPr>
        <w:t>in Women With Dense Breasts: A Systematic Review for the U.S. Preventive Service Task Force. Agency for Healthcare Research and Quality (U.S.); 2016.</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Pisano ED, Hendrick RE, Yaffe MJ, et al. Diagnostic accuracy of digital versus film mammography: exploratory analysis of selected population subgroups in DMIST. </w:t>
      </w:r>
      <w:r>
        <w:rPr>
          <w:i/>
          <w:sz w:val="22"/>
        </w:rPr>
        <w:t>Radiology</w:t>
      </w:r>
      <w:r>
        <w:rPr>
          <w:sz w:val="22"/>
        </w:rPr>
        <w:t>. </w:t>
      </w:r>
      <w:r>
        <w:rPr>
          <w:spacing w:val="-2"/>
          <w:sz w:val="22"/>
        </w:rPr>
        <w:t>2008;246:376.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Wertheimer MD, Costanza ME, Dodson TF, D’Orsi C, Pastides H, Zapka JG. Increasing </w:t>
      </w:r>
      <w:r>
        <w:rPr>
          <w:sz w:val="22"/>
        </w:rPr>
        <w:t>the effort toward breast cancer detection. </w:t>
      </w:r>
      <w:r>
        <w:rPr>
          <w:i/>
          <w:sz w:val="22"/>
        </w:rPr>
        <w:t>JAMA</w:t>
      </w:r>
      <w:r>
        <w:rPr>
          <w:sz w:val="22"/>
        </w:rPr>
        <w:t>. 1986;255:1311.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Chen WY, Hankinson SE, Schnitt SJ, Rosner BA, Holmes MD, Colditz GA. Association </w:t>
      </w:r>
      <w:r>
        <w:rPr>
          <w:sz w:val="22"/>
        </w:rPr>
        <w:t>of hormone replacement therapy to estrogen and progesterone receptor status in invasive breast carcinoma. </w:t>
      </w:r>
      <w:r>
        <w:rPr>
          <w:i/>
          <w:sz w:val="22"/>
        </w:rPr>
        <w:t>Cancer</w:t>
      </w:r>
      <w:r>
        <w:rPr>
          <w:sz w:val="22"/>
        </w:rPr>
        <w:t>. 2004;101:1490.</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Henderson</w:t>
      </w:r>
      <w:r>
        <w:rPr>
          <w:spacing w:val="40"/>
          <w:sz w:val="22"/>
        </w:rPr>
        <w:t> </w:t>
      </w:r>
      <w:r>
        <w:rPr>
          <w:sz w:val="22"/>
        </w:rPr>
        <w:t>BE,</w:t>
      </w:r>
      <w:r>
        <w:rPr>
          <w:spacing w:val="40"/>
          <w:sz w:val="22"/>
        </w:rPr>
        <w:t> </w:t>
      </w:r>
      <w:r>
        <w:rPr>
          <w:sz w:val="22"/>
        </w:rPr>
        <w:t>Ross</w:t>
      </w:r>
      <w:r>
        <w:rPr>
          <w:spacing w:val="40"/>
          <w:sz w:val="22"/>
        </w:rPr>
        <w:t> </w:t>
      </w:r>
      <w:r>
        <w:rPr>
          <w:sz w:val="22"/>
        </w:rPr>
        <w:t>RK,</w:t>
      </w:r>
      <w:r>
        <w:rPr>
          <w:spacing w:val="40"/>
          <w:sz w:val="22"/>
        </w:rPr>
        <w:t> </w:t>
      </w:r>
      <w:r>
        <w:rPr>
          <w:sz w:val="22"/>
        </w:rPr>
        <w:t>Judd</w:t>
      </w:r>
      <w:r>
        <w:rPr>
          <w:spacing w:val="40"/>
          <w:sz w:val="22"/>
        </w:rPr>
        <w:t> </w:t>
      </w:r>
      <w:r>
        <w:rPr>
          <w:sz w:val="22"/>
        </w:rPr>
        <w:t>HL,</w:t>
      </w:r>
      <w:r>
        <w:rPr>
          <w:spacing w:val="40"/>
          <w:sz w:val="22"/>
        </w:rPr>
        <w:t> </w:t>
      </w:r>
      <w:r>
        <w:rPr>
          <w:sz w:val="22"/>
        </w:rPr>
        <w:t>Krailo</w:t>
      </w:r>
      <w:r>
        <w:rPr>
          <w:spacing w:val="40"/>
          <w:sz w:val="22"/>
        </w:rPr>
        <w:t> </w:t>
      </w:r>
      <w:r>
        <w:rPr>
          <w:sz w:val="22"/>
        </w:rPr>
        <w:t>MD,</w:t>
      </w:r>
      <w:r>
        <w:rPr>
          <w:spacing w:val="40"/>
          <w:sz w:val="22"/>
        </w:rPr>
        <w:t> </w:t>
      </w:r>
      <w:r>
        <w:rPr>
          <w:sz w:val="22"/>
        </w:rPr>
        <w:t>Pike</w:t>
      </w:r>
      <w:r>
        <w:rPr>
          <w:spacing w:val="40"/>
          <w:sz w:val="22"/>
        </w:rPr>
        <w:t> </w:t>
      </w:r>
      <w:r>
        <w:rPr>
          <w:sz w:val="22"/>
        </w:rPr>
        <w:t>MC.</w:t>
      </w:r>
      <w:r>
        <w:rPr>
          <w:spacing w:val="40"/>
          <w:sz w:val="22"/>
        </w:rPr>
        <w:t> </w:t>
      </w:r>
      <w:r>
        <w:rPr>
          <w:sz w:val="22"/>
        </w:rPr>
        <w:t>Do</w:t>
      </w:r>
      <w:r>
        <w:rPr>
          <w:spacing w:val="40"/>
          <w:sz w:val="22"/>
        </w:rPr>
        <w:t> </w:t>
      </w:r>
      <w:r>
        <w:rPr>
          <w:sz w:val="22"/>
        </w:rPr>
        <w:t>regular</w:t>
      </w:r>
      <w:r>
        <w:rPr>
          <w:spacing w:val="40"/>
          <w:sz w:val="22"/>
        </w:rPr>
        <w:t> </w:t>
      </w:r>
      <w:r>
        <w:rPr>
          <w:sz w:val="22"/>
        </w:rPr>
        <w:t>ovulatory</w:t>
      </w:r>
      <w:r>
        <w:rPr>
          <w:spacing w:val="40"/>
          <w:sz w:val="22"/>
        </w:rPr>
        <w:t> </w:t>
      </w:r>
      <w:r>
        <w:rPr>
          <w:sz w:val="22"/>
        </w:rPr>
        <w:t>cycles increase breast cancer risk? </w:t>
      </w:r>
      <w:r>
        <w:rPr>
          <w:i/>
          <w:sz w:val="22"/>
        </w:rPr>
        <w:t>Cancer</w:t>
      </w:r>
      <w:r>
        <w:rPr>
          <w:sz w:val="22"/>
        </w:rPr>
        <w:t>. 1985;56:1206.</w:t>
      </w:r>
    </w:p>
    <w:p>
      <w:pPr>
        <w:pStyle w:val="ListParagraph"/>
        <w:numPr>
          <w:ilvl w:val="0"/>
          <w:numId w:val="19"/>
        </w:numPr>
        <w:tabs>
          <w:tab w:pos="709" w:val="left" w:leader="none"/>
          <w:tab w:pos="718" w:val="left" w:leader="none"/>
        </w:tabs>
        <w:spacing w:line="256" w:lineRule="auto" w:before="0" w:after="0"/>
        <w:ind w:left="718" w:right="104" w:hanging="507"/>
        <w:jc w:val="both"/>
        <w:rPr>
          <w:sz w:val="22"/>
        </w:rPr>
      </w:pPr>
      <w:r>
        <w:rPr>
          <w:sz w:val="22"/>
        </w:rPr>
        <w:t>Tjønneland A, Christensen J, Thomsen BL, et al. Hormone replacement therapy in relation to breast carcinoma incidence rate ratios: a prospective Danish cohort study. </w:t>
      </w:r>
      <w:r>
        <w:rPr>
          <w:i/>
          <w:sz w:val="22"/>
        </w:rPr>
        <w:t>Cancer</w:t>
      </w:r>
      <w:r>
        <w:rPr>
          <w:sz w:val="22"/>
        </w:rPr>
        <w:t>. </w:t>
      </w:r>
      <w:r>
        <w:rPr>
          <w:spacing w:val="-2"/>
          <w:sz w:val="22"/>
        </w:rPr>
        <w:t>2004;100:2328.</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98" w:hanging="507"/>
        <w:jc w:val="both"/>
        <w:rPr>
          <w:sz w:val="22"/>
        </w:rPr>
      </w:pPr>
      <w:r>
        <w:rPr>
          <w:sz w:val="22"/>
        </w:rPr>
        <w:t>Stahlberg C, Pedersen AT, Andersen ZJ, et al. Breast cancer with different prognostic characteristics developing in Danish women using hormone replacement therapy. </w:t>
      </w:r>
      <w:r>
        <w:rPr>
          <w:i/>
          <w:sz w:val="22"/>
        </w:rPr>
        <w:t>Br J </w:t>
      </w:r>
      <w:r>
        <w:rPr>
          <w:i/>
          <w:sz w:val="22"/>
        </w:rPr>
        <w:t>Cancer</w:t>
      </w:r>
      <w:r>
        <w:rPr>
          <w:sz w:val="22"/>
        </w:rPr>
        <w:t>. </w:t>
      </w:r>
      <w:r>
        <w:rPr>
          <w:spacing w:val="-2"/>
          <w:sz w:val="22"/>
        </w:rPr>
        <w:t>2004;91:644.</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Hwang ES, Chew T, Shiboski S, Farren G, Benz CC, Wrensch M. Risk factors for estrogen receptor-positive disease. </w:t>
      </w:r>
      <w:r>
        <w:rPr>
          <w:i/>
          <w:sz w:val="22"/>
        </w:rPr>
        <w:t>Arch Surg</w:t>
      </w:r>
      <w:r>
        <w:rPr>
          <w:sz w:val="22"/>
        </w:rPr>
        <w:t>. 2005;140:58.</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Kumar AS, Cureton E, Shim V, et al. Type and duration of exogenous hormone use </w:t>
      </w:r>
      <w:r>
        <w:rPr>
          <w:sz w:val="22"/>
        </w:rPr>
        <w:t>affects</w:t>
      </w:r>
      <w:r>
        <w:rPr>
          <w:spacing w:val="40"/>
          <w:sz w:val="22"/>
        </w:rPr>
        <w:t> </w:t>
      </w:r>
      <w:r>
        <w:rPr>
          <w:sz w:val="22"/>
        </w:rPr>
        <w:t>breast cancer histology. </w:t>
      </w:r>
      <w:r>
        <w:rPr>
          <w:i/>
          <w:sz w:val="22"/>
        </w:rPr>
        <w:t>Ann Surg Oncol</w:t>
      </w:r>
      <w:r>
        <w:rPr>
          <w:sz w:val="22"/>
        </w:rPr>
        <w:t>. 2007;14:695.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Fournier A, Berrino F, Riboli E, Clavel-Chapelon F. Breast cancer risk in relation to different types of hormone replacement therapy in the E3N-EPIC cohort. </w:t>
      </w:r>
      <w:r>
        <w:rPr>
          <w:i/>
          <w:sz w:val="22"/>
        </w:rPr>
        <w:t>Int J Cancer</w:t>
      </w:r>
      <w:r>
        <w:rPr>
          <w:sz w:val="22"/>
        </w:rPr>
        <w:t>. 2005;114:448.</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Fournier A, Berrino F, Clavel-Chapelon F. Unequal risks for breast cancer associated with different hormone replacement therapies: results from E3N cohort study. </w:t>
      </w:r>
      <w:r>
        <w:rPr>
          <w:i/>
          <w:sz w:val="22"/>
        </w:rPr>
        <w:t>Breast Cancer Res</w:t>
      </w:r>
      <w:r>
        <w:rPr>
          <w:i/>
          <w:sz w:val="22"/>
        </w:rPr>
        <w:t> Treat</w:t>
      </w:r>
      <w:r>
        <w:rPr>
          <w:sz w:val="22"/>
        </w:rPr>
        <w:t>. 2008;107:103.</w:t>
      </w:r>
    </w:p>
    <w:p>
      <w:pPr>
        <w:pStyle w:val="ListParagraph"/>
        <w:numPr>
          <w:ilvl w:val="0"/>
          <w:numId w:val="19"/>
        </w:numPr>
        <w:tabs>
          <w:tab w:pos="709" w:val="left" w:leader="none"/>
          <w:tab w:pos="718" w:val="left" w:leader="none"/>
        </w:tabs>
        <w:spacing w:line="256" w:lineRule="auto" w:before="0" w:after="0"/>
        <w:ind w:left="718" w:right="102" w:hanging="507"/>
        <w:jc w:val="both"/>
        <w:rPr>
          <w:sz w:val="22"/>
        </w:rPr>
      </w:pPr>
      <w:r>
        <w:rPr>
          <w:sz w:val="22"/>
        </w:rPr>
        <w:t>Vinogradova</w:t>
      </w:r>
      <w:r>
        <w:rPr>
          <w:spacing w:val="24"/>
          <w:sz w:val="22"/>
        </w:rPr>
        <w:t> </w:t>
      </w:r>
      <w:r>
        <w:rPr>
          <w:sz w:val="22"/>
        </w:rPr>
        <w:t>Y,</w:t>
      </w:r>
      <w:r>
        <w:rPr>
          <w:spacing w:val="24"/>
          <w:sz w:val="22"/>
        </w:rPr>
        <w:t> </w:t>
      </w:r>
      <w:r>
        <w:rPr>
          <w:sz w:val="22"/>
        </w:rPr>
        <w:t>Coupland</w:t>
      </w:r>
      <w:r>
        <w:rPr>
          <w:spacing w:val="24"/>
          <w:sz w:val="22"/>
        </w:rPr>
        <w:t> </w:t>
      </w:r>
      <w:r>
        <w:rPr>
          <w:sz w:val="22"/>
        </w:rPr>
        <w:t>C,</w:t>
      </w:r>
      <w:r>
        <w:rPr>
          <w:spacing w:val="24"/>
          <w:sz w:val="22"/>
        </w:rPr>
        <w:t> </w:t>
      </w:r>
      <w:r>
        <w:rPr>
          <w:sz w:val="22"/>
        </w:rPr>
        <w:t>Hippisley-Cox</w:t>
      </w:r>
      <w:r>
        <w:rPr>
          <w:spacing w:val="24"/>
          <w:sz w:val="22"/>
        </w:rPr>
        <w:t> </w:t>
      </w:r>
      <w:r>
        <w:rPr>
          <w:sz w:val="22"/>
        </w:rPr>
        <w:t>J.</w:t>
      </w:r>
      <w:r>
        <w:rPr>
          <w:spacing w:val="24"/>
          <w:sz w:val="22"/>
        </w:rPr>
        <w:t> </w:t>
      </w:r>
      <w:r>
        <w:rPr>
          <w:sz w:val="22"/>
        </w:rPr>
        <w:t>Use</w:t>
      </w:r>
      <w:r>
        <w:rPr>
          <w:spacing w:val="26"/>
          <w:sz w:val="22"/>
        </w:rPr>
        <w:t> </w:t>
      </w:r>
      <w:r>
        <w:rPr>
          <w:sz w:val="22"/>
        </w:rPr>
        <w:t>of</w:t>
      </w:r>
      <w:r>
        <w:rPr>
          <w:spacing w:val="26"/>
          <w:sz w:val="22"/>
        </w:rPr>
        <w:t> </w:t>
      </w:r>
      <w:r>
        <w:rPr>
          <w:sz w:val="22"/>
        </w:rPr>
        <w:t>hormone</w:t>
      </w:r>
      <w:r>
        <w:rPr>
          <w:spacing w:val="26"/>
          <w:sz w:val="22"/>
        </w:rPr>
        <w:t> </w:t>
      </w:r>
      <w:r>
        <w:rPr>
          <w:sz w:val="22"/>
        </w:rPr>
        <w:t>replacement</w:t>
      </w:r>
      <w:r>
        <w:rPr>
          <w:spacing w:val="26"/>
          <w:sz w:val="22"/>
        </w:rPr>
        <w:t> </w:t>
      </w:r>
      <w:r>
        <w:rPr>
          <w:sz w:val="22"/>
        </w:rPr>
        <w:t>therapy</w:t>
      </w:r>
      <w:r>
        <w:rPr>
          <w:spacing w:val="26"/>
          <w:sz w:val="22"/>
        </w:rPr>
        <w:t> </w:t>
      </w:r>
      <w:r>
        <w:rPr>
          <w:sz w:val="22"/>
        </w:rPr>
        <w:t>and</w:t>
      </w:r>
      <w:r>
        <w:rPr>
          <w:spacing w:val="26"/>
          <w:sz w:val="22"/>
        </w:rPr>
        <w:t> </w:t>
      </w:r>
      <w:r>
        <w:rPr>
          <w:sz w:val="22"/>
        </w:rPr>
        <w:t>risk of breast cancer: nested case-control studies using the QResearch and CPRD databases. </w:t>
      </w:r>
      <w:r>
        <w:rPr>
          <w:i/>
          <w:sz w:val="22"/>
        </w:rPr>
        <w:t>BMJ</w:t>
      </w:r>
      <w:r>
        <w:rPr>
          <w:sz w:val="22"/>
        </w:rPr>
        <w:t>. </w:t>
      </w:r>
      <w:r>
        <w:rPr>
          <w:spacing w:val="-2"/>
          <w:sz w:val="22"/>
        </w:rPr>
        <w:t>2020;371:m3873.</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Fournier A, Mesrine S, Boutron-Ruault MC, Clavel-Chapelon F. Estrogen-progestagen menopausal</w:t>
      </w:r>
      <w:r>
        <w:rPr>
          <w:spacing w:val="40"/>
          <w:sz w:val="22"/>
        </w:rPr>
        <w:t> </w:t>
      </w:r>
      <w:r>
        <w:rPr>
          <w:sz w:val="22"/>
        </w:rPr>
        <w:t>hormone</w:t>
      </w:r>
      <w:r>
        <w:rPr>
          <w:spacing w:val="40"/>
          <w:sz w:val="22"/>
        </w:rPr>
        <w:t> </w:t>
      </w:r>
      <w:r>
        <w:rPr>
          <w:sz w:val="22"/>
        </w:rPr>
        <w:t>therapy</w:t>
      </w:r>
      <w:r>
        <w:rPr>
          <w:spacing w:val="40"/>
          <w:sz w:val="22"/>
        </w:rPr>
        <w:t> </w:t>
      </w:r>
      <w:r>
        <w:rPr>
          <w:sz w:val="22"/>
        </w:rPr>
        <w:t>and</w:t>
      </w:r>
      <w:r>
        <w:rPr>
          <w:spacing w:val="40"/>
          <w:sz w:val="22"/>
        </w:rPr>
        <w:t> </w:t>
      </w:r>
      <w:r>
        <w:rPr>
          <w:sz w:val="22"/>
        </w:rPr>
        <w:t>breast</w:t>
      </w:r>
      <w:r>
        <w:rPr>
          <w:spacing w:val="40"/>
          <w:sz w:val="22"/>
        </w:rPr>
        <w:t> </w:t>
      </w:r>
      <w:r>
        <w:rPr>
          <w:sz w:val="22"/>
        </w:rPr>
        <w:t>cancer:</w:t>
      </w:r>
      <w:r>
        <w:rPr>
          <w:spacing w:val="40"/>
          <w:sz w:val="22"/>
        </w:rPr>
        <w:t> </w:t>
      </w:r>
      <w:r>
        <w:rPr>
          <w:sz w:val="22"/>
        </w:rPr>
        <w:t>does</w:t>
      </w:r>
      <w:r>
        <w:rPr>
          <w:spacing w:val="40"/>
          <w:sz w:val="22"/>
        </w:rPr>
        <w:t> </w:t>
      </w:r>
      <w:r>
        <w:rPr>
          <w:sz w:val="22"/>
        </w:rPr>
        <w:t>delay</w:t>
      </w:r>
      <w:r>
        <w:rPr>
          <w:spacing w:val="40"/>
          <w:sz w:val="22"/>
        </w:rPr>
        <w:t> </w:t>
      </w:r>
      <w:r>
        <w:rPr>
          <w:sz w:val="22"/>
        </w:rPr>
        <w:t>from</w:t>
      </w:r>
      <w:r>
        <w:rPr>
          <w:spacing w:val="40"/>
          <w:sz w:val="22"/>
        </w:rPr>
        <w:t> </w:t>
      </w:r>
      <w:r>
        <w:rPr>
          <w:sz w:val="22"/>
        </w:rPr>
        <w:t>menopause</w:t>
      </w:r>
      <w:r>
        <w:rPr>
          <w:spacing w:val="40"/>
          <w:sz w:val="22"/>
        </w:rPr>
        <w:t> </w:t>
      </w:r>
      <w:r>
        <w:rPr>
          <w:sz w:val="22"/>
        </w:rPr>
        <w:t>onset</w:t>
      </w:r>
      <w:r>
        <w:rPr>
          <w:spacing w:val="40"/>
          <w:sz w:val="22"/>
        </w:rPr>
        <w:t> </w:t>
      </w:r>
      <w:r>
        <w:rPr>
          <w:sz w:val="22"/>
        </w:rPr>
        <w:t>to treatment initiation influence risks? </w:t>
      </w:r>
      <w:r>
        <w:rPr>
          <w:i/>
          <w:sz w:val="22"/>
        </w:rPr>
        <w:t>J Clin Oncol</w:t>
      </w:r>
      <w:r>
        <w:rPr>
          <w:sz w:val="22"/>
        </w:rPr>
        <w:t>. 2009;27:5138.</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Frasor J, Danes JM, Komm B, Chang KC, Lyttle CR, Katzenellenbogen BS. Profiling of estrogen up- and down-regulated gene expression in human breast cancer cells: insights </w:t>
      </w:r>
      <w:r>
        <w:rPr>
          <w:sz w:val="22"/>
        </w:rPr>
        <w:t>into gene networks and pathways underlying estrogenic control of proliferation and cell phenotype. </w:t>
      </w:r>
      <w:r>
        <w:rPr>
          <w:i/>
          <w:sz w:val="22"/>
        </w:rPr>
        <w:t>Endocrinology</w:t>
      </w:r>
      <w:r>
        <w:rPr>
          <w:sz w:val="22"/>
        </w:rPr>
        <w:t>. 2003;144:4562.</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Hall P, Ploner A, Bjöhle J, et al. Hormone-replacement therapy influences gene </w:t>
      </w:r>
      <w:r>
        <w:rPr>
          <w:sz w:val="22"/>
        </w:rPr>
        <w:t>expression profiles and is associated with breast-cancer prognosis: a cohort study. </w:t>
      </w:r>
      <w:r>
        <w:rPr>
          <w:i/>
          <w:sz w:val="22"/>
        </w:rPr>
        <w:t>BMC Med</w:t>
      </w:r>
      <w:r>
        <w:rPr>
          <w:sz w:val="22"/>
        </w:rPr>
        <w:t>. 2006;4:16.</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Wang X, Mori I, Tang W, et al. p63 expression in normal, hyperplastic and malignant breast tissues. </w:t>
      </w:r>
      <w:r>
        <w:rPr>
          <w:i/>
          <w:sz w:val="22"/>
        </w:rPr>
        <w:t>Breast Cancer</w:t>
      </w:r>
      <w:r>
        <w:rPr>
          <w:sz w:val="22"/>
        </w:rPr>
        <w:t>. 2002;9:216.</w:t>
      </w:r>
    </w:p>
    <w:p>
      <w:pPr>
        <w:pStyle w:val="ListParagraph"/>
        <w:numPr>
          <w:ilvl w:val="0"/>
          <w:numId w:val="19"/>
        </w:numPr>
        <w:tabs>
          <w:tab w:pos="709" w:val="left" w:leader="none"/>
          <w:tab w:pos="718" w:val="left" w:leader="none"/>
        </w:tabs>
        <w:spacing w:line="256" w:lineRule="auto" w:before="0" w:after="0"/>
        <w:ind w:left="718" w:right="112" w:hanging="507"/>
        <w:jc w:val="both"/>
        <w:rPr>
          <w:sz w:val="22"/>
        </w:rPr>
      </w:pPr>
      <w:r>
        <w:rPr>
          <w:sz w:val="22"/>
        </w:rPr>
        <w:t>Conneely OM, Jericevic BM, Lydon JP. Progesterone receptors in mammary </w:t>
      </w:r>
      <w:r>
        <w:rPr>
          <w:sz w:val="22"/>
        </w:rPr>
        <w:t>gland</w:t>
      </w:r>
      <w:r>
        <w:rPr>
          <w:spacing w:val="80"/>
          <w:sz w:val="22"/>
        </w:rPr>
        <w:t> </w:t>
      </w:r>
      <w:r>
        <w:rPr>
          <w:sz w:val="22"/>
        </w:rPr>
        <w:t>development and tumorigenesis. </w:t>
      </w:r>
      <w:r>
        <w:rPr>
          <w:i/>
          <w:sz w:val="22"/>
        </w:rPr>
        <w:t>J Mammary Gland Biol Neoplasia</w:t>
      </w:r>
      <w:r>
        <w:rPr>
          <w:sz w:val="22"/>
        </w:rPr>
        <w:t>. 2003;8:205.</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Horwitz KB, Tung L, Takimoto GS. Novel mechanisms of antiprogestin action. </w:t>
      </w:r>
      <w:r>
        <w:rPr>
          <w:i/>
          <w:sz w:val="22"/>
        </w:rPr>
        <w:t>J Steroid</w:t>
      </w:r>
      <w:r>
        <w:rPr>
          <w:i/>
          <w:sz w:val="22"/>
        </w:rPr>
        <w:t> Biochem Mol Biol</w:t>
      </w:r>
      <w:r>
        <w:rPr>
          <w:sz w:val="22"/>
        </w:rPr>
        <w:t>. 1995;53:9.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Read LD, Katzenellenbogen BS. Characterization and regulation of estrogen and </w:t>
      </w:r>
      <w:r>
        <w:rPr>
          <w:sz w:val="22"/>
        </w:rPr>
        <w:t>progesterone receptors in breast cancer. </w:t>
      </w:r>
      <w:r>
        <w:rPr>
          <w:i/>
          <w:sz w:val="22"/>
        </w:rPr>
        <w:t>Cancer Treat Res</w:t>
      </w:r>
      <w:r>
        <w:rPr>
          <w:sz w:val="22"/>
        </w:rPr>
        <w:t>. 1992;61:277.</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Kastner P, Krust A, Turcotte B, et al. Two distinct estrogen-regulated promoters generate transcripts</w:t>
      </w:r>
      <w:r>
        <w:rPr>
          <w:spacing w:val="28"/>
          <w:sz w:val="22"/>
        </w:rPr>
        <w:t> </w:t>
      </w:r>
      <w:r>
        <w:rPr>
          <w:sz w:val="22"/>
        </w:rPr>
        <w:t>encoding</w:t>
      </w:r>
      <w:r>
        <w:rPr>
          <w:spacing w:val="28"/>
          <w:sz w:val="22"/>
        </w:rPr>
        <w:t> </w:t>
      </w:r>
      <w:r>
        <w:rPr>
          <w:sz w:val="22"/>
        </w:rPr>
        <w:t>the</w:t>
      </w:r>
      <w:r>
        <w:rPr>
          <w:spacing w:val="28"/>
          <w:sz w:val="22"/>
        </w:rPr>
        <w:t> </w:t>
      </w:r>
      <w:r>
        <w:rPr>
          <w:sz w:val="22"/>
        </w:rPr>
        <w:t>two</w:t>
      </w:r>
      <w:r>
        <w:rPr>
          <w:spacing w:val="28"/>
          <w:sz w:val="22"/>
        </w:rPr>
        <w:t> </w:t>
      </w:r>
      <w:r>
        <w:rPr>
          <w:sz w:val="22"/>
        </w:rPr>
        <w:t>functionally</w:t>
      </w:r>
      <w:r>
        <w:rPr>
          <w:spacing w:val="28"/>
          <w:sz w:val="22"/>
        </w:rPr>
        <w:t> </w:t>
      </w:r>
      <w:r>
        <w:rPr>
          <w:sz w:val="22"/>
        </w:rPr>
        <w:t>different</w:t>
      </w:r>
      <w:r>
        <w:rPr>
          <w:spacing w:val="28"/>
          <w:sz w:val="22"/>
        </w:rPr>
        <w:t> </w:t>
      </w:r>
      <w:r>
        <w:rPr>
          <w:sz w:val="22"/>
        </w:rPr>
        <w:t>human</w:t>
      </w:r>
      <w:r>
        <w:rPr>
          <w:spacing w:val="28"/>
          <w:sz w:val="22"/>
        </w:rPr>
        <w:t> </w:t>
      </w:r>
      <w:r>
        <w:rPr>
          <w:sz w:val="22"/>
        </w:rPr>
        <w:t>progesterone</w:t>
      </w:r>
      <w:r>
        <w:rPr>
          <w:spacing w:val="28"/>
          <w:sz w:val="22"/>
        </w:rPr>
        <w:t> </w:t>
      </w:r>
      <w:r>
        <w:rPr>
          <w:sz w:val="22"/>
        </w:rPr>
        <w:t>receptor</w:t>
      </w:r>
      <w:r>
        <w:rPr>
          <w:spacing w:val="28"/>
          <w:sz w:val="22"/>
        </w:rPr>
        <w:t> </w:t>
      </w:r>
      <w:r>
        <w:rPr>
          <w:sz w:val="22"/>
        </w:rPr>
        <w:t>forms</w:t>
      </w:r>
      <w:r>
        <w:rPr>
          <w:spacing w:val="28"/>
          <w:sz w:val="22"/>
        </w:rPr>
        <w:t> </w:t>
      </w:r>
      <w:r>
        <w:rPr>
          <w:sz w:val="22"/>
        </w:rPr>
        <w:t>A</w:t>
      </w:r>
      <w:r>
        <w:rPr>
          <w:spacing w:val="28"/>
          <w:sz w:val="22"/>
        </w:rPr>
        <w:t> </w:t>
      </w:r>
      <w:r>
        <w:rPr>
          <w:sz w:val="22"/>
        </w:rPr>
        <w:t>and</w:t>
      </w:r>
    </w:p>
    <w:p>
      <w:pPr>
        <w:spacing w:line="252" w:lineRule="exact" w:before="0"/>
        <w:ind w:left="718" w:right="0" w:firstLine="0"/>
        <w:jc w:val="both"/>
        <w:rPr>
          <w:sz w:val="22"/>
        </w:rPr>
      </w:pPr>
      <w:r>
        <w:rPr>
          <w:sz w:val="22"/>
        </w:rPr>
        <w:t>B.</w:t>
      </w:r>
      <w:r>
        <w:rPr>
          <w:spacing w:val="7"/>
          <w:sz w:val="22"/>
        </w:rPr>
        <w:t> </w:t>
      </w:r>
      <w:r>
        <w:rPr>
          <w:i/>
          <w:sz w:val="22"/>
        </w:rPr>
        <w:t>EMBO</w:t>
      </w:r>
      <w:r>
        <w:rPr>
          <w:i/>
          <w:spacing w:val="7"/>
          <w:sz w:val="22"/>
        </w:rPr>
        <w:t> </w:t>
      </w:r>
      <w:r>
        <w:rPr>
          <w:i/>
          <w:sz w:val="22"/>
        </w:rPr>
        <w:t>J</w:t>
      </w:r>
      <w:r>
        <w:rPr>
          <w:sz w:val="22"/>
        </w:rPr>
        <w:t>.</w:t>
      </w:r>
      <w:r>
        <w:rPr>
          <w:spacing w:val="7"/>
          <w:sz w:val="22"/>
        </w:rPr>
        <w:t> </w:t>
      </w:r>
      <w:r>
        <w:rPr>
          <w:spacing w:val="-2"/>
          <w:sz w:val="22"/>
        </w:rPr>
        <w:t>1990;9:1603.</w:t>
      </w:r>
    </w:p>
    <w:p>
      <w:pPr>
        <w:pStyle w:val="ListParagraph"/>
        <w:numPr>
          <w:ilvl w:val="0"/>
          <w:numId w:val="19"/>
        </w:numPr>
        <w:tabs>
          <w:tab w:pos="709" w:val="left" w:leader="none"/>
          <w:tab w:pos="718" w:val="left" w:leader="none"/>
        </w:tabs>
        <w:spacing w:line="256" w:lineRule="auto" w:before="0" w:after="0"/>
        <w:ind w:left="718" w:right="97" w:hanging="507"/>
        <w:jc w:val="both"/>
        <w:rPr>
          <w:sz w:val="22"/>
        </w:rPr>
      </w:pPr>
      <w:r>
        <w:rPr>
          <w:sz w:val="22"/>
        </w:rPr>
        <w:t>Feil PD, Clarke CL, Satyaswaroop PG. Progestin-mediated changes in progesterone receptor forms in the normal human endometrium. </w:t>
      </w:r>
      <w:r>
        <w:rPr>
          <w:i/>
          <w:sz w:val="22"/>
        </w:rPr>
        <w:t>Endocrinology</w:t>
      </w:r>
      <w:r>
        <w:rPr>
          <w:sz w:val="22"/>
        </w:rPr>
        <w:t>. 1988;123:2506.</w:t>
      </w:r>
    </w:p>
    <w:p>
      <w:pPr>
        <w:pStyle w:val="ListParagraph"/>
        <w:numPr>
          <w:ilvl w:val="0"/>
          <w:numId w:val="19"/>
        </w:numPr>
        <w:tabs>
          <w:tab w:pos="709" w:val="left" w:leader="none"/>
          <w:tab w:pos="718" w:val="left" w:leader="none"/>
        </w:tabs>
        <w:spacing w:line="256" w:lineRule="auto" w:before="0" w:after="0"/>
        <w:ind w:left="718" w:right="108" w:hanging="507"/>
        <w:jc w:val="both"/>
        <w:rPr>
          <w:sz w:val="22"/>
        </w:rPr>
      </w:pPr>
      <w:r>
        <w:rPr>
          <w:sz w:val="22"/>
        </w:rPr>
        <w:t>McDonnell DP, Goldman ME. RU486 exerts antiestrogenic activities through a </w:t>
      </w:r>
      <w:r>
        <w:rPr>
          <w:sz w:val="22"/>
        </w:rPr>
        <w:t>novel progesterone receptor A form-mediated mechanism. </w:t>
      </w:r>
      <w:r>
        <w:rPr>
          <w:i/>
          <w:sz w:val="22"/>
        </w:rPr>
        <w:t>J Biol Chem</w:t>
      </w:r>
      <w:r>
        <w:rPr>
          <w:sz w:val="22"/>
        </w:rPr>
        <w:t>. 1994;269:11945.</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McDonnell DP, Shahbaz MM, Vegeto E, O’Malley BW. The human progesterone receptor A-form functions as a transcriptional modulator of mineralocorticoid receptor transcriptional activity. </w:t>
      </w:r>
      <w:r>
        <w:rPr>
          <w:i/>
          <w:sz w:val="22"/>
        </w:rPr>
        <w:t>J Steroid Biochem Mol Biol</w:t>
      </w:r>
      <w:r>
        <w:rPr>
          <w:sz w:val="22"/>
        </w:rPr>
        <w:t>. 1994;48:425.</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Richer JK, Jacobsen BM, Manning NG, Abel MG, Wolf DM, Horwitz KB. Differential </w:t>
      </w:r>
      <w:r>
        <w:rPr>
          <w:sz w:val="22"/>
        </w:rPr>
        <w:t>gene regulation</w:t>
      </w:r>
      <w:r>
        <w:rPr>
          <w:spacing w:val="40"/>
          <w:sz w:val="22"/>
        </w:rPr>
        <w:t> </w:t>
      </w:r>
      <w:r>
        <w:rPr>
          <w:sz w:val="22"/>
        </w:rPr>
        <w:t>by</w:t>
      </w:r>
      <w:r>
        <w:rPr>
          <w:spacing w:val="40"/>
          <w:sz w:val="22"/>
        </w:rPr>
        <w:t> </w:t>
      </w:r>
      <w:r>
        <w:rPr>
          <w:sz w:val="22"/>
        </w:rPr>
        <w:t>the</w:t>
      </w:r>
      <w:r>
        <w:rPr>
          <w:spacing w:val="40"/>
          <w:sz w:val="22"/>
        </w:rPr>
        <w:t> </w:t>
      </w:r>
      <w:r>
        <w:rPr>
          <w:sz w:val="22"/>
        </w:rPr>
        <w:t>two</w:t>
      </w:r>
      <w:r>
        <w:rPr>
          <w:spacing w:val="40"/>
          <w:sz w:val="22"/>
        </w:rPr>
        <w:t> </w:t>
      </w:r>
      <w:r>
        <w:rPr>
          <w:sz w:val="22"/>
        </w:rPr>
        <w:t>progesterone</w:t>
      </w:r>
      <w:r>
        <w:rPr>
          <w:spacing w:val="40"/>
          <w:sz w:val="22"/>
        </w:rPr>
        <w:t> </w:t>
      </w:r>
      <w:r>
        <w:rPr>
          <w:sz w:val="22"/>
        </w:rPr>
        <w:t>receptor</w:t>
      </w:r>
      <w:r>
        <w:rPr>
          <w:spacing w:val="40"/>
          <w:sz w:val="22"/>
        </w:rPr>
        <w:t> </w:t>
      </w:r>
      <w:r>
        <w:rPr>
          <w:sz w:val="22"/>
        </w:rPr>
        <w:t>isoforms</w:t>
      </w:r>
      <w:r>
        <w:rPr>
          <w:spacing w:val="40"/>
          <w:sz w:val="22"/>
        </w:rPr>
        <w:t> </w:t>
      </w:r>
      <w:r>
        <w:rPr>
          <w:sz w:val="22"/>
        </w:rPr>
        <w:t>in</w:t>
      </w:r>
      <w:r>
        <w:rPr>
          <w:spacing w:val="40"/>
          <w:sz w:val="22"/>
        </w:rPr>
        <w:t> </w:t>
      </w:r>
      <w:r>
        <w:rPr>
          <w:sz w:val="22"/>
        </w:rPr>
        <w:t>human</w:t>
      </w:r>
      <w:r>
        <w:rPr>
          <w:spacing w:val="40"/>
          <w:sz w:val="22"/>
        </w:rPr>
        <w:t> </w:t>
      </w:r>
      <w:r>
        <w:rPr>
          <w:sz w:val="22"/>
        </w:rPr>
        <w:t>breast</w:t>
      </w:r>
      <w:r>
        <w:rPr>
          <w:spacing w:val="40"/>
          <w:sz w:val="22"/>
        </w:rPr>
        <w:t> </w:t>
      </w:r>
      <w:r>
        <w:rPr>
          <w:sz w:val="22"/>
        </w:rPr>
        <w:t>cancer</w:t>
      </w:r>
      <w:r>
        <w:rPr>
          <w:spacing w:val="40"/>
          <w:sz w:val="22"/>
        </w:rPr>
        <w:t> </w:t>
      </w:r>
      <w:r>
        <w:rPr>
          <w:sz w:val="22"/>
        </w:rPr>
        <w:t>cells.</w:t>
      </w:r>
      <w:r>
        <w:rPr>
          <w:spacing w:val="40"/>
          <w:sz w:val="22"/>
        </w:rPr>
        <w:t> </w:t>
      </w:r>
      <w:r>
        <w:rPr>
          <w:i/>
          <w:sz w:val="22"/>
        </w:rPr>
        <w:t>J</w:t>
      </w:r>
      <w:r>
        <w:rPr>
          <w:i/>
          <w:spacing w:val="40"/>
          <w:sz w:val="22"/>
        </w:rPr>
        <w:t> </w:t>
      </w:r>
      <w:r>
        <w:rPr>
          <w:i/>
          <w:sz w:val="22"/>
        </w:rPr>
        <w:t>Biol</w:t>
      </w:r>
      <w:r>
        <w:rPr>
          <w:i/>
          <w:sz w:val="22"/>
        </w:rPr>
        <w:t> Chem</w:t>
      </w:r>
      <w:r>
        <w:rPr>
          <w:sz w:val="22"/>
        </w:rPr>
        <w:t>. 2002;277:5209.</w:t>
      </w:r>
    </w:p>
    <w:p>
      <w:pPr>
        <w:pStyle w:val="ListParagraph"/>
        <w:numPr>
          <w:ilvl w:val="0"/>
          <w:numId w:val="19"/>
        </w:numPr>
        <w:tabs>
          <w:tab w:pos="709" w:val="left" w:leader="none"/>
          <w:tab w:pos="718" w:val="left" w:leader="none"/>
        </w:tabs>
        <w:spacing w:line="256" w:lineRule="auto" w:before="0" w:after="0"/>
        <w:ind w:left="718" w:right="105" w:hanging="507"/>
        <w:jc w:val="both"/>
        <w:rPr>
          <w:sz w:val="22"/>
        </w:rPr>
      </w:pPr>
      <w:r>
        <w:rPr>
          <w:sz w:val="22"/>
        </w:rPr>
        <w:t>Giangrande PH, Kimbrel EA, Edwards DP, McDonnell DP. The opposing </w:t>
      </w:r>
      <w:r>
        <w:rPr>
          <w:sz w:val="22"/>
        </w:rPr>
        <w:t>transcriptional activities</w:t>
      </w:r>
      <w:r>
        <w:rPr>
          <w:spacing w:val="40"/>
          <w:sz w:val="22"/>
        </w:rPr>
        <w:t> </w:t>
      </w:r>
      <w:r>
        <w:rPr>
          <w:sz w:val="22"/>
        </w:rPr>
        <w:t>of</w:t>
      </w:r>
      <w:r>
        <w:rPr>
          <w:spacing w:val="40"/>
          <w:sz w:val="22"/>
        </w:rPr>
        <w:t> </w:t>
      </w:r>
      <w:r>
        <w:rPr>
          <w:sz w:val="22"/>
        </w:rPr>
        <w:t>the</w:t>
      </w:r>
      <w:r>
        <w:rPr>
          <w:spacing w:val="40"/>
          <w:sz w:val="22"/>
        </w:rPr>
        <w:t> </w:t>
      </w:r>
      <w:r>
        <w:rPr>
          <w:sz w:val="22"/>
        </w:rPr>
        <w:t>two</w:t>
      </w:r>
      <w:r>
        <w:rPr>
          <w:spacing w:val="40"/>
          <w:sz w:val="22"/>
        </w:rPr>
        <w:t> </w:t>
      </w:r>
      <w:r>
        <w:rPr>
          <w:sz w:val="22"/>
        </w:rPr>
        <w:t>isoforms</w:t>
      </w:r>
      <w:r>
        <w:rPr>
          <w:spacing w:val="40"/>
          <w:sz w:val="22"/>
        </w:rPr>
        <w:t> </w:t>
      </w:r>
      <w:r>
        <w:rPr>
          <w:sz w:val="22"/>
        </w:rPr>
        <w:t>of</w:t>
      </w:r>
      <w:r>
        <w:rPr>
          <w:spacing w:val="40"/>
          <w:sz w:val="22"/>
        </w:rPr>
        <w:t> </w:t>
      </w:r>
      <w:r>
        <w:rPr>
          <w:sz w:val="22"/>
        </w:rPr>
        <w:t>the</w:t>
      </w:r>
      <w:r>
        <w:rPr>
          <w:spacing w:val="40"/>
          <w:sz w:val="22"/>
        </w:rPr>
        <w:t> </w:t>
      </w:r>
      <w:r>
        <w:rPr>
          <w:sz w:val="22"/>
        </w:rPr>
        <w:t>human</w:t>
      </w:r>
      <w:r>
        <w:rPr>
          <w:spacing w:val="40"/>
          <w:sz w:val="22"/>
        </w:rPr>
        <w:t> </w:t>
      </w:r>
      <w:r>
        <w:rPr>
          <w:sz w:val="22"/>
        </w:rPr>
        <w:t>progesterone</w:t>
      </w:r>
      <w:r>
        <w:rPr>
          <w:spacing w:val="40"/>
          <w:sz w:val="22"/>
        </w:rPr>
        <w:t> </w:t>
      </w:r>
      <w:r>
        <w:rPr>
          <w:sz w:val="22"/>
        </w:rPr>
        <w:t>receptor</w:t>
      </w:r>
      <w:r>
        <w:rPr>
          <w:spacing w:val="40"/>
          <w:sz w:val="22"/>
        </w:rPr>
        <w:t> </w:t>
      </w:r>
      <w:r>
        <w:rPr>
          <w:sz w:val="22"/>
        </w:rPr>
        <w:t>are</w:t>
      </w:r>
      <w:r>
        <w:rPr>
          <w:spacing w:val="40"/>
          <w:sz w:val="22"/>
        </w:rPr>
        <w:t> </w:t>
      </w:r>
      <w:r>
        <w:rPr>
          <w:sz w:val="22"/>
        </w:rPr>
        <w:t>due</w:t>
      </w:r>
      <w:r>
        <w:rPr>
          <w:spacing w:val="40"/>
          <w:sz w:val="22"/>
        </w:rPr>
        <w:t> </w:t>
      </w:r>
      <w:r>
        <w:rPr>
          <w:sz w:val="22"/>
        </w:rPr>
        <w:t>to</w:t>
      </w:r>
      <w:r>
        <w:rPr>
          <w:spacing w:val="40"/>
          <w:sz w:val="22"/>
        </w:rPr>
        <w:t> </w:t>
      </w:r>
      <w:r>
        <w:rPr>
          <w:sz w:val="22"/>
        </w:rPr>
        <w:t>differential cofactor binding. </w:t>
      </w:r>
      <w:r>
        <w:rPr>
          <w:i/>
          <w:sz w:val="22"/>
        </w:rPr>
        <w:t>Mol Cell Biol</w:t>
      </w:r>
      <w:r>
        <w:rPr>
          <w:sz w:val="22"/>
        </w:rPr>
        <w:t>. 2000;20:3102.</w:t>
      </w:r>
    </w:p>
    <w:p>
      <w:pPr>
        <w:pStyle w:val="ListParagraph"/>
        <w:spacing w:after="0" w:line="256" w:lineRule="auto"/>
        <w:jc w:val="both"/>
        <w:rPr>
          <w:sz w:val="22"/>
        </w:rPr>
        <w:sectPr>
          <w:pgSz w:w="12240" w:h="15840"/>
          <w:pgMar w:top="1360" w:bottom="280" w:left="1440" w:right="1440"/>
        </w:sectPr>
      </w:pPr>
    </w:p>
    <w:p>
      <w:pPr>
        <w:pStyle w:val="ListParagraph"/>
        <w:numPr>
          <w:ilvl w:val="0"/>
          <w:numId w:val="19"/>
        </w:numPr>
        <w:tabs>
          <w:tab w:pos="709" w:val="left" w:leader="none"/>
          <w:tab w:pos="718" w:val="left" w:leader="none"/>
        </w:tabs>
        <w:spacing w:line="256" w:lineRule="auto" w:before="84" w:after="0"/>
        <w:ind w:left="718" w:right="102" w:hanging="507"/>
        <w:jc w:val="both"/>
        <w:rPr>
          <w:sz w:val="22"/>
        </w:rPr>
      </w:pPr>
      <w:r>
        <w:rPr>
          <w:sz w:val="22"/>
        </w:rPr>
        <w:t>Jacobsen BM, Schittone SA, Richer JK, Horwitz KB. Progesterone-independent effects of human progesterone-receptors (PRs) in estrogen receptor-positive breast cancer: PR isoform-specific gene regulation and tumor biology. </w:t>
      </w:r>
      <w:r>
        <w:rPr>
          <w:i/>
          <w:sz w:val="22"/>
        </w:rPr>
        <w:t>Mol Endocrino</w:t>
      </w:r>
      <w:r>
        <w:rPr>
          <w:sz w:val="22"/>
        </w:rPr>
        <w:t>l. 2005;19:574.</w:t>
      </w:r>
    </w:p>
    <w:p>
      <w:pPr>
        <w:pStyle w:val="ListParagraph"/>
        <w:numPr>
          <w:ilvl w:val="0"/>
          <w:numId w:val="19"/>
        </w:numPr>
        <w:tabs>
          <w:tab w:pos="709" w:val="left" w:leader="none"/>
          <w:tab w:pos="718" w:val="left" w:leader="none"/>
        </w:tabs>
        <w:spacing w:line="256" w:lineRule="auto" w:before="0" w:after="0"/>
        <w:ind w:left="718" w:right="106" w:hanging="507"/>
        <w:jc w:val="both"/>
        <w:rPr>
          <w:sz w:val="22"/>
        </w:rPr>
      </w:pPr>
      <w:r>
        <w:rPr>
          <w:sz w:val="22"/>
        </w:rPr>
        <w:t>Hopp TA, Weiss HL, Hilsenbeck SG, et al. Breast cancer patients with progesterone receptor rich</w:t>
      </w:r>
      <w:r>
        <w:rPr>
          <w:spacing w:val="40"/>
          <w:sz w:val="22"/>
        </w:rPr>
        <w:t> </w:t>
      </w:r>
      <w:r>
        <w:rPr>
          <w:sz w:val="22"/>
        </w:rPr>
        <w:t>PR-A-rich</w:t>
      </w:r>
      <w:r>
        <w:rPr>
          <w:spacing w:val="40"/>
          <w:sz w:val="22"/>
        </w:rPr>
        <w:t> </w:t>
      </w:r>
      <w:r>
        <w:rPr>
          <w:sz w:val="22"/>
        </w:rPr>
        <w:t>tumors</w:t>
      </w:r>
      <w:r>
        <w:rPr>
          <w:spacing w:val="40"/>
          <w:sz w:val="22"/>
        </w:rPr>
        <w:t> </w:t>
      </w:r>
      <w:r>
        <w:rPr>
          <w:sz w:val="22"/>
        </w:rPr>
        <w:t>have</w:t>
      </w:r>
      <w:r>
        <w:rPr>
          <w:spacing w:val="40"/>
          <w:sz w:val="22"/>
        </w:rPr>
        <w:t> </w:t>
      </w:r>
      <w:r>
        <w:rPr>
          <w:sz w:val="22"/>
        </w:rPr>
        <w:t>poorer</w:t>
      </w:r>
      <w:r>
        <w:rPr>
          <w:spacing w:val="40"/>
          <w:sz w:val="22"/>
        </w:rPr>
        <w:t> </w:t>
      </w:r>
      <w:r>
        <w:rPr>
          <w:sz w:val="22"/>
        </w:rPr>
        <w:t>disease-free</w:t>
      </w:r>
      <w:r>
        <w:rPr>
          <w:spacing w:val="40"/>
          <w:sz w:val="22"/>
        </w:rPr>
        <w:t> </w:t>
      </w:r>
      <w:r>
        <w:rPr>
          <w:sz w:val="22"/>
        </w:rPr>
        <w:t>survival</w:t>
      </w:r>
      <w:r>
        <w:rPr>
          <w:spacing w:val="40"/>
          <w:sz w:val="22"/>
        </w:rPr>
        <w:t> </w:t>
      </w:r>
      <w:r>
        <w:rPr>
          <w:sz w:val="22"/>
        </w:rPr>
        <w:t>rates.</w:t>
      </w:r>
      <w:r>
        <w:rPr>
          <w:spacing w:val="40"/>
          <w:sz w:val="22"/>
        </w:rPr>
        <w:t> </w:t>
      </w:r>
      <w:r>
        <w:rPr>
          <w:i/>
          <w:sz w:val="22"/>
        </w:rPr>
        <w:t>Clin</w:t>
      </w:r>
      <w:r>
        <w:rPr>
          <w:i/>
          <w:spacing w:val="40"/>
          <w:sz w:val="22"/>
        </w:rPr>
        <w:t> </w:t>
      </w:r>
      <w:r>
        <w:rPr>
          <w:i/>
          <w:sz w:val="22"/>
        </w:rPr>
        <w:t>Cancer</w:t>
      </w:r>
      <w:r>
        <w:rPr>
          <w:i/>
          <w:spacing w:val="40"/>
          <w:sz w:val="22"/>
        </w:rPr>
        <w:t> </w:t>
      </w:r>
      <w:r>
        <w:rPr>
          <w:i/>
          <w:sz w:val="22"/>
        </w:rPr>
        <w:t>Res</w:t>
      </w:r>
      <w:r>
        <w:rPr>
          <w:sz w:val="22"/>
        </w:rPr>
        <w:t>. </w:t>
      </w:r>
      <w:r>
        <w:rPr>
          <w:spacing w:val="-2"/>
          <w:sz w:val="22"/>
        </w:rPr>
        <w:t>2004;10:2751.</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Mote</w:t>
      </w:r>
      <w:r>
        <w:rPr>
          <w:spacing w:val="40"/>
          <w:sz w:val="22"/>
        </w:rPr>
        <w:t> </w:t>
      </w:r>
      <w:r>
        <w:rPr>
          <w:sz w:val="22"/>
        </w:rPr>
        <w:t>PA,</w:t>
      </w:r>
      <w:r>
        <w:rPr>
          <w:spacing w:val="40"/>
          <w:sz w:val="22"/>
        </w:rPr>
        <w:t> </w:t>
      </w:r>
      <w:r>
        <w:rPr>
          <w:sz w:val="22"/>
        </w:rPr>
        <w:t>Leary</w:t>
      </w:r>
      <w:r>
        <w:rPr>
          <w:spacing w:val="40"/>
          <w:sz w:val="22"/>
        </w:rPr>
        <w:t> </w:t>
      </w:r>
      <w:r>
        <w:rPr>
          <w:sz w:val="22"/>
        </w:rPr>
        <w:t>JA,</w:t>
      </w:r>
      <w:r>
        <w:rPr>
          <w:spacing w:val="40"/>
          <w:sz w:val="22"/>
        </w:rPr>
        <w:t> </w:t>
      </w:r>
      <w:r>
        <w:rPr>
          <w:sz w:val="22"/>
        </w:rPr>
        <w:t>Avery</w:t>
      </w:r>
      <w:r>
        <w:rPr>
          <w:spacing w:val="40"/>
          <w:sz w:val="22"/>
        </w:rPr>
        <w:t> </w:t>
      </w:r>
      <w:r>
        <w:rPr>
          <w:sz w:val="22"/>
        </w:rPr>
        <w:t>KA,</w:t>
      </w:r>
      <w:r>
        <w:rPr>
          <w:spacing w:val="40"/>
          <w:sz w:val="22"/>
        </w:rPr>
        <w:t> </w:t>
      </w:r>
      <w:r>
        <w:rPr>
          <w:sz w:val="22"/>
        </w:rPr>
        <w:t>et</w:t>
      </w:r>
      <w:r>
        <w:rPr>
          <w:spacing w:val="40"/>
          <w:sz w:val="22"/>
        </w:rPr>
        <w:t> </w:t>
      </w:r>
      <w:r>
        <w:rPr>
          <w:sz w:val="22"/>
        </w:rPr>
        <w:t>al.</w:t>
      </w:r>
      <w:r>
        <w:rPr>
          <w:spacing w:val="40"/>
          <w:sz w:val="22"/>
        </w:rPr>
        <w:t> </w:t>
      </w:r>
      <w:r>
        <w:rPr>
          <w:sz w:val="22"/>
        </w:rPr>
        <w:t>Germ-line</w:t>
      </w:r>
      <w:r>
        <w:rPr>
          <w:spacing w:val="40"/>
          <w:sz w:val="22"/>
        </w:rPr>
        <w:t> </w:t>
      </w:r>
      <w:r>
        <w:rPr>
          <w:sz w:val="22"/>
        </w:rPr>
        <w:t>mutations</w:t>
      </w:r>
      <w:r>
        <w:rPr>
          <w:spacing w:val="40"/>
          <w:sz w:val="22"/>
        </w:rPr>
        <w:t> </w:t>
      </w:r>
      <w:r>
        <w:rPr>
          <w:sz w:val="22"/>
        </w:rPr>
        <w:t>in</w:t>
      </w:r>
      <w:r>
        <w:rPr>
          <w:spacing w:val="40"/>
          <w:sz w:val="22"/>
        </w:rPr>
        <w:t> </w:t>
      </w:r>
      <w:r>
        <w:rPr>
          <w:sz w:val="22"/>
        </w:rPr>
        <w:t>BRCA1</w:t>
      </w:r>
      <w:r>
        <w:rPr>
          <w:spacing w:val="40"/>
          <w:sz w:val="22"/>
        </w:rPr>
        <w:t> </w:t>
      </w:r>
      <w:r>
        <w:rPr>
          <w:sz w:val="22"/>
        </w:rPr>
        <w:t>or</w:t>
      </w:r>
      <w:r>
        <w:rPr>
          <w:spacing w:val="40"/>
          <w:sz w:val="22"/>
        </w:rPr>
        <w:t> </w:t>
      </w:r>
      <w:r>
        <w:rPr>
          <w:sz w:val="22"/>
        </w:rPr>
        <w:t>BRCA2</w:t>
      </w:r>
      <w:r>
        <w:rPr>
          <w:spacing w:val="40"/>
          <w:sz w:val="22"/>
        </w:rPr>
        <w:t> </w:t>
      </w:r>
      <w:r>
        <w:rPr>
          <w:sz w:val="22"/>
        </w:rPr>
        <w:t>in</w:t>
      </w:r>
      <w:r>
        <w:rPr>
          <w:spacing w:val="40"/>
          <w:sz w:val="22"/>
        </w:rPr>
        <w:t> </w:t>
      </w:r>
      <w:r>
        <w:rPr>
          <w:sz w:val="22"/>
        </w:rPr>
        <w:t>the normal breast are associated with altered expression of estrogen-responsive proteins and the predominance of progesterone receptor A. </w:t>
      </w:r>
      <w:r>
        <w:rPr>
          <w:i/>
          <w:sz w:val="22"/>
        </w:rPr>
        <w:t>Genes Chromosomes Cancer</w:t>
      </w:r>
      <w:r>
        <w:rPr>
          <w:sz w:val="22"/>
        </w:rPr>
        <w:t>. 2004;39:236.</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Isaksson</w:t>
      </w:r>
      <w:r>
        <w:rPr>
          <w:spacing w:val="32"/>
          <w:sz w:val="22"/>
        </w:rPr>
        <w:t> </w:t>
      </w:r>
      <w:r>
        <w:rPr>
          <w:sz w:val="22"/>
        </w:rPr>
        <w:t>E,</w:t>
      </w:r>
      <w:r>
        <w:rPr>
          <w:spacing w:val="32"/>
          <w:sz w:val="22"/>
        </w:rPr>
        <w:t> </w:t>
      </w:r>
      <w:r>
        <w:rPr>
          <w:sz w:val="22"/>
        </w:rPr>
        <w:t>Wang</w:t>
      </w:r>
      <w:r>
        <w:rPr>
          <w:spacing w:val="32"/>
          <w:sz w:val="22"/>
        </w:rPr>
        <w:t> </w:t>
      </w:r>
      <w:r>
        <w:rPr>
          <w:sz w:val="22"/>
        </w:rPr>
        <w:t>H,</w:t>
      </w:r>
      <w:r>
        <w:rPr>
          <w:spacing w:val="32"/>
          <w:sz w:val="22"/>
        </w:rPr>
        <w:t> </w:t>
      </w:r>
      <w:r>
        <w:rPr>
          <w:sz w:val="22"/>
        </w:rPr>
        <w:t>Sahlin</w:t>
      </w:r>
      <w:r>
        <w:rPr>
          <w:spacing w:val="32"/>
          <w:sz w:val="22"/>
        </w:rPr>
        <w:t> </w:t>
      </w:r>
      <w:r>
        <w:rPr>
          <w:sz w:val="22"/>
        </w:rPr>
        <w:t>L,</w:t>
      </w:r>
      <w:r>
        <w:rPr>
          <w:spacing w:val="32"/>
          <w:sz w:val="22"/>
        </w:rPr>
        <w:t> </w:t>
      </w:r>
      <w:r>
        <w:rPr>
          <w:sz w:val="22"/>
        </w:rPr>
        <w:t>von</w:t>
      </w:r>
      <w:r>
        <w:rPr>
          <w:spacing w:val="32"/>
          <w:sz w:val="22"/>
        </w:rPr>
        <w:t> </w:t>
      </w:r>
      <w:r>
        <w:rPr>
          <w:sz w:val="22"/>
        </w:rPr>
        <w:t>Schoultz</w:t>
      </w:r>
      <w:r>
        <w:rPr>
          <w:spacing w:val="32"/>
          <w:sz w:val="22"/>
        </w:rPr>
        <w:t> </w:t>
      </w:r>
      <w:r>
        <w:rPr>
          <w:sz w:val="22"/>
        </w:rPr>
        <w:t>B,</w:t>
      </w:r>
      <w:r>
        <w:rPr>
          <w:spacing w:val="32"/>
          <w:sz w:val="22"/>
        </w:rPr>
        <w:t> </w:t>
      </w:r>
      <w:r>
        <w:rPr>
          <w:sz w:val="22"/>
        </w:rPr>
        <w:t>Cline</w:t>
      </w:r>
      <w:r>
        <w:rPr>
          <w:spacing w:val="32"/>
          <w:sz w:val="22"/>
        </w:rPr>
        <w:t> </w:t>
      </w:r>
      <w:r>
        <w:rPr>
          <w:sz w:val="22"/>
        </w:rPr>
        <w:t>JM,</w:t>
      </w:r>
      <w:r>
        <w:rPr>
          <w:spacing w:val="32"/>
          <w:sz w:val="22"/>
        </w:rPr>
        <w:t> </w:t>
      </w:r>
      <w:r>
        <w:rPr>
          <w:sz w:val="22"/>
        </w:rPr>
        <w:t>von</w:t>
      </w:r>
      <w:r>
        <w:rPr>
          <w:spacing w:val="32"/>
          <w:sz w:val="22"/>
        </w:rPr>
        <w:t> </w:t>
      </w:r>
      <w:r>
        <w:rPr>
          <w:sz w:val="22"/>
        </w:rPr>
        <w:t>Schoultz</w:t>
      </w:r>
      <w:r>
        <w:rPr>
          <w:spacing w:val="32"/>
          <w:sz w:val="22"/>
        </w:rPr>
        <w:t> </w:t>
      </w:r>
      <w:r>
        <w:rPr>
          <w:sz w:val="22"/>
        </w:rPr>
        <w:t>E.</w:t>
      </w:r>
      <w:r>
        <w:rPr>
          <w:spacing w:val="32"/>
          <w:sz w:val="22"/>
        </w:rPr>
        <w:t> </w:t>
      </w:r>
      <w:r>
        <w:rPr>
          <w:sz w:val="22"/>
        </w:rPr>
        <w:t>Effects</w:t>
      </w:r>
      <w:r>
        <w:rPr>
          <w:spacing w:val="30"/>
          <w:sz w:val="22"/>
        </w:rPr>
        <w:t> </w:t>
      </w:r>
      <w:r>
        <w:rPr>
          <w:sz w:val="22"/>
        </w:rPr>
        <w:t>of</w:t>
      </w:r>
      <w:r>
        <w:rPr>
          <w:spacing w:val="30"/>
          <w:sz w:val="22"/>
        </w:rPr>
        <w:t> </w:t>
      </w:r>
      <w:r>
        <w:rPr>
          <w:sz w:val="22"/>
        </w:rPr>
        <w:t>long-term HRT and tamoxifen on the expression of progesterone receptors A and B in breast tissue from</w:t>
      </w:r>
      <w:r>
        <w:rPr>
          <w:spacing w:val="40"/>
          <w:sz w:val="22"/>
        </w:rPr>
        <w:t> </w:t>
      </w:r>
      <w:r>
        <w:rPr>
          <w:sz w:val="22"/>
        </w:rPr>
        <w:t>surgically</w:t>
      </w:r>
      <w:r>
        <w:rPr>
          <w:spacing w:val="40"/>
          <w:sz w:val="22"/>
        </w:rPr>
        <w:t> </w:t>
      </w:r>
      <w:r>
        <w:rPr>
          <w:sz w:val="22"/>
        </w:rPr>
        <w:t>postmenopausal</w:t>
      </w:r>
      <w:r>
        <w:rPr>
          <w:spacing w:val="40"/>
          <w:sz w:val="22"/>
        </w:rPr>
        <w:t> </w:t>
      </w:r>
      <w:r>
        <w:rPr>
          <w:sz w:val="22"/>
        </w:rPr>
        <w:t>cynomolgus</w:t>
      </w:r>
      <w:r>
        <w:rPr>
          <w:spacing w:val="40"/>
          <w:sz w:val="22"/>
        </w:rPr>
        <w:t> </w:t>
      </w:r>
      <w:r>
        <w:rPr>
          <w:sz w:val="22"/>
        </w:rPr>
        <w:t>macaques.</w:t>
      </w:r>
      <w:r>
        <w:rPr>
          <w:spacing w:val="40"/>
          <w:sz w:val="22"/>
        </w:rPr>
        <w:t> </w:t>
      </w:r>
      <w:r>
        <w:rPr>
          <w:i/>
          <w:sz w:val="22"/>
        </w:rPr>
        <w:t>Breast</w:t>
      </w:r>
      <w:r>
        <w:rPr>
          <w:i/>
          <w:spacing w:val="40"/>
          <w:sz w:val="22"/>
        </w:rPr>
        <w:t> </w:t>
      </w:r>
      <w:r>
        <w:rPr>
          <w:i/>
          <w:sz w:val="22"/>
        </w:rPr>
        <w:t>Cancer</w:t>
      </w:r>
      <w:r>
        <w:rPr>
          <w:i/>
          <w:spacing w:val="40"/>
          <w:sz w:val="22"/>
        </w:rPr>
        <w:t> </w:t>
      </w:r>
      <w:r>
        <w:rPr>
          <w:i/>
          <w:sz w:val="22"/>
        </w:rPr>
        <w:t>Res</w:t>
      </w:r>
      <w:r>
        <w:rPr>
          <w:i/>
          <w:spacing w:val="40"/>
          <w:sz w:val="22"/>
        </w:rPr>
        <w:t> </w:t>
      </w:r>
      <w:r>
        <w:rPr>
          <w:i/>
          <w:sz w:val="22"/>
        </w:rPr>
        <w:t>Treat</w:t>
      </w:r>
      <w:r>
        <w:rPr>
          <w:sz w:val="22"/>
        </w:rPr>
        <w:t>. </w:t>
      </w:r>
      <w:r>
        <w:rPr>
          <w:spacing w:val="-2"/>
          <w:sz w:val="22"/>
        </w:rPr>
        <w:t>2003;79:233.</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Toth-Fejel S, Cheek J, Calhoun K, Muller P, Pommier RF. Estrogen and androgen receptors as comediators of breast cancer cell proliferation: providing a new therapeutic tool. </w:t>
      </w:r>
      <w:r>
        <w:rPr>
          <w:i/>
          <w:sz w:val="22"/>
        </w:rPr>
        <w:t>Arch </w:t>
      </w:r>
      <w:r>
        <w:rPr>
          <w:i/>
          <w:sz w:val="22"/>
        </w:rPr>
        <w:t>Surg</w:t>
      </w:r>
      <w:r>
        <w:rPr>
          <w:sz w:val="22"/>
        </w:rPr>
        <w:t>. </w:t>
      </w:r>
      <w:r>
        <w:rPr>
          <w:spacing w:val="-2"/>
          <w:sz w:val="22"/>
        </w:rPr>
        <w:t>2004;139:50.</w:t>
      </w:r>
    </w:p>
    <w:p>
      <w:pPr>
        <w:pStyle w:val="ListParagraph"/>
        <w:numPr>
          <w:ilvl w:val="0"/>
          <w:numId w:val="19"/>
        </w:numPr>
        <w:tabs>
          <w:tab w:pos="709" w:val="left" w:leader="none"/>
          <w:tab w:pos="718" w:val="left" w:leader="none"/>
        </w:tabs>
        <w:spacing w:line="256" w:lineRule="auto" w:before="0" w:after="0"/>
        <w:ind w:left="718" w:right="99" w:hanging="507"/>
        <w:jc w:val="both"/>
        <w:rPr>
          <w:sz w:val="22"/>
        </w:rPr>
      </w:pPr>
      <w:r>
        <w:rPr>
          <w:sz w:val="22"/>
        </w:rPr>
        <w:t>Garreau JR, Muller P, Pommier R, Pommier S. Transgenic introduction of androgen </w:t>
      </w:r>
      <w:r>
        <w:rPr>
          <w:sz w:val="22"/>
        </w:rPr>
        <w:t>receptor into estrogen-receptor-, progesterone-receptor-, and androgen-receptor-negative breast cancer cells renders them responsive to hormonal manipulation. </w:t>
      </w:r>
      <w:r>
        <w:rPr>
          <w:i/>
          <w:sz w:val="22"/>
        </w:rPr>
        <w:t>Am J Surg</w:t>
      </w:r>
      <w:r>
        <w:rPr>
          <w:sz w:val="22"/>
        </w:rPr>
        <w:t>. 2006;191:576.</w:t>
      </w:r>
    </w:p>
    <w:p>
      <w:pPr>
        <w:pStyle w:val="ListParagraph"/>
        <w:numPr>
          <w:ilvl w:val="0"/>
          <w:numId w:val="19"/>
        </w:numPr>
        <w:tabs>
          <w:tab w:pos="709" w:val="left" w:leader="none"/>
          <w:tab w:pos="718" w:val="left" w:leader="none"/>
        </w:tabs>
        <w:spacing w:line="256" w:lineRule="auto" w:before="0" w:after="0"/>
        <w:ind w:left="718" w:right="98" w:hanging="507"/>
        <w:jc w:val="both"/>
        <w:rPr>
          <w:sz w:val="22"/>
        </w:rPr>
      </w:pPr>
      <w:r>
        <w:rPr>
          <w:sz w:val="22"/>
        </w:rPr>
        <w:t>Russo</w:t>
      </w:r>
      <w:r>
        <w:rPr>
          <w:spacing w:val="27"/>
          <w:sz w:val="22"/>
        </w:rPr>
        <w:t> </w:t>
      </w:r>
      <w:r>
        <w:rPr>
          <w:sz w:val="22"/>
        </w:rPr>
        <w:t>J,</w:t>
      </w:r>
      <w:r>
        <w:rPr>
          <w:spacing w:val="27"/>
          <w:sz w:val="22"/>
        </w:rPr>
        <w:t> </w:t>
      </w:r>
      <w:r>
        <w:rPr>
          <w:sz w:val="22"/>
        </w:rPr>
        <w:t>Russo</w:t>
      </w:r>
      <w:r>
        <w:rPr>
          <w:spacing w:val="27"/>
          <w:sz w:val="22"/>
        </w:rPr>
        <w:t> </w:t>
      </w:r>
      <w:r>
        <w:rPr>
          <w:sz w:val="22"/>
        </w:rPr>
        <w:t>IH.</w:t>
      </w:r>
      <w:r>
        <w:rPr>
          <w:spacing w:val="26"/>
          <w:sz w:val="22"/>
        </w:rPr>
        <w:t> </w:t>
      </w:r>
      <w:r>
        <w:rPr>
          <w:sz w:val="22"/>
        </w:rPr>
        <w:t>The</w:t>
      </w:r>
      <w:r>
        <w:rPr>
          <w:spacing w:val="27"/>
          <w:sz w:val="22"/>
        </w:rPr>
        <w:t> </w:t>
      </w:r>
      <w:r>
        <w:rPr>
          <w:sz w:val="22"/>
        </w:rPr>
        <w:t>role</w:t>
      </w:r>
      <w:r>
        <w:rPr>
          <w:spacing w:val="27"/>
          <w:sz w:val="22"/>
        </w:rPr>
        <w:t> </w:t>
      </w:r>
      <w:r>
        <w:rPr>
          <w:sz w:val="22"/>
        </w:rPr>
        <w:t>of</w:t>
      </w:r>
      <w:r>
        <w:rPr>
          <w:spacing w:val="27"/>
          <w:sz w:val="22"/>
        </w:rPr>
        <w:t> </w:t>
      </w:r>
      <w:r>
        <w:rPr>
          <w:sz w:val="22"/>
        </w:rPr>
        <w:t>estrogen</w:t>
      </w:r>
      <w:r>
        <w:rPr>
          <w:spacing w:val="27"/>
          <w:sz w:val="22"/>
        </w:rPr>
        <w:t> </w:t>
      </w:r>
      <w:r>
        <w:rPr>
          <w:sz w:val="22"/>
        </w:rPr>
        <w:t>in</w:t>
      </w:r>
      <w:r>
        <w:rPr>
          <w:spacing w:val="27"/>
          <w:sz w:val="22"/>
        </w:rPr>
        <w:t> </w:t>
      </w:r>
      <w:r>
        <w:rPr>
          <w:sz w:val="22"/>
        </w:rPr>
        <w:t>the</w:t>
      </w:r>
      <w:r>
        <w:rPr>
          <w:spacing w:val="27"/>
          <w:sz w:val="22"/>
        </w:rPr>
        <w:t> </w:t>
      </w:r>
      <w:r>
        <w:rPr>
          <w:sz w:val="22"/>
        </w:rPr>
        <w:t>initiation</w:t>
      </w:r>
      <w:r>
        <w:rPr>
          <w:spacing w:val="27"/>
          <w:sz w:val="22"/>
        </w:rPr>
        <w:t> </w:t>
      </w:r>
      <w:r>
        <w:rPr>
          <w:sz w:val="22"/>
        </w:rPr>
        <w:t>of</w:t>
      </w:r>
      <w:r>
        <w:rPr>
          <w:spacing w:val="27"/>
          <w:sz w:val="22"/>
        </w:rPr>
        <w:t> </w:t>
      </w:r>
      <w:r>
        <w:rPr>
          <w:sz w:val="22"/>
        </w:rPr>
        <w:t>breast</w:t>
      </w:r>
      <w:r>
        <w:rPr>
          <w:spacing w:val="27"/>
          <w:sz w:val="22"/>
        </w:rPr>
        <w:t> </w:t>
      </w:r>
      <w:r>
        <w:rPr>
          <w:sz w:val="22"/>
        </w:rPr>
        <w:t>cancer.</w:t>
      </w:r>
      <w:r>
        <w:rPr>
          <w:spacing w:val="27"/>
          <w:sz w:val="22"/>
        </w:rPr>
        <w:t> </w:t>
      </w:r>
      <w:r>
        <w:rPr>
          <w:i/>
          <w:sz w:val="22"/>
        </w:rPr>
        <w:t>J</w:t>
      </w:r>
      <w:r>
        <w:rPr>
          <w:i/>
          <w:spacing w:val="30"/>
          <w:sz w:val="22"/>
        </w:rPr>
        <w:t> </w:t>
      </w:r>
      <w:r>
        <w:rPr>
          <w:i/>
          <w:sz w:val="22"/>
        </w:rPr>
        <w:t>Steroid</w:t>
      </w:r>
      <w:r>
        <w:rPr>
          <w:i/>
          <w:spacing w:val="30"/>
          <w:sz w:val="22"/>
        </w:rPr>
        <w:t> </w:t>
      </w:r>
      <w:r>
        <w:rPr>
          <w:i/>
          <w:sz w:val="22"/>
        </w:rPr>
        <w:t>Biochem</w:t>
      </w:r>
      <w:r>
        <w:rPr>
          <w:i/>
          <w:sz w:val="22"/>
        </w:rPr>
        <w:t> Mol Biol</w:t>
      </w:r>
      <w:r>
        <w:rPr>
          <w:sz w:val="22"/>
        </w:rPr>
        <w:t>. 2006;102:89.</w:t>
      </w:r>
    </w:p>
    <w:p>
      <w:pPr>
        <w:pStyle w:val="ListParagraph"/>
        <w:numPr>
          <w:ilvl w:val="0"/>
          <w:numId w:val="19"/>
        </w:numPr>
        <w:tabs>
          <w:tab w:pos="709" w:val="left" w:leader="none"/>
          <w:tab w:pos="718" w:val="left" w:leader="none"/>
        </w:tabs>
        <w:spacing w:line="256" w:lineRule="auto" w:before="0" w:after="0"/>
        <w:ind w:left="718" w:right="111" w:hanging="507"/>
        <w:jc w:val="both"/>
        <w:rPr>
          <w:sz w:val="22"/>
        </w:rPr>
      </w:pPr>
      <w:r>
        <w:rPr>
          <w:sz w:val="22"/>
        </w:rPr>
        <w:t>The</w:t>
      </w:r>
      <w:r>
        <w:rPr>
          <w:spacing w:val="40"/>
          <w:sz w:val="22"/>
        </w:rPr>
        <w:t> </w:t>
      </w:r>
      <w:r>
        <w:rPr>
          <w:sz w:val="22"/>
        </w:rPr>
        <w:t>Endogenous</w:t>
      </w:r>
      <w:r>
        <w:rPr>
          <w:spacing w:val="40"/>
          <w:sz w:val="22"/>
        </w:rPr>
        <w:t> </w:t>
      </w:r>
      <w:r>
        <w:rPr>
          <w:sz w:val="22"/>
        </w:rPr>
        <w:t>Hormones</w:t>
      </w:r>
      <w:r>
        <w:rPr>
          <w:spacing w:val="40"/>
          <w:sz w:val="22"/>
        </w:rPr>
        <w:t> </w:t>
      </w:r>
      <w:r>
        <w:rPr>
          <w:sz w:val="22"/>
        </w:rPr>
        <w:t>and</w:t>
      </w:r>
      <w:r>
        <w:rPr>
          <w:spacing w:val="40"/>
          <w:sz w:val="22"/>
        </w:rPr>
        <w:t> </w:t>
      </w:r>
      <w:r>
        <w:rPr>
          <w:sz w:val="22"/>
        </w:rPr>
        <w:t>Breast</w:t>
      </w:r>
      <w:r>
        <w:rPr>
          <w:spacing w:val="40"/>
          <w:sz w:val="22"/>
        </w:rPr>
        <w:t> </w:t>
      </w:r>
      <w:r>
        <w:rPr>
          <w:sz w:val="22"/>
        </w:rPr>
        <w:t>Cancer</w:t>
      </w:r>
      <w:r>
        <w:rPr>
          <w:spacing w:val="40"/>
          <w:sz w:val="22"/>
        </w:rPr>
        <w:t> </w:t>
      </w:r>
      <w:r>
        <w:rPr>
          <w:sz w:val="22"/>
        </w:rPr>
        <w:t>Collaborative</w:t>
      </w:r>
      <w:r>
        <w:rPr>
          <w:spacing w:val="40"/>
          <w:sz w:val="22"/>
        </w:rPr>
        <w:t> </w:t>
      </w:r>
      <w:r>
        <w:rPr>
          <w:sz w:val="22"/>
        </w:rPr>
        <w:t>Group.</w:t>
      </w:r>
      <w:r>
        <w:rPr>
          <w:spacing w:val="40"/>
          <w:sz w:val="22"/>
        </w:rPr>
        <w:t> </w:t>
      </w:r>
      <w:r>
        <w:rPr>
          <w:sz w:val="22"/>
        </w:rPr>
        <w:t>Endogenous</w:t>
      </w:r>
      <w:r>
        <w:rPr>
          <w:spacing w:val="40"/>
          <w:sz w:val="22"/>
        </w:rPr>
        <w:t> </w:t>
      </w:r>
      <w:r>
        <w:rPr>
          <w:sz w:val="22"/>
        </w:rPr>
        <w:t>sex hormones</w:t>
      </w:r>
      <w:r>
        <w:rPr>
          <w:spacing w:val="16"/>
          <w:sz w:val="22"/>
        </w:rPr>
        <w:t> </w:t>
      </w:r>
      <w:r>
        <w:rPr>
          <w:sz w:val="22"/>
        </w:rPr>
        <w:t>and</w:t>
      </w:r>
      <w:r>
        <w:rPr>
          <w:spacing w:val="16"/>
          <w:sz w:val="22"/>
        </w:rPr>
        <w:t> </w:t>
      </w:r>
      <w:r>
        <w:rPr>
          <w:sz w:val="22"/>
        </w:rPr>
        <w:t>breast</w:t>
      </w:r>
      <w:r>
        <w:rPr>
          <w:spacing w:val="16"/>
          <w:sz w:val="22"/>
        </w:rPr>
        <w:t> </w:t>
      </w:r>
      <w:r>
        <w:rPr>
          <w:sz w:val="22"/>
        </w:rPr>
        <w:t>cancer</w:t>
      </w:r>
      <w:r>
        <w:rPr>
          <w:spacing w:val="16"/>
          <w:sz w:val="22"/>
        </w:rPr>
        <w:t> </w:t>
      </w:r>
      <w:r>
        <w:rPr>
          <w:sz w:val="22"/>
        </w:rPr>
        <w:t>in</w:t>
      </w:r>
      <w:r>
        <w:rPr>
          <w:spacing w:val="16"/>
          <w:sz w:val="22"/>
        </w:rPr>
        <w:t> </w:t>
      </w:r>
      <w:r>
        <w:rPr>
          <w:sz w:val="22"/>
        </w:rPr>
        <w:t>postmenopausal</w:t>
      </w:r>
      <w:r>
        <w:rPr>
          <w:spacing w:val="16"/>
          <w:sz w:val="22"/>
        </w:rPr>
        <w:t> </w:t>
      </w:r>
      <w:r>
        <w:rPr>
          <w:sz w:val="22"/>
        </w:rPr>
        <w:t>women:</w:t>
      </w:r>
      <w:r>
        <w:rPr>
          <w:spacing w:val="16"/>
          <w:sz w:val="22"/>
        </w:rPr>
        <w:t> </w:t>
      </w:r>
      <w:r>
        <w:rPr>
          <w:sz w:val="22"/>
        </w:rPr>
        <w:t>reanalysis</w:t>
      </w:r>
      <w:r>
        <w:rPr>
          <w:spacing w:val="16"/>
          <w:sz w:val="22"/>
        </w:rPr>
        <w:t> </w:t>
      </w:r>
      <w:r>
        <w:rPr>
          <w:sz w:val="22"/>
        </w:rPr>
        <w:t>of</w:t>
      </w:r>
      <w:r>
        <w:rPr>
          <w:spacing w:val="16"/>
          <w:sz w:val="22"/>
        </w:rPr>
        <w:t> </w:t>
      </w:r>
      <w:r>
        <w:rPr>
          <w:sz w:val="22"/>
        </w:rPr>
        <w:t>nine</w:t>
      </w:r>
      <w:r>
        <w:rPr>
          <w:spacing w:val="16"/>
          <w:sz w:val="22"/>
        </w:rPr>
        <w:t> </w:t>
      </w:r>
      <w:r>
        <w:rPr>
          <w:sz w:val="22"/>
        </w:rPr>
        <w:t>prospective</w:t>
      </w:r>
      <w:r>
        <w:rPr>
          <w:spacing w:val="16"/>
          <w:sz w:val="22"/>
        </w:rPr>
        <w:t> </w:t>
      </w:r>
      <w:r>
        <w:rPr>
          <w:sz w:val="22"/>
        </w:rPr>
        <w:t>studies. </w:t>
      </w:r>
      <w:r>
        <w:rPr>
          <w:i/>
          <w:sz w:val="22"/>
        </w:rPr>
        <w:t>J Natl Cancer Inst</w:t>
      </w:r>
      <w:r>
        <w:rPr>
          <w:sz w:val="22"/>
        </w:rPr>
        <w:t>. 2002;94:606.</w:t>
      </w:r>
    </w:p>
    <w:p>
      <w:pPr>
        <w:pStyle w:val="ListParagraph"/>
        <w:numPr>
          <w:ilvl w:val="0"/>
          <w:numId w:val="19"/>
        </w:numPr>
        <w:tabs>
          <w:tab w:pos="709" w:val="left" w:leader="none"/>
          <w:tab w:pos="718" w:val="left" w:leader="none"/>
        </w:tabs>
        <w:spacing w:line="256" w:lineRule="auto" w:before="0" w:after="0"/>
        <w:ind w:left="718" w:right="110" w:hanging="507"/>
        <w:jc w:val="both"/>
        <w:rPr>
          <w:sz w:val="22"/>
        </w:rPr>
      </w:pPr>
      <w:r>
        <w:rPr>
          <w:sz w:val="22"/>
        </w:rPr>
        <w:t>Key TJ, Appleby PN, Reeves GK, et al; Endogenous Hormones Breast Cancer </w:t>
      </w:r>
      <w:r>
        <w:rPr>
          <w:sz w:val="22"/>
        </w:rPr>
        <w:t>Collaborative Group. Body mass index, serum sex hormones, and breast cancer risk in postmenopausal women. </w:t>
      </w:r>
      <w:r>
        <w:rPr>
          <w:i/>
          <w:sz w:val="22"/>
        </w:rPr>
        <w:t>J Natl Cancer Inst</w:t>
      </w:r>
      <w:r>
        <w:rPr>
          <w:sz w:val="22"/>
        </w:rPr>
        <w:t>. 2003;95:1218.</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Key TJA, Pike MC. The role of oestrogens and progestogens in the epidemiology </w:t>
      </w:r>
      <w:r>
        <w:rPr>
          <w:sz w:val="22"/>
        </w:rPr>
        <w:t>and</w:t>
      </w:r>
      <w:r>
        <w:rPr>
          <w:spacing w:val="40"/>
          <w:sz w:val="22"/>
        </w:rPr>
        <w:t> </w:t>
      </w:r>
      <w:r>
        <w:rPr>
          <w:sz w:val="22"/>
        </w:rPr>
        <w:t>prevention of breast cancer. </w:t>
      </w:r>
      <w:r>
        <w:rPr>
          <w:i/>
          <w:sz w:val="22"/>
        </w:rPr>
        <w:t>Eur J Cancer Clin Oncol</w:t>
      </w:r>
      <w:r>
        <w:rPr>
          <w:sz w:val="22"/>
        </w:rPr>
        <w:t>. 1988;24:29.</w:t>
      </w:r>
    </w:p>
    <w:p>
      <w:pPr>
        <w:pStyle w:val="ListParagraph"/>
        <w:numPr>
          <w:ilvl w:val="0"/>
          <w:numId w:val="19"/>
        </w:numPr>
        <w:tabs>
          <w:tab w:pos="709" w:val="left" w:leader="none"/>
          <w:tab w:pos="718" w:val="left" w:leader="none"/>
        </w:tabs>
        <w:spacing w:line="256" w:lineRule="auto" w:before="0" w:after="0"/>
        <w:ind w:left="718" w:right="100" w:hanging="507"/>
        <w:jc w:val="both"/>
        <w:rPr>
          <w:sz w:val="22"/>
        </w:rPr>
      </w:pPr>
      <w:r>
        <w:rPr>
          <w:sz w:val="22"/>
        </w:rPr>
        <w:t>Anderson TJ, Ferguson DJP, Raab GM. Cell turnover in the “resting” human breast: influence</w:t>
      </w:r>
      <w:r>
        <w:rPr>
          <w:spacing w:val="80"/>
          <w:sz w:val="22"/>
        </w:rPr>
        <w:t> </w:t>
      </w:r>
      <w:r>
        <w:rPr>
          <w:sz w:val="22"/>
        </w:rPr>
        <w:t>of parity, contraceptive pill, age and laterality. </w:t>
      </w:r>
      <w:r>
        <w:rPr>
          <w:i/>
          <w:sz w:val="22"/>
        </w:rPr>
        <w:t>Br J Cancer</w:t>
      </w:r>
      <w:r>
        <w:rPr>
          <w:sz w:val="22"/>
        </w:rPr>
        <w:t>. 1988;46:376x.</w:t>
      </w:r>
    </w:p>
    <w:p>
      <w:pPr>
        <w:pStyle w:val="ListParagraph"/>
        <w:numPr>
          <w:ilvl w:val="0"/>
          <w:numId w:val="19"/>
        </w:numPr>
        <w:tabs>
          <w:tab w:pos="709" w:val="left" w:leader="none"/>
          <w:tab w:pos="718" w:val="left" w:leader="none"/>
        </w:tabs>
        <w:spacing w:line="256" w:lineRule="auto" w:before="0" w:after="0"/>
        <w:ind w:left="718" w:right="107" w:hanging="507"/>
        <w:jc w:val="both"/>
        <w:rPr>
          <w:sz w:val="22"/>
        </w:rPr>
      </w:pPr>
      <w:r>
        <w:rPr>
          <w:sz w:val="22"/>
        </w:rPr>
        <w:t>Ménard S, Casalini P, Agresti R, Pilotti S, Balsari A. Proliferation of breast carcinoma </w:t>
      </w:r>
      <w:r>
        <w:rPr>
          <w:sz w:val="22"/>
        </w:rPr>
        <w:t>during menstrual phases. </w:t>
      </w:r>
      <w:r>
        <w:rPr>
          <w:i/>
          <w:sz w:val="22"/>
        </w:rPr>
        <w:t>Lancet</w:t>
      </w:r>
      <w:r>
        <w:rPr>
          <w:sz w:val="22"/>
        </w:rPr>
        <w:t>. 1998;352:148.</w:t>
      </w:r>
    </w:p>
    <w:p>
      <w:pPr>
        <w:pStyle w:val="ListParagraph"/>
        <w:numPr>
          <w:ilvl w:val="0"/>
          <w:numId w:val="19"/>
        </w:numPr>
        <w:tabs>
          <w:tab w:pos="709" w:val="left" w:leader="none"/>
          <w:tab w:pos="718" w:val="left" w:leader="none"/>
        </w:tabs>
        <w:spacing w:line="256" w:lineRule="auto" w:before="0" w:after="0"/>
        <w:ind w:left="718" w:right="101" w:hanging="507"/>
        <w:jc w:val="both"/>
        <w:rPr>
          <w:sz w:val="22"/>
        </w:rPr>
      </w:pPr>
      <w:r>
        <w:rPr>
          <w:sz w:val="22"/>
        </w:rPr>
        <w:t>Chang K-J, Lee TTY, Linarez-Cruz G, Fournier S, de Ligniéres B. Influences of </w:t>
      </w:r>
      <w:r>
        <w:rPr>
          <w:sz w:val="22"/>
        </w:rPr>
        <w:t>percutaneous administration</w:t>
      </w:r>
      <w:r>
        <w:rPr>
          <w:spacing w:val="40"/>
          <w:sz w:val="22"/>
        </w:rPr>
        <w:t> </w:t>
      </w:r>
      <w:r>
        <w:rPr>
          <w:sz w:val="22"/>
        </w:rPr>
        <w:t>of</w:t>
      </w:r>
      <w:r>
        <w:rPr>
          <w:spacing w:val="40"/>
          <w:sz w:val="22"/>
        </w:rPr>
        <w:t> </w:t>
      </w:r>
      <w:r>
        <w:rPr>
          <w:sz w:val="22"/>
        </w:rPr>
        <w:t>estradiol</w:t>
      </w:r>
      <w:r>
        <w:rPr>
          <w:spacing w:val="40"/>
          <w:sz w:val="22"/>
        </w:rPr>
        <w:t> </w:t>
      </w:r>
      <w:r>
        <w:rPr>
          <w:sz w:val="22"/>
        </w:rPr>
        <w:t>and</w:t>
      </w:r>
      <w:r>
        <w:rPr>
          <w:spacing w:val="40"/>
          <w:sz w:val="22"/>
        </w:rPr>
        <w:t> </w:t>
      </w:r>
      <w:r>
        <w:rPr>
          <w:sz w:val="22"/>
        </w:rPr>
        <w:t>progesterone</w:t>
      </w:r>
      <w:r>
        <w:rPr>
          <w:spacing w:val="40"/>
          <w:sz w:val="22"/>
        </w:rPr>
        <w:t> </w:t>
      </w:r>
      <w:r>
        <w:rPr>
          <w:sz w:val="22"/>
        </w:rPr>
        <w:t>on</w:t>
      </w:r>
      <w:r>
        <w:rPr>
          <w:spacing w:val="40"/>
          <w:sz w:val="22"/>
        </w:rPr>
        <w:t> </w:t>
      </w:r>
      <w:r>
        <w:rPr>
          <w:sz w:val="22"/>
        </w:rPr>
        <w:t>human</w:t>
      </w:r>
      <w:r>
        <w:rPr>
          <w:spacing w:val="40"/>
          <w:sz w:val="22"/>
        </w:rPr>
        <w:t> </w:t>
      </w:r>
      <w:r>
        <w:rPr>
          <w:sz w:val="22"/>
        </w:rPr>
        <w:t>breast</w:t>
      </w:r>
      <w:r>
        <w:rPr>
          <w:spacing w:val="40"/>
          <w:sz w:val="22"/>
        </w:rPr>
        <w:t> </w:t>
      </w:r>
      <w:r>
        <w:rPr>
          <w:sz w:val="22"/>
        </w:rPr>
        <w:t>epithelial</w:t>
      </w:r>
      <w:r>
        <w:rPr>
          <w:spacing w:val="40"/>
          <w:sz w:val="22"/>
        </w:rPr>
        <w:t> </w:t>
      </w:r>
      <w:r>
        <w:rPr>
          <w:sz w:val="22"/>
        </w:rPr>
        <w:t>cell</w:t>
      </w:r>
      <w:r>
        <w:rPr>
          <w:spacing w:val="40"/>
          <w:sz w:val="22"/>
        </w:rPr>
        <w:t> </w:t>
      </w:r>
      <w:r>
        <w:rPr>
          <w:sz w:val="22"/>
        </w:rPr>
        <w:t>cycle</w:t>
      </w:r>
      <w:r>
        <w:rPr>
          <w:spacing w:val="40"/>
          <w:sz w:val="22"/>
        </w:rPr>
        <w:t> </w:t>
      </w:r>
      <w:r>
        <w:rPr>
          <w:sz w:val="22"/>
        </w:rPr>
        <w:t>in</w:t>
      </w:r>
      <w:r>
        <w:rPr>
          <w:spacing w:val="40"/>
          <w:sz w:val="22"/>
        </w:rPr>
        <w:t> </w:t>
      </w:r>
      <w:r>
        <w:rPr>
          <w:sz w:val="22"/>
        </w:rPr>
        <w:t>vivo. </w:t>
      </w:r>
      <w:r>
        <w:rPr>
          <w:i/>
          <w:sz w:val="22"/>
        </w:rPr>
        <w:t>Fertil Steril</w:t>
      </w:r>
      <w:r>
        <w:rPr>
          <w:sz w:val="22"/>
        </w:rPr>
        <w:t>. 1995;63:785.</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Laidlaw IJ, Clarke RB, Howell A, Owen AW, Potten CS, Anderson E. The proliferation of normal</w:t>
      </w:r>
      <w:r>
        <w:rPr>
          <w:spacing w:val="33"/>
          <w:sz w:val="22"/>
        </w:rPr>
        <w:t> </w:t>
      </w:r>
      <w:r>
        <w:rPr>
          <w:sz w:val="22"/>
        </w:rPr>
        <w:t>human</w:t>
      </w:r>
      <w:r>
        <w:rPr>
          <w:spacing w:val="33"/>
          <w:sz w:val="22"/>
        </w:rPr>
        <w:t> </w:t>
      </w:r>
      <w:r>
        <w:rPr>
          <w:sz w:val="22"/>
        </w:rPr>
        <w:t>breast</w:t>
      </w:r>
      <w:r>
        <w:rPr>
          <w:spacing w:val="33"/>
          <w:sz w:val="22"/>
        </w:rPr>
        <w:t> </w:t>
      </w:r>
      <w:r>
        <w:rPr>
          <w:sz w:val="22"/>
        </w:rPr>
        <w:t>tissue</w:t>
      </w:r>
      <w:r>
        <w:rPr>
          <w:spacing w:val="33"/>
          <w:sz w:val="22"/>
        </w:rPr>
        <w:t> </w:t>
      </w:r>
      <w:r>
        <w:rPr>
          <w:sz w:val="22"/>
        </w:rPr>
        <w:t>implanted</w:t>
      </w:r>
      <w:r>
        <w:rPr>
          <w:spacing w:val="33"/>
          <w:sz w:val="22"/>
        </w:rPr>
        <w:t> </w:t>
      </w:r>
      <w:r>
        <w:rPr>
          <w:sz w:val="22"/>
        </w:rPr>
        <w:t>into</w:t>
      </w:r>
      <w:r>
        <w:rPr>
          <w:spacing w:val="33"/>
          <w:sz w:val="22"/>
        </w:rPr>
        <w:t> </w:t>
      </w:r>
      <w:r>
        <w:rPr>
          <w:sz w:val="22"/>
        </w:rPr>
        <w:t>athymic</w:t>
      </w:r>
      <w:r>
        <w:rPr>
          <w:spacing w:val="33"/>
          <w:sz w:val="22"/>
        </w:rPr>
        <w:t> </w:t>
      </w:r>
      <w:r>
        <w:rPr>
          <w:sz w:val="22"/>
        </w:rPr>
        <w:t>nude</w:t>
      </w:r>
      <w:r>
        <w:rPr>
          <w:spacing w:val="33"/>
          <w:sz w:val="22"/>
        </w:rPr>
        <w:t> </w:t>
      </w:r>
      <w:r>
        <w:rPr>
          <w:sz w:val="22"/>
        </w:rPr>
        <w:t>mice</w:t>
      </w:r>
      <w:r>
        <w:rPr>
          <w:spacing w:val="33"/>
          <w:sz w:val="22"/>
        </w:rPr>
        <w:t> </w:t>
      </w:r>
      <w:r>
        <w:rPr>
          <w:sz w:val="22"/>
        </w:rPr>
        <w:t>is</w:t>
      </w:r>
      <w:r>
        <w:rPr>
          <w:spacing w:val="33"/>
          <w:sz w:val="22"/>
        </w:rPr>
        <w:t> </w:t>
      </w:r>
      <w:r>
        <w:rPr>
          <w:sz w:val="22"/>
        </w:rPr>
        <w:t>stimulated</w:t>
      </w:r>
      <w:r>
        <w:rPr>
          <w:spacing w:val="33"/>
          <w:sz w:val="22"/>
        </w:rPr>
        <w:t> </w:t>
      </w:r>
      <w:r>
        <w:rPr>
          <w:sz w:val="22"/>
        </w:rPr>
        <w:t>by</w:t>
      </w:r>
      <w:r>
        <w:rPr>
          <w:spacing w:val="33"/>
          <w:sz w:val="22"/>
        </w:rPr>
        <w:t> </w:t>
      </w:r>
      <w:r>
        <w:rPr>
          <w:sz w:val="22"/>
        </w:rPr>
        <w:t>estrogen</w:t>
      </w:r>
      <w:r>
        <w:rPr>
          <w:spacing w:val="33"/>
          <w:sz w:val="22"/>
        </w:rPr>
        <w:t> </w:t>
      </w:r>
      <w:r>
        <w:rPr>
          <w:sz w:val="22"/>
        </w:rPr>
        <w:t>but not progesterone. </w:t>
      </w:r>
      <w:r>
        <w:rPr>
          <w:i/>
          <w:sz w:val="22"/>
        </w:rPr>
        <w:t>Endocrinology</w:t>
      </w:r>
      <w:r>
        <w:rPr>
          <w:sz w:val="22"/>
        </w:rPr>
        <w:t>. 1996;136:164.</w:t>
      </w:r>
    </w:p>
    <w:p>
      <w:pPr>
        <w:pStyle w:val="ListParagraph"/>
        <w:numPr>
          <w:ilvl w:val="0"/>
          <w:numId w:val="19"/>
        </w:numPr>
        <w:tabs>
          <w:tab w:pos="709" w:val="left" w:leader="none"/>
          <w:tab w:pos="718" w:val="left" w:leader="none"/>
        </w:tabs>
        <w:spacing w:line="256" w:lineRule="auto" w:before="0" w:after="0"/>
        <w:ind w:left="718" w:right="109" w:hanging="507"/>
        <w:jc w:val="both"/>
        <w:rPr>
          <w:sz w:val="22"/>
        </w:rPr>
      </w:pPr>
      <w:r>
        <w:rPr>
          <w:sz w:val="22"/>
        </w:rPr>
        <w:t>Foidart J-M, Colin C, Denoo X, et al. Estradiol and progesterone regulate the proliferation of human breast epithelial cells. </w:t>
      </w:r>
      <w:r>
        <w:rPr>
          <w:i/>
          <w:sz w:val="22"/>
        </w:rPr>
        <w:t>Fertil Steril</w:t>
      </w:r>
      <w:r>
        <w:rPr>
          <w:sz w:val="22"/>
        </w:rPr>
        <w:t>. 1998;69:963.</w:t>
      </w:r>
    </w:p>
    <w:p>
      <w:pPr>
        <w:spacing w:line="256" w:lineRule="auto" w:before="0"/>
        <w:ind w:left="718" w:right="107" w:hanging="619"/>
        <w:jc w:val="both"/>
        <w:rPr>
          <w:sz w:val="22"/>
        </w:rPr>
      </w:pPr>
      <w:r>
        <w:rPr>
          <w:sz w:val="22"/>
        </w:rPr>
        <w:t>1000.</w:t>
      </w:r>
      <w:r>
        <w:rPr>
          <w:spacing w:val="40"/>
          <w:sz w:val="22"/>
        </w:rPr>
        <w:t> </w:t>
      </w:r>
      <w:r>
        <w:rPr>
          <w:sz w:val="22"/>
        </w:rPr>
        <w:t>Gompel A, Malet C, Spritzer P, Lalardrie J-P, Kuttenn F, Mauvais-Jarvis P. Progestin effect on cell</w:t>
      </w:r>
      <w:r>
        <w:rPr>
          <w:spacing w:val="28"/>
          <w:sz w:val="22"/>
        </w:rPr>
        <w:t> </w:t>
      </w:r>
      <w:r>
        <w:rPr>
          <w:sz w:val="22"/>
        </w:rPr>
        <w:t>proliferation</w:t>
      </w:r>
      <w:r>
        <w:rPr>
          <w:spacing w:val="28"/>
          <w:sz w:val="22"/>
        </w:rPr>
        <w:t> </w:t>
      </w:r>
      <w:r>
        <w:rPr>
          <w:sz w:val="22"/>
        </w:rPr>
        <w:t>and</w:t>
      </w:r>
      <w:r>
        <w:rPr>
          <w:spacing w:val="28"/>
          <w:sz w:val="22"/>
        </w:rPr>
        <w:t> </w:t>
      </w:r>
      <w:r>
        <w:rPr>
          <w:sz w:val="22"/>
        </w:rPr>
        <w:t>17-hydroxysteroid</w:t>
      </w:r>
      <w:r>
        <w:rPr>
          <w:spacing w:val="28"/>
          <w:sz w:val="22"/>
        </w:rPr>
        <w:t> </w:t>
      </w:r>
      <w:r>
        <w:rPr>
          <w:sz w:val="22"/>
        </w:rPr>
        <w:t>dehydrogenase</w:t>
      </w:r>
      <w:r>
        <w:rPr>
          <w:spacing w:val="28"/>
          <w:sz w:val="22"/>
        </w:rPr>
        <w:t> </w:t>
      </w:r>
      <w:r>
        <w:rPr>
          <w:sz w:val="22"/>
        </w:rPr>
        <w:t>activity</w:t>
      </w:r>
      <w:r>
        <w:rPr>
          <w:spacing w:val="28"/>
          <w:sz w:val="22"/>
        </w:rPr>
        <w:t> </w:t>
      </w:r>
      <w:r>
        <w:rPr>
          <w:sz w:val="22"/>
        </w:rPr>
        <w:t>in</w:t>
      </w:r>
      <w:r>
        <w:rPr>
          <w:spacing w:val="28"/>
          <w:sz w:val="22"/>
        </w:rPr>
        <w:t> </w:t>
      </w:r>
      <w:r>
        <w:rPr>
          <w:sz w:val="22"/>
        </w:rPr>
        <w:t>normal</w:t>
      </w:r>
      <w:r>
        <w:rPr>
          <w:spacing w:val="28"/>
          <w:sz w:val="22"/>
        </w:rPr>
        <w:t> </w:t>
      </w:r>
      <w:r>
        <w:rPr>
          <w:sz w:val="22"/>
        </w:rPr>
        <w:t>human</w:t>
      </w:r>
      <w:r>
        <w:rPr>
          <w:spacing w:val="28"/>
          <w:sz w:val="22"/>
        </w:rPr>
        <w:t> </w:t>
      </w:r>
      <w:r>
        <w:rPr>
          <w:sz w:val="22"/>
        </w:rPr>
        <w:t>breast</w:t>
      </w:r>
      <w:r>
        <w:rPr>
          <w:spacing w:val="28"/>
          <w:sz w:val="22"/>
        </w:rPr>
        <w:t> </w:t>
      </w:r>
      <w:r>
        <w:rPr>
          <w:sz w:val="22"/>
        </w:rPr>
        <w:t>cells in culture. </w:t>
      </w:r>
      <w:r>
        <w:rPr>
          <w:i/>
          <w:sz w:val="22"/>
        </w:rPr>
        <w:t>J Clin Endocrinol Metab</w:t>
      </w:r>
      <w:r>
        <w:rPr>
          <w:sz w:val="22"/>
        </w:rPr>
        <w:t>. 1986;63:1174.</w:t>
      </w:r>
    </w:p>
    <w:p>
      <w:pPr>
        <w:spacing w:line="256" w:lineRule="auto" w:before="0"/>
        <w:ind w:left="718" w:right="97" w:hanging="619"/>
        <w:jc w:val="both"/>
        <w:rPr>
          <w:sz w:val="22"/>
        </w:rPr>
      </w:pPr>
      <w:r>
        <w:rPr>
          <w:sz w:val="22"/>
        </w:rPr>
        <w:t>1001.</w:t>
      </w:r>
      <w:r>
        <w:rPr>
          <w:spacing w:val="40"/>
          <w:sz w:val="22"/>
        </w:rPr>
        <w:t> </w:t>
      </w:r>
      <w:r>
        <w:rPr>
          <w:sz w:val="22"/>
        </w:rPr>
        <w:t>Conner P, Christow A, Kersemaekers W, et al. A comparative study of breast cell </w:t>
      </w:r>
      <w:r>
        <w:rPr>
          <w:sz w:val="22"/>
        </w:rPr>
        <w:t>proliferation during hormone replacement therapy: effects of tibolone and continuous combined estrogen-progestogen treatment. </w:t>
      </w:r>
      <w:r>
        <w:rPr>
          <w:i/>
          <w:sz w:val="22"/>
        </w:rPr>
        <w:t>Climacteric</w:t>
      </w:r>
      <w:r>
        <w:rPr>
          <w:sz w:val="22"/>
        </w:rPr>
        <w:t>. 2004;7:50.</w:t>
      </w:r>
    </w:p>
    <w:p>
      <w:pPr>
        <w:spacing w:after="0" w:line="256" w:lineRule="auto"/>
        <w:jc w:val="both"/>
        <w:rPr>
          <w:sz w:val="22"/>
        </w:rPr>
        <w:sectPr>
          <w:pgSz w:w="12240" w:h="15840"/>
          <w:pgMar w:top="1360" w:bottom="280" w:left="1440" w:right="1440"/>
        </w:sectPr>
      </w:pPr>
    </w:p>
    <w:p>
      <w:pPr>
        <w:spacing w:line="256" w:lineRule="auto" w:before="84"/>
        <w:ind w:left="718" w:right="100" w:hanging="619"/>
        <w:jc w:val="both"/>
        <w:rPr>
          <w:sz w:val="22"/>
        </w:rPr>
      </w:pPr>
      <w:r>
        <w:rPr>
          <w:sz w:val="22"/>
        </w:rPr>
        <w:t>1002. Hofseth</w:t>
      </w:r>
      <w:r>
        <w:rPr>
          <w:spacing w:val="40"/>
          <w:sz w:val="22"/>
        </w:rPr>
        <w:t> </w:t>
      </w:r>
      <w:r>
        <w:rPr>
          <w:sz w:val="22"/>
        </w:rPr>
        <w:t>LJ,</w:t>
      </w:r>
      <w:r>
        <w:rPr>
          <w:spacing w:val="40"/>
          <w:sz w:val="22"/>
        </w:rPr>
        <w:t> </w:t>
      </w:r>
      <w:r>
        <w:rPr>
          <w:sz w:val="22"/>
        </w:rPr>
        <w:t>Raafat</w:t>
      </w:r>
      <w:r>
        <w:rPr>
          <w:spacing w:val="40"/>
          <w:sz w:val="22"/>
        </w:rPr>
        <w:t> </w:t>
      </w:r>
      <w:r>
        <w:rPr>
          <w:sz w:val="22"/>
        </w:rPr>
        <w:t>AM,</w:t>
      </w:r>
      <w:r>
        <w:rPr>
          <w:spacing w:val="40"/>
          <w:sz w:val="22"/>
        </w:rPr>
        <w:t> </w:t>
      </w:r>
      <w:r>
        <w:rPr>
          <w:sz w:val="22"/>
        </w:rPr>
        <w:t>Oscuch</w:t>
      </w:r>
      <w:r>
        <w:rPr>
          <w:spacing w:val="40"/>
          <w:sz w:val="22"/>
        </w:rPr>
        <w:t> </w:t>
      </w:r>
      <w:r>
        <w:rPr>
          <w:sz w:val="22"/>
        </w:rPr>
        <w:t>JR,</w:t>
      </w:r>
      <w:r>
        <w:rPr>
          <w:spacing w:val="40"/>
          <w:sz w:val="22"/>
        </w:rPr>
        <w:t> </w:t>
      </w:r>
      <w:r>
        <w:rPr>
          <w:sz w:val="22"/>
        </w:rPr>
        <w:t>Pathak</w:t>
      </w:r>
      <w:r>
        <w:rPr>
          <w:spacing w:val="40"/>
          <w:sz w:val="22"/>
        </w:rPr>
        <w:t> </w:t>
      </w:r>
      <w:r>
        <w:rPr>
          <w:sz w:val="22"/>
        </w:rPr>
        <w:t>DR,</w:t>
      </w:r>
      <w:r>
        <w:rPr>
          <w:spacing w:val="40"/>
          <w:sz w:val="22"/>
        </w:rPr>
        <w:t> </w:t>
      </w:r>
      <w:r>
        <w:rPr>
          <w:sz w:val="22"/>
        </w:rPr>
        <w:t>Slomski</w:t>
      </w:r>
      <w:r>
        <w:rPr>
          <w:spacing w:val="40"/>
          <w:sz w:val="22"/>
        </w:rPr>
        <w:t> </w:t>
      </w:r>
      <w:r>
        <w:rPr>
          <w:sz w:val="22"/>
        </w:rPr>
        <w:t>CA,</w:t>
      </w:r>
      <w:r>
        <w:rPr>
          <w:spacing w:val="40"/>
          <w:sz w:val="22"/>
        </w:rPr>
        <w:t> </w:t>
      </w:r>
      <w:r>
        <w:rPr>
          <w:sz w:val="22"/>
        </w:rPr>
        <w:t>Haslam</w:t>
      </w:r>
      <w:r>
        <w:rPr>
          <w:spacing w:val="40"/>
          <w:sz w:val="22"/>
        </w:rPr>
        <w:t> </w:t>
      </w:r>
      <w:r>
        <w:rPr>
          <w:sz w:val="22"/>
        </w:rPr>
        <w:t>SZ.</w:t>
      </w:r>
      <w:r>
        <w:rPr>
          <w:spacing w:val="40"/>
          <w:sz w:val="22"/>
        </w:rPr>
        <w:t> </w:t>
      </w:r>
      <w:r>
        <w:rPr>
          <w:sz w:val="22"/>
        </w:rPr>
        <w:t>Hormone replacement therapy with estrogen or estrogen plus medroxyprogesterone acetate is associated with increased epithelial proliferation in the normal postmenopausal breast. </w:t>
      </w:r>
      <w:r>
        <w:rPr>
          <w:i/>
          <w:sz w:val="22"/>
        </w:rPr>
        <w:t>J Clin Endocrinol</w:t>
      </w:r>
      <w:r>
        <w:rPr>
          <w:i/>
          <w:sz w:val="22"/>
        </w:rPr>
        <w:t> Metab</w:t>
      </w:r>
      <w:r>
        <w:rPr>
          <w:sz w:val="22"/>
        </w:rPr>
        <w:t>. 1999;84:4559.</w:t>
      </w:r>
    </w:p>
    <w:p>
      <w:pPr>
        <w:spacing w:line="256" w:lineRule="auto" w:before="0"/>
        <w:ind w:left="718" w:right="104" w:hanging="619"/>
        <w:jc w:val="both"/>
        <w:rPr>
          <w:sz w:val="22"/>
        </w:rPr>
      </w:pPr>
      <w:r>
        <w:rPr>
          <w:sz w:val="22"/>
        </w:rPr>
        <w:t>1003.</w:t>
      </w:r>
      <w:r>
        <w:rPr>
          <w:spacing w:val="40"/>
          <w:sz w:val="22"/>
        </w:rPr>
        <w:t> </w:t>
      </w:r>
      <w:r>
        <w:rPr>
          <w:sz w:val="22"/>
        </w:rPr>
        <w:t>Gompel A, Somai S, Chaouat M, et al. Hormonal regulation of apoptosis in breast cells </w:t>
      </w:r>
      <w:r>
        <w:rPr>
          <w:sz w:val="22"/>
        </w:rPr>
        <w:t>and tissues. </w:t>
      </w:r>
      <w:r>
        <w:rPr>
          <w:i/>
          <w:sz w:val="22"/>
        </w:rPr>
        <w:t>Steroids</w:t>
      </w:r>
      <w:r>
        <w:rPr>
          <w:sz w:val="22"/>
        </w:rPr>
        <w:t>. 2000;65:593.</w:t>
      </w:r>
    </w:p>
    <w:p>
      <w:pPr>
        <w:spacing w:line="256" w:lineRule="auto" w:before="0"/>
        <w:ind w:left="718" w:right="103" w:hanging="619"/>
        <w:jc w:val="both"/>
        <w:rPr>
          <w:sz w:val="22"/>
        </w:rPr>
      </w:pPr>
      <w:r>
        <w:rPr>
          <w:sz w:val="22"/>
        </w:rPr>
        <w:t>1004. Stute</w:t>
      </w:r>
      <w:r>
        <w:rPr>
          <w:spacing w:val="40"/>
          <w:sz w:val="22"/>
        </w:rPr>
        <w:t> </w:t>
      </w:r>
      <w:r>
        <w:rPr>
          <w:sz w:val="22"/>
        </w:rPr>
        <w:t>P,</w:t>
      </w:r>
      <w:r>
        <w:rPr>
          <w:spacing w:val="40"/>
          <w:sz w:val="22"/>
        </w:rPr>
        <w:t> </w:t>
      </w:r>
      <w:r>
        <w:rPr>
          <w:sz w:val="22"/>
        </w:rPr>
        <w:t>Wood</w:t>
      </w:r>
      <w:r>
        <w:rPr>
          <w:spacing w:val="40"/>
          <w:sz w:val="22"/>
        </w:rPr>
        <w:t> </w:t>
      </w:r>
      <w:r>
        <w:rPr>
          <w:sz w:val="22"/>
        </w:rPr>
        <w:t>CE,</w:t>
      </w:r>
      <w:r>
        <w:rPr>
          <w:spacing w:val="40"/>
          <w:sz w:val="22"/>
        </w:rPr>
        <w:t> </w:t>
      </w:r>
      <w:r>
        <w:rPr>
          <w:sz w:val="22"/>
        </w:rPr>
        <w:t>Kapaln</w:t>
      </w:r>
      <w:r>
        <w:rPr>
          <w:spacing w:val="40"/>
          <w:sz w:val="22"/>
        </w:rPr>
        <w:t> </w:t>
      </w:r>
      <w:r>
        <w:rPr>
          <w:sz w:val="22"/>
        </w:rPr>
        <w:t>JR,</w:t>
      </w:r>
      <w:r>
        <w:rPr>
          <w:spacing w:val="40"/>
          <w:sz w:val="22"/>
        </w:rPr>
        <w:t> </w:t>
      </w:r>
      <w:r>
        <w:rPr>
          <w:sz w:val="22"/>
        </w:rPr>
        <w:t>Cline</w:t>
      </w:r>
      <w:r>
        <w:rPr>
          <w:spacing w:val="40"/>
          <w:sz w:val="22"/>
        </w:rPr>
        <w:t> </w:t>
      </w:r>
      <w:r>
        <w:rPr>
          <w:sz w:val="22"/>
        </w:rPr>
        <w:t>JM.</w:t>
      </w:r>
      <w:r>
        <w:rPr>
          <w:spacing w:val="40"/>
          <w:sz w:val="22"/>
        </w:rPr>
        <w:t> </w:t>
      </w:r>
      <w:r>
        <w:rPr>
          <w:sz w:val="22"/>
        </w:rPr>
        <w:t>Cyclic</w:t>
      </w:r>
      <w:r>
        <w:rPr>
          <w:spacing w:val="40"/>
          <w:sz w:val="22"/>
        </w:rPr>
        <w:t> </w:t>
      </w:r>
      <w:r>
        <w:rPr>
          <w:sz w:val="22"/>
        </w:rPr>
        <w:t>changes</w:t>
      </w:r>
      <w:r>
        <w:rPr>
          <w:spacing w:val="40"/>
          <w:sz w:val="22"/>
        </w:rPr>
        <w:t> </w:t>
      </w:r>
      <w:r>
        <w:rPr>
          <w:sz w:val="22"/>
        </w:rPr>
        <w:t>in</w:t>
      </w:r>
      <w:r>
        <w:rPr>
          <w:spacing w:val="40"/>
          <w:sz w:val="22"/>
        </w:rPr>
        <w:t> </w:t>
      </w:r>
      <w:r>
        <w:rPr>
          <w:sz w:val="22"/>
        </w:rPr>
        <w:t>the</w:t>
      </w:r>
      <w:r>
        <w:rPr>
          <w:spacing w:val="40"/>
          <w:sz w:val="22"/>
        </w:rPr>
        <w:t> </w:t>
      </w:r>
      <w:r>
        <w:rPr>
          <w:sz w:val="22"/>
        </w:rPr>
        <w:t>mammary</w:t>
      </w:r>
      <w:r>
        <w:rPr>
          <w:spacing w:val="40"/>
          <w:sz w:val="22"/>
        </w:rPr>
        <w:t> </w:t>
      </w:r>
      <w:r>
        <w:rPr>
          <w:sz w:val="22"/>
        </w:rPr>
        <w:t>gland</w:t>
      </w:r>
      <w:r>
        <w:rPr>
          <w:spacing w:val="40"/>
          <w:sz w:val="22"/>
        </w:rPr>
        <w:t> </w:t>
      </w:r>
      <w:r>
        <w:rPr>
          <w:sz w:val="22"/>
        </w:rPr>
        <w:t>of cynomolgus macaques. </w:t>
      </w:r>
      <w:r>
        <w:rPr>
          <w:i/>
          <w:sz w:val="22"/>
        </w:rPr>
        <w:t>Fertil Steril</w:t>
      </w:r>
      <w:r>
        <w:rPr>
          <w:sz w:val="22"/>
        </w:rPr>
        <w:t>. 2004;82(suppl 3):1160.</w:t>
      </w:r>
    </w:p>
    <w:p>
      <w:pPr>
        <w:spacing w:line="256" w:lineRule="auto" w:before="0"/>
        <w:ind w:left="718" w:right="101" w:hanging="619"/>
        <w:jc w:val="both"/>
        <w:rPr>
          <w:sz w:val="22"/>
        </w:rPr>
      </w:pPr>
      <w:r>
        <w:rPr>
          <w:sz w:val="22"/>
        </w:rPr>
        <w:t>1005. Stanczyk FZ, Hapgood JP, Winer S, Mishell DR Jr. Progestogens used in </w:t>
      </w:r>
      <w:r>
        <w:rPr>
          <w:sz w:val="22"/>
        </w:rPr>
        <w:t>postmenopausal hormone therapy: differences in their pharmacological properties, intracellular actions, and clinical effects. </w:t>
      </w:r>
      <w:r>
        <w:rPr>
          <w:i/>
          <w:sz w:val="22"/>
        </w:rPr>
        <w:t>Endocr Rev</w:t>
      </w:r>
      <w:r>
        <w:rPr>
          <w:sz w:val="22"/>
        </w:rPr>
        <w:t>. 2013;34(2):171.</w:t>
      </w:r>
    </w:p>
    <w:p>
      <w:pPr>
        <w:spacing w:line="256" w:lineRule="auto" w:before="0"/>
        <w:ind w:left="718" w:right="101" w:hanging="619"/>
        <w:jc w:val="both"/>
        <w:rPr>
          <w:sz w:val="22"/>
        </w:rPr>
      </w:pPr>
      <w:r>
        <w:rPr>
          <w:sz w:val="22"/>
        </w:rPr>
        <w:t>1006. Courtin A, Communal L, Vilasco M, et al. Glucocorticoid receptor activity discriminates</w:t>
      </w:r>
      <w:r>
        <w:rPr>
          <w:spacing w:val="40"/>
          <w:sz w:val="22"/>
        </w:rPr>
        <w:t> </w:t>
      </w:r>
      <w:r>
        <w:rPr>
          <w:sz w:val="22"/>
        </w:rPr>
        <w:t>between progesterone and medroxyprogesterone acetate effects in breast cells. </w:t>
      </w:r>
      <w:r>
        <w:rPr>
          <w:i/>
          <w:sz w:val="22"/>
        </w:rPr>
        <w:t>Breast Cancer</w:t>
      </w:r>
      <w:r>
        <w:rPr>
          <w:i/>
          <w:sz w:val="22"/>
        </w:rPr>
        <w:t> Res Treat</w:t>
      </w:r>
      <w:r>
        <w:rPr>
          <w:sz w:val="22"/>
        </w:rPr>
        <w:t>. 2012;131(1):49.</w:t>
      </w:r>
    </w:p>
    <w:p>
      <w:pPr>
        <w:spacing w:line="256" w:lineRule="auto" w:before="0"/>
        <w:ind w:left="718" w:right="98" w:hanging="619"/>
        <w:jc w:val="both"/>
        <w:rPr>
          <w:sz w:val="22"/>
        </w:rPr>
      </w:pPr>
      <w:r>
        <w:rPr>
          <w:sz w:val="22"/>
        </w:rPr>
        <w:t>1007. Sweeney EE, Fan P, Jordan VC. Molecular modulation of estrogen-induced apoptosis by synthetic progestins in hormone replacement therapy: an insight into the Women’s Health Initiative study. </w:t>
      </w:r>
      <w:r>
        <w:rPr>
          <w:i/>
          <w:sz w:val="22"/>
        </w:rPr>
        <w:t>Cancer Res</w:t>
      </w:r>
      <w:r>
        <w:rPr>
          <w:sz w:val="22"/>
        </w:rPr>
        <w:t>. 2014;74(23):7060.</w:t>
      </w:r>
    </w:p>
    <w:p>
      <w:pPr>
        <w:spacing w:line="256" w:lineRule="auto" w:before="0"/>
        <w:ind w:left="718" w:right="111" w:hanging="619"/>
        <w:jc w:val="both"/>
        <w:rPr>
          <w:sz w:val="22"/>
        </w:rPr>
      </w:pPr>
      <w:r>
        <w:rPr>
          <w:sz w:val="22"/>
        </w:rPr>
        <w:t>1008.</w:t>
      </w:r>
      <w:r>
        <w:rPr>
          <w:spacing w:val="40"/>
          <w:sz w:val="22"/>
        </w:rPr>
        <w:t> </w:t>
      </w:r>
      <w:r>
        <w:rPr>
          <w:sz w:val="22"/>
        </w:rPr>
        <w:t>Xu B, Kitawaki J, Koshiba H, et al. Differential effects of progestogens, by type and regimen,</w:t>
      </w:r>
      <w:r>
        <w:rPr>
          <w:spacing w:val="80"/>
          <w:sz w:val="22"/>
        </w:rPr>
        <w:t> </w:t>
      </w:r>
      <w:r>
        <w:rPr>
          <w:sz w:val="22"/>
        </w:rPr>
        <w:t>on estrogen-metabolizing enzymes in human breast cancer cells. </w:t>
      </w:r>
      <w:r>
        <w:rPr>
          <w:i/>
          <w:sz w:val="22"/>
        </w:rPr>
        <w:t>Maturitas</w:t>
      </w:r>
      <w:r>
        <w:rPr>
          <w:sz w:val="22"/>
        </w:rPr>
        <w:t>. 2007;56(2):142.</w:t>
      </w:r>
    </w:p>
    <w:p>
      <w:pPr>
        <w:spacing w:line="256" w:lineRule="auto" w:before="0"/>
        <w:ind w:left="718" w:right="102" w:hanging="619"/>
        <w:jc w:val="both"/>
        <w:rPr>
          <w:sz w:val="22"/>
        </w:rPr>
      </w:pPr>
      <w:r>
        <w:rPr>
          <w:sz w:val="22"/>
        </w:rPr>
        <w:t>1009. Cline JM, Soderqvist G, von Schoultz E, Skoog L, von Schoultz B. Effects of </w:t>
      </w:r>
      <w:r>
        <w:rPr>
          <w:sz w:val="22"/>
        </w:rPr>
        <w:t>hormone replacement therapy on the mammary gland of surgically postmenopausal cynomolgus macaques. </w:t>
      </w:r>
      <w:r>
        <w:rPr>
          <w:i/>
          <w:sz w:val="22"/>
        </w:rPr>
        <w:t>Am J Obstet Gynecol</w:t>
      </w:r>
      <w:r>
        <w:rPr>
          <w:sz w:val="22"/>
        </w:rPr>
        <w:t>. 1996;174:93.</w:t>
      </w:r>
    </w:p>
    <w:p>
      <w:pPr>
        <w:spacing w:line="256" w:lineRule="auto" w:before="0"/>
        <w:ind w:left="718" w:right="103" w:hanging="619"/>
        <w:jc w:val="both"/>
        <w:rPr>
          <w:sz w:val="22"/>
        </w:rPr>
      </w:pPr>
      <w:r>
        <w:rPr>
          <w:sz w:val="22"/>
        </w:rPr>
        <w:t>1010.</w:t>
      </w:r>
      <w:r>
        <w:rPr>
          <w:spacing w:val="40"/>
          <w:sz w:val="22"/>
        </w:rPr>
        <w:t> </w:t>
      </w:r>
      <w:r>
        <w:rPr>
          <w:sz w:val="22"/>
        </w:rPr>
        <w:t>Wood CE, Sitruk-Ware RL, Tsong Y-Y, Register TC, Lees CJ, Cline JM. Effects of estradiol with oral or intravaginal progesterone on risk markers for breast cancer in a postmenopausal monkey model. </w:t>
      </w:r>
      <w:r>
        <w:rPr>
          <w:i/>
          <w:sz w:val="22"/>
        </w:rPr>
        <w:t>Menopause</w:t>
      </w:r>
      <w:r>
        <w:rPr>
          <w:sz w:val="22"/>
        </w:rPr>
        <w:t>. 2007;14:1.</w:t>
      </w:r>
    </w:p>
    <w:p>
      <w:pPr>
        <w:spacing w:line="256" w:lineRule="auto" w:before="0"/>
        <w:ind w:left="718" w:right="102" w:hanging="619"/>
        <w:jc w:val="both"/>
        <w:rPr>
          <w:sz w:val="22"/>
        </w:rPr>
      </w:pPr>
      <w:r>
        <w:rPr>
          <w:sz w:val="22"/>
        </w:rPr>
        <w:t>1011.</w:t>
      </w:r>
      <w:r>
        <w:rPr>
          <w:spacing w:val="40"/>
          <w:sz w:val="22"/>
        </w:rPr>
        <w:t> </w:t>
      </w:r>
      <w:r>
        <w:rPr>
          <w:sz w:val="22"/>
        </w:rPr>
        <w:t>Wood CE, Sitruk-Ware RL, Tsong Y-Y, Register TC, Lees CJ, Cline JM. Effects of estradiol with</w:t>
      </w:r>
      <w:r>
        <w:rPr>
          <w:spacing w:val="40"/>
          <w:sz w:val="22"/>
        </w:rPr>
        <w:t> </w:t>
      </w:r>
      <w:r>
        <w:rPr>
          <w:sz w:val="22"/>
        </w:rPr>
        <w:t>micronized</w:t>
      </w:r>
      <w:r>
        <w:rPr>
          <w:spacing w:val="40"/>
          <w:sz w:val="22"/>
        </w:rPr>
        <w:t> </w:t>
      </w:r>
      <w:r>
        <w:rPr>
          <w:sz w:val="22"/>
        </w:rPr>
        <w:t>progesterone</w:t>
      </w:r>
      <w:r>
        <w:rPr>
          <w:spacing w:val="40"/>
          <w:sz w:val="22"/>
        </w:rPr>
        <w:t> </w:t>
      </w:r>
      <w:r>
        <w:rPr>
          <w:sz w:val="22"/>
        </w:rPr>
        <w:t>or</w:t>
      </w:r>
      <w:r>
        <w:rPr>
          <w:spacing w:val="40"/>
          <w:sz w:val="22"/>
        </w:rPr>
        <w:t> </w:t>
      </w:r>
      <w:r>
        <w:rPr>
          <w:sz w:val="22"/>
        </w:rPr>
        <w:t>medroxyprogesterone</w:t>
      </w:r>
      <w:r>
        <w:rPr>
          <w:spacing w:val="40"/>
          <w:sz w:val="22"/>
        </w:rPr>
        <w:t> </w:t>
      </w:r>
      <w:r>
        <w:rPr>
          <w:sz w:val="22"/>
        </w:rPr>
        <w:t>acetate</w:t>
      </w:r>
      <w:r>
        <w:rPr>
          <w:spacing w:val="40"/>
          <w:sz w:val="22"/>
        </w:rPr>
        <w:t> </w:t>
      </w:r>
      <w:r>
        <w:rPr>
          <w:sz w:val="22"/>
        </w:rPr>
        <w:t>on</w:t>
      </w:r>
      <w:r>
        <w:rPr>
          <w:spacing w:val="40"/>
          <w:sz w:val="22"/>
        </w:rPr>
        <w:t> </w:t>
      </w:r>
      <w:r>
        <w:rPr>
          <w:sz w:val="22"/>
        </w:rPr>
        <w:t>risk</w:t>
      </w:r>
      <w:r>
        <w:rPr>
          <w:spacing w:val="40"/>
          <w:sz w:val="22"/>
        </w:rPr>
        <w:t> </w:t>
      </w:r>
      <w:r>
        <w:rPr>
          <w:sz w:val="22"/>
        </w:rPr>
        <w:t>markers</w:t>
      </w:r>
      <w:r>
        <w:rPr>
          <w:spacing w:val="40"/>
          <w:sz w:val="22"/>
        </w:rPr>
        <w:t> </w:t>
      </w:r>
      <w:r>
        <w:rPr>
          <w:sz w:val="22"/>
        </w:rPr>
        <w:t>for</w:t>
      </w:r>
      <w:r>
        <w:rPr>
          <w:spacing w:val="40"/>
          <w:sz w:val="22"/>
        </w:rPr>
        <w:t> </w:t>
      </w:r>
      <w:r>
        <w:rPr>
          <w:sz w:val="22"/>
        </w:rPr>
        <w:t>breast cancer in postmenopausal monkeys. </w:t>
      </w:r>
      <w:r>
        <w:rPr>
          <w:i/>
          <w:sz w:val="22"/>
        </w:rPr>
        <w:t>Breast Cancer Res Treat</w:t>
      </w:r>
      <w:r>
        <w:rPr>
          <w:sz w:val="22"/>
        </w:rPr>
        <w:t>. 2007;101:125.</w:t>
      </w:r>
    </w:p>
    <w:p>
      <w:pPr>
        <w:spacing w:line="256" w:lineRule="auto" w:before="0"/>
        <w:ind w:left="718" w:right="103" w:hanging="619"/>
        <w:jc w:val="both"/>
        <w:rPr>
          <w:sz w:val="22"/>
        </w:rPr>
      </w:pPr>
      <w:r>
        <w:rPr>
          <w:sz w:val="22"/>
        </w:rPr>
        <w:t>1012. Conner P, Register TC, Skoog L, Tani E, von Schoultz B, Cline JM. Expression of p53 </w:t>
      </w:r>
      <w:r>
        <w:rPr>
          <w:sz w:val="22"/>
        </w:rPr>
        <w:t>and markers for apoptosis in breast tissue during long-term hormone therapy in cynomolgus monkeys. </w:t>
      </w:r>
      <w:r>
        <w:rPr>
          <w:i/>
          <w:sz w:val="22"/>
        </w:rPr>
        <w:t>Am J Obstet Gynecol</w:t>
      </w:r>
      <w:r>
        <w:rPr>
          <w:sz w:val="22"/>
        </w:rPr>
        <w:t>. 2005;193:58.</w:t>
      </w:r>
    </w:p>
    <w:p>
      <w:pPr>
        <w:spacing w:line="256" w:lineRule="auto" w:before="0"/>
        <w:ind w:left="718" w:right="98" w:hanging="619"/>
        <w:jc w:val="both"/>
        <w:rPr>
          <w:sz w:val="22"/>
        </w:rPr>
      </w:pPr>
      <w:r>
        <w:rPr>
          <w:sz w:val="22"/>
        </w:rPr>
        <w:t>1013.</w:t>
      </w:r>
      <w:r>
        <w:rPr>
          <w:spacing w:val="40"/>
          <w:sz w:val="22"/>
        </w:rPr>
        <w:t> </w:t>
      </w:r>
      <w:r>
        <w:rPr>
          <w:sz w:val="22"/>
        </w:rPr>
        <w:t>Micheli</w:t>
      </w:r>
      <w:r>
        <w:rPr>
          <w:spacing w:val="23"/>
          <w:sz w:val="22"/>
        </w:rPr>
        <w:t> </w:t>
      </w:r>
      <w:r>
        <w:rPr>
          <w:sz w:val="22"/>
        </w:rPr>
        <w:t>A,</w:t>
      </w:r>
      <w:r>
        <w:rPr>
          <w:spacing w:val="23"/>
          <w:sz w:val="22"/>
        </w:rPr>
        <w:t> </w:t>
      </w:r>
      <w:r>
        <w:rPr>
          <w:sz w:val="22"/>
        </w:rPr>
        <w:t>Muti</w:t>
      </w:r>
      <w:r>
        <w:rPr>
          <w:spacing w:val="23"/>
          <w:sz w:val="22"/>
        </w:rPr>
        <w:t> </w:t>
      </w:r>
      <w:r>
        <w:rPr>
          <w:sz w:val="22"/>
        </w:rPr>
        <w:t>P,</w:t>
      </w:r>
      <w:r>
        <w:rPr>
          <w:spacing w:val="23"/>
          <w:sz w:val="22"/>
        </w:rPr>
        <w:t> </w:t>
      </w:r>
      <w:r>
        <w:rPr>
          <w:sz w:val="22"/>
        </w:rPr>
        <w:t>Secreto</w:t>
      </w:r>
      <w:r>
        <w:rPr>
          <w:spacing w:val="23"/>
          <w:sz w:val="22"/>
        </w:rPr>
        <w:t> </w:t>
      </w:r>
      <w:r>
        <w:rPr>
          <w:sz w:val="22"/>
        </w:rPr>
        <w:t>G,</w:t>
      </w:r>
      <w:r>
        <w:rPr>
          <w:spacing w:val="23"/>
          <w:sz w:val="22"/>
        </w:rPr>
        <w:t> </w:t>
      </w:r>
      <w:r>
        <w:rPr>
          <w:sz w:val="22"/>
        </w:rPr>
        <w:t>et</w:t>
      </w:r>
      <w:r>
        <w:rPr>
          <w:spacing w:val="23"/>
          <w:sz w:val="22"/>
        </w:rPr>
        <w:t> </w:t>
      </w:r>
      <w:r>
        <w:rPr>
          <w:sz w:val="22"/>
        </w:rPr>
        <w:t>al.</w:t>
      </w:r>
      <w:r>
        <w:rPr>
          <w:spacing w:val="23"/>
          <w:sz w:val="22"/>
        </w:rPr>
        <w:t> </w:t>
      </w:r>
      <w:r>
        <w:rPr>
          <w:sz w:val="22"/>
        </w:rPr>
        <w:t>Endogenous</w:t>
      </w:r>
      <w:r>
        <w:rPr>
          <w:spacing w:val="26"/>
          <w:sz w:val="22"/>
        </w:rPr>
        <w:t> </w:t>
      </w:r>
      <w:r>
        <w:rPr>
          <w:sz w:val="22"/>
        </w:rPr>
        <w:t>sex</w:t>
      </w:r>
      <w:r>
        <w:rPr>
          <w:spacing w:val="26"/>
          <w:sz w:val="22"/>
        </w:rPr>
        <w:t> </w:t>
      </w:r>
      <w:r>
        <w:rPr>
          <w:sz w:val="22"/>
        </w:rPr>
        <w:t>hormones</w:t>
      </w:r>
      <w:r>
        <w:rPr>
          <w:spacing w:val="26"/>
          <w:sz w:val="22"/>
        </w:rPr>
        <w:t> </w:t>
      </w:r>
      <w:r>
        <w:rPr>
          <w:sz w:val="22"/>
        </w:rPr>
        <w:t>and</w:t>
      </w:r>
      <w:r>
        <w:rPr>
          <w:spacing w:val="26"/>
          <w:sz w:val="22"/>
        </w:rPr>
        <w:t> </w:t>
      </w:r>
      <w:r>
        <w:rPr>
          <w:sz w:val="22"/>
        </w:rPr>
        <w:t>subsequent</w:t>
      </w:r>
      <w:r>
        <w:rPr>
          <w:spacing w:val="26"/>
          <w:sz w:val="22"/>
        </w:rPr>
        <w:t> </w:t>
      </w:r>
      <w:r>
        <w:rPr>
          <w:sz w:val="22"/>
        </w:rPr>
        <w:t>breast</w:t>
      </w:r>
      <w:r>
        <w:rPr>
          <w:spacing w:val="26"/>
          <w:sz w:val="22"/>
        </w:rPr>
        <w:t> </w:t>
      </w:r>
      <w:r>
        <w:rPr>
          <w:sz w:val="22"/>
        </w:rPr>
        <w:t>cancer in premenopausal women. </w:t>
      </w:r>
      <w:r>
        <w:rPr>
          <w:i/>
          <w:sz w:val="22"/>
        </w:rPr>
        <w:t>Int J Cancer</w:t>
      </w:r>
      <w:r>
        <w:rPr>
          <w:sz w:val="22"/>
        </w:rPr>
        <w:t>. 2004;112:312.</w:t>
      </w:r>
    </w:p>
    <w:p>
      <w:pPr>
        <w:spacing w:line="256" w:lineRule="auto" w:before="0"/>
        <w:ind w:left="718" w:right="100" w:hanging="619"/>
        <w:jc w:val="both"/>
        <w:rPr>
          <w:sz w:val="22"/>
        </w:rPr>
      </w:pPr>
      <w:r>
        <w:rPr>
          <w:sz w:val="22"/>
        </w:rPr>
        <w:t>1014.</w:t>
      </w:r>
      <w:r>
        <w:rPr>
          <w:spacing w:val="40"/>
          <w:sz w:val="22"/>
        </w:rPr>
        <w:t> </w:t>
      </w:r>
      <w:r>
        <w:rPr>
          <w:sz w:val="22"/>
        </w:rPr>
        <w:t>Eliassen</w:t>
      </w:r>
      <w:r>
        <w:rPr>
          <w:spacing w:val="35"/>
          <w:sz w:val="22"/>
        </w:rPr>
        <w:t> </w:t>
      </w:r>
      <w:r>
        <w:rPr>
          <w:sz w:val="22"/>
        </w:rPr>
        <w:t>AH,</w:t>
      </w:r>
      <w:r>
        <w:rPr>
          <w:spacing w:val="35"/>
          <w:sz w:val="22"/>
        </w:rPr>
        <w:t> </w:t>
      </w:r>
      <w:r>
        <w:rPr>
          <w:sz w:val="22"/>
        </w:rPr>
        <w:t>Missmer</w:t>
      </w:r>
      <w:r>
        <w:rPr>
          <w:spacing w:val="35"/>
          <w:sz w:val="22"/>
        </w:rPr>
        <w:t> </w:t>
      </w:r>
      <w:r>
        <w:rPr>
          <w:sz w:val="22"/>
        </w:rPr>
        <w:t>SA,</w:t>
      </w:r>
      <w:r>
        <w:rPr>
          <w:spacing w:val="35"/>
          <w:sz w:val="22"/>
        </w:rPr>
        <w:t> </w:t>
      </w:r>
      <w:r>
        <w:rPr>
          <w:sz w:val="22"/>
        </w:rPr>
        <w:t>Tworoger</w:t>
      </w:r>
      <w:r>
        <w:rPr>
          <w:spacing w:val="35"/>
          <w:sz w:val="22"/>
        </w:rPr>
        <w:t> </w:t>
      </w:r>
      <w:r>
        <w:rPr>
          <w:sz w:val="22"/>
        </w:rPr>
        <w:t>SS,</w:t>
      </w:r>
      <w:r>
        <w:rPr>
          <w:spacing w:val="35"/>
          <w:sz w:val="22"/>
        </w:rPr>
        <w:t> </w:t>
      </w:r>
      <w:r>
        <w:rPr>
          <w:sz w:val="22"/>
        </w:rPr>
        <w:t>et</w:t>
      </w:r>
      <w:r>
        <w:rPr>
          <w:spacing w:val="35"/>
          <w:sz w:val="22"/>
        </w:rPr>
        <w:t> </w:t>
      </w:r>
      <w:r>
        <w:rPr>
          <w:sz w:val="22"/>
        </w:rPr>
        <w:t>al.</w:t>
      </w:r>
      <w:r>
        <w:rPr>
          <w:spacing w:val="35"/>
          <w:sz w:val="22"/>
        </w:rPr>
        <w:t> </w:t>
      </w:r>
      <w:r>
        <w:rPr>
          <w:sz w:val="22"/>
        </w:rPr>
        <w:t>Endogenous</w:t>
      </w:r>
      <w:r>
        <w:rPr>
          <w:spacing w:val="37"/>
          <w:sz w:val="22"/>
        </w:rPr>
        <w:t> </w:t>
      </w:r>
      <w:r>
        <w:rPr>
          <w:sz w:val="22"/>
        </w:rPr>
        <w:t>steroid</w:t>
      </w:r>
      <w:r>
        <w:rPr>
          <w:spacing w:val="37"/>
          <w:sz w:val="22"/>
        </w:rPr>
        <w:t> </w:t>
      </w:r>
      <w:r>
        <w:rPr>
          <w:sz w:val="22"/>
        </w:rPr>
        <w:t>hormone</w:t>
      </w:r>
      <w:r>
        <w:rPr>
          <w:spacing w:val="37"/>
          <w:sz w:val="22"/>
        </w:rPr>
        <w:t> </w:t>
      </w:r>
      <w:r>
        <w:rPr>
          <w:sz w:val="22"/>
        </w:rPr>
        <w:t>concentrations and risk of breast cancer among premenopausal women. </w:t>
      </w:r>
      <w:r>
        <w:rPr>
          <w:i/>
          <w:sz w:val="22"/>
        </w:rPr>
        <w:t>J Natl Cancer Inst</w:t>
      </w:r>
      <w:r>
        <w:rPr>
          <w:sz w:val="22"/>
        </w:rPr>
        <w:t>. 2006;98:1406.</w:t>
      </w:r>
    </w:p>
    <w:p>
      <w:pPr>
        <w:spacing w:line="256" w:lineRule="auto" w:before="0"/>
        <w:ind w:left="718" w:right="101" w:hanging="619"/>
        <w:jc w:val="both"/>
        <w:rPr>
          <w:sz w:val="22"/>
        </w:rPr>
      </w:pPr>
      <w:r>
        <w:rPr>
          <w:sz w:val="22"/>
        </w:rPr>
        <w:t>1015.</w:t>
      </w:r>
      <w:r>
        <w:rPr>
          <w:spacing w:val="40"/>
          <w:sz w:val="22"/>
        </w:rPr>
        <w:t> </w:t>
      </w:r>
      <w:r>
        <w:rPr>
          <w:sz w:val="22"/>
        </w:rPr>
        <w:t>Chen</w:t>
      </w:r>
      <w:r>
        <w:rPr>
          <w:spacing w:val="40"/>
          <w:sz w:val="22"/>
        </w:rPr>
        <w:t> </w:t>
      </w:r>
      <w:r>
        <w:rPr>
          <w:sz w:val="22"/>
        </w:rPr>
        <w:t>W,</w:t>
      </w:r>
      <w:r>
        <w:rPr>
          <w:spacing w:val="40"/>
          <w:sz w:val="22"/>
        </w:rPr>
        <w:t> </w:t>
      </w:r>
      <w:r>
        <w:rPr>
          <w:sz w:val="22"/>
        </w:rPr>
        <w:t>Petitti</w:t>
      </w:r>
      <w:r>
        <w:rPr>
          <w:spacing w:val="40"/>
          <w:sz w:val="22"/>
        </w:rPr>
        <w:t> </w:t>
      </w:r>
      <w:r>
        <w:rPr>
          <w:sz w:val="22"/>
        </w:rPr>
        <w:t>DB,</w:t>
      </w:r>
      <w:r>
        <w:rPr>
          <w:spacing w:val="40"/>
          <w:sz w:val="22"/>
        </w:rPr>
        <w:t> </w:t>
      </w:r>
      <w:r>
        <w:rPr>
          <w:sz w:val="22"/>
        </w:rPr>
        <w:t>Geiger</w:t>
      </w:r>
      <w:r>
        <w:rPr>
          <w:spacing w:val="40"/>
          <w:sz w:val="22"/>
        </w:rPr>
        <w:t> </w:t>
      </w:r>
      <w:r>
        <w:rPr>
          <w:sz w:val="22"/>
        </w:rPr>
        <w:t>AM.</w:t>
      </w:r>
      <w:r>
        <w:rPr>
          <w:spacing w:val="40"/>
          <w:sz w:val="22"/>
        </w:rPr>
        <w:t> </w:t>
      </w:r>
      <w:r>
        <w:rPr>
          <w:sz w:val="22"/>
        </w:rPr>
        <w:t>Mortality</w:t>
      </w:r>
      <w:r>
        <w:rPr>
          <w:spacing w:val="40"/>
          <w:sz w:val="22"/>
        </w:rPr>
        <w:t> </w:t>
      </w:r>
      <w:r>
        <w:rPr>
          <w:sz w:val="22"/>
        </w:rPr>
        <w:t>following</w:t>
      </w:r>
      <w:r>
        <w:rPr>
          <w:spacing w:val="40"/>
          <w:sz w:val="22"/>
        </w:rPr>
        <w:t> </w:t>
      </w:r>
      <w:r>
        <w:rPr>
          <w:sz w:val="22"/>
        </w:rPr>
        <w:t>development</w:t>
      </w:r>
      <w:r>
        <w:rPr>
          <w:spacing w:val="40"/>
          <w:sz w:val="22"/>
        </w:rPr>
        <w:t> </w:t>
      </w:r>
      <w:r>
        <w:rPr>
          <w:sz w:val="22"/>
        </w:rPr>
        <w:t>of</w:t>
      </w:r>
      <w:r>
        <w:rPr>
          <w:spacing w:val="40"/>
          <w:sz w:val="22"/>
        </w:rPr>
        <w:t> </w:t>
      </w:r>
      <w:r>
        <w:rPr>
          <w:sz w:val="22"/>
        </w:rPr>
        <w:t>breast</w:t>
      </w:r>
      <w:r>
        <w:rPr>
          <w:spacing w:val="40"/>
          <w:sz w:val="22"/>
        </w:rPr>
        <w:t> </w:t>
      </w:r>
      <w:r>
        <w:rPr>
          <w:sz w:val="22"/>
        </w:rPr>
        <w:t>cancer</w:t>
      </w:r>
      <w:r>
        <w:rPr>
          <w:spacing w:val="40"/>
          <w:sz w:val="22"/>
        </w:rPr>
        <w:t> </w:t>
      </w:r>
      <w:r>
        <w:rPr>
          <w:sz w:val="22"/>
        </w:rPr>
        <w:t>while using oestrogen or oestrogen plus progestin: a computer record-linkage study. </w:t>
      </w:r>
      <w:r>
        <w:rPr>
          <w:i/>
          <w:sz w:val="22"/>
        </w:rPr>
        <w:t>Br J </w:t>
      </w:r>
      <w:r>
        <w:rPr>
          <w:i/>
          <w:sz w:val="22"/>
        </w:rPr>
        <w:t>Cancer</w:t>
      </w:r>
      <w:r>
        <w:rPr>
          <w:sz w:val="22"/>
        </w:rPr>
        <w:t>. </w:t>
      </w:r>
      <w:r>
        <w:rPr>
          <w:spacing w:val="-2"/>
          <w:sz w:val="22"/>
        </w:rPr>
        <w:t>2005;93:392.</w:t>
      </w:r>
    </w:p>
    <w:p>
      <w:pPr>
        <w:spacing w:line="256" w:lineRule="auto" w:before="0"/>
        <w:ind w:left="718" w:right="104" w:hanging="619"/>
        <w:jc w:val="both"/>
        <w:rPr>
          <w:sz w:val="22"/>
        </w:rPr>
      </w:pPr>
      <w:r>
        <w:rPr>
          <w:sz w:val="22"/>
        </w:rPr>
        <w:t>1016.</w:t>
      </w:r>
      <w:r>
        <w:rPr>
          <w:spacing w:val="40"/>
          <w:sz w:val="22"/>
        </w:rPr>
        <w:t> </w:t>
      </w:r>
      <w:r>
        <w:rPr>
          <w:sz w:val="22"/>
        </w:rPr>
        <w:t>Body</w:t>
      </w:r>
      <w:r>
        <w:rPr>
          <w:spacing w:val="40"/>
          <w:sz w:val="22"/>
        </w:rPr>
        <w:t> </w:t>
      </w:r>
      <w:r>
        <w:rPr>
          <w:sz w:val="22"/>
        </w:rPr>
        <w:t>JJ,</w:t>
      </w:r>
      <w:r>
        <w:rPr>
          <w:spacing w:val="40"/>
          <w:sz w:val="22"/>
        </w:rPr>
        <w:t> </w:t>
      </w:r>
      <w:r>
        <w:rPr>
          <w:sz w:val="22"/>
        </w:rPr>
        <w:t>Gaich</w:t>
      </w:r>
      <w:r>
        <w:rPr>
          <w:spacing w:val="40"/>
          <w:sz w:val="22"/>
        </w:rPr>
        <w:t> </w:t>
      </w:r>
      <w:r>
        <w:rPr>
          <w:sz w:val="22"/>
        </w:rPr>
        <w:t>GA,</w:t>
      </w:r>
      <w:r>
        <w:rPr>
          <w:spacing w:val="40"/>
          <w:sz w:val="22"/>
        </w:rPr>
        <w:t> </w:t>
      </w:r>
      <w:r>
        <w:rPr>
          <w:sz w:val="22"/>
        </w:rPr>
        <w:t>Scheele</w:t>
      </w:r>
      <w:r>
        <w:rPr>
          <w:spacing w:val="40"/>
          <w:sz w:val="22"/>
        </w:rPr>
        <w:t> </w:t>
      </w:r>
      <w:r>
        <w:rPr>
          <w:sz w:val="22"/>
        </w:rPr>
        <w:t>WH,</w:t>
      </w:r>
      <w:r>
        <w:rPr>
          <w:spacing w:val="40"/>
          <w:sz w:val="22"/>
        </w:rPr>
        <w:t> </w:t>
      </w:r>
      <w:r>
        <w:rPr>
          <w:sz w:val="22"/>
        </w:rPr>
        <w:t>et</w:t>
      </w:r>
      <w:r>
        <w:rPr>
          <w:spacing w:val="40"/>
          <w:sz w:val="22"/>
        </w:rPr>
        <w:t> </w:t>
      </w:r>
      <w:r>
        <w:rPr>
          <w:sz w:val="22"/>
        </w:rPr>
        <w:t>al.</w:t>
      </w:r>
      <w:r>
        <w:rPr>
          <w:spacing w:val="40"/>
          <w:sz w:val="22"/>
        </w:rPr>
        <w:t> </w:t>
      </w:r>
      <w:r>
        <w:rPr>
          <w:sz w:val="22"/>
        </w:rPr>
        <w:t>A</w:t>
      </w:r>
      <w:r>
        <w:rPr>
          <w:spacing w:val="40"/>
          <w:sz w:val="22"/>
        </w:rPr>
        <w:t> </w:t>
      </w:r>
      <w:r>
        <w:rPr>
          <w:sz w:val="22"/>
        </w:rPr>
        <w:t>randomized</w:t>
      </w:r>
      <w:r>
        <w:rPr>
          <w:spacing w:val="40"/>
          <w:sz w:val="22"/>
        </w:rPr>
        <w:t> </w:t>
      </w:r>
      <w:r>
        <w:rPr>
          <w:sz w:val="22"/>
        </w:rPr>
        <w:t>double-blind</w:t>
      </w:r>
      <w:r>
        <w:rPr>
          <w:spacing w:val="40"/>
          <w:sz w:val="22"/>
        </w:rPr>
        <w:t> </w:t>
      </w:r>
      <w:r>
        <w:rPr>
          <w:sz w:val="22"/>
        </w:rPr>
        <w:t>trial</w:t>
      </w:r>
      <w:r>
        <w:rPr>
          <w:spacing w:val="40"/>
          <w:sz w:val="22"/>
        </w:rPr>
        <w:t> </w:t>
      </w:r>
      <w:r>
        <w:rPr>
          <w:sz w:val="22"/>
        </w:rPr>
        <w:t>to</w:t>
      </w:r>
      <w:r>
        <w:rPr>
          <w:spacing w:val="40"/>
          <w:sz w:val="22"/>
        </w:rPr>
        <w:t> </w:t>
      </w:r>
      <w:r>
        <w:rPr>
          <w:sz w:val="22"/>
        </w:rPr>
        <w:t>compare</w:t>
      </w:r>
      <w:r>
        <w:rPr>
          <w:spacing w:val="40"/>
          <w:sz w:val="22"/>
        </w:rPr>
        <w:t> </w:t>
      </w:r>
      <w:r>
        <w:rPr>
          <w:sz w:val="22"/>
        </w:rPr>
        <w:t>the efficacy of teriparatide (recombinant human parathyroid hormone, 1-34) with alendronate in postmenopausal women with osteoporosis. </w:t>
      </w:r>
      <w:r>
        <w:rPr>
          <w:i/>
          <w:sz w:val="22"/>
        </w:rPr>
        <w:t>J Clin Endocrinol Metab</w:t>
      </w:r>
      <w:r>
        <w:rPr>
          <w:sz w:val="22"/>
        </w:rPr>
        <w:t>. 2002;87:4528.</w:t>
      </w:r>
    </w:p>
    <w:p>
      <w:pPr>
        <w:spacing w:line="256" w:lineRule="auto" w:before="0"/>
        <w:ind w:left="718" w:right="99" w:hanging="619"/>
        <w:jc w:val="both"/>
        <w:rPr>
          <w:sz w:val="22"/>
        </w:rPr>
      </w:pPr>
      <w:r>
        <w:rPr>
          <w:sz w:val="22"/>
        </w:rPr>
        <w:t>1017.</w:t>
      </w:r>
      <w:r>
        <w:rPr>
          <w:spacing w:val="40"/>
          <w:sz w:val="22"/>
        </w:rPr>
        <w:t> </w:t>
      </w:r>
      <w:r>
        <w:rPr>
          <w:sz w:val="22"/>
        </w:rPr>
        <w:t>Wang SM, Pfeiffer RM, Gierach GL, Falk RT. Use of postmenopausal hormone therapies and risk of histology- and hormone receptor-defined breast cancer: results from a 15-year</w:t>
      </w:r>
      <w:r>
        <w:rPr>
          <w:spacing w:val="40"/>
          <w:sz w:val="22"/>
        </w:rPr>
        <w:t> </w:t>
      </w:r>
      <w:r>
        <w:rPr>
          <w:sz w:val="22"/>
        </w:rPr>
        <w:t>prospective analysis of NIH-AARP cohort. </w:t>
      </w:r>
      <w:r>
        <w:rPr>
          <w:i/>
          <w:sz w:val="22"/>
        </w:rPr>
        <w:t>Breast Cancer Res</w:t>
      </w:r>
      <w:r>
        <w:rPr>
          <w:sz w:val="22"/>
        </w:rPr>
        <w:t>. 2020;22(1):129.</w:t>
      </w:r>
    </w:p>
    <w:p>
      <w:pPr>
        <w:spacing w:line="256" w:lineRule="auto" w:before="0"/>
        <w:ind w:left="718" w:right="111" w:hanging="619"/>
        <w:jc w:val="both"/>
        <w:rPr>
          <w:sz w:val="22"/>
        </w:rPr>
      </w:pPr>
      <w:r>
        <w:rPr>
          <w:sz w:val="22"/>
        </w:rPr>
        <w:t>1018.</w:t>
      </w:r>
      <w:r>
        <w:rPr>
          <w:spacing w:val="40"/>
          <w:sz w:val="22"/>
        </w:rPr>
        <w:t> </w:t>
      </w:r>
      <w:r>
        <w:rPr>
          <w:sz w:val="22"/>
        </w:rPr>
        <w:t>Newcomb PA, Egan KM, Trentham-Dietz A, et al. Prediagnostic use of hormone therapy </w:t>
      </w:r>
      <w:r>
        <w:rPr>
          <w:sz w:val="22"/>
        </w:rPr>
        <w:t>and mortality after breast cancer. </w:t>
      </w:r>
      <w:r>
        <w:rPr>
          <w:i/>
          <w:sz w:val="22"/>
        </w:rPr>
        <w:t>Cancer Epidemiol Biomarkers Prev</w:t>
      </w:r>
      <w:r>
        <w:rPr>
          <w:sz w:val="22"/>
        </w:rPr>
        <w:t>. 2008;17:864.</w:t>
      </w:r>
    </w:p>
    <w:p>
      <w:pPr>
        <w:spacing w:line="256" w:lineRule="auto" w:before="0"/>
        <w:ind w:left="718" w:right="103" w:hanging="619"/>
        <w:jc w:val="both"/>
        <w:rPr>
          <w:sz w:val="22"/>
        </w:rPr>
      </w:pPr>
      <w:r>
        <w:rPr>
          <w:sz w:val="22"/>
        </w:rPr>
        <w:t>1019.</w:t>
      </w:r>
      <w:r>
        <w:rPr>
          <w:spacing w:val="40"/>
          <w:sz w:val="22"/>
        </w:rPr>
        <w:t> </w:t>
      </w:r>
      <w:r>
        <w:rPr>
          <w:sz w:val="22"/>
        </w:rPr>
        <w:t>Ravdin PM, Cronin KA, Howlader N, et al. The decrease in breast-cancer incidence in 2003 </w:t>
      </w:r>
      <w:r>
        <w:rPr>
          <w:sz w:val="22"/>
        </w:rPr>
        <w:t>in the United States. </w:t>
      </w:r>
      <w:r>
        <w:rPr>
          <w:i/>
          <w:sz w:val="22"/>
        </w:rPr>
        <w:t>N Engl J Med</w:t>
      </w:r>
      <w:r>
        <w:rPr>
          <w:sz w:val="22"/>
        </w:rPr>
        <w:t>. 2007;356:1670.</w:t>
      </w:r>
    </w:p>
    <w:p>
      <w:pPr>
        <w:spacing w:after="0" w:line="256" w:lineRule="auto"/>
        <w:jc w:val="both"/>
        <w:rPr>
          <w:sz w:val="22"/>
        </w:rPr>
        <w:sectPr>
          <w:pgSz w:w="12240" w:h="15840"/>
          <w:pgMar w:top="1360" w:bottom="280" w:left="1440" w:right="1440"/>
        </w:sectPr>
      </w:pPr>
    </w:p>
    <w:p>
      <w:pPr>
        <w:spacing w:line="256" w:lineRule="auto" w:before="84"/>
        <w:ind w:left="718" w:right="102" w:hanging="619"/>
        <w:jc w:val="both"/>
        <w:rPr>
          <w:sz w:val="22"/>
        </w:rPr>
      </w:pPr>
      <w:r>
        <w:rPr>
          <w:sz w:val="22"/>
        </w:rPr>
        <w:t>1020.</w:t>
      </w:r>
      <w:r>
        <w:rPr>
          <w:spacing w:val="40"/>
          <w:sz w:val="22"/>
        </w:rPr>
        <w:t> </w:t>
      </w:r>
      <w:r>
        <w:rPr>
          <w:sz w:val="22"/>
        </w:rPr>
        <w:t>Glass AG, Lacey JV, Carreon JD, Hoover RN. Breast cancer incidence, 1980-2006: </w:t>
      </w:r>
      <w:r>
        <w:rPr>
          <w:sz w:val="22"/>
        </w:rPr>
        <w:t>combined roles</w:t>
      </w:r>
      <w:r>
        <w:rPr>
          <w:spacing w:val="22"/>
          <w:sz w:val="22"/>
        </w:rPr>
        <w:t> </w:t>
      </w:r>
      <w:r>
        <w:rPr>
          <w:sz w:val="22"/>
        </w:rPr>
        <w:t>of</w:t>
      </w:r>
      <w:r>
        <w:rPr>
          <w:spacing w:val="22"/>
          <w:sz w:val="22"/>
        </w:rPr>
        <w:t> </w:t>
      </w:r>
      <w:r>
        <w:rPr>
          <w:sz w:val="22"/>
        </w:rPr>
        <w:t>menopausal</w:t>
      </w:r>
      <w:r>
        <w:rPr>
          <w:spacing w:val="22"/>
          <w:sz w:val="22"/>
        </w:rPr>
        <w:t> </w:t>
      </w:r>
      <w:r>
        <w:rPr>
          <w:sz w:val="22"/>
        </w:rPr>
        <w:t>hormone</w:t>
      </w:r>
      <w:r>
        <w:rPr>
          <w:spacing w:val="22"/>
          <w:sz w:val="22"/>
        </w:rPr>
        <w:t> </w:t>
      </w:r>
      <w:r>
        <w:rPr>
          <w:sz w:val="22"/>
        </w:rPr>
        <w:t>therapy,</w:t>
      </w:r>
      <w:r>
        <w:rPr>
          <w:spacing w:val="22"/>
          <w:sz w:val="22"/>
        </w:rPr>
        <w:t> </w:t>
      </w:r>
      <w:r>
        <w:rPr>
          <w:sz w:val="22"/>
        </w:rPr>
        <w:t>screening</w:t>
      </w:r>
      <w:r>
        <w:rPr>
          <w:spacing w:val="22"/>
          <w:sz w:val="22"/>
        </w:rPr>
        <w:t> </w:t>
      </w:r>
      <w:r>
        <w:rPr>
          <w:sz w:val="22"/>
        </w:rPr>
        <w:t>mammography,</w:t>
      </w:r>
      <w:r>
        <w:rPr>
          <w:spacing w:val="22"/>
          <w:sz w:val="22"/>
        </w:rPr>
        <w:t> </w:t>
      </w:r>
      <w:r>
        <w:rPr>
          <w:sz w:val="22"/>
        </w:rPr>
        <w:t>and</w:t>
      </w:r>
      <w:r>
        <w:rPr>
          <w:spacing w:val="22"/>
          <w:sz w:val="22"/>
        </w:rPr>
        <w:t> </w:t>
      </w:r>
      <w:r>
        <w:rPr>
          <w:sz w:val="22"/>
        </w:rPr>
        <w:t>estrogen</w:t>
      </w:r>
      <w:r>
        <w:rPr>
          <w:spacing w:val="22"/>
          <w:sz w:val="22"/>
        </w:rPr>
        <w:t> </w:t>
      </w:r>
      <w:r>
        <w:rPr>
          <w:sz w:val="22"/>
        </w:rPr>
        <w:t>receptor</w:t>
      </w:r>
      <w:r>
        <w:rPr>
          <w:spacing w:val="22"/>
          <w:sz w:val="22"/>
        </w:rPr>
        <w:t> </w:t>
      </w:r>
      <w:r>
        <w:rPr>
          <w:sz w:val="22"/>
        </w:rPr>
        <w:t>status. </w:t>
      </w:r>
      <w:r>
        <w:rPr>
          <w:i/>
          <w:sz w:val="22"/>
        </w:rPr>
        <w:t>J Natl Cancer Inst</w:t>
      </w:r>
      <w:r>
        <w:rPr>
          <w:sz w:val="22"/>
        </w:rPr>
        <w:t>. 2007;99:1152.</w:t>
      </w:r>
    </w:p>
    <w:p>
      <w:pPr>
        <w:spacing w:line="256" w:lineRule="auto" w:before="0"/>
        <w:ind w:left="718" w:right="101" w:hanging="619"/>
        <w:jc w:val="both"/>
        <w:rPr>
          <w:sz w:val="22"/>
        </w:rPr>
      </w:pPr>
      <w:r>
        <w:rPr>
          <w:sz w:val="22"/>
        </w:rPr>
        <w:t>1021. Clarke CA, Glaser SL, Uratsu CS, Selby JV, Kushi LH, Herrinton LJ. Recent declines in hormone therapy utilization and breast cancer incidence: clinical and population-based</w:t>
      </w:r>
      <w:r>
        <w:rPr>
          <w:spacing w:val="80"/>
          <w:sz w:val="22"/>
        </w:rPr>
        <w:t> </w:t>
      </w:r>
      <w:r>
        <w:rPr>
          <w:sz w:val="22"/>
        </w:rPr>
        <w:t>evidence. </w:t>
      </w:r>
      <w:r>
        <w:rPr>
          <w:i/>
          <w:sz w:val="22"/>
        </w:rPr>
        <w:t>J Clin Oncol</w:t>
      </w:r>
      <w:r>
        <w:rPr>
          <w:sz w:val="22"/>
        </w:rPr>
        <w:t>. 2006;24:e49.</w:t>
      </w:r>
    </w:p>
    <w:p>
      <w:pPr>
        <w:spacing w:line="256" w:lineRule="auto" w:before="0"/>
        <w:ind w:left="718" w:right="99" w:hanging="619"/>
        <w:jc w:val="both"/>
        <w:rPr>
          <w:sz w:val="22"/>
        </w:rPr>
      </w:pPr>
      <w:r>
        <w:rPr>
          <w:sz w:val="22"/>
        </w:rPr>
        <w:t>1022. Kerlikowske K, Miglioretti DL, Buist DS, Walker R, Carney PA; National Cancer </w:t>
      </w:r>
      <w:r>
        <w:rPr>
          <w:sz w:val="22"/>
        </w:rPr>
        <w:t>Institute-Sponsored Breast Cancer Surveillance Consortium. Declines in invasive breast cancer and use</w:t>
      </w:r>
      <w:r>
        <w:rPr>
          <w:spacing w:val="80"/>
          <w:sz w:val="22"/>
        </w:rPr>
        <w:t> </w:t>
      </w:r>
      <w:r>
        <w:rPr>
          <w:sz w:val="22"/>
        </w:rPr>
        <w:t>of postmenopausal hormone therapy in a screening mammography population. </w:t>
      </w:r>
      <w:r>
        <w:rPr>
          <w:i/>
          <w:sz w:val="22"/>
        </w:rPr>
        <w:t>J Natl Cancer</w:t>
      </w:r>
      <w:r>
        <w:rPr>
          <w:i/>
          <w:sz w:val="22"/>
        </w:rPr>
        <w:t> Inst</w:t>
      </w:r>
      <w:r>
        <w:rPr>
          <w:sz w:val="22"/>
        </w:rPr>
        <w:t>. 2007;99:1335.</w:t>
      </w:r>
    </w:p>
    <w:p>
      <w:pPr>
        <w:spacing w:line="256" w:lineRule="auto" w:before="0"/>
        <w:ind w:left="718" w:right="111" w:hanging="619"/>
        <w:jc w:val="both"/>
        <w:rPr>
          <w:sz w:val="22"/>
          <w:szCs w:val="22"/>
        </w:rPr>
      </w:pPr>
      <w:r>
        <w:rPr>
          <w:sz w:val="22"/>
          <w:szCs w:val="22"/>
        </w:rPr>
        <w:t>1023. Fournier A, Boutron-Ruault M-C, Fran�oise C-C. Breast cancer and hormonal therapy </w:t>
      </w:r>
      <w:r>
        <w:rPr>
          <w:sz w:val="22"/>
          <w:szCs w:val="22"/>
        </w:rPr>
        <w:t>in postmenopausal women (Letter to the Editor). </w:t>
      </w:r>
      <w:r>
        <w:rPr>
          <w:i/>
          <w:iCs/>
          <w:sz w:val="22"/>
          <w:szCs w:val="22"/>
        </w:rPr>
        <w:t>N Engl J Med</w:t>
      </w:r>
      <w:r>
        <w:rPr>
          <w:sz w:val="22"/>
          <w:szCs w:val="22"/>
        </w:rPr>
        <w:t>. 2009;360:22.</w:t>
      </w:r>
    </w:p>
    <w:p>
      <w:pPr>
        <w:spacing w:line="256" w:lineRule="auto" w:before="0"/>
        <w:ind w:left="718" w:right="100" w:hanging="619"/>
        <w:jc w:val="both"/>
        <w:rPr>
          <w:sz w:val="22"/>
        </w:rPr>
      </w:pPr>
      <w:r>
        <w:rPr>
          <w:sz w:val="22"/>
        </w:rPr>
        <w:t>1024.</w:t>
      </w:r>
      <w:r>
        <w:rPr>
          <w:spacing w:val="40"/>
          <w:sz w:val="22"/>
        </w:rPr>
        <w:t> </w:t>
      </w:r>
      <w:r>
        <w:rPr>
          <w:sz w:val="22"/>
        </w:rPr>
        <w:t>Sharpe KH, McClements P, Clark DI, Collins J, Springbett A, Brewster DH. Reduced risk </w:t>
      </w:r>
      <w:r>
        <w:rPr>
          <w:sz w:val="22"/>
        </w:rPr>
        <w:t>of oestrogen</w:t>
      </w:r>
      <w:r>
        <w:rPr>
          <w:spacing w:val="40"/>
          <w:sz w:val="22"/>
        </w:rPr>
        <w:t> </w:t>
      </w:r>
      <w:r>
        <w:rPr>
          <w:sz w:val="22"/>
        </w:rPr>
        <w:t>receptor</w:t>
      </w:r>
      <w:r>
        <w:rPr>
          <w:spacing w:val="40"/>
          <w:sz w:val="22"/>
        </w:rPr>
        <w:t> </w:t>
      </w:r>
      <w:r>
        <w:rPr>
          <w:sz w:val="22"/>
        </w:rPr>
        <w:t>positive</w:t>
      </w:r>
      <w:r>
        <w:rPr>
          <w:spacing w:val="40"/>
          <w:sz w:val="22"/>
        </w:rPr>
        <w:t> </w:t>
      </w:r>
      <w:r>
        <w:rPr>
          <w:sz w:val="22"/>
        </w:rPr>
        <w:t>breast</w:t>
      </w:r>
      <w:r>
        <w:rPr>
          <w:spacing w:val="40"/>
          <w:sz w:val="22"/>
        </w:rPr>
        <w:t> </w:t>
      </w:r>
      <w:r>
        <w:rPr>
          <w:sz w:val="22"/>
        </w:rPr>
        <w:t>cancer</w:t>
      </w:r>
      <w:r>
        <w:rPr>
          <w:spacing w:val="40"/>
          <w:sz w:val="22"/>
        </w:rPr>
        <w:t> </w:t>
      </w:r>
      <w:r>
        <w:rPr>
          <w:sz w:val="22"/>
        </w:rPr>
        <w:t>among</w:t>
      </w:r>
      <w:r>
        <w:rPr>
          <w:spacing w:val="40"/>
          <w:sz w:val="22"/>
        </w:rPr>
        <w:t> </w:t>
      </w:r>
      <w:r>
        <w:rPr>
          <w:sz w:val="22"/>
        </w:rPr>
        <w:t>peri-</w:t>
      </w:r>
      <w:r>
        <w:rPr>
          <w:spacing w:val="40"/>
          <w:sz w:val="22"/>
        </w:rPr>
        <w:t> </w:t>
      </w:r>
      <w:r>
        <w:rPr>
          <w:sz w:val="22"/>
        </w:rPr>
        <w:t>and</w:t>
      </w:r>
      <w:r>
        <w:rPr>
          <w:spacing w:val="40"/>
          <w:sz w:val="22"/>
        </w:rPr>
        <w:t> </w:t>
      </w:r>
      <w:r>
        <w:rPr>
          <w:sz w:val="22"/>
        </w:rPr>
        <w:t>post-menopausal</w:t>
      </w:r>
      <w:r>
        <w:rPr>
          <w:spacing w:val="40"/>
          <w:sz w:val="22"/>
        </w:rPr>
        <w:t> </w:t>
      </w:r>
      <w:r>
        <w:rPr>
          <w:sz w:val="22"/>
        </w:rPr>
        <w:t>women</w:t>
      </w:r>
      <w:r>
        <w:rPr>
          <w:spacing w:val="40"/>
          <w:sz w:val="22"/>
        </w:rPr>
        <w:t> </w:t>
      </w:r>
      <w:r>
        <w:rPr>
          <w:sz w:val="22"/>
        </w:rPr>
        <w:t>in Scotland following a striking decrease in use of hormone replacement therapy. </w:t>
      </w:r>
      <w:r>
        <w:rPr>
          <w:i/>
          <w:sz w:val="22"/>
        </w:rPr>
        <w:t>Eur J Cancer</w:t>
      </w:r>
      <w:r>
        <w:rPr>
          <w:sz w:val="22"/>
        </w:rPr>
        <w:t>. </w:t>
      </w:r>
      <w:r>
        <w:rPr>
          <w:spacing w:val="-2"/>
          <w:sz w:val="22"/>
        </w:rPr>
        <w:t>2010;46(5):937.</w:t>
      </w:r>
    </w:p>
    <w:p>
      <w:pPr>
        <w:spacing w:line="256" w:lineRule="auto" w:before="0"/>
        <w:ind w:left="718" w:right="98" w:hanging="619"/>
        <w:jc w:val="both"/>
        <w:rPr>
          <w:sz w:val="22"/>
        </w:rPr>
      </w:pPr>
      <w:r>
        <w:rPr>
          <w:sz w:val="22"/>
        </w:rPr>
        <w:t>1025.</w:t>
      </w:r>
      <w:r>
        <w:rPr>
          <w:spacing w:val="40"/>
          <w:sz w:val="22"/>
        </w:rPr>
        <w:t> </w:t>
      </w:r>
      <w:r>
        <w:rPr>
          <w:sz w:val="22"/>
        </w:rPr>
        <w:t>Bouchardy C, Usel M, Verkooijen HM, et al. Changing pattern of age-specific breast cancer incidence in the Swiss canton of Geneva. </w:t>
      </w:r>
      <w:r>
        <w:rPr>
          <w:i/>
          <w:sz w:val="22"/>
        </w:rPr>
        <w:t>Breast Cancer Res Treat</w:t>
      </w:r>
      <w:r>
        <w:rPr>
          <w:sz w:val="22"/>
        </w:rPr>
        <w:t>. 2009;120(2):519.</w:t>
      </w:r>
    </w:p>
    <w:p>
      <w:pPr>
        <w:spacing w:line="256" w:lineRule="auto" w:before="0"/>
        <w:ind w:left="718" w:right="100" w:hanging="619"/>
        <w:jc w:val="both"/>
        <w:rPr>
          <w:sz w:val="22"/>
        </w:rPr>
      </w:pPr>
      <w:r>
        <w:rPr>
          <w:sz w:val="22"/>
        </w:rPr>
        <w:t>1026.</w:t>
      </w:r>
      <w:r>
        <w:rPr>
          <w:spacing w:val="40"/>
          <w:sz w:val="22"/>
        </w:rPr>
        <w:t> </w:t>
      </w:r>
      <w:r>
        <w:rPr>
          <w:sz w:val="22"/>
        </w:rPr>
        <w:t>Canfell K, Banks E, Moa AM, Beral V. Decrease in breast cancer incidence following a rapid</w:t>
      </w:r>
      <w:r>
        <w:rPr>
          <w:spacing w:val="40"/>
          <w:sz w:val="22"/>
        </w:rPr>
        <w:t> </w:t>
      </w:r>
      <w:r>
        <w:rPr>
          <w:sz w:val="22"/>
        </w:rPr>
        <w:t>fall in use of hormone replacement therapy in Australia. </w:t>
      </w:r>
      <w:r>
        <w:rPr>
          <w:i/>
          <w:sz w:val="22"/>
        </w:rPr>
        <w:t>Med J Aust</w:t>
      </w:r>
      <w:r>
        <w:rPr>
          <w:sz w:val="22"/>
        </w:rPr>
        <w:t>. 2008;188:641.</w:t>
      </w:r>
    </w:p>
    <w:p>
      <w:pPr>
        <w:spacing w:line="256" w:lineRule="auto" w:before="0"/>
        <w:ind w:left="718" w:right="112" w:hanging="619"/>
        <w:jc w:val="both"/>
        <w:rPr>
          <w:sz w:val="22"/>
        </w:rPr>
      </w:pPr>
      <w:r>
        <w:rPr>
          <w:sz w:val="22"/>
        </w:rPr>
        <w:t>1027.</w:t>
      </w:r>
      <w:r>
        <w:rPr>
          <w:spacing w:val="40"/>
          <w:sz w:val="22"/>
        </w:rPr>
        <w:t> </w:t>
      </w:r>
      <w:r>
        <w:rPr>
          <w:sz w:val="22"/>
        </w:rPr>
        <w:t>Chlebowski RT, Kuller LH, Prentice RL, et al; for the WHI Investigators. Breast cancer </w:t>
      </w:r>
      <w:r>
        <w:rPr>
          <w:sz w:val="22"/>
        </w:rPr>
        <w:t>after</w:t>
      </w:r>
      <w:r>
        <w:rPr>
          <w:spacing w:val="80"/>
          <w:sz w:val="22"/>
        </w:rPr>
        <w:t> </w:t>
      </w:r>
      <w:r>
        <w:rPr>
          <w:sz w:val="22"/>
        </w:rPr>
        <w:t>use of estrogen plus progestin in postmenopausal women. </w:t>
      </w:r>
      <w:r>
        <w:rPr>
          <w:i/>
          <w:sz w:val="22"/>
        </w:rPr>
        <w:t>N Engl J Med</w:t>
      </w:r>
      <w:r>
        <w:rPr>
          <w:sz w:val="22"/>
        </w:rPr>
        <w:t>. 2009;360:573.</w:t>
      </w:r>
    </w:p>
    <w:p>
      <w:pPr>
        <w:spacing w:line="256" w:lineRule="auto" w:before="0"/>
        <w:ind w:left="718" w:right="99" w:hanging="619"/>
        <w:jc w:val="both"/>
        <w:rPr>
          <w:sz w:val="22"/>
        </w:rPr>
      </w:pPr>
      <w:r>
        <w:rPr>
          <w:sz w:val="22"/>
        </w:rPr>
        <w:t>1028. Manson JE, Chlebowski RT, Stefanick ML, et al. Menopausal hormone therapy and </w:t>
      </w:r>
      <w:r>
        <w:rPr>
          <w:sz w:val="22"/>
        </w:rPr>
        <w:t>health outcomes during the intervention and extended poststopping phases of the Women’s Health Initiative randomized trials. </w:t>
      </w:r>
      <w:r>
        <w:rPr>
          <w:i/>
          <w:sz w:val="22"/>
        </w:rPr>
        <w:t>JAMA</w:t>
      </w:r>
      <w:r>
        <w:rPr>
          <w:sz w:val="22"/>
        </w:rPr>
        <w:t>. 2013;310(13):1353.</w:t>
      </w:r>
    </w:p>
    <w:p>
      <w:pPr>
        <w:spacing w:line="256" w:lineRule="auto" w:before="0"/>
        <w:ind w:left="718" w:right="102" w:hanging="619"/>
        <w:jc w:val="both"/>
        <w:rPr>
          <w:sz w:val="22"/>
        </w:rPr>
      </w:pPr>
      <w:r>
        <w:rPr>
          <w:sz w:val="22"/>
        </w:rPr>
        <w:t>1029. Hsieh RW, Rajan SS, Sharma SK, Greene GL. Molecular characterization of a B-ring</w:t>
      </w:r>
      <w:r>
        <w:rPr>
          <w:spacing w:val="40"/>
          <w:sz w:val="22"/>
        </w:rPr>
        <w:t> </w:t>
      </w:r>
      <w:r>
        <w:rPr>
          <w:sz w:val="22"/>
        </w:rPr>
        <w:t>unsaturated estrogen: implications for conjugated equine estrogen components of premarin. </w:t>
      </w:r>
      <w:r>
        <w:rPr>
          <w:i/>
          <w:sz w:val="22"/>
        </w:rPr>
        <w:t>Steroids</w:t>
      </w:r>
      <w:r>
        <w:rPr>
          <w:sz w:val="22"/>
        </w:rPr>
        <w:t>. 2008;73(1):59.</w:t>
      </w:r>
    </w:p>
    <w:p>
      <w:pPr>
        <w:spacing w:line="256" w:lineRule="auto" w:before="0"/>
        <w:ind w:left="718" w:right="98" w:hanging="619"/>
        <w:jc w:val="both"/>
        <w:rPr>
          <w:sz w:val="22"/>
        </w:rPr>
      </w:pPr>
      <w:r>
        <w:rPr>
          <w:sz w:val="22"/>
        </w:rPr>
        <w:t>1030.</w:t>
      </w:r>
      <w:r>
        <w:rPr>
          <w:spacing w:val="40"/>
          <w:sz w:val="22"/>
        </w:rPr>
        <w:t> </w:t>
      </w:r>
      <w:r>
        <w:rPr>
          <w:sz w:val="22"/>
        </w:rPr>
        <w:t>Heldring N, Pike A, Andersson S, et al. Estrogen receptors: how do they signal and what </w:t>
      </w:r>
      <w:r>
        <w:rPr>
          <w:sz w:val="22"/>
        </w:rPr>
        <w:t>are</w:t>
      </w:r>
      <w:r>
        <w:rPr>
          <w:spacing w:val="40"/>
          <w:sz w:val="22"/>
        </w:rPr>
        <w:t> </w:t>
      </w:r>
      <w:r>
        <w:rPr>
          <w:sz w:val="22"/>
        </w:rPr>
        <w:t>their targets. </w:t>
      </w:r>
      <w:r>
        <w:rPr>
          <w:i/>
          <w:sz w:val="22"/>
        </w:rPr>
        <w:t>Physiol Rev</w:t>
      </w:r>
      <w:r>
        <w:rPr>
          <w:sz w:val="22"/>
        </w:rPr>
        <w:t>. 2000;87(3):905.</w:t>
      </w:r>
    </w:p>
    <w:p>
      <w:pPr>
        <w:spacing w:line="256" w:lineRule="auto" w:before="0"/>
        <w:ind w:left="718" w:right="103" w:hanging="619"/>
        <w:jc w:val="both"/>
        <w:rPr>
          <w:sz w:val="22"/>
        </w:rPr>
      </w:pPr>
      <w:r>
        <w:rPr>
          <w:sz w:val="22"/>
        </w:rPr>
        <w:t>1031.</w:t>
      </w:r>
      <w:r>
        <w:rPr>
          <w:spacing w:val="40"/>
          <w:sz w:val="22"/>
        </w:rPr>
        <w:t> </w:t>
      </w:r>
      <w:r>
        <w:rPr>
          <w:sz w:val="22"/>
        </w:rPr>
        <w:t>Bhavnani BR, Tam SP, Lu X. Structure activity relationships and differential interactions and functional activity of various equine estrogens mediated via estrogen receptors (ERs) </w:t>
      </w:r>
      <w:r>
        <w:rPr>
          <w:sz w:val="22"/>
        </w:rPr>
        <w:t>ERalpha and ERbeta. </w:t>
      </w:r>
      <w:r>
        <w:rPr>
          <w:i/>
          <w:sz w:val="22"/>
        </w:rPr>
        <w:t>Endocrinology</w:t>
      </w:r>
      <w:r>
        <w:rPr>
          <w:sz w:val="22"/>
        </w:rPr>
        <w:t>. 2008;149(10):4857.</w:t>
      </w:r>
    </w:p>
    <w:p>
      <w:pPr>
        <w:spacing w:line="256" w:lineRule="auto" w:before="0"/>
        <w:ind w:left="718" w:right="106" w:hanging="619"/>
        <w:jc w:val="both"/>
        <w:rPr>
          <w:sz w:val="22"/>
        </w:rPr>
      </w:pPr>
      <w:r>
        <w:rPr>
          <w:sz w:val="22"/>
        </w:rPr>
        <w:t>1032.</w:t>
      </w:r>
      <w:r>
        <w:rPr>
          <w:spacing w:val="40"/>
          <w:sz w:val="22"/>
        </w:rPr>
        <w:t> </w:t>
      </w:r>
      <w:r>
        <w:rPr>
          <w:sz w:val="22"/>
        </w:rPr>
        <w:t>Lazennec G, Bresson D, Lucas A, Chauveau C, Vignon F. ER beta inhibits proliferation </w:t>
      </w:r>
      <w:r>
        <w:rPr>
          <w:sz w:val="22"/>
        </w:rPr>
        <w:t>and invasion of breast cancer cells. </w:t>
      </w:r>
      <w:r>
        <w:rPr>
          <w:i/>
          <w:sz w:val="22"/>
        </w:rPr>
        <w:t>Endocrinology</w:t>
      </w:r>
      <w:r>
        <w:rPr>
          <w:sz w:val="22"/>
        </w:rPr>
        <w:t>. 2001;142(9):4120.</w:t>
      </w:r>
    </w:p>
    <w:p>
      <w:pPr>
        <w:spacing w:line="256" w:lineRule="auto" w:before="0"/>
        <w:ind w:left="718" w:right="98" w:hanging="619"/>
        <w:jc w:val="both"/>
        <w:rPr>
          <w:sz w:val="22"/>
        </w:rPr>
      </w:pPr>
      <w:r>
        <w:rPr>
          <w:sz w:val="22"/>
        </w:rPr>
        <w:t>1033.</w:t>
      </w:r>
      <w:r>
        <w:rPr>
          <w:spacing w:val="40"/>
          <w:sz w:val="22"/>
        </w:rPr>
        <w:t> </w:t>
      </w:r>
      <w:r>
        <w:rPr>
          <w:sz w:val="22"/>
        </w:rPr>
        <w:t>Strom A, Hartman J, Foster JS, Kietz S, Wimalasena J, Gustafsson JA. Estrogen receptor beta inhibits 17beta-estradiol-stimulated proliferation of the breast cancer cell line T47D. </w:t>
      </w:r>
      <w:r>
        <w:rPr>
          <w:i/>
          <w:sz w:val="22"/>
        </w:rPr>
        <w:t>Proc </w:t>
      </w:r>
      <w:r>
        <w:rPr>
          <w:i/>
          <w:sz w:val="22"/>
        </w:rPr>
        <w:t>Natl</w:t>
      </w:r>
      <w:r>
        <w:rPr>
          <w:i/>
          <w:sz w:val="22"/>
        </w:rPr>
        <w:t> Acad Sci U S A</w:t>
      </w:r>
      <w:r>
        <w:rPr>
          <w:sz w:val="22"/>
        </w:rPr>
        <w:t>. 2004;101(6):1566.</w:t>
      </w:r>
    </w:p>
    <w:p>
      <w:pPr>
        <w:spacing w:line="256" w:lineRule="auto" w:before="0"/>
        <w:ind w:left="718" w:right="109" w:hanging="619"/>
        <w:jc w:val="both"/>
        <w:rPr>
          <w:sz w:val="22"/>
        </w:rPr>
      </w:pPr>
      <w:r>
        <w:rPr>
          <w:sz w:val="22"/>
        </w:rPr>
        <w:t>1034.</w:t>
      </w:r>
      <w:r>
        <w:rPr>
          <w:spacing w:val="40"/>
          <w:sz w:val="22"/>
        </w:rPr>
        <w:t> </w:t>
      </w:r>
      <w:r>
        <w:rPr>
          <w:sz w:val="22"/>
        </w:rPr>
        <w:t>Song Y, Santen RJ, Wang JP, Yue W. Inhibitory effects of a bazedoxifene/conjugated </w:t>
      </w:r>
      <w:r>
        <w:rPr>
          <w:sz w:val="22"/>
        </w:rPr>
        <w:t>equine estrogen combination on human breast cancer cells in vitro. </w:t>
      </w:r>
      <w:r>
        <w:rPr>
          <w:i/>
          <w:sz w:val="22"/>
        </w:rPr>
        <w:t>Endocrinology</w:t>
      </w:r>
      <w:r>
        <w:rPr>
          <w:sz w:val="22"/>
        </w:rPr>
        <w:t>. 2013;154(2):656.</w:t>
      </w:r>
    </w:p>
    <w:p>
      <w:pPr>
        <w:spacing w:line="256" w:lineRule="auto" w:before="0"/>
        <w:ind w:left="718" w:right="106" w:hanging="619"/>
        <w:jc w:val="both"/>
        <w:rPr>
          <w:sz w:val="22"/>
        </w:rPr>
      </w:pPr>
      <w:r>
        <w:rPr>
          <w:sz w:val="22"/>
        </w:rPr>
        <w:t>1035. Dashti SG, English DR, Simpson JA, et al. Adiposity and endometrial cancer risk </w:t>
      </w:r>
      <w:r>
        <w:rPr>
          <w:sz w:val="22"/>
        </w:rPr>
        <w:t>in postmenopausal</w:t>
      </w:r>
      <w:r>
        <w:rPr>
          <w:spacing w:val="40"/>
          <w:sz w:val="22"/>
        </w:rPr>
        <w:t> </w:t>
      </w:r>
      <w:r>
        <w:rPr>
          <w:sz w:val="22"/>
        </w:rPr>
        <w:t>women:</w:t>
      </w:r>
      <w:r>
        <w:rPr>
          <w:spacing w:val="40"/>
          <w:sz w:val="22"/>
        </w:rPr>
        <w:t> </w:t>
      </w:r>
      <w:r>
        <w:rPr>
          <w:sz w:val="22"/>
        </w:rPr>
        <w:t>a</w:t>
      </w:r>
      <w:r>
        <w:rPr>
          <w:spacing w:val="40"/>
          <w:sz w:val="22"/>
        </w:rPr>
        <w:t> </w:t>
      </w:r>
      <w:r>
        <w:rPr>
          <w:sz w:val="22"/>
        </w:rPr>
        <w:t>sequential</w:t>
      </w:r>
      <w:r>
        <w:rPr>
          <w:spacing w:val="40"/>
          <w:sz w:val="22"/>
        </w:rPr>
        <w:t> </w:t>
      </w:r>
      <w:r>
        <w:rPr>
          <w:sz w:val="22"/>
        </w:rPr>
        <w:t>causal</w:t>
      </w:r>
      <w:r>
        <w:rPr>
          <w:spacing w:val="40"/>
          <w:sz w:val="22"/>
        </w:rPr>
        <w:t> </w:t>
      </w:r>
      <w:r>
        <w:rPr>
          <w:sz w:val="22"/>
        </w:rPr>
        <w:t>mediation</w:t>
      </w:r>
      <w:r>
        <w:rPr>
          <w:spacing w:val="40"/>
          <w:sz w:val="22"/>
        </w:rPr>
        <w:t> </w:t>
      </w:r>
      <w:r>
        <w:rPr>
          <w:sz w:val="22"/>
        </w:rPr>
        <w:t>analysis.</w:t>
      </w:r>
      <w:r>
        <w:rPr>
          <w:spacing w:val="40"/>
          <w:sz w:val="22"/>
        </w:rPr>
        <w:t> </w:t>
      </w:r>
      <w:r>
        <w:rPr>
          <w:i/>
          <w:sz w:val="22"/>
        </w:rPr>
        <w:t>Cancer</w:t>
      </w:r>
      <w:r>
        <w:rPr>
          <w:i/>
          <w:spacing w:val="40"/>
          <w:sz w:val="22"/>
        </w:rPr>
        <w:t> </w:t>
      </w:r>
      <w:r>
        <w:rPr>
          <w:i/>
          <w:sz w:val="22"/>
        </w:rPr>
        <w:t>Epidemiol</w:t>
      </w:r>
      <w:r>
        <w:rPr>
          <w:i/>
          <w:sz w:val="22"/>
        </w:rPr>
        <w:t> Biomarkers Prev</w:t>
      </w:r>
      <w:r>
        <w:rPr>
          <w:sz w:val="22"/>
        </w:rPr>
        <w:t>. 2021;30(1):104-113.</w:t>
      </w:r>
    </w:p>
    <w:p>
      <w:pPr>
        <w:spacing w:line="256" w:lineRule="auto" w:before="0"/>
        <w:ind w:left="718" w:right="112" w:hanging="619"/>
        <w:jc w:val="both"/>
        <w:rPr>
          <w:sz w:val="22"/>
        </w:rPr>
      </w:pPr>
      <w:r>
        <w:rPr>
          <w:sz w:val="22"/>
        </w:rPr>
        <w:t>1036.</w:t>
      </w:r>
      <w:r>
        <w:rPr>
          <w:spacing w:val="40"/>
          <w:sz w:val="22"/>
        </w:rPr>
        <w:t> </w:t>
      </w:r>
      <w:r>
        <w:rPr>
          <w:sz w:val="22"/>
        </w:rPr>
        <w:t>Flores VA, Taylor HS. The effect of menopausal hormone therapies on breast cancer: avoiding the risk. </w:t>
      </w:r>
      <w:r>
        <w:rPr>
          <w:i/>
          <w:sz w:val="22"/>
        </w:rPr>
        <w:t>Endocrinol Metab Clin North Am</w:t>
      </w:r>
      <w:r>
        <w:rPr>
          <w:sz w:val="22"/>
        </w:rPr>
        <w:t>. 2015;44(3): 587.</w:t>
      </w:r>
    </w:p>
    <w:p>
      <w:pPr>
        <w:spacing w:line="256" w:lineRule="auto" w:before="0"/>
        <w:ind w:left="718" w:right="98" w:hanging="619"/>
        <w:jc w:val="both"/>
        <w:rPr>
          <w:sz w:val="22"/>
        </w:rPr>
      </w:pPr>
      <w:r>
        <w:rPr>
          <w:sz w:val="22"/>
        </w:rPr>
        <w:t>1037. Rebbeck TR, Levin AM, Eisen A, et al. Breast cancer risk after bilateral prophylactic oophorectomy in BRCA1 mutation carriers. </w:t>
      </w:r>
      <w:r>
        <w:rPr>
          <w:i/>
          <w:sz w:val="22"/>
        </w:rPr>
        <w:t>J Natl Cancer Inst</w:t>
      </w:r>
      <w:r>
        <w:rPr>
          <w:sz w:val="22"/>
        </w:rPr>
        <w:t>. 1999;91:1475.</w:t>
      </w:r>
    </w:p>
    <w:p>
      <w:pPr>
        <w:spacing w:after="0" w:line="256" w:lineRule="auto"/>
        <w:jc w:val="both"/>
        <w:rPr>
          <w:sz w:val="22"/>
        </w:rPr>
        <w:sectPr>
          <w:pgSz w:w="12240" w:h="15840"/>
          <w:pgMar w:top="1360" w:bottom="280" w:left="1440" w:right="1440"/>
        </w:sectPr>
      </w:pPr>
    </w:p>
    <w:p>
      <w:pPr>
        <w:spacing w:line="256" w:lineRule="auto" w:before="84"/>
        <w:ind w:left="718" w:right="103" w:hanging="619"/>
        <w:jc w:val="both"/>
        <w:rPr>
          <w:sz w:val="22"/>
        </w:rPr>
      </w:pPr>
      <w:r>
        <w:rPr>
          <w:sz w:val="22"/>
        </w:rPr>
        <w:t>1038.</w:t>
      </w:r>
      <w:r>
        <w:rPr>
          <w:spacing w:val="40"/>
          <w:sz w:val="22"/>
        </w:rPr>
        <w:t> </w:t>
      </w:r>
      <w:r>
        <w:rPr>
          <w:sz w:val="22"/>
        </w:rPr>
        <w:t>Rebbeck TR, Friebel T, Wagner T, et al. Effect of short-term hormone replacement therapy on breast cancer risk reduction after bilateral prophylactic oophorectomy in </w:t>
      </w:r>
      <w:r>
        <w:rPr>
          <w:i/>
          <w:sz w:val="22"/>
        </w:rPr>
        <w:t>BRCA1 </w:t>
      </w:r>
      <w:r>
        <w:rPr>
          <w:sz w:val="22"/>
        </w:rPr>
        <w:t>and </w:t>
      </w:r>
      <w:r>
        <w:rPr>
          <w:i/>
          <w:sz w:val="22"/>
        </w:rPr>
        <w:t>BRCA2</w:t>
      </w:r>
      <w:r>
        <w:rPr>
          <w:i/>
          <w:sz w:val="22"/>
        </w:rPr>
        <w:t> </w:t>
      </w:r>
      <w:r>
        <w:rPr>
          <w:sz w:val="22"/>
        </w:rPr>
        <w:t>mutation carriers: the PROSE study. </w:t>
      </w:r>
      <w:r>
        <w:rPr>
          <w:i/>
          <w:sz w:val="22"/>
        </w:rPr>
        <w:t>J Clin Oncol</w:t>
      </w:r>
      <w:r>
        <w:rPr>
          <w:sz w:val="22"/>
        </w:rPr>
        <w:t>. 2005;23:7804.</w:t>
      </w:r>
    </w:p>
    <w:p>
      <w:pPr>
        <w:spacing w:line="256" w:lineRule="auto" w:before="0"/>
        <w:ind w:left="718" w:right="101" w:hanging="619"/>
        <w:jc w:val="both"/>
        <w:rPr>
          <w:sz w:val="22"/>
        </w:rPr>
      </w:pPr>
      <w:r>
        <w:rPr>
          <w:sz w:val="22"/>
        </w:rPr>
        <w:t>1039. Kotsopoulos J, Gronwald J, Karlan BY, et al. Hormone Replacement Therapy </w:t>
      </w:r>
      <w:r>
        <w:rPr>
          <w:sz w:val="22"/>
        </w:rPr>
        <w:t>After Oophorectomy and Breast Cancer Risk Among BRCA1 Mutation Carriers. </w:t>
      </w:r>
      <w:r>
        <w:rPr>
          <w:i/>
          <w:sz w:val="22"/>
        </w:rPr>
        <w:t>JAMA Oncol</w:t>
      </w:r>
      <w:r>
        <w:rPr>
          <w:sz w:val="22"/>
        </w:rPr>
        <w:t>. </w:t>
      </w:r>
      <w:r>
        <w:rPr>
          <w:spacing w:val="-2"/>
          <w:sz w:val="22"/>
        </w:rPr>
        <w:t>2018;4(8):1059-1065.</w:t>
      </w:r>
    </w:p>
    <w:p>
      <w:pPr>
        <w:spacing w:line="256" w:lineRule="auto" w:before="0"/>
        <w:ind w:left="718" w:right="101" w:hanging="619"/>
        <w:jc w:val="both"/>
        <w:rPr>
          <w:sz w:val="22"/>
        </w:rPr>
      </w:pPr>
      <w:r>
        <w:rPr>
          <w:sz w:val="22"/>
        </w:rPr>
        <w:t>1040.</w:t>
      </w:r>
      <w:r>
        <w:rPr>
          <w:spacing w:val="40"/>
          <w:sz w:val="22"/>
        </w:rPr>
        <w:t> </w:t>
      </w:r>
      <w:r>
        <w:rPr>
          <w:sz w:val="22"/>
        </w:rPr>
        <w:t>Arecco L, Bruzzone M, Bas R, et al. Impact of hormone receptor status and tumor subtypes </w:t>
      </w:r>
      <w:r>
        <w:rPr>
          <w:sz w:val="22"/>
        </w:rPr>
        <w:t>of breast cancer in young BRCA carriers. </w:t>
      </w:r>
      <w:r>
        <w:rPr>
          <w:i/>
          <w:sz w:val="22"/>
        </w:rPr>
        <w:t>Ann Oncol</w:t>
      </w:r>
      <w:r>
        <w:rPr>
          <w:sz w:val="22"/>
        </w:rPr>
        <w:t>. 2024;35(9):792-804.</w:t>
      </w:r>
    </w:p>
    <w:p>
      <w:pPr>
        <w:spacing w:line="256" w:lineRule="auto" w:before="0"/>
        <w:ind w:left="718" w:right="104" w:hanging="619"/>
        <w:jc w:val="both"/>
        <w:rPr>
          <w:sz w:val="22"/>
        </w:rPr>
      </w:pPr>
      <w:r>
        <w:rPr>
          <w:sz w:val="22"/>
        </w:rPr>
        <w:t>1041. Eisen A, Lubinski J, Gronwald J, et al; Hereditary Breast Cancer Clinical Study </w:t>
      </w:r>
      <w:r>
        <w:rPr>
          <w:sz w:val="22"/>
        </w:rPr>
        <w:t>Group.</w:t>
      </w:r>
      <w:r>
        <w:rPr>
          <w:spacing w:val="80"/>
          <w:sz w:val="22"/>
        </w:rPr>
        <w:t> </w:t>
      </w:r>
      <w:r>
        <w:rPr>
          <w:sz w:val="22"/>
        </w:rPr>
        <w:t>Hormone</w:t>
      </w:r>
      <w:r>
        <w:rPr>
          <w:spacing w:val="37"/>
          <w:sz w:val="22"/>
        </w:rPr>
        <w:t> </w:t>
      </w:r>
      <w:r>
        <w:rPr>
          <w:sz w:val="22"/>
        </w:rPr>
        <w:t>therapy</w:t>
      </w:r>
      <w:r>
        <w:rPr>
          <w:spacing w:val="37"/>
          <w:sz w:val="22"/>
        </w:rPr>
        <w:t> </w:t>
      </w:r>
      <w:r>
        <w:rPr>
          <w:sz w:val="22"/>
        </w:rPr>
        <w:t>and</w:t>
      </w:r>
      <w:r>
        <w:rPr>
          <w:spacing w:val="37"/>
          <w:sz w:val="22"/>
        </w:rPr>
        <w:t> </w:t>
      </w:r>
      <w:r>
        <w:rPr>
          <w:sz w:val="22"/>
        </w:rPr>
        <w:t>the</w:t>
      </w:r>
      <w:r>
        <w:rPr>
          <w:spacing w:val="37"/>
          <w:sz w:val="22"/>
        </w:rPr>
        <w:t> </w:t>
      </w:r>
      <w:r>
        <w:rPr>
          <w:sz w:val="22"/>
        </w:rPr>
        <w:t>risk</w:t>
      </w:r>
      <w:r>
        <w:rPr>
          <w:spacing w:val="37"/>
          <w:sz w:val="22"/>
        </w:rPr>
        <w:t> </w:t>
      </w:r>
      <w:r>
        <w:rPr>
          <w:sz w:val="22"/>
        </w:rPr>
        <w:t>of</w:t>
      </w:r>
      <w:r>
        <w:rPr>
          <w:spacing w:val="37"/>
          <w:sz w:val="22"/>
        </w:rPr>
        <w:t> </w:t>
      </w:r>
      <w:r>
        <w:rPr>
          <w:sz w:val="22"/>
        </w:rPr>
        <w:t>breast</w:t>
      </w:r>
      <w:r>
        <w:rPr>
          <w:spacing w:val="37"/>
          <w:sz w:val="22"/>
        </w:rPr>
        <w:t> </w:t>
      </w:r>
      <w:r>
        <w:rPr>
          <w:sz w:val="22"/>
        </w:rPr>
        <w:t>cancer</w:t>
      </w:r>
      <w:r>
        <w:rPr>
          <w:spacing w:val="37"/>
          <w:sz w:val="22"/>
        </w:rPr>
        <w:t> </w:t>
      </w:r>
      <w:r>
        <w:rPr>
          <w:sz w:val="22"/>
        </w:rPr>
        <w:t>in</w:t>
      </w:r>
      <w:r>
        <w:rPr>
          <w:spacing w:val="37"/>
          <w:sz w:val="22"/>
        </w:rPr>
        <w:t> </w:t>
      </w:r>
      <w:r>
        <w:rPr>
          <w:sz w:val="22"/>
        </w:rPr>
        <w:t>BRCA1</w:t>
      </w:r>
      <w:r>
        <w:rPr>
          <w:spacing w:val="37"/>
          <w:sz w:val="22"/>
        </w:rPr>
        <w:t> </w:t>
      </w:r>
      <w:r>
        <w:rPr>
          <w:sz w:val="22"/>
        </w:rPr>
        <w:t>mutation</w:t>
      </w:r>
      <w:r>
        <w:rPr>
          <w:spacing w:val="37"/>
          <w:sz w:val="22"/>
        </w:rPr>
        <w:t> </w:t>
      </w:r>
      <w:r>
        <w:rPr>
          <w:sz w:val="22"/>
        </w:rPr>
        <w:t>carriers.</w:t>
      </w:r>
      <w:r>
        <w:rPr>
          <w:spacing w:val="37"/>
          <w:sz w:val="22"/>
        </w:rPr>
        <w:t> </w:t>
      </w:r>
      <w:r>
        <w:rPr>
          <w:i/>
          <w:sz w:val="22"/>
        </w:rPr>
        <w:t>J</w:t>
      </w:r>
      <w:r>
        <w:rPr>
          <w:i/>
          <w:spacing w:val="40"/>
          <w:sz w:val="22"/>
        </w:rPr>
        <w:t> </w:t>
      </w:r>
      <w:r>
        <w:rPr>
          <w:i/>
          <w:sz w:val="22"/>
        </w:rPr>
        <w:t>Natl</w:t>
      </w:r>
      <w:r>
        <w:rPr>
          <w:i/>
          <w:spacing w:val="40"/>
          <w:sz w:val="22"/>
        </w:rPr>
        <w:t> </w:t>
      </w:r>
      <w:r>
        <w:rPr>
          <w:i/>
          <w:sz w:val="22"/>
        </w:rPr>
        <w:t>Cancer</w:t>
      </w:r>
      <w:r>
        <w:rPr>
          <w:i/>
          <w:sz w:val="22"/>
        </w:rPr>
        <w:t> Inst</w:t>
      </w:r>
      <w:r>
        <w:rPr>
          <w:sz w:val="22"/>
        </w:rPr>
        <w:t>. 2008;100:1361.</w:t>
      </w:r>
    </w:p>
    <w:p>
      <w:pPr>
        <w:spacing w:line="256" w:lineRule="auto" w:before="0"/>
        <w:ind w:left="718" w:right="110" w:hanging="619"/>
        <w:jc w:val="both"/>
        <w:rPr>
          <w:sz w:val="22"/>
        </w:rPr>
      </w:pPr>
      <w:r>
        <w:rPr>
          <w:sz w:val="22"/>
        </w:rPr>
        <w:t>1042.</w:t>
      </w:r>
      <w:r>
        <w:rPr>
          <w:spacing w:val="40"/>
          <w:sz w:val="22"/>
        </w:rPr>
        <w:t> </w:t>
      </w:r>
      <w:r>
        <w:rPr>
          <w:sz w:val="22"/>
        </w:rPr>
        <w:t>Kurman RJ, Kaminski PF, Norris HJ. The behavior of endometrial hyperplasia: a long-</w:t>
      </w:r>
      <w:r>
        <w:rPr>
          <w:sz w:val="22"/>
        </w:rPr>
        <w:t>term study of “untreated” hyperplasia in 170 patients. </w:t>
      </w:r>
      <w:r>
        <w:rPr>
          <w:i/>
          <w:sz w:val="22"/>
        </w:rPr>
        <w:t>Cancer</w:t>
      </w:r>
      <w:r>
        <w:rPr>
          <w:sz w:val="22"/>
        </w:rPr>
        <w:t>. 1985;56:403.</w:t>
      </w:r>
    </w:p>
    <w:p>
      <w:pPr>
        <w:spacing w:line="256" w:lineRule="auto" w:before="0"/>
        <w:ind w:left="718" w:right="98" w:hanging="619"/>
        <w:jc w:val="both"/>
        <w:rPr>
          <w:sz w:val="22"/>
        </w:rPr>
      </w:pPr>
      <w:r>
        <w:rPr>
          <w:sz w:val="22"/>
        </w:rPr>
        <w:t>1043.</w:t>
      </w:r>
      <w:r>
        <w:rPr>
          <w:spacing w:val="40"/>
          <w:sz w:val="22"/>
        </w:rPr>
        <w:t> </w:t>
      </w:r>
      <w:r>
        <w:rPr>
          <w:sz w:val="22"/>
        </w:rPr>
        <w:t>Grady D, Gebretsadik T, Kerlikowske K, Ernster V, Petitti D. Hormone</w:t>
      </w:r>
      <w:r>
        <w:rPr>
          <w:spacing w:val="31"/>
          <w:sz w:val="22"/>
        </w:rPr>
        <w:t> </w:t>
      </w:r>
      <w:r>
        <w:rPr>
          <w:sz w:val="22"/>
        </w:rPr>
        <w:t>replacement</w:t>
      </w:r>
      <w:r>
        <w:rPr>
          <w:spacing w:val="31"/>
          <w:sz w:val="22"/>
        </w:rPr>
        <w:t> </w:t>
      </w:r>
      <w:r>
        <w:rPr>
          <w:sz w:val="22"/>
        </w:rPr>
        <w:t>therapy</w:t>
      </w:r>
      <w:r>
        <w:rPr>
          <w:spacing w:val="40"/>
          <w:sz w:val="22"/>
        </w:rPr>
        <w:t> </w:t>
      </w:r>
      <w:r>
        <w:rPr>
          <w:sz w:val="22"/>
        </w:rPr>
        <w:t>and endometrial cancer risk: a meta-analysis. </w:t>
      </w:r>
      <w:r>
        <w:rPr>
          <w:i/>
          <w:sz w:val="22"/>
        </w:rPr>
        <w:t>Obstet Gynecol</w:t>
      </w:r>
      <w:r>
        <w:rPr>
          <w:sz w:val="22"/>
        </w:rPr>
        <w:t>. 1995;85:304.</w:t>
      </w:r>
    </w:p>
    <w:p>
      <w:pPr>
        <w:spacing w:line="252" w:lineRule="exact" w:before="0"/>
        <w:ind w:left="99" w:right="0" w:firstLine="0"/>
        <w:jc w:val="both"/>
        <w:rPr>
          <w:sz w:val="22"/>
        </w:rPr>
      </w:pPr>
      <w:r>
        <w:rPr>
          <w:sz w:val="22"/>
        </w:rPr>
        <w:t>1044.</w:t>
      </w:r>
      <w:r>
        <w:rPr>
          <w:spacing w:val="58"/>
          <w:sz w:val="22"/>
        </w:rPr>
        <w:t> </w:t>
      </w:r>
      <w:r>
        <w:rPr>
          <w:sz w:val="22"/>
        </w:rPr>
        <w:t>Weiss</w:t>
      </w:r>
      <w:r>
        <w:rPr>
          <w:spacing w:val="75"/>
          <w:sz w:val="22"/>
        </w:rPr>
        <w:t> </w:t>
      </w:r>
      <w:r>
        <w:rPr>
          <w:sz w:val="22"/>
        </w:rPr>
        <w:t>NS,</w:t>
      </w:r>
      <w:r>
        <w:rPr>
          <w:spacing w:val="76"/>
          <w:sz w:val="22"/>
        </w:rPr>
        <w:t> </w:t>
      </w:r>
      <w:r>
        <w:rPr>
          <w:sz w:val="22"/>
        </w:rPr>
        <w:t>Hill</w:t>
      </w:r>
      <w:r>
        <w:rPr>
          <w:spacing w:val="75"/>
          <w:sz w:val="22"/>
        </w:rPr>
        <w:t> </w:t>
      </w:r>
      <w:r>
        <w:rPr>
          <w:sz w:val="22"/>
        </w:rPr>
        <w:t>DA.</w:t>
      </w:r>
      <w:r>
        <w:rPr>
          <w:spacing w:val="74"/>
          <w:sz w:val="22"/>
        </w:rPr>
        <w:t> </w:t>
      </w:r>
      <w:r>
        <w:rPr>
          <w:sz w:val="22"/>
        </w:rPr>
        <w:t>Postmenopausal</w:t>
      </w:r>
      <w:r>
        <w:rPr>
          <w:spacing w:val="75"/>
          <w:sz w:val="22"/>
        </w:rPr>
        <w:t> </w:t>
      </w:r>
      <w:r>
        <w:rPr>
          <w:sz w:val="22"/>
        </w:rPr>
        <w:t>estrogen</w:t>
      </w:r>
      <w:r>
        <w:rPr>
          <w:spacing w:val="75"/>
          <w:sz w:val="22"/>
        </w:rPr>
        <w:t> </w:t>
      </w:r>
      <w:r>
        <w:rPr>
          <w:sz w:val="22"/>
        </w:rPr>
        <w:t>and</w:t>
      </w:r>
      <w:r>
        <w:rPr>
          <w:spacing w:val="75"/>
          <w:sz w:val="22"/>
        </w:rPr>
        <w:t> </w:t>
      </w:r>
      <w:r>
        <w:rPr>
          <w:sz w:val="22"/>
        </w:rPr>
        <w:t>the</w:t>
      </w:r>
      <w:r>
        <w:rPr>
          <w:spacing w:val="75"/>
          <w:sz w:val="22"/>
        </w:rPr>
        <w:t> </w:t>
      </w:r>
      <w:r>
        <w:rPr>
          <w:sz w:val="22"/>
        </w:rPr>
        <w:t>incidence</w:t>
      </w:r>
      <w:r>
        <w:rPr>
          <w:spacing w:val="75"/>
          <w:sz w:val="22"/>
        </w:rPr>
        <w:t> </w:t>
      </w:r>
      <w:r>
        <w:rPr>
          <w:sz w:val="22"/>
        </w:rPr>
        <w:t>of</w:t>
      </w:r>
      <w:r>
        <w:rPr>
          <w:spacing w:val="75"/>
          <w:sz w:val="22"/>
        </w:rPr>
        <w:t> </w:t>
      </w:r>
      <w:r>
        <w:rPr>
          <w:sz w:val="22"/>
        </w:rPr>
        <w:t>gynecologic</w:t>
      </w:r>
      <w:r>
        <w:rPr>
          <w:spacing w:val="75"/>
          <w:sz w:val="22"/>
        </w:rPr>
        <w:t> </w:t>
      </w:r>
      <w:r>
        <w:rPr>
          <w:spacing w:val="-2"/>
          <w:sz w:val="22"/>
        </w:rPr>
        <w:t>cancer.</w:t>
      </w:r>
    </w:p>
    <w:p>
      <w:pPr>
        <w:spacing w:before="8"/>
        <w:ind w:left="718" w:right="0" w:firstLine="0"/>
        <w:jc w:val="both"/>
        <w:rPr>
          <w:sz w:val="22"/>
        </w:rPr>
      </w:pPr>
      <w:r>
        <w:rPr>
          <w:i/>
          <w:sz w:val="22"/>
        </w:rPr>
        <w:t>Maturitas</w:t>
      </w:r>
      <w:r>
        <w:rPr>
          <w:sz w:val="22"/>
        </w:rPr>
        <w:t>.</w:t>
      </w:r>
      <w:r>
        <w:rPr>
          <w:spacing w:val="19"/>
          <w:sz w:val="22"/>
        </w:rPr>
        <w:t> </w:t>
      </w:r>
      <w:r>
        <w:rPr>
          <w:spacing w:val="-2"/>
          <w:sz w:val="22"/>
        </w:rPr>
        <w:t>1996;23:235.</w:t>
      </w:r>
    </w:p>
    <w:p>
      <w:pPr>
        <w:spacing w:line="256" w:lineRule="auto" w:before="17"/>
        <w:ind w:left="718" w:right="98" w:hanging="619"/>
        <w:jc w:val="both"/>
        <w:rPr>
          <w:sz w:val="22"/>
        </w:rPr>
      </w:pPr>
      <w:r>
        <w:rPr>
          <w:sz w:val="22"/>
        </w:rPr>
        <w:t>1045.</w:t>
      </w:r>
      <w:r>
        <w:rPr>
          <w:spacing w:val="40"/>
          <w:sz w:val="22"/>
        </w:rPr>
        <w:t> </w:t>
      </w:r>
      <w:r>
        <w:rPr>
          <w:sz w:val="22"/>
        </w:rPr>
        <w:t>Shapiro</w:t>
      </w:r>
      <w:r>
        <w:rPr>
          <w:spacing w:val="19"/>
          <w:sz w:val="22"/>
        </w:rPr>
        <w:t> </w:t>
      </w:r>
      <w:r>
        <w:rPr>
          <w:sz w:val="22"/>
        </w:rPr>
        <w:t>S,</w:t>
      </w:r>
      <w:r>
        <w:rPr>
          <w:spacing w:val="19"/>
          <w:sz w:val="22"/>
        </w:rPr>
        <w:t> </w:t>
      </w:r>
      <w:r>
        <w:rPr>
          <w:sz w:val="22"/>
        </w:rPr>
        <w:t>Kelly</w:t>
      </w:r>
      <w:r>
        <w:rPr>
          <w:spacing w:val="19"/>
          <w:sz w:val="22"/>
        </w:rPr>
        <w:t> </w:t>
      </w:r>
      <w:r>
        <w:rPr>
          <w:sz w:val="22"/>
        </w:rPr>
        <w:t>JP,</w:t>
      </w:r>
      <w:r>
        <w:rPr>
          <w:spacing w:val="19"/>
          <w:sz w:val="22"/>
        </w:rPr>
        <w:t> </w:t>
      </w:r>
      <w:r>
        <w:rPr>
          <w:sz w:val="22"/>
        </w:rPr>
        <w:t>Rosenberg</w:t>
      </w:r>
      <w:r>
        <w:rPr>
          <w:spacing w:val="19"/>
          <w:sz w:val="22"/>
        </w:rPr>
        <w:t> </w:t>
      </w:r>
      <w:r>
        <w:rPr>
          <w:sz w:val="22"/>
        </w:rPr>
        <w:t>L,</w:t>
      </w:r>
      <w:r>
        <w:rPr>
          <w:spacing w:val="19"/>
          <w:sz w:val="22"/>
        </w:rPr>
        <w:t> </w:t>
      </w:r>
      <w:r>
        <w:rPr>
          <w:sz w:val="22"/>
        </w:rPr>
        <w:t>et</w:t>
      </w:r>
      <w:r>
        <w:rPr>
          <w:spacing w:val="19"/>
          <w:sz w:val="22"/>
        </w:rPr>
        <w:t> </w:t>
      </w:r>
      <w:r>
        <w:rPr>
          <w:sz w:val="22"/>
        </w:rPr>
        <w:t>al.</w:t>
      </w:r>
      <w:r>
        <w:rPr>
          <w:spacing w:val="19"/>
          <w:sz w:val="22"/>
        </w:rPr>
        <w:t> </w:t>
      </w:r>
      <w:r>
        <w:rPr>
          <w:sz w:val="22"/>
        </w:rPr>
        <w:t>Risk</w:t>
      </w:r>
      <w:r>
        <w:rPr>
          <w:spacing w:val="23"/>
          <w:sz w:val="22"/>
        </w:rPr>
        <w:t> </w:t>
      </w:r>
      <w:r>
        <w:rPr>
          <w:sz w:val="22"/>
        </w:rPr>
        <w:t>of</w:t>
      </w:r>
      <w:r>
        <w:rPr>
          <w:spacing w:val="23"/>
          <w:sz w:val="22"/>
        </w:rPr>
        <w:t> </w:t>
      </w:r>
      <w:r>
        <w:rPr>
          <w:sz w:val="22"/>
        </w:rPr>
        <w:t>localized</w:t>
      </w:r>
      <w:r>
        <w:rPr>
          <w:spacing w:val="23"/>
          <w:sz w:val="22"/>
        </w:rPr>
        <w:t> </w:t>
      </w:r>
      <w:r>
        <w:rPr>
          <w:sz w:val="22"/>
        </w:rPr>
        <w:t>and</w:t>
      </w:r>
      <w:r>
        <w:rPr>
          <w:spacing w:val="23"/>
          <w:sz w:val="22"/>
        </w:rPr>
        <w:t> </w:t>
      </w:r>
      <w:r>
        <w:rPr>
          <w:sz w:val="22"/>
        </w:rPr>
        <w:t>widespread</w:t>
      </w:r>
      <w:r>
        <w:rPr>
          <w:spacing w:val="23"/>
          <w:sz w:val="22"/>
        </w:rPr>
        <w:t> </w:t>
      </w:r>
      <w:r>
        <w:rPr>
          <w:sz w:val="22"/>
        </w:rPr>
        <w:t>endometrial</w:t>
      </w:r>
      <w:r>
        <w:rPr>
          <w:spacing w:val="23"/>
          <w:sz w:val="22"/>
        </w:rPr>
        <w:t> </w:t>
      </w:r>
      <w:r>
        <w:rPr>
          <w:sz w:val="22"/>
        </w:rPr>
        <w:t>cancer in</w:t>
      </w:r>
      <w:r>
        <w:rPr>
          <w:spacing w:val="40"/>
          <w:sz w:val="22"/>
        </w:rPr>
        <w:t> </w:t>
      </w:r>
      <w:r>
        <w:rPr>
          <w:sz w:val="22"/>
        </w:rPr>
        <w:t>relation</w:t>
      </w:r>
      <w:r>
        <w:rPr>
          <w:spacing w:val="40"/>
          <w:sz w:val="22"/>
        </w:rPr>
        <w:t> </w:t>
      </w:r>
      <w:r>
        <w:rPr>
          <w:sz w:val="22"/>
        </w:rPr>
        <w:t>to</w:t>
      </w:r>
      <w:r>
        <w:rPr>
          <w:spacing w:val="40"/>
          <w:sz w:val="22"/>
        </w:rPr>
        <w:t> </w:t>
      </w:r>
      <w:r>
        <w:rPr>
          <w:sz w:val="22"/>
        </w:rPr>
        <w:t>recent</w:t>
      </w:r>
      <w:r>
        <w:rPr>
          <w:spacing w:val="40"/>
          <w:sz w:val="22"/>
        </w:rPr>
        <w:t> </w:t>
      </w:r>
      <w:r>
        <w:rPr>
          <w:sz w:val="22"/>
        </w:rPr>
        <w:t>and</w:t>
      </w:r>
      <w:r>
        <w:rPr>
          <w:spacing w:val="40"/>
          <w:sz w:val="22"/>
        </w:rPr>
        <w:t> </w:t>
      </w:r>
      <w:r>
        <w:rPr>
          <w:sz w:val="22"/>
        </w:rPr>
        <w:t>discontinued</w:t>
      </w:r>
      <w:r>
        <w:rPr>
          <w:spacing w:val="40"/>
          <w:sz w:val="22"/>
        </w:rPr>
        <w:t> </w:t>
      </w:r>
      <w:r>
        <w:rPr>
          <w:sz w:val="22"/>
        </w:rPr>
        <w:t>use</w:t>
      </w:r>
      <w:r>
        <w:rPr>
          <w:spacing w:val="40"/>
          <w:sz w:val="22"/>
        </w:rPr>
        <w:t> </w:t>
      </w:r>
      <w:r>
        <w:rPr>
          <w:sz w:val="22"/>
        </w:rPr>
        <w:t>of</w:t>
      </w:r>
      <w:r>
        <w:rPr>
          <w:spacing w:val="40"/>
          <w:sz w:val="22"/>
        </w:rPr>
        <w:t> </w:t>
      </w:r>
      <w:r>
        <w:rPr>
          <w:sz w:val="22"/>
        </w:rPr>
        <w:t>conjugated</w:t>
      </w:r>
      <w:r>
        <w:rPr>
          <w:spacing w:val="40"/>
          <w:sz w:val="22"/>
        </w:rPr>
        <w:t> </w:t>
      </w:r>
      <w:r>
        <w:rPr>
          <w:sz w:val="22"/>
        </w:rPr>
        <w:t>estrogens.</w:t>
      </w:r>
      <w:r>
        <w:rPr>
          <w:spacing w:val="40"/>
          <w:sz w:val="22"/>
        </w:rPr>
        <w:t> </w:t>
      </w:r>
      <w:r>
        <w:rPr>
          <w:i/>
          <w:sz w:val="22"/>
        </w:rPr>
        <w:t>N</w:t>
      </w:r>
      <w:r>
        <w:rPr>
          <w:i/>
          <w:spacing w:val="40"/>
          <w:sz w:val="22"/>
        </w:rPr>
        <w:t> </w:t>
      </w:r>
      <w:r>
        <w:rPr>
          <w:i/>
          <w:sz w:val="22"/>
        </w:rPr>
        <w:t>Engl</w:t>
      </w:r>
      <w:r>
        <w:rPr>
          <w:i/>
          <w:spacing w:val="40"/>
          <w:sz w:val="22"/>
        </w:rPr>
        <w:t> </w:t>
      </w:r>
      <w:r>
        <w:rPr>
          <w:i/>
          <w:sz w:val="22"/>
        </w:rPr>
        <w:t>J</w:t>
      </w:r>
      <w:r>
        <w:rPr>
          <w:i/>
          <w:spacing w:val="40"/>
          <w:sz w:val="22"/>
        </w:rPr>
        <w:t> </w:t>
      </w:r>
      <w:r>
        <w:rPr>
          <w:i/>
          <w:sz w:val="22"/>
        </w:rPr>
        <w:t>Med</w:t>
      </w:r>
      <w:r>
        <w:rPr>
          <w:sz w:val="22"/>
        </w:rPr>
        <w:t>. </w:t>
      </w:r>
      <w:r>
        <w:rPr>
          <w:spacing w:val="-2"/>
          <w:sz w:val="22"/>
        </w:rPr>
        <w:t>1985;313:969.</w:t>
      </w:r>
    </w:p>
    <w:p>
      <w:pPr>
        <w:spacing w:line="256" w:lineRule="auto" w:before="0"/>
        <w:ind w:left="718" w:right="111" w:hanging="619"/>
        <w:jc w:val="both"/>
        <w:rPr>
          <w:sz w:val="22"/>
        </w:rPr>
      </w:pPr>
      <w:r>
        <w:rPr>
          <w:sz w:val="22"/>
        </w:rPr>
        <w:t>1046.</w:t>
      </w:r>
      <w:r>
        <w:rPr>
          <w:spacing w:val="66"/>
          <w:sz w:val="22"/>
        </w:rPr>
        <w:t> </w:t>
      </w:r>
      <w:r>
        <w:rPr>
          <w:sz w:val="22"/>
        </w:rPr>
        <w:t>Buring JE, Bain CJ, Ehrmann RL. Conjugated estrogen use and risk of endometrial cancer. </w:t>
      </w:r>
      <w:r>
        <w:rPr>
          <w:i/>
          <w:sz w:val="22"/>
        </w:rPr>
        <w:t>Am</w:t>
      </w:r>
      <w:r>
        <w:rPr>
          <w:i/>
          <w:spacing w:val="80"/>
          <w:sz w:val="22"/>
        </w:rPr>
        <w:t> </w:t>
      </w:r>
      <w:r>
        <w:rPr>
          <w:i/>
          <w:sz w:val="22"/>
        </w:rPr>
        <w:t>J Epidemiol</w:t>
      </w:r>
      <w:r>
        <w:rPr>
          <w:sz w:val="22"/>
        </w:rPr>
        <w:t>. 1986;124:434.</w:t>
      </w:r>
    </w:p>
    <w:p>
      <w:pPr>
        <w:spacing w:line="256" w:lineRule="auto" w:before="0"/>
        <w:ind w:left="718" w:right="111" w:hanging="619"/>
        <w:jc w:val="both"/>
        <w:rPr>
          <w:sz w:val="22"/>
        </w:rPr>
      </w:pPr>
      <w:r>
        <w:rPr>
          <w:sz w:val="22"/>
        </w:rPr>
        <w:t>1047. Lacey JV Jr, Brinton LA, Lubin JH, Sherman ME, Schatzkin A, Schairer C. Endometrial carcinoma risks among menopausal estrogen plus progestin and unopposed estrogen users in a cohort of postmenopausal women. </w:t>
      </w:r>
      <w:r>
        <w:rPr>
          <w:i/>
          <w:sz w:val="22"/>
        </w:rPr>
        <w:t>Cancer Epidemiol Biomarkers Prev</w:t>
      </w:r>
      <w:r>
        <w:rPr>
          <w:sz w:val="22"/>
        </w:rPr>
        <w:t>. 2005;14:1724.</w:t>
      </w:r>
    </w:p>
    <w:p>
      <w:pPr>
        <w:spacing w:line="256" w:lineRule="auto" w:before="0"/>
        <w:ind w:left="718" w:right="105" w:hanging="619"/>
        <w:jc w:val="both"/>
        <w:rPr>
          <w:sz w:val="22"/>
        </w:rPr>
      </w:pPr>
      <w:r>
        <w:rPr>
          <w:sz w:val="22"/>
        </w:rPr>
        <w:t>1048.</w:t>
      </w:r>
      <w:r>
        <w:rPr>
          <w:spacing w:val="40"/>
          <w:sz w:val="22"/>
        </w:rPr>
        <w:t> </w:t>
      </w:r>
      <w:r>
        <w:rPr>
          <w:sz w:val="22"/>
        </w:rPr>
        <w:t>Paganini-Hill</w:t>
      </w:r>
      <w:r>
        <w:rPr>
          <w:spacing w:val="40"/>
          <w:sz w:val="22"/>
        </w:rPr>
        <w:t> </w:t>
      </w:r>
      <w:r>
        <w:rPr>
          <w:sz w:val="22"/>
        </w:rPr>
        <w:t>A,</w:t>
      </w:r>
      <w:r>
        <w:rPr>
          <w:spacing w:val="40"/>
          <w:sz w:val="22"/>
        </w:rPr>
        <w:t> </w:t>
      </w:r>
      <w:r>
        <w:rPr>
          <w:sz w:val="22"/>
        </w:rPr>
        <w:t>Ross</w:t>
      </w:r>
      <w:r>
        <w:rPr>
          <w:spacing w:val="40"/>
          <w:sz w:val="22"/>
        </w:rPr>
        <w:t> </w:t>
      </w:r>
      <w:r>
        <w:rPr>
          <w:sz w:val="22"/>
        </w:rPr>
        <w:t>RK,</w:t>
      </w:r>
      <w:r>
        <w:rPr>
          <w:spacing w:val="40"/>
          <w:sz w:val="22"/>
        </w:rPr>
        <w:t> </w:t>
      </w:r>
      <w:r>
        <w:rPr>
          <w:sz w:val="22"/>
        </w:rPr>
        <w:t>Henderson</w:t>
      </w:r>
      <w:r>
        <w:rPr>
          <w:spacing w:val="40"/>
          <w:sz w:val="22"/>
        </w:rPr>
        <w:t> </w:t>
      </w:r>
      <w:r>
        <w:rPr>
          <w:sz w:val="22"/>
        </w:rPr>
        <w:t>BE.</w:t>
      </w:r>
      <w:r>
        <w:rPr>
          <w:spacing w:val="40"/>
          <w:sz w:val="22"/>
        </w:rPr>
        <w:t> </w:t>
      </w:r>
      <w:r>
        <w:rPr>
          <w:sz w:val="22"/>
        </w:rPr>
        <w:t>Endometrial</w:t>
      </w:r>
      <w:r>
        <w:rPr>
          <w:spacing w:val="40"/>
          <w:sz w:val="22"/>
        </w:rPr>
        <w:t> </w:t>
      </w:r>
      <w:r>
        <w:rPr>
          <w:sz w:val="22"/>
        </w:rPr>
        <w:t>cancer</w:t>
      </w:r>
      <w:r>
        <w:rPr>
          <w:spacing w:val="40"/>
          <w:sz w:val="22"/>
        </w:rPr>
        <w:t> </w:t>
      </w:r>
      <w:r>
        <w:rPr>
          <w:sz w:val="22"/>
        </w:rPr>
        <w:t>and</w:t>
      </w:r>
      <w:r>
        <w:rPr>
          <w:spacing w:val="40"/>
          <w:sz w:val="22"/>
        </w:rPr>
        <w:t> </w:t>
      </w:r>
      <w:r>
        <w:rPr>
          <w:sz w:val="22"/>
        </w:rPr>
        <w:t>patterns</w:t>
      </w:r>
      <w:r>
        <w:rPr>
          <w:spacing w:val="40"/>
          <w:sz w:val="22"/>
        </w:rPr>
        <w:t> </w:t>
      </w:r>
      <w:r>
        <w:rPr>
          <w:sz w:val="22"/>
        </w:rPr>
        <w:t>of</w:t>
      </w:r>
      <w:r>
        <w:rPr>
          <w:spacing w:val="40"/>
          <w:sz w:val="22"/>
        </w:rPr>
        <w:t> </w:t>
      </w:r>
      <w:r>
        <w:rPr>
          <w:sz w:val="22"/>
        </w:rPr>
        <w:t>use</w:t>
      </w:r>
      <w:r>
        <w:rPr>
          <w:spacing w:val="40"/>
          <w:sz w:val="22"/>
        </w:rPr>
        <w:t> </w:t>
      </w:r>
      <w:r>
        <w:rPr>
          <w:sz w:val="22"/>
        </w:rPr>
        <w:t>of oestrogen replacement therapy: a cohort study. </w:t>
      </w:r>
      <w:r>
        <w:rPr>
          <w:i/>
          <w:sz w:val="22"/>
        </w:rPr>
        <w:t>Br J Cancer</w:t>
      </w:r>
      <w:r>
        <w:rPr>
          <w:sz w:val="22"/>
        </w:rPr>
        <w:t>. 1989;59:445.</w:t>
      </w:r>
    </w:p>
    <w:p>
      <w:pPr>
        <w:spacing w:line="256" w:lineRule="auto" w:before="0"/>
        <w:ind w:left="718" w:right="103" w:hanging="619"/>
        <w:jc w:val="both"/>
        <w:rPr>
          <w:sz w:val="22"/>
        </w:rPr>
      </w:pPr>
      <w:r>
        <w:rPr>
          <w:sz w:val="22"/>
        </w:rPr>
        <w:t>1049.</w:t>
      </w:r>
      <w:r>
        <w:rPr>
          <w:spacing w:val="40"/>
          <w:sz w:val="22"/>
        </w:rPr>
        <w:t> </w:t>
      </w:r>
      <w:r>
        <w:rPr>
          <w:sz w:val="22"/>
        </w:rPr>
        <w:t>Schiff I, Sela HK, Cramer D, Tulchinsky D, Ryan KJ. Endometrial hyperplasia in women </w:t>
      </w:r>
      <w:r>
        <w:rPr>
          <w:sz w:val="22"/>
        </w:rPr>
        <w:t>on cyclic or continuous estrogen regimens. </w:t>
      </w:r>
      <w:r>
        <w:rPr>
          <w:i/>
          <w:sz w:val="22"/>
        </w:rPr>
        <w:t>Fertil Steril</w:t>
      </w:r>
      <w:r>
        <w:rPr>
          <w:sz w:val="22"/>
        </w:rPr>
        <w:t>. 1982;37:79.</w:t>
      </w:r>
    </w:p>
    <w:p>
      <w:pPr>
        <w:spacing w:line="256" w:lineRule="auto" w:before="0"/>
        <w:ind w:left="718" w:right="98" w:hanging="619"/>
        <w:jc w:val="both"/>
        <w:rPr>
          <w:sz w:val="22"/>
        </w:rPr>
      </w:pPr>
      <w:r>
        <w:rPr>
          <w:sz w:val="22"/>
        </w:rPr>
        <w:t>1050.</w:t>
      </w:r>
      <w:r>
        <w:rPr>
          <w:spacing w:val="40"/>
          <w:sz w:val="22"/>
        </w:rPr>
        <w:t> </w:t>
      </w:r>
      <w:r>
        <w:rPr>
          <w:sz w:val="22"/>
        </w:rPr>
        <w:t>Notelovitz M, Varner RE, Rebar RW, et al. Minimal endometrial proliferation over a two-year period</w:t>
      </w:r>
      <w:r>
        <w:rPr>
          <w:spacing w:val="40"/>
          <w:sz w:val="22"/>
        </w:rPr>
        <w:t> </w:t>
      </w:r>
      <w:r>
        <w:rPr>
          <w:sz w:val="22"/>
        </w:rPr>
        <w:t>in</w:t>
      </w:r>
      <w:r>
        <w:rPr>
          <w:spacing w:val="40"/>
          <w:sz w:val="22"/>
        </w:rPr>
        <w:t> </w:t>
      </w:r>
      <w:r>
        <w:rPr>
          <w:sz w:val="22"/>
        </w:rPr>
        <w:t>postmenopausal</w:t>
      </w:r>
      <w:r>
        <w:rPr>
          <w:spacing w:val="40"/>
          <w:sz w:val="22"/>
        </w:rPr>
        <w:t> </w:t>
      </w:r>
      <w:r>
        <w:rPr>
          <w:sz w:val="22"/>
        </w:rPr>
        <w:t>women</w:t>
      </w:r>
      <w:r>
        <w:rPr>
          <w:spacing w:val="40"/>
          <w:sz w:val="22"/>
        </w:rPr>
        <w:t> </w:t>
      </w:r>
      <w:r>
        <w:rPr>
          <w:sz w:val="22"/>
        </w:rPr>
        <w:t>taking</w:t>
      </w:r>
      <w:r>
        <w:rPr>
          <w:spacing w:val="40"/>
          <w:sz w:val="22"/>
        </w:rPr>
        <w:t> </w:t>
      </w:r>
      <w:r>
        <w:rPr>
          <w:sz w:val="22"/>
        </w:rPr>
        <w:t>0.3</w:t>
      </w:r>
      <w:r>
        <w:rPr>
          <w:spacing w:val="40"/>
          <w:sz w:val="22"/>
        </w:rPr>
        <w:t> </w:t>
      </w:r>
      <w:r>
        <w:rPr>
          <w:sz w:val="22"/>
        </w:rPr>
        <w:t>mg</w:t>
      </w:r>
      <w:r>
        <w:rPr>
          <w:spacing w:val="40"/>
          <w:sz w:val="22"/>
        </w:rPr>
        <w:t> </w:t>
      </w:r>
      <w:r>
        <w:rPr>
          <w:sz w:val="22"/>
        </w:rPr>
        <w:t>of</w:t>
      </w:r>
      <w:r>
        <w:rPr>
          <w:spacing w:val="40"/>
          <w:sz w:val="22"/>
        </w:rPr>
        <w:t> </w:t>
      </w:r>
      <w:r>
        <w:rPr>
          <w:sz w:val="22"/>
        </w:rPr>
        <w:t>unopposed</w:t>
      </w:r>
      <w:r>
        <w:rPr>
          <w:spacing w:val="40"/>
          <w:sz w:val="22"/>
        </w:rPr>
        <w:t> </w:t>
      </w:r>
      <w:r>
        <w:rPr>
          <w:sz w:val="22"/>
        </w:rPr>
        <w:t>esterified</w:t>
      </w:r>
      <w:r>
        <w:rPr>
          <w:spacing w:val="40"/>
          <w:sz w:val="22"/>
        </w:rPr>
        <w:t> </w:t>
      </w:r>
      <w:r>
        <w:rPr>
          <w:sz w:val="22"/>
        </w:rPr>
        <w:t>estrogens. </w:t>
      </w:r>
      <w:r>
        <w:rPr>
          <w:i/>
          <w:sz w:val="22"/>
        </w:rPr>
        <w:t>Menopause</w:t>
      </w:r>
      <w:r>
        <w:rPr>
          <w:sz w:val="22"/>
        </w:rPr>
        <w:t>. 1997;4:80.</w:t>
      </w:r>
    </w:p>
    <w:p>
      <w:pPr>
        <w:spacing w:line="256" w:lineRule="auto" w:before="0"/>
        <w:ind w:left="718" w:right="104" w:hanging="619"/>
        <w:jc w:val="both"/>
        <w:rPr>
          <w:sz w:val="22"/>
        </w:rPr>
      </w:pPr>
      <w:r>
        <w:rPr>
          <w:sz w:val="22"/>
        </w:rPr>
        <w:t>1051.</w:t>
      </w:r>
      <w:r>
        <w:rPr>
          <w:spacing w:val="40"/>
          <w:sz w:val="22"/>
        </w:rPr>
        <w:t> </w:t>
      </w:r>
      <w:r>
        <w:rPr>
          <w:sz w:val="22"/>
        </w:rPr>
        <w:t>Johnson</w:t>
      </w:r>
      <w:r>
        <w:rPr>
          <w:spacing w:val="20"/>
          <w:sz w:val="22"/>
        </w:rPr>
        <w:t> </w:t>
      </w:r>
      <w:r>
        <w:rPr>
          <w:sz w:val="22"/>
        </w:rPr>
        <w:t>SR,</w:t>
      </w:r>
      <w:r>
        <w:rPr>
          <w:spacing w:val="20"/>
          <w:sz w:val="22"/>
        </w:rPr>
        <w:t> </w:t>
      </w:r>
      <w:r>
        <w:rPr>
          <w:sz w:val="22"/>
        </w:rPr>
        <w:t>Ettinger</w:t>
      </w:r>
      <w:r>
        <w:rPr>
          <w:spacing w:val="20"/>
          <w:sz w:val="22"/>
        </w:rPr>
        <w:t> </w:t>
      </w:r>
      <w:r>
        <w:rPr>
          <w:sz w:val="22"/>
        </w:rPr>
        <w:t>B,</w:t>
      </w:r>
      <w:r>
        <w:rPr>
          <w:spacing w:val="20"/>
          <w:sz w:val="22"/>
        </w:rPr>
        <w:t> </w:t>
      </w:r>
      <w:r>
        <w:rPr>
          <w:sz w:val="22"/>
        </w:rPr>
        <w:t>Macer</w:t>
      </w:r>
      <w:r>
        <w:rPr>
          <w:spacing w:val="20"/>
          <w:sz w:val="22"/>
        </w:rPr>
        <w:t> </w:t>
      </w:r>
      <w:r>
        <w:rPr>
          <w:sz w:val="22"/>
        </w:rPr>
        <w:t>JL,</w:t>
      </w:r>
      <w:r>
        <w:rPr>
          <w:spacing w:val="20"/>
          <w:sz w:val="22"/>
        </w:rPr>
        <w:t> </w:t>
      </w:r>
      <w:r>
        <w:rPr>
          <w:sz w:val="22"/>
        </w:rPr>
        <w:t>Ensrud</w:t>
      </w:r>
      <w:r>
        <w:rPr>
          <w:spacing w:val="20"/>
          <w:sz w:val="22"/>
        </w:rPr>
        <w:t> </w:t>
      </w:r>
      <w:r>
        <w:rPr>
          <w:sz w:val="22"/>
        </w:rPr>
        <w:t>KE,</w:t>
      </w:r>
      <w:r>
        <w:rPr>
          <w:spacing w:val="20"/>
          <w:sz w:val="22"/>
        </w:rPr>
        <w:t> </w:t>
      </w:r>
      <w:r>
        <w:rPr>
          <w:sz w:val="22"/>
        </w:rPr>
        <w:t>Quan</w:t>
      </w:r>
      <w:r>
        <w:rPr>
          <w:spacing w:val="20"/>
          <w:sz w:val="22"/>
        </w:rPr>
        <w:t> </w:t>
      </w:r>
      <w:r>
        <w:rPr>
          <w:sz w:val="22"/>
        </w:rPr>
        <w:t>J,</w:t>
      </w:r>
      <w:r>
        <w:rPr>
          <w:spacing w:val="20"/>
          <w:sz w:val="22"/>
        </w:rPr>
        <w:t> </w:t>
      </w:r>
      <w:r>
        <w:rPr>
          <w:sz w:val="22"/>
        </w:rPr>
        <w:t>Grady</w:t>
      </w:r>
      <w:r>
        <w:rPr>
          <w:spacing w:val="20"/>
          <w:sz w:val="22"/>
        </w:rPr>
        <w:t> </w:t>
      </w:r>
      <w:r>
        <w:rPr>
          <w:sz w:val="22"/>
        </w:rPr>
        <w:t>D.</w:t>
      </w:r>
      <w:r>
        <w:rPr>
          <w:spacing w:val="20"/>
          <w:sz w:val="22"/>
        </w:rPr>
        <w:t> </w:t>
      </w:r>
      <w:r>
        <w:rPr>
          <w:sz w:val="22"/>
        </w:rPr>
        <w:t>Uterine</w:t>
      </w:r>
      <w:r>
        <w:rPr>
          <w:spacing w:val="25"/>
          <w:sz w:val="22"/>
        </w:rPr>
        <w:t> </w:t>
      </w:r>
      <w:r>
        <w:rPr>
          <w:sz w:val="22"/>
        </w:rPr>
        <w:t>and</w:t>
      </w:r>
      <w:r>
        <w:rPr>
          <w:spacing w:val="25"/>
          <w:sz w:val="22"/>
        </w:rPr>
        <w:t> </w:t>
      </w:r>
      <w:r>
        <w:rPr>
          <w:sz w:val="22"/>
        </w:rPr>
        <w:t>vaginal</w:t>
      </w:r>
      <w:r>
        <w:rPr>
          <w:spacing w:val="25"/>
          <w:sz w:val="22"/>
        </w:rPr>
        <w:t> </w:t>
      </w:r>
      <w:r>
        <w:rPr>
          <w:sz w:val="22"/>
        </w:rPr>
        <w:t>effects of unopposed ultralow-dose transdermal estradiol. </w:t>
      </w:r>
      <w:r>
        <w:rPr>
          <w:i/>
          <w:sz w:val="22"/>
        </w:rPr>
        <w:t>Obstet Gynecol</w:t>
      </w:r>
      <w:r>
        <w:rPr>
          <w:sz w:val="22"/>
        </w:rPr>
        <w:t>. 2005;105:779.</w:t>
      </w:r>
    </w:p>
    <w:p>
      <w:pPr>
        <w:spacing w:line="256" w:lineRule="auto" w:before="0"/>
        <w:ind w:left="718" w:right="104" w:hanging="619"/>
        <w:jc w:val="both"/>
        <w:rPr>
          <w:sz w:val="22"/>
        </w:rPr>
      </w:pPr>
      <w:r>
        <w:rPr>
          <w:sz w:val="22"/>
        </w:rPr>
        <w:t>1052.</w:t>
      </w:r>
      <w:r>
        <w:rPr>
          <w:spacing w:val="40"/>
          <w:sz w:val="22"/>
        </w:rPr>
        <w:t> </w:t>
      </w:r>
      <w:r>
        <w:rPr>
          <w:sz w:val="22"/>
        </w:rPr>
        <w:t>Cushing KL, Weiss NL, Voigt LF, McKnight B, Beresford SAA. Risk of endometrial cancer in relation to use of low-dose, unopposed estrogens. </w:t>
      </w:r>
      <w:r>
        <w:rPr>
          <w:i/>
          <w:sz w:val="22"/>
        </w:rPr>
        <w:t>Obstet Gynecol</w:t>
      </w:r>
      <w:r>
        <w:rPr>
          <w:sz w:val="22"/>
        </w:rPr>
        <w:t>. 1998;91:35.</w:t>
      </w:r>
    </w:p>
    <w:p>
      <w:pPr>
        <w:spacing w:line="256" w:lineRule="auto" w:before="0"/>
        <w:ind w:left="718" w:right="110" w:hanging="619"/>
        <w:jc w:val="both"/>
        <w:rPr>
          <w:sz w:val="22"/>
        </w:rPr>
      </w:pPr>
      <w:r>
        <w:rPr>
          <w:sz w:val="22"/>
        </w:rPr>
        <w:t>1053.</w:t>
      </w:r>
      <w:r>
        <w:rPr>
          <w:spacing w:val="40"/>
          <w:sz w:val="22"/>
        </w:rPr>
        <w:t> </w:t>
      </w:r>
      <w:r>
        <w:rPr>
          <w:sz w:val="22"/>
        </w:rPr>
        <w:t>Thom MH, White PJ, Williams RM, et al. Prevention and treatment of endometrial disease </w:t>
      </w:r>
      <w:r>
        <w:rPr>
          <w:sz w:val="22"/>
        </w:rPr>
        <w:t>in climacteric women receiving estrogen. </w:t>
      </w:r>
      <w:r>
        <w:rPr>
          <w:i/>
          <w:sz w:val="22"/>
        </w:rPr>
        <w:t>Lancet</w:t>
      </w:r>
      <w:r>
        <w:rPr>
          <w:sz w:val="22"/>
        </w:rPr>
        <w:t>. 1979;2:455.</w:t>
      </w:r>
    </w:p>
    <w:p>
      <w:pPr>
        <w:spacing w:line="256" w:lineRule="auto" w:before="0"/>
        <w:ind w:left="718" w:right="103" w:hanging="619"/>
        <w:jc w:val="both"/>
        <w:rPr>
          <w:sz w:val="22"/>
        </w:rPr>
      </w:pPr>
      <w:r>
        <w:rPr>
          <w:sz w:val="22"/>
        </w:rPr>
        <w:t>1054.</w:t>
      </w:r>
      <w:r>
        <w:rPr>
          <w:spacing w:val="40"/>
          <w:sz w:val="22"/>
        </w:rPr>
        <w:t> </w:t>
      </w:r>
      <w:r>
        <w:rPr>
          <w:sz w:val="22"/>
        </w:rPr>
        <w:t>Whitehead MI, Townsend PT, Pryse-Davies J, Ryder TA, King RJB. Effects of estrogen and progestins</w:t>
      </w:r>
      <w:r>
        <w:rPr>
          <w:spacing w:val="26"/>
          <w:sz w:val="22"/>
        </w:rPr>
        <w:t> </w:t>
      </w:r>
      <w:r>
        <w:rPr>
          <w:sz w:val="22"/>
        </w:rPr>
        <w:t>on</w:t>
      </w:r>
      <w:r>
        <w:rPr>
          <w:spacing w:val="26"/>
          <w:sz w:val="22"/>
        </w:rPr>
        <w:t> </w:t>
      </w:r>
      <w:r>
        <w:rPr>
          <w:sz w:val="22"/>
        </w:rPr>
        <w:t>the</w:t>
      </w:r>
      <w:r>
        <w:rPr>
          <w:spacing w:val="26"/>
          <w:sz w:val="22"/>
        </w:rPr>
        <w:t> </w:t>
      </w:r>
      <w:r>
        <w:rPr>
          <w:sz w:val="22"/>
        </w:rPr>
        <w:t>biochemistry</w:t>
      </w:r>
      <w:r>
        <w:rPr>
          <w:spacing w:val="26"/>
          <w:sz w:val="22"/>
        </w:rPr>
        <w:t> </w:t>
      </w:r>
      <w:r>
        <w:rPr>
          <w:sz w:val="22"/>
        </w:rPr>
        <w:t>and</w:t>
      </w:r>
      <w:r>
        <w:rPr>
          <w:spacing w:val="26"/>
          <w:sz w:val="22"/>
        </w:rPr>
        <w:t> </w:t>
      </w:r>
      <w:r>
        <w:rPr>
          <w:sz w:val="22"/>
        </w:rPr>
        <w:t>morphology</w:t>
      </w:r>
      <w:r>
        <w:rPr>
          <w:spacing w:val="26"/>
          <w:sz w:val="22"/>
        </w:rPr>
        <w:t> </w:t>
      </w:r>
      <w:r>
        <w:rPr>
          <w:sz w:val="22"/>
        </w:rPr>
        <w:t>of</w:t>
      </w:r>
      <w:r>
        <w:rPr>
          <w:spacing w:val="26"/>
          <w:sz w:val="22"/>
        </w:rPr>
        <w:t> </w:t>
      </w:r>
      <w:r>
        <w:rPr>
          <w:sz w:val="22"/>
        </w:rPr>
        <w:t>the</w:t>
      </w:r>
      <w:r>
        <w:rPr>
          <w:spacing w:val="26"/>
          <w:sz w:val="22"/>
        </w:rPr>
        <w:t> </w:t>
      </w:r>
      <w:r>
        <w:rPr>
          <w:sz w:val="22"/>
        </w:rPr>
        <w:t>postmenopausal</w:t>
      </w:r>
      <w:r>
        <w:rPr>
          <w:spacing w:val="26"/>
          <w:sz w:val="22"/>
        </w:rPr>
        <w:t> </w:t>
      </w:r>
      <w:r>
        <w:rPr>
          <w:sz w:val="22"/>
        </w:rPr>
        <w:t>endometrium.</w:t>
      </w:r>
      <w:r>
        <w:rPr>
          <w:spacing w:val="26"/>
          <w:sz w:val="22"/>
        </w:rPr>
        <w:t> </w:t>
      </w:r>
      <w:r>
        <w:rPr>
          <w:i/>
          <w:sz w:val="22"/>
        </w:rPr>
        <w:t>N</w:t>
      </w:r>
      <w:r>
        <w:rPr>
          <w:i/>
          <w:spacing w:val="29"/>
          <w:sz w:val="22"/>
        </w:rPr>
        <w:t> </w:t>
      </w:r>
      <w:r>
        <w:rPr>
          <w:i/>
          <w:sz w:val="22"/>
        </w:rPr>
        <w:t>Engl</w:t>
      </w:r>
      <w:r>
        <w:rPr>
          <w:i/>
          <w:sz w:val="22"/>
        </w:rPr>
        <w:t> J Med</w:t>
      </w:r>
      <w:r>
        <w:rPr>
          <w:sz w:val="22"/>
        </w:rPr>
        <w:t>. 1981;305:1599.</w:t>
      </w:r>
    </w:p>
    <w:p>
      <w:pPr>
        <w:spacing w:line="256" w:lineRule="auto" w:before="0"/>
        <w:ind w:left="718" w:right="102" w:hanging="619"/>
        <w:jc w:val="both"/>
        <w:rPr>
          <w:sz w:val="22"/>
        </w:rPr>
      </w:pPr>
      <w:r>
        <w:rPr>
          <w:sz w:val="22"/>
        </w:rPr>
        <w:t>1055.</w:t>
      </w:r>
      <w:r>
        <w:rPr>
          <w:spacing w:val="40"/>
          <w:sz w:val="22"/>
        </w:rPr>
        <w:t> </w:t>
      </w:r>
      <w:r>
        <w:rPr>
          <w:sz w:val="22"/>
        </w:rPr>
        <w:t>Gambrell RD Jr, Babgnell CA, Greenblatt RB. Role of estrogens and progesterone in </w:t>
      </w:r>
      <w:r>
        <w:rPr>
          <w:sz w:val="22"/>
        </w:rPr>
        <w:t>the</w:t>
      </w:r>
      <w:r>
        <w:rPr>
          <w:spacing w:val="40"/>
          <w:sz w:val="22"/>
        </w:rPr>
        <w:t> </w:t>
      </w:r>
      <w:r>
        <w:rPr>
          <w:sz w:val="22"/>
        </w:rPr>
        <w:t>etiology and prevention of endometrial cancer: a review. </w:t>
      </w:r>
      <w:r>
        <w:rPr>
          <w:i/>
          <w:sz w:val="22"/>
        </w:rPr>
        <w:t>Am J Obstet Gynecol</w:t>
      </w:r>
      <w:r>
        <w:rPr>
          <w:sz w:val="22"/>
        </w:rPr>
        <w:t>. 1983;146:696.</w:t>
      </w:r>
    </w:p>
    <w:p>
      <w:pPr>
        <w:spacing w:line="256" w:lineRule="auto" w:before="0"/>
        <w:ind w:left="718" w:right="106" w:hanging="619"/>
        <w:jc w:val="both"/>
        <w:rPr>
          <w:sz w:val="22"/>
        </w:rPr>
      </w:pPr>
      <w:r>
        <w:rPr>
          <w:sz w:val="22"/>
        </w:rPr>
        <w:t>1056. Persson I, Adami H-O, Bergkvist L, et al. Risk of endometrial cancer after treatment with oestrogens alone or in conjunction with progestogens: results of a prospective study. </w:t>
      </w:r>
      <w:r>
        <w:rPr>
          <w:i/>
          <w:sz w:val="22"/>
        </w:rPr>
        <w:t>Br Med </w:t>
      </w:r>
      <w:r>
        <w:rPr>
          <w:i/>
          <w:sz w:val="22"/>
        </w:rPr>
        <w:t>J</w:t>
      </w:r>
      <w:r>
        <w:rPr>
          <w:sz w:val="22"/>
        </w:rPr>
        <w:t>. </w:t>
      </w:r>
      <w:r>
        <w:rPr>
          <w:spacing w:val="-2"/>
          <w:sz w:val="22"/>
        </w:rPr>
        <w:t>1989;298:147.</w:t>
      </w:r>
    </w:p>
    <w:p>
      <w:pPr>
        <w:spacing w:line="256" w:lineRule="auto" w:before="0"/>
        <w:ind w:left="718" w:right="110" w:hanging="619"/>
        <w:jc w:val="both"/>
        <w:rPr>
          <w:sz w:val="22"/>
        </w:rPr>
      </w:pPr>
      <w:r>
        <w:rPr>
          <w:sz w:val="22"/>
        </w:rPr>
        <w:t>1057. Voigt</w:t>
      </w:r>
      <w:r>
        <w:rPr>
          <w:spacing w:val="40"/>
          <w:sz w:val="22"/>
        </w:rPr>
        <w:t> </w:t>
      </w:r>
      <w:r>
        <w:rPr>
          <w:sz w:val="22"/>
        </w:rPr>
        <w:t>LF,</w:t>
      </w:r>
      <w:r>
        <w:rPr>
          <w:spacing w:val="40"/>
          <w:sz w:val="22"/>
        </w:rPr>
        <w:t> </w:t>
      </w:r>
      <w:r>
        <w:rPr>
          <w:sz w:val="22"/>
        </w:rPr>
        <w:t>Weiss</w:t>
      </w:r>
      <w:r>
        <w:rPr>
          <w:spacing w:val="40"/>
          <w:sz w:val="22"/>
        </w:rPr>
        <w:t> </w:t>
      </w:r>
      <w:r>
        <w:rPr>
          <w:sz w:val="22"/>
        </w:rPr>
        <w:t>NS,</w:t>
      </w:r>
      <w:r>
        <w:rPr>
          <w:spacing w:val="40"/>
          <w:sz w:val="22"/>
        </w:rPr>
        <w:t> </w:t>
      </w:r>
      <w:r>
        <w:rPr>
          <w:sz w:val="22"/>
        </w:rPr>
        <w:t>Chu</w:t>
      </w:r>
      <w:r>
        <w:rPr>
          <w:spacing w:val="40"/>
          <w:sz w:val="22"/>
        </w:rPr>
        <w:t> </w:t>
      </w:r>
      <w:r>
        <w:rPr>
          <w:sz w:val="22"/>
        </w:rPr>
        <w:t>JR,</w:t>
      </w:r>
      <w:r>
        <w:rPr>
          <w:spacing w:val="40"/>
          <w:sz w:val="22"/>
        </w:rPr>
        <w:t> </w:t>
      </w:r>
      <w:r>
        <w:rPr>
          <w:sz w:val="22"/>
        </w:rPr>
        <w:t>Daling</w:t>
      </w:r>
      <w:r>
        <w:rPr>
          <w:spacing w:val="40"/>
          <w:sz w:val="22"/>
        </w:rPr>
        <w:t> </w:t>
      </w:r>
      <w:r>
        <w:rPr>
          <w:sz w:val="22"/>
        </w:rPr>
        <w:t>J,</w:t>
      </w:r>
      <w:r>
        <w:rPr>
          <w:spacing w:val="40"/>
          <w:sz w:val="22"/>
        </w:rPr>
        <w:t> </w:t>
      </w:r>
      <w:r>
        <w:rPr>
          <w:sz w:val="22"/>
        </w:rPr>
        <w:t>McKnight</w:t>
      </w:r>
      <w:r>
        <w:rPr>
          <w:spacing w:val="40"/>
          <w:sz w:val="22"/>
        </w:rPr>
        <w:t> </w:t>
      </w:r>
      <w:r>
        <w:rPr>
          <w:sz w:val="22"/>
        </w:rPr>
        <w:t>B,</w:t>
      </w:r>
      <w:r>
        <w:rPr>
          <w:spacing w:val="40"/>
          <w:sz w:val="22"/>
        </w:rPr>
        <w:t> </w:t>
      </w:r>
      <w:r>
        <w:rPr>
          <w:sz w:val="22"/>
        </w:rPr>
        <w:t>van</w:t>
      </w:r>
      <w:r>
        <w:rPr>
          <w:spacing w:val="40"/>
          <w:sz w:val="22"/>
        </w:rPr>
        <w:t> </w:t>
      </w:r>
      <w:r>
        <w:rPr>
          <w:sz w:val="22"/>
        </w:rPr>
        <w:t>Belle</w:t>
      </w:r>
      <w:r>
        <w:rPr>
          <w:spacing w:val="40"/>
          <w:sz w:val="22"/>
        </w:rPr>
        <w:t> </w:t>
      </w:r>
      <w:r>
        <w:rPr>
          <w:sz w:val="22"/>
        </w:rPr>
        <w:t>G.</w:t>
      </w:r>
      <w:r>
        <w:rPr>
          <w:spacing w:val="40"/>
          <w:sz w:val="22"/>
        </w:rPr>
        <w:t> </w:t>
      </w:r>
      <w:r>
        <w:rPr>
          <w:sz w:val="22"/>
        </w:rPr>
        <w:t>Progestagen supplementation</w:t>
      </w:r>
      <w:r>
        <w:rPr>
          <w:spacing w:val="45"/>
          <w:sz w:val="22"/>
        </w:rPr>
        <w:t>  </w:t>
      </w:r>
      <w:r>
        <w:rPr>
          <w:sz w:val="22"/>
        </w:rPr>
        <w:t>of</w:t>
      </w:r>
      <w:r>
        <w:rPr>
          <w:spacing w:val="45"/>
          <w:sz w:val="22"/>
        </w:rPr>
        <w:t>  </w:t>
      </w:r>
      <w:r>
        <w:rPr>
          <w:sz w:val="22"/>
        </w:rPr>
        <w:t>exogenous</w:t>
      </w:r>
      <w:r>
        <w:rPr>
          <w:spacing w:val="46"/>
          <w:sz w:val="22"/>
        </w:rPr>
        <w:t>  </w:t>
      </w:r>
      <w:r>
        <w:rPr>
          <w:sz w:val="22"/>
        </w:rPr>
        <w:t>oestrogens</w:t>
      </w:r>
      <w:r>
        <w:rPr>
          <w:spacing w:val="45"/>
          <w:sz w:val="22"/>
        </w:rPr>
        <w:t>  </w:t>
      </w:r>
      <w:r>
        <w:rPr>
          <w:sz w:val="22"/>
        </w:rPr>
        <w:t>and</w:t>
      </w:r>
      <w:r>
        <w:rPr>
          <w:spacing w:val="46"/>
          <w:sz w:val="22"/>
        </w:rPr>
        <w:t>  </w:t>
      </w:r>
      <w:r>
        <w:rPr>
          <w:sz w:val="22"/>
        </w:rPr>
        <w:t>risk</w:t>
      </w:r>
      <w:r>
        <w:rPr>
          <w:spacing w:val="45"/>
          <w:sz w:val="22"/>
        </w:rPr>
        <w:t>  </w:t>
      </w:r>
      <w:r>
        <w:rPr>
          <w:sz w:val="22"/>
        </w:rPr>
        <w:t>of</w:t>
      </w:r>
      <w:r>
        <w:rPr>
          <w:spacing w:val="46"/>
          <w:sz w:val="22"/>
        </w:rPr>
        <w:t>  </w:t>
      </w:r>
      <w:r>
        <w:rPr>
          <w:sz w:val="22"/>
        </w:rPr>
        <w:t>endometrial</w:t>
      </w:r>
      <w:r>
        <w:rPr>
          <w:spacing w:val="45"/>
          <w:sz w:val="22"/>
        </w:rPr>
        <w:t>  </w:t>
      </w:r>
      <w:r>
        <w:rPr>
          <w:sz w:val="22"/>
        </w:rPr>
        <w:t>cancer.</w:t>
      </w:r>
      <w:r>
        <w:rPr>
          <w:spacing w:val="46"/>
          <w:sz w:val="22"/>
        </w:rPr>
        <w:t>  </w:t>
      </w:r>
      <w:r>
        <w:rPr>
          <w:i/>
          <w:spacing w:val="-2"/>
          <w:sz w:val="22"/>
        </w:rPr>
        <w:t>Lancet</w:t>
      </w:r>
      <w:r>
        <w:rPr>
          <w:spacing w:val="-2"/>
          <w:sz w:val="22"/>
        </w:rPr>
        <w:t>.</w:t>
      </w:r>
    </w:p>
    <w:p>
      <w:pPr>
        <w:spacing w:after="0" w:line="256" w:lineRule="auto"/>
        <w:jc w:val="both"/>
        <w:rPr>
          <w:sz w:val="22"/>
        </w:rPr>
        <w:sectPr>
          <w:pgSz w:w="12240" w:h="15840"/>
          <w:pgMar w:top="1360" w:bottom="280" w:left="1440" w:right="1440"/>
        </w:sectPr>
      </w:pPr>
    </w:p>
    <w:p>
      <w:pPr>
        <w:spacing w:before="84"/>
        <w:ind w:left="718" w:right="0" w:firstLine="0"/>
        <w:jc w:val="left"/>
        <w:rPr>
          <w:sz w:val="22"/>
        </w:rPr>
      </w:pPr>
      <w:r>
        <w:rPr>
          <w:spacing w:val="-2"/>
          <w:sz w:val="22"/>
        </w:rPr>
        <w:t>1991;338:274.</w:t>
      </w:r>
    </w:p>
    <w:p>
      <w:pPr>
        <w:spacing w:line="256" w:lineRule="auto" w:before="17"/>
        <w:ind w:left="718" w:right="98" w:hanging="619"/>
        <w:jc w:val="both"/>
        <w:rPr>
          <w:sz w:val="22"/>
        </w:rPr>
      </w:pPr>
      <w:r>
        <w:rPr>
          <w:sz w:val="22"/>
        </w:rPr>
        <w:t>1058. Feldman S, Shapter A, Welch WR, Berkowitz RS. Two-year follow-up of 263 patients with post/perimenopausal vaginal bleeding and negative initial biopsy. </w:t>
      </w:r>
      <w:r>
        <w:rPr>
          <w:i/>
          <w:sz w:val="22"/>
        </w:rPr>
        <w:t>Gynecol Oncol</w:t>
      </w:r>
      <w:r>
        <w:rPr>
          <w:sz w:val="22"/>
        </w:rPr>
        <w:t>. 1994;55:56.</w:t>
      </w:r>
    </w:p>
    <w:p>
      <w:pPr>
        <w:spacing w:line="256" w:lineRule="auto" w:before="0"/>
        <w:ind w:left="718" w:right="109" w:hanging="619"/>
        <w:jc w:val="both"/>
        <w:rPr>
          <w:sz w:val="22"/>
        </w:rPr>
      </w:pPr>
      <w:r>
        <w:rPr>
          <w:sz w:val="22"/>
        </w:rPr>
        <w:t>1059. Strom BL, Schinnar R, Weber AL, et al. Case-control study of postmenopausal </w:t>
      </w:r>
      <w:r>
        <w:rPr>
          <w:sz w:val="22"/>
        </w:rPr>
        <w:t>hormone replacement therapy and endometrial cancer. </w:t>
      </w:r>
      <w:r>
        <w:rPr>
          <w:i/>
          <w:sz w:val="22"/>
        </w:rPr>
        <w:t>Am J Epidemiol</w:t>
      </w:r>
      <w:r>
        <w:rPr>
          <w:sz w:val="22"/>
        </w:rPr>
        <w:t>. 2006;164:775.</w:t>
      </w:r>
    </w:p>
    <w:p>
      <w:pPr>
        <w:spacing w:line="256" w:lineRule="auto" w:before="0"/>
        <w:ind w:left="718" w:right="108" w:hanging="619"/>
        <w:jc w:val="both"/>
        <w:rPr>
          <w:sz w:val="22"/>
        </w:rPr>
      </w:pPr>
      <w:r>
        <w:rPr>
          <w:sz w:val="22"/>
        </w:rPr>
        <w:t>1060.</w:t>
      </w:r>
      <w:r>
        <w:rPr>
          <w:spacing w:val="40"/>
          <w:sz w:val="22"/>
        </w:rPr>
        <w:t> </w:t>
      </w:r>
      <w:r>
        <w:rPr>
          <w:sz w:val="22"/>
        </w:rPr>
        <w:t>Varma TR. Effect of long-term therapy with estrogen and progesterone on the endometrium </w:t>
      </w:r>
      <w:r>
        <w:rPr>
          <w:sz w:val="22"/>
        </w:rPr>
        <w:t>of postmenopausal women. </w:t>
      </w:r>
      <w:r>
        <w:rPr>
          <w:i/>
          <w:sz w:val="22"/>
        </w:rPr>
        <w:t>Acta Obstet Gynecol Scand</w:t>
      </w:r>
      <w:r>
        <w:rPr>
          <w:sz w:val="22"/>
        </w:rPr>
        <w:t>. 1985;64:41.</w:t>
      </w:r>
    </w:p>
    <w:p>
      <w:pPr>
        <w:spacing w:line="256" w:lineRule="auto" w:before="0"/>
        <w:ind w:left="718" w:right="97" w:hanging="619"/>
        <w:jc w:val="both"/>
        <w:rPr>
          <w:sz w:val="22"/>
        </w:rPr>
      </w:pPr>
      <w:r>
        <w:rPr>
          <w:sz w:val="22"/>
        </w:rPr>
        <w:t>1061.</w:t>
      </w:r>
      <w:r>
        <w:rPr>
          <w:spacing w:val="40"/>
          <w:sz w:val="22"/>
        </w:rPr>
        <w:t> </w:t>
      </w:r>
      <w:r>
        <w:rPr>
          <w:sz w:val="22"/>
        </w:rPr>
        <w:t>Pike MC, Peters RK, Cozen W, et al. Estrogen-progestin replacement therapy and </w:t>
      </w:r>
      <w:r>
        <w:rPr>
          <w:sz w:val="22"/>
        </w:rPr>
        <w:t>endometrial cancer. </w:t>
      </w:r>
      <w:r>
        <w:rPr>
          <w:i/>
          <w:sz w:val="22"/>
        </w:rPr>
        <w:t>J Natl Cancer Inst</w:t>
      </w:r>
      <w:r>
        <w:rPr>
          <w:sz w:val="22"/>
        </w:rPr>
        <w:t>. 1997;89:1110.</w:t>
      </w:r>
    </w:p>
    <w:p>
      <w:pPr>
        <w:spacing w:line="256" w:lineRule="auto" w:before="0"/>
        <w:ind w:left="718" w:right="101" w:hanging="619"/>
        <w:jc w:val="both"/>
        <w:rPr>
          <w:sz w:val="22"/>
        </w:rPr>
      </w:pPr>
      <w:r>
        <w:rPr>
          <w:sz w:val="22"/>
        </w:rPr>
        <w:t>1062.</w:t>
      </w:r>
      <w:r>
        <w:rPr>
          <w:spacing w:val="40"/>
          <w:sz w:val="22"/>
        </w:rPr>
        <w:t> </w:t>
      </w:r>
      <w:r>
        <w:rPr>
          <w:sz w:val="22"/>
        </w:rPr>
        <w:t>Beresford SA, Weiss NS, Voigt LF, McKnight B. Risk of endometrial cancer in relation to use</w:t>
      </w:r>
      <w:r>
        <w:rPr>
          <w:spacing w:val="40"/>
          <w:sz w:val="22"/>
        </w:rPr>
        <w:t> </w:t>
      </w:r>
      <w:r>
        <w:rPr>
          <w:sz w:val="22"/>
        </w:rPr>
        <w:t>of oestrogen combined with cyclic progestagen therapy in postmenopausal women. </w:t>
      </w:r>
      <w:r>
        <w:rPr>
          <w:i/>
          <w:sz w:val="22"/>
        </w:rPr>
        <w:t>Lancet</w:t>
      </w:r>
      <w:r>
        <w:rPr>
          <w:sz w:val="22"/>
        </w:rPr>
        <w:t>. </w:t>
      </w:r>
      <w:r>
        <w:rPr>
          <w:spacing w:val="-2"/>
          <w:sz w:val="22"/>
        </w:rPr>
        <w:t>1997;349:458.</w:t>
      </w:r>
    </w:p>
    <w:p>
      <w:pPr>
        <w:spacing w:line="256" w:lineRule="auto" w:before="0"/>
        <w:ind w:left="718" w:right="111" w:hanging="619"/>
        <w:jc w:val="both"/>
        <w:rPr>
          <w:sz w:val="22"/>
        </w:rPr>
      </w:pPr>
      <w:r>
        <w:rPr>
          <w:sz w:val="22"/>
        </w:rPr>
        <w:t>1063. Weiderpass E, Adami HO, Baron JA, et al. Risk of endometrial cancer following estrogen replacement with and without progestins. </w:t>
      </w:r>
      <w:r>
        <w:rPr>
          <w:i/>
          <w:sz w:val="22"/>
        </w:rPr>
        <w:t>J Natl Cancer Inst</w:t>
      </w:r>
      <w:r>
        <w:rPr>
          <w:sz w:val="22"/>
        </w:rPr>
        <w:t>. 1999;91:1131.</w:t>
      </w:r>
    </w:p>
    <w:p>
      <w:pPr>
        <w:spacing w:line="256" w:lineRule="auto" w:before="0"/>
        <w:ind w:left="718" w:right="99" w:hanging="619"/>
        <w:jc w:val="both"/>
        <w:rPr>
          <w:sz w:val="22"/>
        </w:rPr>
      </w:pPr>
      <w:r>
        <w:rPr>
          <w:sz w:val="22"/>
        </w:rPr>
        <w:t>1064. Doherty JA, Cushing-Haugen KL, Saltzman BS, et al. Long-term use of postmenopausal</w:t>
      </w:r>
      <w:r>
        <w:rPr>
          <w:spacing w:val="40"/>
          <w:sz w:val="22"/>
        </w:rPr>
        <w:t> </w:t>
      </w:r>
      <w:r>
        <w:rPr>
          <w:sz w:val="22"/>
        </w:rPr>
        <w:t>estrogen and progestin hormone therapies and the risk of endometrial cancer. </w:t>
      </w:r>
      <w:r>
        <w:rPr>
          <w:i/>
          <w:sz w:val="22"/>
        </w:rPr>
        <w:t>Am J Obstet</w:t>
      </w:r>
      <w:r>
        <w:rPr>
          <w:i/>
          <w:sz w:val="22"/>
        </w:rPr>
        <w:t> Gynecol</w:t>
      </w:r>
      <w:r>
        <w:rPr>
          <w:sz w:val="22"/>
        </w:rPr>
        <w:t>. 2007;197:139.e1.</w:t>
      </w:r>
    </w:p>
    <w:p>
      <w:pPr>
        <w:spacing w:line="256" w:lineRule="auto" w:before="0"/>
        <w:ind w:left="718" w:right="109" w:hanging="619"/>
        <w:jc w:val="both"/>
        <w:rPr>
          <w:sz w:val="22"/>
        </w:rPr>
      </w:pPr>
      <w:r>
        <w:rPr>
          <w:sz w:val="22"/>
        </w:rPr>
        <w:t>1065. Flowers CE, Wilborn WH, Hyde BM. Mechanisms of uterine bleeding in </w:t>
      </w:r>
      <w:r>
        <w:rPr>
          <w:sz w:val="22"/>
        </w:rPr>
        <w:t>postmenopausal patients receiving estrogen alone or with a progestin. </w:t>
      </w:r>
      <w:r>
        <w:rPr>
          <w:i/>
          <w:sz w:val="22"/>
        </w:rPr>
        <w:t>Obstet Gynecol</w:t>
      </w:r>
      <w:r>
        <w:rPr>
          <w:sz w:val="22"/>
        </w:rPr>
        <w:t>. 1983;61:135.</w:t>
      </w:r>
    </w:p>
    <w:p>
      <w:pPr>
        <w:spacing w:line="256" w:lineRule="auto" w:before="0"/>
        <w:ind w:left="718" w:right="104" w:hanging="619"/>
        <w:jc w:val="both"/>
        <w:rPr>
          <w:sz w:val="22"/>
        </w:rPr>
      </w:pPr>
      <w:r>
        <w:rPr>
          <w:sz w:val="22"/>
        </w:rPr>
        <w:t>1066.</w:t>
      </w:r>
      <w:r>
        <w:rPr>
          <w:spacing w:val="40"/>
          <w:sz w:val="22"/>
        </w:rPr>
        <w:t> </w:t>
      </w:r>
      <w:r>
        <w:rPr>
          <w:sz w:val="22"/>
        </w:rPr>
        <w:t>Hill DA, Weiss NS, Beresford SA, et al. Continuous combined hormone replacement </w:t>
      </w:r>
      <w:r>
        <w:rPr>
          <w:sz w:val="22"/>
        </w:rPr>
        <w:t>therapy</w:t>
      </w:r>
      <w:r>
        <w:rPr>
          <w:spacing w:val="40"/>
          <w:sz w:val="22"/>
        </w:rPr>
        <w:t> </w:t>
      </w:r>
      <w:r>
        <w:rPr>
          <w:sz w:val="22"/>
        </w:rPr>
        <w:t>and risk of endometrial cancer. </w:t>
      </w:r>
      <w:r>
        <w:rPr>
          <w:i/>
          <w:sz w:val="22"/>
        </w:rPr>
        <w:t>Am J Obstet Gynecol</w:t>
      </w:r>
      <w:r>
        <w:rPr>
          <w:sz w:val="22"/>
        </w:rPr>
        <w:t>. 2000;183:1456.</w:t>
      </w:r>
    </w:p>
    <w:p>
      <w:pPr>
        <w:spacing w:line="256" w:lineRule="auto" w:before="0"/>
        <w:ind w:left="718" w:right="105" w:hanging="619"/>
        <w:jc w:val="both"/>
        <w:rPr>
          <w:sz w:val="22"/>
        </w:rPr>
      </w:pPr>
      <w:r>
        <w:rPr>
          <w:sz w:val="22"/>
        </w:rPr>
        <w:t>1067.</w:t>
      </w:r>
      <w:r>
        <w:rPr>
          <w:spacing w:val="40"/>
          <w:sz w:val="22"/>
        </w:rPr>
        <w:t> </w:t>
      </w:r>
      <w:r>
        <w:rPr>
          <w:sz w:val="22"/>
        </w:rPr>
        <w:t>Anderson</w:t>
      </w:r>
      <w:r>
        <w:rPr>
          <w:spacing w:val="28"/>
          <w:sz w:val="22"/>
        </w:rPr>
        <w:t> </w:t>
      </w:r>
      <w:r>
        <w:rPr>
          <w:sz w:val="22"/>
        </w:rPr>
        <w:t>GL,</w:t>
      </w:r>
      <w:r>
        <w:rPr>
          <w:spacing w:val="28"/>
          <w:sz w:val="22"/>
        </w:rPr>
        <w:t> </w:t>
      </w:r>
      <w:r>
        <w:rPr>
          <w:sz w:val="22"/>
        </w:rPr>
        <w:t>Judd</w:t>
      </w:r>
      <w:r>
        <w:rPr>
          <w:spacing w:val="28"/>
          <w:sz w:val="22"/>
        </w:rPr>
        <w:t> </w:t>
      </w:r>
      <w:r>
        <w:rPr>
          <w:sz w:val="22"/>
        </w:rPr>
        <w:t>HL,</w:t>
      </w:r>
      <w:r>
        <w:rPr>
          <w:spacing w:val="28"/>
          <w:sz w:val="22"/>
        </w:rPr>
        <w:t> </w:t>
      </w:r>
      <w:r>
        <w:rPr>
          <w:sz w:val="22"/>
        </w:rPr>
        <w:t>Kaunitz</w:t>
      </w:r>
      <w:r>
        <w:rPr>
          <w:spacing w:val="28"/>
          <w:sz w:val="22"/>
        </w:rPr>
        <w:t> </w:t>
      </w:r>
      <w:r>
        <w:rPr>
          <w:sz w:val="22"/>
        </w:rPr>
        <w:t>AM,</w:t>
      </w:r>
      <w:r>
        <w:rPr>
          <w:spacing w:val="28"/>
          <w:sz w:val="22"/>
        </w:rPr>
        <w:t> </w:t>
      </w:r>
      <w:r>
        <w:rPr>
          <w:sz w:val="22"/>
        </w:rPr>
        <w:t>et</w:t>
      </w:r>
      <w:r>
        <w:rPr>
          <w:spacing w:val="28"/>
          <w:sz w:val="22"/>
        </w:rPr>
        <w:t> </w:t>
      </w:r>
      <w:r>
        <w:rPr>
          <w:sz w:val="22"/>
        </w:rPr>
        <w:t>al;</w:t>
      </w:r>
      <w:r>
        <w:rPr>
          <w:spacing w:val="28"/>
          <w:sz w:val="22"/>
        </w:rPr>
        <w:t> </w:t>
      </w:r>
      <w:r>
        <w:rPr>
          <w:sz w:val="22"/>
        </w:rPr>
        <w:t>Women’s</w:t>
      </w:r>
      <w:r>
        <w:rPr>
          <w:spacing w:val="28"/>
          <w:sz w:val="22"/>
        </w:rPr>
        <w:t> </w:t>
      </w:r>
      <w:r>
        <w:rPr>
          <w:sz w:val="22"/>
        </w:rPr>
        <w:t>Health</w:t>
      </w:r>
      <w:r>
        <w:rPr>
          <w:spacing w:val="28"/>
          <w:sz w:val="22"/>
        </w:rPr>
        <w:t> </w:t>
      </w:r>
      <w:r>
        <w:rPr>
          <w:sz w:val="22"/>
        </w:rPr>
        <w:t>Initiative</w:t>
      </w:r>
      <w:r>
        <w:rPr>
          <w:spacing w:val="28"/>
          <w:sz w:val="22"/>
        </w:rPr>
        <w:t> </w:t>
      </w:r>
      <w:r>
        <w:rPr>
          <w:sz w:val="22"/>
        </w:rPr>
        <w:t>Investigators.</w:t>
      </w:r>
      <w:r>
        <w:rPr>
          <w:spacing w:val="27"/>
          <w:sz w:val="22"/>
        </w:rPr>
        <w:t> </w:t>
      </w:r>
      <w:r>
        <w:rPr>
          <w:sz w:val="22"/>
        </w:rPr>
        <w:t>Effects of estrogen plus progestin on gynecologic cancers and associated diagnostic procedures: the Women’s Health Initiative randomized trial. </w:t>
      </w:r>
      <w:r>
        <w:rPr>
          <w:i/>
          <w:sz w:val="22"/>
        </w:rPr>
        <w:t>JAMA</w:t>
      </w:r>
      <w:r>
        <w:rPr>
          <w:sz w:val="22"/>
        </w:rPr>
        <w:t>. 2003;290:1739.</w:t>
      </w:r>
    </w:p>
    <w:p>
      <w:pPr>
        <w:spacing w:line="256" w:lineRule="auto" w:before="0"/>
        <w:ind w:left="718" w:right="103" w:hanging="619"/>
        <w:jc w:val="both"/>
        <w:rPr>
          <w:sz w:val="22"/>
        </w:rPr>
      </w:pPr>
      <w:r>
        <w:rPr>
          <w:sz w:val="22"/>
        </w:rPr>
        <w:t>1068.</w:t>
      </w:r>
      <w:r>
        <w:rPr>
          <w:spacing w:val="40"/>
          <w:sz w:val="22"/>
        </w:rPr>
        <w:t> </w:t>
      </w:r>
      <w:r>
        <w:rPr>
          <w:sz w:val="22"/>
        </w:rPr>
        <w:t>Kaaks R, Lukanova A, Kurzer MS. Obesity,</w:t>
      </w:r>
      <w:r>
        <w:rPr>
          <w:spacing w:val="38"/>
          <w:sz w:val="22"/>
        </w:rPr>
        <w:t> </w:t>
      </w:r>
      <w:r>
        <w:rPr>
          <w:sz w:val="22"/>
        </w:rPr>
        <w:t>endogenous</w:t>
      </w:r>
      <w:r>
        <w:rPr>
          <w:spacing w:val="38"/>
          <w:sz w:val="22"/>
        </w:rPr>
        <w:t> </w:t>
      </w:r>
      <w:r>
        <w:rPr>
          <w:sz w:val="22"/>
        </w:rPr>
        <w:t>hormones,</w:t>
      </w:r>
      <w:r>
        <w:rPr>
          <w:spacing w:val="38"/>
          <w:sz w:val="22"/>
        </w:rPr>
        <w:t> </w:t>
      </w:r>
      <w:r>
        <w:rPr>
          <w:sz w:val="22"/>
        </w:rPr>
        <w:t>and</w:t>
      </w:r>
      <w:r>
        <w:rPr>
          <w:spacing w:val="38"/>
          <w:sz w:val="22"/>
        </w:rPr>
        <w:t> </w:t>
      </w:r>
      <w:r>
        <w:rPr>
          <w:sz w:val="22"/>
        </w:rPr>
        <w:t>endometrial</w:t>
      </w:r>
      <w:r>
        <w:rPr>
          <w:spacing w:val="38"/>
          <w:sz w:val="22"/>
        </w:rPr>
        <w:t> </w:t>
      </w:r>
      <w:r>
        <w:rPr>
          <w:sz w:val="22"/>
        </w:rPr>
        <w:t>cancer risk: a synthetic review. </w:t>
      </w:r>
      <w:r>
        <w:rPr>
          <w:i/>
          <w:sz w:val="22"/>
        </w:rPr>
        <w:t>Cancer Epidemiol Biomarkers Prev</w:t>
      </w:r>
      <w:r>
        <w:rPr>
          <w:sz w:val="22"/>
        </w:rPr>
        <w:t>. 2002;11(12):1531-1543.</w:t>
      </w:r>
    </w:p>
    <w:p>
      <w:pPr>
        <w:spacing w:line="256" w:lineRule="auto" w:before="0"/>
        <w:ind w:left="718" w:right="98" w:hanging="619"/>
        <w:jc w:val="both"/>
        <w:rPr>
          <w:sz w:val="22"/>
        </w:rPr>
      </w:pPr>
      <w:r>
        <w:rPr>
          <w:sz w:val="22"/>
        </w:rPr>
        <w:t>1069.</w:t>
      </w:r>
      <w:r>
        <w:rPr>
          <w:spacing w:val="40"/>
          <w:sz w:val="22"/>
        </w:rPr>
        <w:t> </w:t>
      </w:r>
      <w:r>
        <w:rPr>
          <w:sz w:val="22"/>
        </w:rPr>
        <w:t>Fournier A, Dossus L, Mesrine S, et al. Risks of endometrial cancer associated with </w:t>
      </w:r>
      <w:r>
        <w:rPr>
          <w:sz w:val="22"/>
        </w:rPr>
        <w:t>different hormone replacement therapies in the E3N cohort, 1992-2008. </w:t>
      </w:r>
      <w:r>
        <w:rPr>
          <w:i/>
          <w:sz w:val="22"/>
        </w:rPr>
        <w:t>Am J Epidemiol</w:t>
      </w:r>
      <w:r>
        <w:rPr>
          <w:sz w:val="22"/>
        </w:rPr>
        <w:t>.</w:t>
      </w:r>
      <w:r>
        <w:rPr>
          <w:spacing w:val="40"/>
          <w:sz w:val="22"/>
        </w:rPr>
        <w:t> </w:t>
      </w:r>
      <w:r>
        <w:rPr>
          <w:spacing w:val="-2"/>
          <w:sz w:val="22"/>
        </w:rPr>
        <w:t>2014;180(5):508.</w:t>
      </w:r>
    </w:p>
    <w:p>
      <w:pPr>
        <w:spacing w:line="256" w:lineRule="auto" w:before="0"/>
        <w:ind w:left="718" w:right="112" w:hanging="619"/>
        <w:jc w:val="both"/>
        <w:rPr>
          <w:sz w:val="22"/>
        </w:rPr>
      </w:pPr>
      <w:r>
        <w:rPr>
          <w:sz w:val="22"/>
        </w:rPr>
        <w:t>1070.</w:t>
      </w:r>
      <w:r>
        <w:rPr>
          <w:spacing w:val="40"/>
          <w:sz w:val="22"/>
        </w:rPr>
        <w:t> </w:t>
      </w:r>
      <w:r>
        <w:rPr>
          <w:sz w:val="22"/>
        </w:rPr>
        <w:t>Rodriguez C, Patel AV, Calle EE, Jacob EJ, Thun MJ. Estrogen replacement therapy and</w:t>
      </w:r>
      <w:r>
        <w:rPr>
          <w:spacing w:val="40"/>
          <w:sz w:val="22"/>
        </w:rPr>
        <w:t> </w:t>
      </w:r>
      <w:r>
        <w:rPr>
          <w:sz w:val="22"/>
        </w:rPr>
        <w:t>ovarian cancer mortality in a large prospective study of US women. </w:t>
      </w:r>
      <w:r>
        <w:rPr>
          <w:i/>
          <w:sz w:val="22"/>
        </w:rPr>
        <w:t>JAMA</w:t>
      </w:r>
      <w:r>
        <w:rPr>
          <w:sz w:val="22"/>
        </w:rPr>
        <w:t>. 2001;285:1460.</w:t>
      </w:r>
    </w:p>
    <w:p>
      <w:pPr>
        <w:spacing w:line="256" w:lineRule="auto" w:before="0"/>
        <w:ind w:left="718" w:right="109" w:hanging="619"/>
        <w:jc w:val="both"/>
        <w:rPr>
          <w:sz w:val="22"/>
        </w:rPr>
      </w:pPr>
      <w:r>
        <w:rPr>
          <w:sz w:val="22"/>
        </w:rPr>
        <w:t>1071.</w:t>
      </w:r>
      <w:r>
        <w:rPr>
          <w:spacing w:val="40"/>
          <w:sz w:val="22"/>
        </w:rPr>
        <w:t> </w:t>
      </w:r>
      <w:r>
        <w:rPr>
          <w:sz w:val="22"/>
        </w:rPr>
        <w:t>Lacey JV Jr, Mink PJ, Lubin JH, et al. Menopausal hormone replacement therapy and risk of ovarian cancer. </w:t>
      </w:r>
      <w:r>
        <w:rPr>
          <w:i/>
          <w:sz w:val="22"/>
        </w:rPr>
        <w:t>JAMA</w:t>
      </w:r>
      <w:r>
        <w:rPr>
          <w:sz w:val="22"/>
        </w:rPr>
        <w:t>. 2002;288:334.</w:t>
      </w:r>
    </w:p>
    <w:p>
      <w:pPr>
        <w:spacing w:line="252" w:lineRule="exact" w:before="0"/>
        <w:ind w:left="99" w:right="0" w:firstLine="0"/>
        <w:jc w:val="both"/>
        <w:rPr>
          <w:sz w:val="22"/>
        </w:rPr>
      </w:pPr>
      <w:r>
        <w:rPr>
          <w:sz w:val="22"/>
        </w:rPr>
        <w:t>1072.</w:t>
      </w:r>
      <w:r>
        <w:rPr>
          <w:spacing w:val="57"/>
          <w:sz w:val="22"/>
        </w:rPr>
        <w:t> </w:t>
      </w:r>
      <w:r>
        <w:rPr>
          <w:sz w:val="22"/>
        </w:rPr>
        <w:t>Folsom</w:t>
      </w:r>
      <w:r>
        <w:rPr>
          <w:spacing w:val="55"/>
          <w:w w:val="150"/>
          <w:sz w:val="22"/>
        </w:rPr>
        <w:t> </w:t>
      </w:r>
      <w:r>
        <w:rPr>
          <w:sz w:val="22"/>
        </w:rPr>
        <w:t>AR,</w:t>
      </w:r>
      <w:r>
        <w:rPr>
          <w:spacing w:val="55"/>
          <w:w w:val="150"/>
          <w:sz w:val="22"/>
        </w:rPr>
        <w:t> </w:t>
      </w:r>
      <w:r>
        <w:rPr>
          <w:sz w:val="22"/>
        </w:rPr>
        <w:t>Anderson</w:t>
      </w:r>
      <w:r>
        <w:rPr>
          <w:spacing w:val="55"/>
          <w:w w:val="150"/>
          <w:sz w:val="22"/>
        </w:rPr>
        <w:t> </w:t>
      </w:r>
      <w:r>
        <w:rPr>
          <w:sz w:val="22"/>
        </w:rPr>
        <w:t>JP,</w:t>
      </w:r>
      <w:r>
        <w:rPr>
          <w:spacing w:val="55"/>
          <w:w w:val="150"/>
          <w:sz w:val="22"/>
        </w:rPr>
        <w:t> </w:t>
      </w:r>
      <w:r>
        <w:rPr>
          <w:sz w:val="22"/>
        </w:rPr>
        <w:t>Ross</w:t>
      </w:r>
      <w:r>
        <w:rPr>
          <w:spacing w:val="55"/>
          <w:w w:val="150"/>
          <w:sz w:val="22"/>
        </w:rPr>
        <w:t> </w:t>
      </w:r>
      <w:r>
        <w:rPr>
          <w:sz w:val="22"/>
        </w:rPr>
        <w:t>JA.</w:t>
      </w:r>
      <w:r>
        <w:rPr>
          <w:spacing w:val="55"/>
          <w:w w:val="150"/>
          <w:sz w:val="22"/>
        </w:rPr>
        <w:t> </w:t>
      </w:r>
      <w:r>
        <w:rPr>
          <w:sz w:val="22"/>
        </w:rPr>
        <w:t>Estrogen</w:t>
      </w:r>
      <w:r>
        <w:rPr>
          <w:spacing w:val="58"/>
          <w:w w:val="150"/>
          <w:sz w:val="22"/>
        </w:rPr>
        <w:t> </w:t>
      </w:r>
      <w:r>
        <w:rPr>
          <w:sz w:val="22"/>
        </w:rPr>
        <w:t>replacement</w:t>
      </w:r>
      <w:r>
        <w:rPr>
          <w:spacing w:val="58"/>
          <w:w w:val="150"/>
          <w:sz w:val="22"/>
        </w:rPr>
        <w:t> </w:t>
      </w:r>
      <w:r>
        <w:rPr>
          <w:sz w:val="22"/>
        </w:rPr>
        <w:t>therapy</w:t>
      </w:r>
      <w:r>
        <w:rPr>
          <w:spacing w:val="58"/>
          <w:w w:val="150"/>
          <w:sz w:val="22"/>
        </w:rPr>
        <w:t> </w:t>
      </w:r>
      <w:r>
        <w:rPr>
          <w:sz w:val="22"/>
        </w:rPr>
        <w:t>and</w:t>
      </w:r>
      <w:r>
        <w:rPr>
          <w:spacing w:val="58"/>
          <w:w w:val="150"/>
          <w:sz w:val="22"/>
        </w:rPr>
        <w:t> </w:t>
      </w:r>
      <w:r>
        <w:rPr>
          <w:sz w:val="22"/>
        </w:rPr>
        <w:t>ovarian</w:t>
      </w:r>
      <w:r>
        <w:rPr>
          <w:spacing w:val="58"/>
          <w:w w:val="150"/>
          <w:sz w:val="22"/>
        </w:rPr>
        <w:t> </w:t>
      </w:r>
      <w:r>
        <w:rPr>
          <w:spacing w:val="-2"/>
          <w:sz w:val="22"/>
        </w:rPr>
        <w:t>cancer.</w:t>
      </w:r>
    </w:p>
    <w:p>
      <w:pPr>
        <w:spacing w:before="0"/>
        <w:ind w:left="718" w:right="0" w:firstLine="0"/>
        <w:jc w:val="both"/>
        <w:rPr>
          <w:sz w:val="22"/>
        </w:rPr>
      </w:pPr>
      <w:r>
        <w:rPr>
          <w:i/>
          <w:sz w:val="22"/>
        </w:rPr>
        <w:t>Epidemiology</w:t>
      </w:r>
      <w:r>
        <w:rPr>
          <w:sz w:val="22"/>
        </w:rPr>
        <w:t>.</w:t>
      </w:r>
      <w:r>
        <w:rPr>
          <w:spacing w:val="26"/>
          <w:sz w:val="22"/>
        </w:rPr>
        <w:t> </w:t>
      </w:r>
      <w:r>
        <w:rPr>
          <w:spacing w:val="-2"/>
          <w:sz w:val="22"/>
        </w:rPr>
        <w:t>2004;15:100.</w:t>
      </w:r>
    </w:p>
    <w:p>
      <w:pPr>
        <w:spacing w:line="256" w:lineRule="auto" w:before="14"/>
        <w:ind w:left="718" w:right="102" w:hanging="619"/>
        <w:jc w:val="both"/>
        <w:rPr>
          <w:sz w:val="22"/>
        </w:rPr>
      </w:pPr>
      <w:r>
        <w:rPr>
          <w:sz w:val="22"/>
        </w:rPr>
        <w:t>1073.</w:t>
      </w:r>
      <w:r>
        <w:rPr>
          <w:spacing w:val="40"/>
          <w:sz w:val="22"/>
        </w:rPr>
        <w:t> </w:t>
      </w:r>
      <w:r>
        <w:rPr>
          <w:sz w:val="22"/>
        </w:rPr>
        <w:t>Lacey</w:t>
      </w:r>
      <w:r>
        <w:rPr>
          <w:spacing w:val="40"/>
          <w:sz w:val="22"/>
        </w:rPr>
        <w:t> </w:t>
      </w:r>
      <w:r>
        <w:rPr>
          <w:sz w:val="22"/>
        </w:rPr>
        <w:t>JV</w:t>
      </w:r>
      <w:r>
        <w:rPr>
          <w:spacing w:val="40"/>
          <w:sz w:val="22"/>
        </w:rPr>
        <w:t> </w:t>
      </w:r>
      <w:r>
        <w:rPr>
          <w:sz w:val="22"/>
        </w:rPr>
        <w:t>Jr,</w:t>
      </w:r>
      <w:r>
        <w:rPr>
          <w:spacing w:val="40"/>
          <w:sz w:val="22"/>
        </w:rPr>
        <w:t> </w:t>
      </w:r>
      <w:r>
        <w:rPr>
          <w:sz w:val="22"/>
        </w:rPr>
        <w:t>Brinton</w:t>
      </w:r>
      <w:r>
        <w:rPr>
          <w:spacing w:val="40"/>
          <w:sz w:val="22"/>
        </w:rPr>
        <w:t> </w:t>
      </w:r>
      <w:r>
        <w:rPr>
          <w:sz w:val="22"/>
        </w:rPr>
        <w:t>LA,</w:t>
      </w:r>
      <w:r>
        <w:rPr>
          <w:spacing w:val="40"/>
          <w:sz w:val="22"/>
        </w:rPr>
        <w:t> </w:t>
      </w:r>
      <w:r>
        <w:rPr>
          <w:sz w:val="22"/>
        </w:rPr>
        <w:t>Letizmann</w:t>
      </w:r>
      <w:r>
        <w:rPr>
          <w:spacing w:val="40"/>
          <w:sz w:val="22"/>
        </w:rPr>
        <w:t> </w:t>
      </w:r>
      <w:r>
        <w:rPr>
          <w:sz w:val="22"/>
        </w:rPr>
        <w:t>MF,</w:t>
      </w:r>
      <w:r>
        <w:rPr>
          <w:spacing w:val="40"/>
          <w:sz w:val="22"/>
        </w:rPr>
        <w:t> </w:t>
      </w:r>
      <w:r>
        <w:rPr>
          <w:sz w:val="22"/>
        </w:rPr>
        <w:t>et</w:t>
      </w:r>
      <w:r>
        <w:rPr>
          <w:spacing w:val="40"/>
          <w:sz w:val="22"/>
        </w:rPr>
        <w:t> </w:t>
      </w:r>
      <w:r>
        <w:rPr>
          <w:sz w:val="22"/>
        </w:rPr>
        <w:t>al.</w:t>
      </w:r>
      <w:r>
        <w:rPr>
          <w:spacing w:val="40"/>
          <w:sz w:val="22"/>
        </w:rPr>
        <w:t> </w:t>
      </w:r>
      <w:r>
        <w:rPr>
          <w:sz w:val="22"/>
        </w:rPr>
        <w:t>Menopausal</w:t>
      </w:r>
      <w:r>
        <w:rPr>
          <w:spacing w:val="40"/>
          <w:sz w:val="22"/>
        </w:rPr>
        <w:t> </w:t>
      </w:r>
      <w:r>
        <w:rPr>
          <w:sz w:val="22"/>
        </w:rPr>
        <w:t>hormone</w:t>
      </w:r>
      <w:r>
        <w:rPr>
          <w:spacing w:val="40"/>
          <w:sz w:val="22"/>
        </w:rPr>
        <w:t> </w:t>
      </w:r>
      <w:r>
        <w:rPr>
          <w:sz w:val="22"/>
        </w:rPr>
        <w:t>therapy</w:t>
      </w:r>
      <w:r>
        <w:rPr>
          <w:spacing w:val="40"/>
          <w:sz w:val="22"/>
        </w:rPr>
        <w:t> </w:t>
      </w:r>
      <w:r>
        <w:rPr>
          <w:sz w:val="22"/>
        </w:rPr>
        <w:t>and</w:t>
      </w:r>
      <w:r>
        <w:rPr>
          <w:spacing w:val="40"/>
          <w:sz w:val="22"/>
        </w:rPr>
        <w:t> </w:t>
      </w:r>
      <w:r>
        <w:rPr>
          <w:sz w:val="22"/>
        </w:rPr>
        <w:t>ovarian cancer risk in the National Institutes of Health—AARP Diet and Health Study Cohort. </w:t>
      </w:r>
      <w:r>
        <w:rPr>
          <w:i/>
          <w:sz w:val="22"/>
        </w:rPr>
        <w:t>J Natl</w:t>
      </w:r>
      <w:r>
        <w:rPr>
          <w:i/>
          <w:sz w:val="22"/>
        </w:rPr>
        <w:t> Cancer Inst</w:t>
      </w:r>
      <w:r>
        <w:rPr>
          <w:sz w:val="22"/>
        </w:rPr>
        <w:t>. 2006;98:1397.</w:t>
      </w:r>
    </w:p>
    <w:p>
      <w:pPr>
        <w:spacing w:line="256" w:lineRule="auto" w:before="0"/>
        <w:ind w:left="718" w:right="107" w:hanging="619"/>
        <w:jc w:val="both"/>
        <w:rPr>
          <w:sz w:val="22"/>
        </w:rPr>
      </w:pPr>
      <w:r>
        <w:rPr>
          <w:sz w:val="22"/>
        </w:rPr>
        <w:t>1074.</w:t>
      </w:r>
      <w:r>
        <w:rPr>
          <w:spacing w:val="40"/>
          <w:sz w:val="22"/>
        </w:rPr>
        <w:t> </w:t>
      </w:r>
      <w:r>
        <w:rPr>
          <w:sz w:val="22"/>
        </w:rPr>
        <w:t>Danforth KN, Tworoger SS, Hecht JL, Rosner BA, Colditz GA, Hankinson SE. A </w:t>
      </w:r>
      <w:r>
        <w:rPr>
          <w:sz w:val="22"/>
        </w:rPr>
        <w:t>prospective study of postmenopausal hormone use and ovarian cancer risk. </w:t>
      </w:r>
      <w:r>
        <w:rPr>
          <w:i/>
          <w:sz w:val="22"/>
        </w:rPr>
        <w:t>Br J Cancer</w:t>
      </w:r>
      <w:r>
        <w:rPr>
          <w:sz w:val="22"/>
        </w:rPr>
        <w:t>. 2007;96:151.</w:t>
      </w:r>
    </w:p>
    <w:p>
      <w:pPr>
        <w:spacing w:line="256" w:lineRule="auto" w:before="0"/>
        <w:ind w:left="718" w:right="102" w:hanging="619"/>
        <w:jc w:val="both"/>
        <w:rPr>
          <w:sz w:val="22"/>
        </w:rPr>
      </w:pPr>
      <w:r>
        <w:rPr>
          <w:sz w:val="22"/>
        </w:rPr>
        <w:t>1075.</w:t>
      </w:r>
      <w:r>
        <w:rPr>
          <w:spacing w:val="40"/>
          <w:sz w:val="22"/>
        </w:rPr>
        <w:t> </w:t>
      </w:r>
      <w:r>
        <w:rPr>
          <w:sz w:val="22"/>
        </w:rPr>
        <w:t>Million Women Study Collaborators. Ovarian cancer and hormone replacement therapy in the Million Women Study. </w:t>
      </w:r>
      <w:r>
        <w:rPr>
          <w:i/>
          <w:sz w:val="22"/>
        </w:rPr>
        <w:t>Lancet</w:t>
      </w:r>
      <w:r>
        <w:rPr>
          <w:sz w:val="22"/>
        </w:rPr>
        <w:t>. 2007;369:1703.</w:t>
      </w:r>
    </w:p>
    <w:p>
      <w:pPr>
        <w:spacing w:line="256" w:lineRule="auto" w:before="0"/>
        <w:ind w:left="718" w:right="109" w:hanging="619"/>
        <w:jc w:val="both"/>
        <w:rPr>
          <w:sz w:val="22"/>
        </w:rPr>
      </w:pPr>
      <w:r>
        <w:rPr>
          <w:sz w:val="22"/>
        </w:rPr>
        <w:t>1076.</w:t>
      </w:r>
      <w:r>
        <w:rPr>
          <w:spacing w:val="40"/>
          <w:sz w:val="22"/>
        </w:rPr>
        <w:t> </w:t>
      </w:r>
      <w:r>
        <w:rPr>
          <w:sz w:val="22"/>
        </w:rPr>
        <w:t>Mørch</w:t>
      </w:r>
      <w:r>
        <w:rPr>
          <w:spacing w:val="40"/>
          <w:sz w:val="22"/>
        </w:rPr>
        <w:t> </w:t>
      </w:r>
      <w:r>
        <w:rPr>
          <w:sz w:val="22"/>
        </w:rPr>
        <w:t>LS,</w:t>
      </w:r>
      <w:r>
        <w:rPr>
          <w:spacing w:val="40"/>
          <w:sz w:val="22"/>
        </w:rPr>
        <w:t> </w:t>
      </w:r>
      <w:r>
        <w:rPr>
          <w:sz w:val="22"/>
        </w:rPr>
        <w:t>Løkkegaard</w:t>
      </w:r>
      <w:r>
        <w:rPr>
          <w:spacing w:val="40"/>
          <w:sz w:val="22"/>
        </w:rPr>
        <w:t> </w:t>
      </w:r>
      <w:r>
        <w:rPr>
          <w:sz w:val="22"/>
        </w:rPr>
        <w:t>E,</w:t>
      </w:r>
      <w:r>
        <w:rPr>
          <w:spacing w:val="40"/>
          <w:sz w:val="22"/>
        </w:rPr>
        <w:t> </w:t>
      </w:r>
      <w:r>
        <w:rPr>
          <w:sz w:val="22"/>
        </w:rPr>
        <w:t>Andreasen</w:t>
      </w:r>
      <w:r>
        <w:rPr>
          <w:spacing w:val="40"/>
          <w:sz w:val="22"/>
        </w:rPr>
        <w:t> </w:t>
      </w:r>
      <w:r>
        <w:rPr>
          <w:sz w:val="22"/>
        </w:rPr>
        <w:t>AH,</w:t>
      </w:r>
      <w:r>
        <w:rPr>
          <w:spacing w:val="40"/>
          <w:sz w:val="22"/>
        </w:rPr>
        <w:t> </w:t>
      </w:r>
      <w:r>
        <w:rPr>
          <w:sz w:val="22"/>
        </w:rPr>
        <w:t>Krüger-Kjaer</w:t>
      </w:r>
      <w:r>
        <w:rPr>
          <w:spacing w:val="40"/>
          <w:sz w:val="22"/>
        </w:rPr>
        <w:t> </w:t>
      </w:r>
      <w:r>
        <w:rPr>
          <w:sz w:val="22"/>
        </w:rPr>
        <w:t>S,</w:t>
      </w:r>
      <w:r>
        <w:rPr>
          <w:spacing w:val="40"/>
          <w:sz w:val="22"/>
        </w:rPr>
        <w:t> </w:t>
      </w:r>
      <w:r>
        <w:rPr>
          <w:sz w:val="22"/>
        </w:rPr>
        <w:t>Lidegaard</w:t>
      </w:r>
      <w:r>
        <w:rPr>
          <w:spacing w:val="40"/>
          <w:sz w:val="22"/>
        </w:rPr>
        <w:t> </w:t>
      </w:r>
      <w:r>
        <w:rPr>
          <w:sz w:val="22"/>
        </w:rPr>
        <w:t>Ø.</w:t>
      </w:r>
      <w:r>
        <w:rPr>
          <w:spacing w:val="40"/>
          <w:sz w:val="22"/>
        </w:rPr>
        <w:t> </w:t>
      </w:r>
      <w:r>
        <w:rPr>
          <w:sz w:val="22"/>
        </w:rPr>
        <w:t>Hormone</w:t>
      </w:r>
      <w:r>
        <w:rPr>
          <w:spacing w:val="40"/>
          <w:sz w:val="22"/>
        </w:rPr>
        <w:t> </w:t>
      </w:r>
      <w:r>
        <w:rPr>
          <w:sz w:val="22"/>
        </w:rPr>
        <w:t>therapy and ovarian cancer. </w:t>
      </w:r>
      <w:r>
        <w:rPr>
          <w:i/>
          <w:sz w:val="22"/>
        </w:rPr>
        <w:t>JAMA</w:t>
      </w:r>
      <w:r>
        <w:rPr>
          <w:sz w:val="22"/>
        </w:rPr>
        <w:t>. 2009;302:298.</w:t>
      </w:r>
    </w:p>
    <w:p>
      <w:pPr>
        <w:spacing w:line="256" w:lineRule="auto" w:before="0"/>
        <w:ind w:left="718" w:right="106" w:hanging="619"/>
        <w:jc w:val="both"/>
        <w:rPr>
          <w:sz w:val="22"/>
        </w:rPr>
      </w:pPr>
      <w:r>
        <w:rPr>
          <w:sz w:val="22"/>
        </w:rPr>
        <w:t>1077.</w:t>
      </w:r>
      <w:r>
        <w:rPr>
          <w:spacing w:val="40"/>
          <w:sz w:val="22"/>
        </w:rPr>
        <w:t> </w:t>
      </w:r>
      <w:r>
        <w:rPr>
          <w:sz w:val="22"/>
        </w:rPr>
        <w:t>Riman</w:t>
      </w:r>
      <w:r>
        <w:rPr>
          <w:spacing w:val="40"/>
          <w:sz w:val="22"/>
        </w:rPr>
        <w:t> </w:t>
      </w:r>
      <w:r>
        <w:rPr>
          <w:sz w:val="22"/>
        </w:rPr>
        <w:t>T,</w:t>
      </w:r>
      <w:r>
        <w:rPr>
          <w:spacing w:val="40"/>
          <w:sz w:val="22"/>
        </w:rPr>
        <w:t> </w:t>
      </w:r>
      <w:r>
        <w:rPr>
          <w:sz w:val="22"/>
        </w:rPr>
        <w:t>Dickman</w:t>
      </w:r>
      <w:r>
        <w:rPr>
          <w:spacing w:val="40"/>
          <w:sz w:val="22"/>
        </w:rPr>
        <w:t> </w:t>
      </w:r>
      <w:r>
        <w:rPr>
          <w:sz w:val="22"/>
        </w:rPr>
        <w:t>PW,</w:t>
      </w:r>
      <w:r>
        <w:rPr>
          <w:spacing w:val="40"/>
          <w:sz w:val="22"/>
        </w:rPr>
        <w:t> </w:t>
      </w:r>
      <w:r>
        <w:rPr>
          <w:sz w:val="22"/>
        </w:rPr>
        <w:t>Nilsson</w:t>
      </w:r>
      <w:r>
        <w:rPr>
          <w:spacing w:val="40"/>
          <w:sz w:val="22"/>
        </w:rPr>
        <w:t> </w:t>
      </w:r>
      <w:r>
        <w:rPr>
          <w:sz w:val="22"/>
        </w:rPr>
        <w:t>S,</w:t>
      </w:r>
      <w:r>
        <w:rPr>
          <w:spacing w:val="40"/>
          <w:sz w:val="22"/>
        </w:rPr>
        <w:t> </w:t>
      </w:r>
      <w:r>
        <w:rPr>
          <w:sz w:val="22"/>
        </w:rPr>
        <w:t>et</w:t>
      </w:r>
      <w:r>
        <w:rPr>
          <w:spacing w:val="40"/>
          <w:sz w:val="22"/>
        </w:rPr>
        <w:t> </w:t>
      </w:r>
      <w:r>
        <w:rPr>
          <w:sz w:val="22"/>
        </w:rPr>
        <w:t>al.</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the</w:t>
      </w:r>
      <w:r>
        <w:rPr>
          <w:spacing w:val="40"/>
          <w:sz w:val="22"/>
        </w:rPr>
        <w:t> </w:t>
      </w:r>
      <w:r>
        <w:rPr>
          <w:sz w:val="22"/>
        </w:rPr>
        <w:t>risk</w:t>
      </w:r>
      <w:r>
        <w:rPr>
          <w:spacing w:val="40"/>
          <w:sz w:val="22"/>
        </w:rPr>
        <w:t> </w:t>
      </w:r>
      <w:r>
        <w:rPr>
          <w:sz w:val="22"/>
        </w:rPr>
        <w:t>of invasive epithelial ovarian cancer in Swedish women. </w:t>
      </w:r>
      <w:r>
        <w:rPr>
          <w:i/>
          <w:sz w:val="22"/>
        </w:rPr>
        <w:t>J Natl Cancer Inst</w:t>
      </w:r>
      <w:r>
        <w:rPr>
          <w:sz w:val="22"/>
        </w:rPr>
        <w:t>. 2002;94:497.</w:t>
      </w:r>
    </w:p>
    <w:p>
      <w:pPr>
        <w:spacing w:line="256" w:lineRule="auto" w:before="0"/>
        <w:ind w:left="718" w:right="98" w:hanging="619"/>
        <w:jc w:val="both"/>
        <w:rPr>
          <w:sz w:val="22"/>
        </w:rPr>
      </w:pPr>
      <w:r>
        <w:rPr>
          <w:sz w:val="22"/>
        </w:rPr>
        <w:t>1078.</w:t>
      </w:r>
      <w:r>
        <w:rPr>
          <w:spacing w:val="40"/>
          <w:sz w:val="22"/>
        </w:rPr>
        <w:t> </w:t>
      </w:r>
      <w:r>
        <w:rPr>
          <w:sz w:val="22"/>
        </w:rPr>
        <w:t>Whittemore AS, Harris R, Itnyre J; the Collaborative Ovarian Cancer Group. Characteristics relating</w:t>
      </w:r>
      <w:r>
        <w:rPr>
          <w:spacing w:val="74"/>
          <w:sz w:val="22"/>
        </w:rPr>
        <w:t> </w:t>
      </w:r>
      <w:r>
        <w:rPr>
          <w:sz w:val="22"/>
        </w:rPr>
        <w:t>to</w:t>
      </w:r>
      <w:r>
        <w:rPr>
          <w:spacing w:val="74"/>
          <w:sz w:val="22"/>
        </w:rPr>
        <w:t> </w:t>
      </w:r>
      <w:r>
        <w:rPr>
          <w:sz w:val="22"/>
        </w:rPr>
        <w:t>ovarian</w:t>
      </w:r>
      <w:r>
        <w:rPr>
          <w:spacing w:val="74"/>
          <w:sz w:val="22"/>
        </w:rPr>
        <w:t> </w:t>
      </w:r>
      <w:r>
        <w:rPr>
          <w:sz w:val="22"/>
        </w:rPr>
        <w:t>cancer</w:t>
      </w:r>
      <w:r>
        <w:rPr>
          <w:spacing w:val="75"/>
          <w:sz w:val="22"/>
        </w:rPr>
        <w:t> </w:t>
      </w:r>
      <w:r>
        <w:rPr>
          <w:sz w:val="22"/>
        </w:rPr>
        <w:t>risk:</w:t>
      </w:r>
      <w:r>
        <w:rPr>
          <w:spacing w:val="74"/>
          <w:sz w:val="22"/>
        </w:rPr>
        <w:t> </w:t>
      </w:r>
      <w:r>
        <w:rPr>
          <w:sz w:val="22"/>
        </w:rPr>
        <w:t>collaborative</w:t>
      </w:r>
      <w:r>
        <w:rPr>
          <w:spacing w:val="74"/>
          <w:sz w:val="22"/>
        </w:rPr>
        <w:t> </w:t>
      </w:r>
      <w:r>
        <w:rPr>
          <w:sz w:val="22"/>
        </w:rPr>
        <w:t>analysis</w:t>
      </w:r>
      <w:r>
        <w:rPr>
          <w:spacing w:val="74"/>
          <w:sz w:val="22"/>
        </w:rPr>
        <w:t> </w:t>
      </w:r>
      <w:r>
        <w:rPr>
          <w:sz w:val="22"/>
        </w:rPr>
        <w:t>of</w:t>
      </w:r>
      <w:r>
        <w:rPr>
          <w:spacing w:val="75"/>
          <w:sz w:val="22"/>
        </w:rPr>
        <w:t> </w:t>
      </w:r>
      <w:r>
        <w:rPr>
          <w:sz w:val="22"/>
        </w:rPr>
        <w:t>12</w:t>
      </w:r>
      <w:r>
        <w:rPr>
          <w:spacing w:val="74"/>
          <w:sz w:val="22"/>
        </w:rPr>
        <w:t> </w:t>
      </w:r>
      <w:r>
        <w:rPr>
          <w:sz w:val="22"/>
        </w:rPr>
        <w:t>US</w:t>
      </w:r>
      <w:r>
        <w:rPr>
          <w:spacing w:val="74"/>
          <w:sz w:val="22"/>
        </w:rPr>
        <w:t> </w:t>
      </w:r>
      <w:r>
        <w:rPr>
          <w:sz w:val="22"/>
        </w:rPr>
        <w:t>case-control</w:t>
      </w:r>
      <w:r>
        <w:rPr>
          <w:spacing w:val="74"/>
          <w:sz w:val="22"/>
        </w:rPr>
        <w:t> </w:t>
      </w:r>
      <w:r>
        <w:rPr>
          <w:sz w:val="22"/>
        </w:rPr>
        <w:t>studies:</w:t>
      </w:r>
      <w:r>
        <w:rPr>
          <w:spacing w:val="75"/>
          <w:sz w:val="22"/>
        </w:rPr>
        <w:t> </w:t>
      </w:r>
      <w:r>
        <w:rPr>
          <w:spacing w:val="-5"/>
          <w:sz w:val="22"/>
        </w:rPr>
        <w:t>II.</w:t>
      </w:r>
    </w:p>
    <w:p>
      <w:pPr>
        <w:spacing w:after="0" w:line="256" w:lineRule="auto"/>
        <w:jc w:val="both"/>
        <w:rPr>
          <w:sz w:val="22"/>
        </w:rPr>
        <w:sectPr>
          <w:pgSz w:w="12240" w:h="15840"/>
          <w:pgMar w:top="1360" w:bottom="280" w:left="1440" w:right="1440"/>
        </w:sectPr>
      </w:pPr>
    </w:p>
    <w:p>
      <w:pPr>
        <w:spacing w:before="84"/>
        <w:ind w:left="718" w:right="0" w:firstLine="0"/>
        <w:jc w:val="both"/>
        <w:rPr>
          <w:sz w:val="22"/>
        </w:rPr>
      </w:pPr>
      <w:r>
        <w:rPr>
          <w:sz w:val="22"/>
        </w:rPr>
        <w:t>Invasive</w:t>
      </w:r>
      <w:r>
        <w:rPr>
          <w:spacing w:val="12"/>
          <w:sz w:val="22"/>
        </w:rPr>
        <w:t> </w:t>
      </w:r>
      <w:r>
        <w:rPr>
          <w:sz w:val="22"/>
        </w:rPr>
        <w:t>epithelial</w:t>
      </w:r>
      <w:r>
        <w:rPr>
          <w:spacing w:val="12"/>
          <w:sz w:val="22"/>
        </w:rPr>
        <w:t> </w:t>
      </w:r>
      <w:r>
        <w:rPr>
          <w:sz w:val="22"/>
        </w:rPr>
        <w:t>ovarian</w:t>
      </w:r>
      <w:r>
        <w:rPr>
          <w:spacing w:val="12"/>
          <w:sz w:val="22"/>
        </w:rPr>
        <w:t> </w:t>
      </w:r>
      <w:r>
        <w:rPr>
          <w:sz w:val="22"/>
        </w:rPr>
        <w:t>cancers</w:t>
      </w:r>
      <w:r>
        <w:rPr>
          <w:spacing w:val="12"/>
          <w:sz w:val="22"/>
        </w:rPr>
        <w:t> </w:t>
      </w:r>
      <w:r>
        <w:rPr>
          <w:sz w:val="22"/>
        </w:rPr>
        <w:t>in</w:t>
      </w:r>
      <w:r>
        <w:rPr>
          <w:spacing w:val="12"/>
          <w:sz w:val="22"/>
        </w:rPr>
        <w:t> </w:t>
      </w:r>
      <w:r>
        <w:rPr>
          <w:sz w:val="22"/>
        </w:rPr>
        <w:t>white</w:t>
      </w:r>
      <w:r>
        <w:rPr>
          <w:spacing w:val="12"/>
          <w:sz w:val="22"/>
        </w:rPr>
        <w:t> </w:t>
      </w:r>
      <w:r>
        <w:rPr>
          <w:sz w:val="22"/>
        </w:rPr>
        <w:t>women.</w:t>
      </w:r>
      <w:r>
        <w:rPr>
          <w:spacing w:val="12"/>
          <w:sz w:val="22"/>
        </w:rPr>
        <w:t> </w:t>
      </w:r>
      <w:r>
        <w:rPr>
          <w:i/>
          <w:sz w:val="22"/>
        </w:rPr>
        <w:t>Am</w:t>
      </w:r>
      <w:r>
        <w:rPr>
          <w:i/>
          <w:spacing w:val="12"/>
          <w:sz w:val="22"/>
        </w:rPr>
        <w:t> </w:t>
      </w:r>
      <w:r>
        <w:rPr>
          <w:i/>
          <w:sz w:val="22"/>
        </w:rPr>
        <w:t>J</w:t>
      </w:r>
      <w:r>
        <w:rPr>
          <w:i/>
          <w:spacing w:val="12"/>
          <w:sz w:val="22"/>
        </w:rPr>
        <w:t> </w:t>
      </w:r>
      <w:r>
        <w:rPr>
          <w:i/>
          <w:sz w:val="22"/>
        </w:rPr>
        <w:t>Epidemiol</w:t>
      </w:r>
      <w:r>
        <w:rPr>
          <w:sz w:val="22"/>
        </w:rPr>
        <w:t>.</w:t>
      </w:r>
      <w:r>
        <w:rPr>
          <w:spacing w:val="12"/>
          <w:sz w:val="22"/>
        </w:rPr>
        <w:t> </w:t>
      </w:r>
      <w:r>
        <w:rPr>
          <w:spacing w:val="-2"/>
          <w:sz w:val="22"/>
        </w:rPr>
        <w:t>1992;136:1184.</w:t>
      </w:r>
    </w:p>
    <w:p>
      <w:pPr>
        <w:spacing w:line="256" w:lineRule="auto" w:before="17"/>
        <w:ind w:left="718" w:right="103" w:hanging="619"/>
        <w:jc w:val="both"/>
        <w:rPr>
          <w:sz w:val="22"/>
        </w:rPr>
      </w:pPr>
      <w:r>
        <w:rPr>
          <w:sz w:val="22"/>
        </w:rPr>
        <w:t>1079. Garg PP, Kerlikowske K, Subak L, Grady D. Hormone replacement therapy and the risk of epithelial ovarian carcinoma: a meta-analysis. </w:t>
      </w:r>
      <w:r>
        <w:rPr>
          <w:i/>
          <w:sz w:val="22"/>
        </w:rPr>
        <w:t>Obstet Gynecol</w:t>
      </w:r>
      <w:r>
        <w:rPr>
          <w:sz w:val="22"/>
        </w:rPr>
        <w:t>. 1998;92:472.</w:t>
      </w:r>
    </w:p>
    <w:p>
      <w:pPr>
        <w:spacing w:line="256" w:lineRule="auto" w:before="0"/>
        <w:ind w:left="718" w:right="110" w:hanging="619"/>
        <w:jc w:val="both"/>
        <w:rPr>
          <w:sz w:val="22"/>
        </w:rPr>
      </w:pPr>
      <w:r>
        <w:rPr>
          <w:sz w:val="22"/>
        </w:rPr>
        <w:t>1080.</w:t>
      </w:r>
      <w:r>
        <w:rPr>
          <w:spacing w:val="40"/>
          <w:sz w:val="22"/>
        </w:rPr>
        <w:t> </w:t>
      </w:r>
      <w:r>
        <w:rPr>
          <w:sz w:val="22"/>
        </w:rPr>
        <w:t>Coughlin</w:t>
      </w:r>
      <w:r>
        <w:rPr>
          <w:spacing w:val="40"/>
          <w:sz w:val="22"/>
        </w:rPr>
        <w:t> </w:t>
      </w:r>
      <w:r>
        <w:rPr>
          <w:sz w:val="22"/>
        </w:rPr>
        <w:t>SS,</w:t>
      </w:r>
      <w:r>
        <w:rPr>
          <w:spacing w:val="40"/>
          <w:sz w:val="22"/>
        </w:rPr>
        <w:t> </w:t>
      </w:r>
      <w:r>
        <w:rPr>
          <w:sz w:val="22"/>
        </w:rPr>
        <w:t>Giustozzi</w:t>
      </w:r>
      <w:r>
        <w:rPr>
          <w:spacing w:val="40"/>
          <w:sz w:val="22"/>
        </w:rPr>
        <w:t> </w:t>
      </w:r>
      <w:r>
        <w:rPr>
          <w:sz w:val="22"/>
        </w:rPr>
        <w:t>A,</w:t>
      </w:r>
      <w:r>
        <w:rPr>
          <w:spacing w:val="40"/>
          <w:sz w:val="22"/>
        </w:rPr>
        <w:t> </w:t>
      </w:r>
      <w:r>
        <w:rPr>
          <w:sz w:val="22"/>
        </w:rPr>
        <w:t>Smith</w:t>
      </w:r>
      <w:r>
        <w:rPr>
          <w:spacing w:val="40"/>
          <w:sz w:val="22"/>
        </w:rPr>
        <w:t> </w:t>
      </w:r>
      <w:r>
        <w:rPr>
          <w:sz w:val="22"/>
        </w:rPr>
        <w:t>SJ,</w:t>
      </w:r>
      <w:r>
        <w:rPr>
          <w:spacing w:val="40"/>
          <w:sz w:val="22"/>
        </w:rPr>
        <w:t> </w:t>
      </w:r>
      <w:r>
        <w:rPr>
          <w:sz w:val="22"/>
        </w:rPr>
        <w:t>Lee</w:t>
      </w:r>
      <w:r>
        <w:rPr>
          <w:spacing w:val="40"/>
          <w:sz w:val="22"/>
        </w:rPr>
        <w:t> </w:t>
      </w:r>
      <w:r>
        <w:rPr>
          <w:sz w:val="22"/>
        </w:rPr>
        <w:t>NC.</w:t>
      </w:r>
      <w:r>
        <w:rPr>
          <w:spacing w:val="40"/>
          <w:sz w:val="22"/>
        </w:rPr>
        <w:t> </w:t>
      </w:r>
      <w:r>
        <w:rPr>
          <w:sz w:val="22"/>
        </w:rPr>
        <w:t>A</w:t>
      </w:r>
      <w:r>
        <w:rPr>
          <w:spacing w:val="40"/>
          <w:sz w:val="22"/>
        </w:rPr>
        <w:t> </w:t>
      </w:r>
      <w:r>
        <w:rPr>
          <w:sz w:val="22"/>
        </w:rPr>
        <w:t>meta-analysis</w:t>
      </w:r>
      <w:r>
        <w:rPr>
          <w:spacing w:val="40"/>
          <w:sz w:val="22"/>
        </w:rPr>
        <w:t> </w:t>
      </w:r>
      <w:r>
        <w:rPr>
          <w:sz w:val="22"/>
        </w:rPr>
        <w:t>of</w:t>
      </w:r>
      <w:r>
        <w:rPr>
          <w:spacing w:val="40"/>
          <w:sz w:val="22"/>
        </w:rPr>
        <w:t> </w:t>
      </w:r>
      <w:r>
        <w:rPr>
          <w:sz w:val="22"/>
        </w:rPr>
        <w:t>estrogen</w:t>
      </w:r>
      <w:r>
        <w:rPr>
          <w:spacing w:val="40"/>
          <w:sz w:val="22"/>
        </w:rPr>
        <w:t> </w:t>
      </w:r>
      <w:r>
        <w:rPr>
          <w:sz w:val="22"/>
        </w:rPr>
        <w:t>replacement therapy and risk of epithelial ovarian cancer. </w:t>
      </w:r>
      <w:r>
        <w:rPr>
          <w:i/>
          <w:sz w:val="22"/>
        </w:rPr>
        <w:t>J Clin Epidemiol</w:t>
      </w:r>
      <w:r>
        <w:rPr>
          <w:sz w:val="22"/>
        </w:rPr>
        <w:t>. 2000;53:367.</w:t>
      </w:r>
    </w:p>
    <w:p>
      <w:pPr>
        <w:spacing w:line="256" w:lineRule="auto" w:before="0"/>
        <w:ind w:left="718" w:right="101" w:hanging="619"/>
        <w:jc w:val="both"/>
        <w:rPr>
          <w:sz w:val="22"/>
        </w:rPr>
      </w:pPr>
      <w:r>
        <w:rPr>
          <w:sz w:val="22"/>
        </w:rPr>
        <w:t>1081.</w:t>
      </w:r>
      <w:r>
        <w:rPr>
          <w:spacing w:val="65"/>
          <w:sz w:val="22"/>
        </w:rPr>
        <w:t> </w:t>
      </w:r>
      <w:r>
        <w:rPr>
          <w:sz w:val="22"/>
        </w:rPr>
        <w:t>Hempling</w:t>
      </w:r>
      <w:r>
        <w:rPr>
          <w:spacing w:val="19"/>
          <w:sz w:val="22"/>
        </w:rPr>
        <w:t> </w:t>
      </w:r>
      <w:r>
        <w:rPr>
          <w:sz w:val="22"/>
        </w:rPr>
        <w:t>RE,</w:t>
      </w:r>
      <w:r>
        <w:rPr>
          <w:spacing w:val="19"/>
          <w:sz w:val="22"/>
        </w:rPr>
        <w:t> </w:t>
      </w:r>
      <w:r>
        <w:rPr>
          <w:sz w:val="22"/>
        </w:rPr>
        <w:t>Wong</w:t>
      </w:r>
      <w:r>
        <w:rPr>
          <w:spacing w:val="19"/>
          <w:sz w:val="22"/>
        </w:rPr>
        <w:t> </w:t>
      </w:r>
      <w:r>
        <w:rPr>
          <w:sz w:val="22"/>
        </w:rPr>
        <w:t>C,</w:t>
      </w:r>
      <w:r>
        <w:rPr>
          <w:spacing w:val="19"/>
          <w:sz w:val="22"/>
        </w:rPr>
        <w:t> </w:t>
      </w:r>
      <w:r>
        <w:rPr>
          <w:sz w:val="22"/>
        </w:rPr>
        <w:t>Piver</w:t>
      </w:r>
      <w:r>
        <w:rPr>
          <w:spacing w:val="19"/>
          <w:sz w:val="22"/>
        </w:rPr>
        <w:t> </w:t>
      </w:r>
      <w:r>
        <w:rPr>
          <w:sz w:val="22"/>
        </w:rPr>
        <w:t>MS,</w:t>
      </w:r>
      <w:r>
        <w:rPr>
          <w:spacing w:val="19"/>
          <w:sz w:val="22"/>
        </w:rPr>
        <w:t> </w:t>
      </w:r>
      <w:r>
        <w:rPr>
          <w:sz w:val="22"/>
        </w:rPr>
        <w:t>Natarajan</w:t>
      </w:r>
      <w:r>
        <w:rPr>
          <w:spacing w:val="19"/>
          <w:sz w:val="22"/>
        </w:rPr>
        <w:t> </w:t>
      </w:r>
      <w:r>
        <w:rPr>
          <w:sz w:val="22"/>
        </w:rPr>
        <w:t>N,</w:t>
      </w:r>
      <w:r>
        <w:rPr>
          <w:spacing w:val="19"/>
          <w:sz w:val="22"/>
        </w:rPr>
        <w:t> </w:t>
      </w:r>
      <w:r>
        <w:rPr>
          <w:sz w:val="22"/>
        </w:rPr>
        <w:t>Mettlin</w:t>
      </w:r>
      <w:r>
        <w:rPr>
          <w:spacing w:val="19"/>
          <w:sz w:val="22"/>
        </w:rPr>
        <w:t> </w:t>
      </w:r>
      <w:r>
        <w:rPr>
          <w:sz w:val="22"/>
        </w:rPr>
        <w:t>CJ.</w:t>
      </w:r>
      <w:r>
        <w:rPr>
          <w:spacing w:val="19"/>
          <w:sz w:val="22"/>
        </w:rPr>
        <w:t> </w:t>
      </w:r>
      <w:r>
        <w:rPr>
          <w:sz w:val="22"/>
        </w:rPr>
        <w:t>Hormone</w:t>
      </w:r>
      <w:r>
        <w:rPr>
          <w:spacing w:val="15"/>
          <w:sz w:val="22"/>
        </w:rPr>
        <w:t> </w:t>
      </w:r>
      <w:r>
        <w:rPr>
          <w:sz w:val="22"/>
        </w:rPr>
        <w:t>replacement</w:t>
      </w:r>
      <w:r>
        <w:rPr>
          <w:spacing w:val="15"/>
          <w:sz w:val="22"/>
        </w:rPr>
        <w:t> </w:t>
      </w:r>
      <w:r>
        <w:rPr>
          <w:sz w:val="22"/>
        </w:rPr>
        <w:t>therapy</w:t>
      </w:r>
      <w:r>
        <w:rPr>
          <w:spacing w:val="15"/>
          <w:sz w:val="22"/>
        </w:rPr>
        <w:t> </w:t>
      </w:r>
      <w:r>
        <w:rPr>
          <w:sz w:val="22"/>
        </w:rPr>
        <w:t>as a risk factor for epithelial ovarian cancer: results of a case-control study. </w:t>
      </w:r>
      <w:r>
        <w:rPr>
          <w:i/>
          <w:sz w:val="22"/>
        </w:rPr>
        <w:t>Obstet </w:t>
      </w:r>
      <w:r>
        <w:rPr>
          <w:i/>
          <w:sz w:val="22"/>
        </w:rPr>
        <w:t>Gynecol</w:t>
      </w:r>
      <w:r>
        <w:rPr>
          <w:sz w:val="22"/>
        </w:rPr>
        <w:t>. </w:t>
      </w:r>
      <w:r>
        <w:rPr>
          <w:spacing w:val="-2"/>
          <w:sz w:val="22"/>
        </w:rPr>
        <w:t>1997;89:1012.</w:t>
      </w:r>
    </w:p>
    <w:p>
      <w:pPr>
        <w:spacing w:line="251" w:lineRule="exact" w:before="0"/>
        <w:ind w:left="99" w:right="0" w:firstLine="0"/>
        <w:jc w:val="both"/>
        <w:rPr>
          <w:sz w:val="22"/>
        </w:rPr>
      </w:pPr>
      <w:r>
        <w:rPr>
          <w:sz w:val="22"/>
        </w:rPr>
        <w:t>1082.</w:t>
      </w:r>
      <w:r>
        <w:rPr>
          <w:spacing w:val="67"/>
          <w:sz w:val="22"/>
        </w:rPr>
        <w:t> </w:t>
      </w:r>
      <w:r>
        <w:rPr>
          <w:sz w:val="22"/>
        </w:rPr>
        <w:t>Risch</w:t>
      </w:r>
      <w:r>
        <w:rPr>
          <w:spacing w:val="11"/>
          <w:sz w:val="22"/>
        </w:rPr>
        <w:t> </w:t>
      </w:r>
      <w:r>
        <w:rPr>
          <w:sz w:val="22"/>
        </w:rPr>
        <w:t>HA.</w:t>
      </w:r>
      <w:r>
        <w:rPr>
          <w:spacing w:val="10"/>
          <w:sz w:val="22"/>
        </w:rPr>
        <w:t> </w:t>
      </w:r>
      <w:r>
        <w:rPr>
          <w:sz w:val="22"/>
        </w:rPr>
        <w:t>Estrogen</w:t>
      </w:r>
      <w:r>
        <w:rPr>
          <w:spacing w:val="16"/>
          <w:sz w:val="22"/>
        </w:rPr>
        <w:t> </w:t>
      </w:r>
      <w:r>
        <w:rPr>
          <w:sz w:val="22"/>
        </w:rPr>
        <w:t>replacement</w:t>
      </w:r>
      <w:r>
        <w:rPr>
          <w:spacing w:val="16"/>
          <w:sz w:val="22"/>
        </w:rPr>
        <w:t> </w:t>
      </w:r>
      <w:r>
        <w:rPr>
          <w:sz w:val="22"/>
        </w:rPr>
        <w:t>therapy</w:t>
      </w:r>
      <w:r>
        <w:rPr>
          <w:spacing w:val="17"/>
          <w:sz w:val="22"/>
        </w:rPr>
        <w:t> </w:t>
      </w:r>
      <w:r>
        <w:rPr>
          <w:sz w:val="22"/>
        </w:rPr>
        <w:t>and</w:t>
      </w:r>
      <w:r>
        <w:rPr>
          <w:spacing w:val="16"/>
          <w:sz w:val="22"/>
        </w:rPr>
        <w:t> </w:t>
      </w:r>
      <w:r>
        <w:rPr>
          <w:sz w:val="22"/>
        </w:rPr>
        <w:t>risk</w:t>
      </w:r>
      <w:r>
        <w:rPr>
          <w:spacing w:val="16"/>
          <w:sz w:val="22"/>
        </w:rPr>
        <w:t> </w:t>
      </w:r>
      <w:r>
        <w:rPr>
          <w:sz w:val="22"/>
        </w:rPr>
        <w:t>of</w:t>
      </w:r>
      <w:r>
        <w:rPr>
          <w:spacing w:val="16"/>
          <w:sz w:val="22"/>
        </w:rPr>
        <w:t> </w:t>
      </w:r>
      <w:r>
        <w:rPr>
          <w:sz w:val="22"/>
        </w:rPr>
        <w:t>epithelial</w:t>
      </w:r>
      <w:r>
        <w:rPr>
          <w:spacing w:val="17"/>
          <w:sz w:val="22"/>
        </w:rPr>
        <w:t> </w:t>
      </w:r>
      <w:r>
        <w:rPr>
          <w:sz w:val="22"/>
        </w:rPr>
        <w:t>ovarian</w:t>
      </w:r>
      <w:r>
        <w:rPr>
          <w:spacing w:val="16"/>
          <w:sz w:val="22"/>
        </w:rPr>
        <w:t> </w:t>
      </w:r>
      <w:r>
        <w:rPr>
          <w:sz w:val="22"/>
        </w:rPr>
        <w:t>cancer.</w:t>
      </w:r>
      <w:r>
        <w:rPr>
          <w:spacing w:val="16"/>
          <w:sz w:val="22"/>
        </w:rPr>
        <w:t> </w:t>
      </w:r>
      <w:r>
        <w:rPr>
          <w:i/>
          <w:sz w:val="22"/>
        </w:rPr>
        <w:t>Gynecol</w:t>
      </w:r>
      <w:r>
        <w:rPr>
          <w:i/>
          <w:spacing w:val="11"/>
          <w:sz w:val="22"/>
        </w:rPr>
        <w:t> </w:t>
      </w:r>
      <w:r>
        <w:rPr>
          <w:i/>
          <w:spacing w:val="-2"/>
          <w:sz w:val="22"/>
        </w:rPr>
        <w:t>Oncol</w:t>
      </w:r>
      <w:r>
        <w:rPr>
          <w:spacing w:val="-2"/>
          <w:sz w:val="22"/>
        </w:rPr>
        <w:t>.</w:t>
      </w:r>
    </w:p>
    <w:p>
      <w:pPr>
        <w:spacing w:before="15"/>
        <w:ind w:left="718" w:right="0" w:firstLine="0"/>
        <w:jc w:val="left"/>
        <w:rPr>
          <w:sz w:val="22"/>
        </w:rPr>
      </w:pPr>
      <w:r>
        <w:rPr>
          <w:spacing w:val="-2"/>
          <w:sz w:val="22"/>
        </w:rPr>
        <w:t>1996;63:254.</w:t>
      </w:r>
    </w:p>
    <w:p>
      <w:pPr>
        <w:spacing w:line="256" w:lineRule="auto" w:before="17"/>
        <w:ind w:left="718" w:right="98" w:hanging="619"/>
        <w:jc w:val="both"/>
        <w:rPr>
          <w:sz w:val="22"/>
        </w:rPr>
      </w:pPr>
      <w:r>
        <w:rPr>
          <w:sz w:val="22"/>
        </w:rPr>
        <w:t>1083. Sit ASY, Modugno F, Weissfeld JL, Berga SL, Ness RB. Hormone replacement therapy formulations and risk of epithelial ovarian carcinoma. </w:t>
      </w:r>
      <w:r>
        <w:rPr>
          <w:i/>
          <w:sz w:val="22"/>
        </w:rPr>
        <w:t>Gynecol Oncol</w:t>
      </w:r>
      <w:r>
        <w:rPr>
          <w:sz w:val="22"/>
        </w:rPr>
        <w:t>. 2002;86:118.</w:t>
      </w:r>
    </w:p>
    <w:p>
      <w:pPr>
        <w:spacing w:line="256" w:lineRule="auto" w:before="0"/>
        <w:ind w:left="718" w:right="99" w:hanging="619"/>
        <w:jc w:val="both"/>
        <w:rPr>
          <w:sz w:val="22"/>
        </w:rPr>
      </w:pPr>
      <w:r>
        <w:rPr>
          <w:sz w:val="22"/>
        </w:rPr>
        <w:t>1084. Rossing</w:t>
      </w:r>
      <w:r>
        <w:rPr>
          <w:spacing w:val="40"/>
          <w:sz w:val="22"/>
        </w:rPr>
        <w:t> </w:t>
      </w:r>
      <w:r>
        <w:rPr>
          <w:sz w:val="22"/>
        </w:rPr>
        <w:t>MA,</w:t>
      </w:r>
      <w:r>
        <w:rPr>
          <w:spacing w:val="40"/>
          <w:sz w:val="22"/>
        </w:rPr>
        <w:t> </w:t>
      </w:r>
      <w:r>
        <w:rPr>
          <w:sz w:val="22"/>
        </w:rPr>
        <w:t>Cushing-Haugen</w:t>
      </w:r>
      <w:r>
        <w:rPr>
          <w:spacing w:val="40"/>
          <w:sz w:val="22"/>
        </w:rPr>
        <w:t> </w:t>
      </w:r>
      <w:r>
        <w:rPr>
          <w:sz w:val="22"/>
        </w:rPr>
        <w:t>KL,</w:t>
      </w:r>
      <w:r>
        <w:rPr>
          <w:spacing w:val="40"/>
          <w:sz w:val="22"/>
        </w:rPr>
        <w:t> </w:t>
      </w:r>
      <w:r>
        <w:rPr>
          <w:sz w:val="22"/>
        </w:rPr>
        <w:t>Wicklund</w:t>
      </w:r>
      <w:r>
        <w:rPr>
          <w:spacing w:val="40"/>
          <w:sz w:val="22"/>
        </w:rPr>
        <w:t> </w:t>
      </w:r>
      <w:r>
        <w:rPr>
          <w:sz w:val="22"/>
        </w:rPr>
        <w:t>KG,</w:t>
      </w:r>
      <w:r>
        <w:rPr>
          <w:spacing w:val="40"/>
          <w:sz w:val="22"/>
        </w:rPr>
        <w:t> </w:t>
      </w:r>
      <w:r>
        <w:rPr>
          <w:sz w:val="22"/>
        </w:rPr>
        <w:t>Doherty</w:t>
      </w:r>
      <w:r>
        <w:rPr>
          <w:spacing w:val="40"/>
          <w:sz w:val="22"/>
        </w:rPr>
        <w:t> </w:t>
      </w:r>
      <w:r>
        <w:rPr>
          <w:sz w:val="22"/>
        </w:rPr>
        <w:t>JA,</w:t>
      </w:r>
      <w:r>
        <w:rPr>
          <w:spacing w:val="40"/>
          <w:sz w:val="22"/>
        </w:rPr>
        <w:t> </w:t>
      </w:r>
      <w:r>
        <w:rPr>
          <w:sz w:val="22"/>
        </w:rPr>
        <w:t>Weiss</w:t>
      </w:r>
      <w:r>
        <w:rPr>
          <w:spacing w:val="40"/>
          <w:sz w:val="22"/>
        </w:rPr>
        <w:t> </w:t>
      </w:r>
      <w:r>
        <w:rPr>
          <w:sz w:val="22"/>
        </w:rPr>
        <w:t>NS.</w:t>
      </w:r>
      <w:r>
        <w:rPr>
          <w:spacing w:val="40"/>
          <w:sz w:val="22"/>
        </w:rPr>
        <w:t> </w:t>
      </w:r>
      <w:r>
        <w:rPr>
          <w:sz w:val="22"/>
        </w:rPr>
        <w:t>Menopausal hormone therapy and risk of epithelial ovarian cancer. </w:t>
      </w:r>
      <w:r>
        <w:rPr>
          <w:i/>
          <w:sz w:val="22"/>
        </w:rPr>
        <w:t>Cancer Epidemiol Biomarkers </w:t>
      </w:r>
      <w:r>
        <w:rPr>
          <w:i/>
          <w:sz w:val="22"/>
        </w:rPr>
        <w:t>Prev</w:t>
      </w:r>
      <w:r>
        <w:rPr>
          <w:sz w:val="22"/>
        </w:rPr>
        <w:t>. </w:t>
      </w:r>
      <w:r>
        <w:rPr>
          <w:spacing w:val="-2"/>
          <w:sz w:val="22"/>
        </w:rPr>
        <w:t>2007;16:2548.</w:t>
      </w:r>
    </w:p>
    <w:p>
      <w:pPr>
        <w:spacing w:line="256" w:lineRule="auto" w:before="0"/>
        <w:ind w:left="718" w:right="110" w:hanging="619"/>
        <w:jc w:val="both"/>
        <w:rPr>
          <w:sz w:val="22"/>
        </w:rPr>
      </w:pPr>
      <w:r>
        <w:rPr>
          <w:sz w:val="22"/>
        </w:rPr>
        <w:t>1085. Whiteman</w:t>
      </w:r>
      <w:r>
        <w:rPr>
          <w:spacing w:val="40"/>
          <w:sz w:val="22"/>
        </w:rPr>
        <w:t> </w:t>
      </w:r>
      <w:r>
        <w:rPr>
          <w:sz w:val="22"/>
        </w:rPr>
        <w:t>DC,</w:t>
      </w:r>
      <w:r>
        <w:rPr>
          <w:spacing w:val="40"/>
          <w:sz w:val="22"/>
        </w:rPr>
        <w:t> </w:t>
      </w:r>
      <w:r>
        <w:rPr>
          <w:sz w:val="22"/>
        </w:rPr>
        <w:t>Siskind</w:t>
      </w:r>
      <w:r>
        <w:rPr>
          <w:spacing w:val="40"/>
          <w:sz w:val="22"/>
        </w:rPr>
        <w:t> </w:t>
      </w:r>
      <w:r>
        <w:rPr>
          <w:sz w:val="22"/>
        </w:rPr>
        <w:t>V,</w:t>
      </w:r>
      <w:r>
        <w:rPr>
          <w:spacing w:val="40"/>
          <w:sz w:val="22"/>
        </w:rPr>
        <w:t> </w:t>
      </w:r>
      <w:r>
        <w:rPr>
          <w:sz w:val="22"/>
        </w:rPr>
        <w:t>Purdie</w:t>
      </w:r>
      <w:r>
        <w:rPr>
          <w:spacing w:val="40"/>
          <w:sz w:val="22"/>
        </w:rPr>
        <w:t> </w:t>
      </w:r>
      <w:r>
        <w:rPr>
          <w:sz w:val="22"/>
        </w:rPr>
        <w:t>DM,</w:t>
      </w:r>
      <w:r>
        <w:rPr>
          <w:spacing w:val="40"/>
          <w:sz w:val="22"/>
        </w:rPr>
        <w:t> </w:t>
      </w:r>
      <w:r>
        <w:rPr>
          <w:sz w:val="22"/>
        </w:rPr>
        <w:t>Green</w:t>
      </w:r>
      <w:r>
        <w:rPr>
          <w:spacing w:val="40"/>
          <w:sz w:val="22"/>
        </w:rPr>
        <w:t> </w:t>
      </w:r>
      <w:r>
        <w:rPr>
          <w:sz w:val="22"/>
        </w:rPr>
        <w:t>AC.</w:t>
      </w:r>
      <w:r>
        <w:rPr>
          <w:spacing w:val="40"/>
          <w:sz w:val="22"/>
        </w:rPr>
        <w:t> </w:t>
      </w:r>
      <w:r>
        <w:rPr>
          <w:sz w:val="22"/>
        </w:rPr>
        <w:t>Timing</w:t>
      </w:r>
      <w:r>
        <w:rPr>
          <w:spacing w:val="40"/>
          <w:sz w:val="22"/>
        </w:rPr>
        <w:t> </w:t>
      </w:r>
      <w:r>
        <w:rPr>
          <w:sz w:val="22"/>
        </w:rPr>
        <w:t>of</w:t>
      </w:r>
      <w:r>
        <w:rPr>
          <w:spacing w:val="40"/>
          <w:sz w:val="22"/>
        </w:rPr>
        <w:t> </w:t>
      </w:r>
      <w:r>
        <w:rPr>
          <w:sz w:val="22"/>
        </w:rPr>
        <w:t>pregnancy</w:t>
      </w:r>
      <w:r>
        <w:rPr>
          <w:spacing w:val="40"/>
          <w:sz w:val="22"/>
        </w:rPr>
        <w:t> </w:t>
      </w:r>
      <w:r>
        <w:rPr>
          <w:sz w:val="22"/>
        </w:rPr>
        <w:t>and</w:t>
      </w:r>
      <w:r>
        <w:rPr>
          <w:spacing w:val="40"/>
          <w:sz w:val="22"/>
        </w:rPr>
        <w:t> </w:t>
      </w:r>
      <w:r>
        <w:rPr>
          <w:sz w:val="22"/>
        </w:rPr>
        <w:t>the</w:t>
      </w:r>
      <w:r>
        <w:rPr>
          <w:spacing w:val="40"/>
          <w:sz w:val="22"/>
        </w:rPr>
        <w:t> </w:t>
      </w:r>
      <w:r>
        <w:rPr>
          <w:sz w:val="22"/>
        </w:rPr>
        <w:t>risk</w:t>
      </w:r>
      <w:r>
        <w:rPr>
          <w:spacing w:val="40"/>
          <w:sz w:val="22"/>
        </w:rPr>
        <w:t> </w:t>
      </w:r>
      <w:r>
        <w:rPr>
          <w:sz w:val="22"/>
        </w:rPr>
        <w:t>of epithelial ovarian cancer. </w:t>
      </w:r>
      <w:r>
        <w:rPr>
          <w:i/>
          <w:sz w:val="22"/>
        </w:rPr>
        <w:t>Cancer Epidemiol Biomarkers Prev</w:t>
      </w:r>
      <w:r>
        <w:rPr>
          <w:sz w:val="22"/>
        </w:rPr>
        <w:t>. 2003;12:42.</w:t>
      </w:r>
    </w:p>
    <w:p>
      <w:pPr>
        <w:spacing w:line="256" w:lineRule="auto" w:before="0"/>
        <w:ind w:left="718" w:right="110" w:hanging="619"/>
        <w:jc w:val="both"/>
        <w:rPr>
          <w:sz w:val="22"/>
        </w:rPr>
      </w:pPr>
      <w:r>
        <w:rPr>
          <w:sz w:val="22"/>
        </w:rPr>
        <w:t>1086.</w:t>
      </w:r>
      <w:r>
        <w:rPr>
          <w:spacing w:val="40"/>
          <w:sz w:val="22"/>
        </w:rPr>
        <w:t> </w:t>
      </w:r>
      <w:r>
        <w:rPr>
          <w:sz w:val="22"/>
        </w:rPr>
        <w:t>Yang CY, Kuo HW, Chiu HF. Age at first birth, parity, and risk of death from ovarian cancer </w:t>
      </w:r>
      <w:r>
        <w:rPr>
          <w:sz w:val="22"/>
        </w:rPr>
        <w:t>in Taiwan: a country of low incidence of ovarian cancer. </w:t>
      </w:r>
      <w:r>
        <w:rPr>
          <w:i/>
          <w:sz w:val="22"/>
        </w:rPr>
        <w:t>Int J Gynecol Cancer</w:t>
      </w:r>
      <w:r>
        <w:rPr>
          <w:sz w:val="22"/>
        </w:rPr>
        <w:t>. 2007;17:32.</w:t>
      </w:r>
    </w:p>
    <w:p>
      <w:pPr>
        <w:spacing w:line="256" w:lineRule="auto" w:before="0"/>
        <w:ind w:left="718" w:right="105" w:hanging="619"/>
        <w:jc w:val="both"/>
        <w:rPr>
          <w:sz w:val="22"/>
        </w:rPr>
      </w:pPr>
      <w:r>
        <w:rPr>
          <w:sz w:val="22"/>
        </w:rPr>
        <w:t>1087.</w:t>
      </w:r>
      <w:r>
        <w:rPr>
          <w:spacing w:val="40"/>
          <w:sz w:val="22"/>
        </w:rPr>
        <w:t> </w:t>
      </w:r>
      <w:r>
        <w:rPr>
          <w:sz w:val="22"/>
        </w:rPr>
        <w:t>Siskind</w:t>
      </w:r>
      <w:r>
        <w:rPr>
          <w:spacing w:val="40"/>
          <w:sz w:val="22"/>
        </w:rPr>
        <w:t> </w:t>
      </w:r>
      <w:r>
        <w:rPr>
          <w:sz w:val="22"/>
        </w:rPr>
        <w:t>V,</w:t>
      </w:r>
      <w:r>
        <w:rPr>
          <w:spacing w:val="40"/>
          <w:sz w:val="22"/>
        </w:rPr>
        <w:t> </w:t>
      </w:r>
      <w:r>
        <w:rPr>
          <w:sz w:val="22"/>
        </w:rPr>
        <w:t>Green</w:t>
      </w:r>
      <w:r>
        <w:rPr>
          <w:spacing w:val="40"/>
          <w:sz w:val="22"/>
        </w:rPr>
        <w:t> </w:t>
      </w:r>
      <w:r>
        <w:rPr>
          <w:sz w:val="22"/>
        </w:rPr>
        <w:t>A,</w:t>
      </w:r>
      <w:r>
        <w:rPr>
          <w:spacing w:val="40"/>
          <w:sz w:val="22"/>
        </w:rPr>
        <w:t> </w:t>
      </w:r>
      <w:r>
        <w:rPr>
          <w:sz w:val="22"/>
        </w:rPr>
        <w:t>Bain</w:t>
      </w:r>
      <w:r>
        <w:rPr>
          <w:spacing w:val="40"/>
          <w:sz w:val="22"/>
        </w:rPr>
        <w:t> </w:t>
      </w:r>
      <w:r>
        <w:rPr>
          <w:sz w:val="22"/>
        </w:rPr>
        <w:t>C,</w:t>
      </w:r>
      <w:r>
        <w:rPr>
          <w:spacing w:val="40"/>
          <w:sz w:val="22"/>
        </w:rPr>
        <w:t> </w:t>
      </w:r>
      <w:r>
        <w:rPr>
          <w:sz w:val="22"/>
        </w:rPr>
        <w:t>Purdie</w:t>
      </w:r>
      <w:r>
        <w:rPr>
          <w:spacing w:val="40"/>
          <w:sz w:val="22"/>
        </w:rPr>
        <w:t> </w:t>
      </w:r>
      <w:r>
        <w:rPr>
          <w:sz w:val="22"/>
        </w:rPr>
        <w:t>D.</w:t>
      </w:r>
      <w:r>
        <w:rPr>
          <w:spacing w:val="40"/>
          <w:sz w:val="22"/>
        </w:rPr>
        <w:t> </w:t>
      </w:r>
      <w:r>
        <w:rPr>
          <w:sz w:val="22"/>
        </w:rPr>
        <w:t>Breastfeeding,</w:t>
      </w:r>
      <w:r>
        <w:rPr>
          <w:spacing w:val="40"/>
          <w:sz w:val="22"/>
        </w:rPr>
        <w:t> </w:t>
      </w:r>
      <w:r>
        <w:rPr>
          <w:sz w:val="22"/>
        </w:rPr>
        <w:t>menopause,</w:t>
      </w:r>
      <w:r>
        <w:rPr>
          <w:spacing w:val="40"/>
          <w:sz w:val="22"/>
        </w:rPr>
        <w:t> </w:t>
      </w:r>
      <w:r>
        <w:rPr>
          <w:sz w:val="22"/>
        </w:rPr>
        <w:t>and</w:t>
      </w:r>
      <w:r>
        <w:rPr>
          <w:spacing w:val="40"/>
          <w:sz w:val="22"/>
        </w:rPr>
        <w:t> </w:t>
      </w:r>
      <w:r>
        <w:rPr>
          <w:sz w:val="22"/>
        </w:rPr>
        <w:t>epithelial</w:t>
      </w:r>
      <w:r>
        <w:rPr>
          <w:spacing w:val="40"/>
          <w:sz w:val="22"/>
        </w:rPr>
        <w:t> </w:t>
      </w:r>
      <w:r>
        <w:rPr>
          <w:sz w:val="22"/>
        </w:rPr>
        <w:t>ovarian cancer. </w:t>
      </w:r>
      <w:r>
        <w:rPr>
          <w:i/>
          <w:sz w:val="22"/>
        </w:rPr>
        <w:t>Epidemiology</w:t>
      </w:r>
      <w:r>
        <w:rPr>
          <w:sz w:val="22"/>
        </w:rPr>
        <w:t>. 1997;8:188.</w:t>
      </w:r>
    </w:p>
    <w:p>
      <w:pPr>
        <w:spacing w:line="256" w:lineRule="auto" w:before="0"/>
        <w:ind w:left="718" w:right="100" w:hanging="619"/>
        <w:jc w:val="both"/>
        <w:rPr>
          <w:sz w:val="22"/>
        </w:rPr>
      </w:pPr>
      <w:r>
        <w:rPr>
          <w:sz w:val="22"/>
        </w:rPr>
        <w:t>1088.</w:t>
      </w:r>
      <w:r>
        <w:rPr>
          <w:spacing w:val="40"/>
          <w:sz w:val="22"/>
        </w:rPr>
        <w:t> </w:t>
      </w:r>
      <w:r>
        <w:rPr>
          <w:sz w:val="22"/>
        </w:rPr>
        <w:t>Green</w:t>
      </w:r>
      <w:r>
        <w:rPr>
          <w:spacing w:val="40"/>
          <w:sz w:val="22"/>
        </w:rPr>
        <w:t> </w:t>
      </w:r>
      <w:r>
        <w:rPr>
          <w:sz w:val="22"/>
        </w:rPr>
        <w:t>A,</w:t>
      </w:r>
      <w:r>
        <w:rPr>
          <w:spacing w:val="40"/>
          <w:sz w:val="22"/>
        </w:rPr>
        <w:t> </w:t>
      </w:r>
      <w:r>
        <w:rPr>
          <w:sz w:val="22"/>
        </w:rPr>
        <w:t>Purdie</w:t>
      </w:r>
      <w:r>
        <w:rPr>
          <w:spacing w:val="40"/>
          <w:sz w:val="22"/>
        </w:rPr>
        <w:t> </w:t>
      </w:r>
      <w:r>
        <w:rPr>
          <w:sz w:val="22"/>
        </w:rPr>
        <w:t>D,</w:t>
      </w:r>
      <w:r>
        <w:rPr>
          <w:spacing w:val="40"/>
          <w:sz w:val="22"/>
        </w:rPr>
        <w:t> </w:t>
      </w:r>
      <w:r>
        <w:rPr>
          <w:sz w:val="22"/>
        </w:rPr>
        <w:t>Bain</w:t>
      </w:r>
      <w:r>
        <w:rPr>
          <w:spacing w:val="40"/>
          <w:sz w:val="22"/>
        </w:rPr>
        <w:t> </w:t>
      </w:r>
      <w:r>
        <w:rPr>
          <w:sz w:val="22"/>
        </w:rPr>
        <w:t>C,</w:t>
      </w:r>
      <w:r>
        <w:rPr>
          <w:spacing w:val="40"/>
          <w:sz w:val="22"/>
        </w:rPr>
        <w:t> </w:t>
      </w:r>
      <w:r>
        <w:rPr>
          <w:sz w:val="22"/>
        </w:rPr>
        <w:t>et</w:t>
      </w:r>
      <w:r>
        <w:rPr>
          <w:spacing w:val="40"/>
          <w:sz w:val="22"/>
        </w:rPr>
        <w:t> </w:t>
      </w:r>
      <w:r>
        <w:rPr>
          <w:sz w:val="22"/>
        </w:rPr>
        <w:t>al.</w:t>
      </w:r>
      <w:r>
        <w:rPr>
          <w:spacing w:val="40"/>
          <w:sz w:val="22"/>
        </w:rPr>
        <w:t> </w:t>
      </w:r>
      <w:r>
        <w:rPr>
          <w:sz w:val="22"/>
        </w:rPr>
        <w:t>Tubal</w:t>
      </w:r>
      <w:r>
        <w:rPr>
          <w:spacing w:val="40"/>
          <w:sz w:val="22"/>
        </w:rPr>
        <w:t> </w:t>
      </w:r>
      <w:r>
        <w:rPr>
          <w:sz w:val="22"/>
        </w:rPr>
        <w:t>sterilisation,</w:t>
      </w:r>
      <w:r>
        <w:rPr>
          <w:spacing w:val="40"/>
          <w:sz w:val="22"/>
        </w:rPr>
        <w:t> </w:t>
      </w:r>
      <w:r>
        <w:rPr>
          <w:sz w:val="22"/>
        </w:rPr>
        <w:t>hysterectomy</w:t>
      </w:r>
      <w:r>
        <w:rPr>
          <w:spacing w:val="40"/>
          <w:sz w:val="22"/>
        </w:rPr>
        <w:t> </w:t>
      </w:r>
      <w:r>
        <w:rPr>
          <w:sz w:val="22"/>
        </w:rPr>
        <w:t>and</w:t>
      </w:r>
      <w:r>
        <w:rPr>
          <w:spacing w:val="40"/>
          <w:sz w:val="22"/>
        </w:rPr>
        <w:t> </w:t>
      </w:r>
      <w:r>
        <w:rPr>
          <w:sz w:val="22"/>
        </w:rPr>
        <w:t>decreased</w:t>
      </w:r>
      <w:r>
        <w:rPr>
          <w:spacing w:val="40"/>
          <w:sz w:val="22"/>
        </w:rPr>
        <w:t> </w:t>
      </w:r>
      <w:r>
        <w:rPr>
          <w:sz w:val="22"/>
        </w:rPr>
        <w:t>risk</w:t>
      </w:r>
      <w:r>
        <w:rPr>
          <w:spacing w:val="40"/>
          <w:sz w:val="22"/>
        </w:rPr>
        <w:t> </w:t>
      </w:r>
      <w:r>
        <w:rPr>
          <w:sz w:val="22"/>
        </w:rPr>
        <w:t>of ovarian cancer: survey of Women’s Health Study Group. </w:t>
      </w:r>
      <w:r>
        <w:rPr>
          <w:i/>
          <w:sz w:val="22"/>
        </w:rPr>
        <w:t>Int J Cancer</w:t>
      </w:r>
      <w:r>
        <w:rPr>
          <w:sz w:val="22"/>
        </w:rPr>
        <w:t>. 1997;71:948.</w:t>
      </w:r>
    </w:p>
    <w:p>
      <w:pPr>
        <w:spacing w:line="256" w:lineRule="auto" w:before="0"/>
        <w:ind w:left="718" w:right="99" w:hanging="619"/>
        <w:jc w:val="both"/>
        <w:rPr>
          <w:sz w:val="22"/>
        </w:rPr>
      </w:pPr>
      <w:r>
        <w:rPr>
          <w:sz w:val="22"/>
        </w:rPr>
        <w:t>1089.</w:t>
      </w:r>
      <w:r>
        <w:rPr>
          <w:spacing w:val="40"/>
          <w:sz w:val="22"/>
        </w:rPr>
        <w:t> </w:t>
      </w:r>
      <w:r>
        <w:rPr>
          <w:sz w:val="22"/>
        </w:rPr>
        <w:t>Fairfield KM, Hunter DJ, Fuchs CS, Colditz GA, Hankinson SE. Aspirin, other NSAIDs, and ovarian cancer risk (United States). </w:t>
      </w:r>
      <w:r>
        <w:rPr>
          <w:i/>
          <w:sz w:val="22"/>
        </w:rPr>
        <w:t>Cancer Causes Control</w:t>
      </w:r>
      <w:r>
        <w:rPr>
          <w:sz w:val="22"/>
        </w:rPr>
        <w:t>. 2002;13:535.</w:t>
      </w:r>
    </w:p>
    <w:p>
      <w:pPr>
        <w:spacing w:line="256" w:lineRule="auto" w:before="0"/>
        <w:ind w:left="718" w:right="106" w:hanging="619"/>
        <w:jc w:val="both"/>
        <w:rPr>
          <w:sz w:val="22"/>
        </w:rPr>
      </w:pPr>
      <w:r>
        <w:rPr>
          <w:sz w:val="22"/>
        </w:rPr>
        <w:t>1090.</w:t>
      </w:r>
      <w:r>
        <w:rPr>
          <w:spacing w:val="40"/>
          <w:sz w:val="22"/>
        </w:rPr>
        <w:t> </w:t>
      </w:r>
      <w:r>
        <w:rPr>
          <w:sz w:val="22"/>
        </w:rPr>
        <w:t>Greer JB, Modugno F, Ness RB, Allen GO. Anthropometry and the risk of epithelial </w:t>
      </w:r>
      <w:r>
        <w:rPr>
          <w:sz w:val="22"/>
        </w:rPr>
        <w:t>ovarian cancer. </w:t>
      </w:r>
      <w:r>
        <w:rPr>
          <w:i/>
          <w:sz w:val="22"/>
        </w:rPr>
        <w:t>Cancer</w:t>
      </w:r>
      <w:r>
        <w:rPr>
          <w:sz w:val="22"/>
        </w:rPr>
        <w:t>. 2006;106:2247.</w:t>
      </w:r>
    </w:p>
    <w:p>
      <w:pPr>
        <w:spacing w:line="256" w:lineRule="auto" w:before="0"/>
        <w:ind w:left="718" w:right="101" w:hanging="619"/>
        <w:jc w:val="both"/>
        <w:rPr>
          <w:sz w:val="22"/>
        </w:rPr>
      </w:pPr>
      <w:r>
        <w:rPr>
          <w:sz w:val="22"/>
        </w:rPr>
        <w:t>1091.</w:t>
      </w:r>
      <w:r>
        <w:rPr>
          <w:spacing w:val="40"/>
          <w:sz w:val="22"/>
        </w:rPr>
        <w:t> </w:t>
      </w:r>
      <w:r>
        <w:rPr>
          <w:sz w:val="22"/>
        </w:rPr>
        <w:t>Olsen</w:t>
      </w:r>
      <w:r>
        <w:rPr>
          <w:spacing w:val="31"/>
          <w:sz w:val="22"/>
        </w:rPr>
        <w:t> </w:t>
      </w:r>
      <w:r>
        <w:rPr>
          <w:sz w:val="22"/>
        </w:rPr>
        <w:t>CM,</w:t>
      </w:r>
      <w:r>
        <w:rPr>
          <w:spacing w:val="31"/>
          <w:sz w:val="22"/>
        </w:rPr>
        <w:t> </w:t>
      </w:r>
      <w:r>
        <w:rPr>
          <w:sz w:val="22"/>
        </w:rPr>
        <w:t>Green</w:t>
      </w:r>
      <w:r>
        <w:rPr>
          <w:spacing w:val="31"/>
          <w:sz w:val="22"/>
        </w:rPr>
        <w:t> </w:t>
      </w:r>
      <w:r>
        <w:rPr>
          <w:sz w:val="22"/>
        </w:rPr>
        <w:t>AC,</w:t>
      </w:r>
      <w:r>
        <w:rPr>
          <w:spacing w:val="31"/>
          <w:sz w:val="22"/>
        </w:rPr>
        <w:t> </w:t>
      </w:r>
      <w:r>
        <w:rPr>
          <w:sz w:val="22"/>
        </w:rPr>
        <w:t>Whiteman</w:t>
      </w:r>
      <w:r>
        <w:rPr>
          <w:spacing w:val="31"/>
          <w:sz w:val="22"/>
        </w:rPr>
        <w:t> </w:t>
      </w:r>
      <w:r>
        <w:rPr>
          <w:sz w:val="22"/>
        </w:rPr>
        <w:t>DC,</w:t>
      </w:r>
      <w:r>
        <w:rPr>
          <w:spacing w:val="31"/>
          <w:sz w:val="22"/>
        </w:rPr>
        <w:t> </w:t>
      </w:r>
      <w:r>
        <w:rPr>
          <w:sz w:val="22"/>
        </w:rPr>
        <w:t>Sadeghi</w:t>
      </w:r>
      <w:r>
        <w:rPr>
          <w:spacing w:val="31"/>
          <w:sz w:val="22"/>
        </w:rPr>
        <w:t> </w:t>
      </w:r>
      <w:r>
        <w:rPr>
          <w:sz w:val="22"/>
        </w:rPr>
        <w:t>S,</w:t>
      </w:r>
      <w:r>
        <w:rPr>
          <w:spacing w:val="31"/>
          <w:sz w:val="22"/>
        </w:rPr>
        <w:t> </w:t>
      </w:r>
      <w:r>
        <w:rPr>
          <w:sz w:val="22"/>
        </w:rPr>
        <w:t>Kolahdooz</w:t>
      </w:r>
      <w:r>
        <w:rPr>
          <w:spacing w:val="31"/>
          <w:sz w:val="22"/>
        </w:rPr>
        <w:t> </w:t>
      </w:r>
      <w:r>
        <w:rPr>
          <w:sz w:val="22"/>
        </w:rPr>
        <w:t>F,</w:t>
      </w:r>
      <w:r>
        <w:rPr>
          <w:spacing w:val="31"/>
          <w:sz w:val="22"/>
        </w:rPr>
        <w:t> </w:t>
      </w:r>
      <w:r>
        <w:rPr>
          <w:sz w:val="22"/>
        </w:rPr>
        <w:t>Webb</w:t>
      </w:r>
      <w:r>
        <w:rPr>
          <w:spacing w:val="31"/>
          <w:sz w:val="22"/>
        </w:rPr>
        <w:t> </w:t>
      </w:r>
      <w:r>
        <w:rPr>
          <w:sz w:val="22"/>
        </w:rPr>
        <w:t>PM.</w:t>
      </w:r>
      <w:r>
        <w:rPr>
          <w:spacing w:val="30"/>
          <w:sz w:val="22"/>
        </w:rPr>
        <w:t> </w:t>
      </w:r>
      <w:r>
        <w:rPr>
          <w:sz w:val="22"/>
        </w:rPr>
        <w:t>Obesity</w:t>
      </w:r>
      <w:r>
        <w:rPr>
          <w:spacing w:val="38"/>
          <w:sz w:val="22"/>
        </w:rPr>
        <w:t> </w:t>
      </w:r>
      <w:r>
        <w:rPr>
          <w:sz w:val="22"/>
        </w:rPr>
        <w:t>and</w:t>
      </w:r>
      <w:r>
        <w:rPr>
          <w:spacing w:val="38"/>
          <w:sz w:val="22"/>
        </w:rPr>
        <w:t> </w:t>
      </w:r>
      <w:r>
        <w:rPr>
          <w:sz w:val="22"/>
        </w:rPr>
        <w:t>the risk of epithelial ovarian cancer: a systematic review and meta-analysis. </w:t>
      </w:r>
      <w:r>
        <w:rPr>
          <w:i/>
          <w:sz w:val="22"/>
        </w:rPr>
        <w:t>Eur J Cancer</w:t>
      </w:r>
      <w:r>
        <w:rPr>
          <w:sz w:val="22"/>
        </w:rPr>
        <w:t>. </w:t>
      </w:r>
      <w:r>
        <w:rPr>
          <w:spacing w:val="-2"/>
          <w:sz w:val="22"/>
        </w:rPr>
        <w:t>2007;43:690.</w:t>
      </w:r>
    </w:p>
    <w:p>
      <w:pPr>
        <w:spacing w:line="256" w:lineRule="auto" w:before="0"/>
        <w:ind w:left="718" w:right="106" w:hanging="619"/>
        <w:jc w:val="both"/>
        <w:rPr>
          <w:sz w:val="22"/>
        </w:rPr>
      </w:pPr>
      <w:r>
        <w:rPr>
          <w:sz w:val="22"/>
        </w:rPr>
        <w:t>1092.</w:t>
      </w:r>
      <w:r>
        <w:rPr>
          <w:spacing w:val="40"/>
          <w:sz w:val="22"/>
        </w:rPr>
        <w:t> </w:t>
      </w:r>
      <w:r>
        <w:rPr>
          <w:sz w:val="22"/>
        </w:rPr>
        <w:t>Ness RB, Cramer DW, Goodman MT, et al. Infertility, fertility drugs, and ovarian cancer: a pooled analysis of case-control studies. </w:t>
      </w:r>
      <w:r>
        <w:rPr>
          <w:i/>
          <w:sz w:val="22"/>
        </w:rPr>
        <w:t>Am J Epidemiol</w:t>
      </w:r>
      <w:r>
        <w:rPr>
          <w:sz w:val="22"/>
        </w:rPr>
        <w:t>. 2002;155:217.</w:t>
      </w:r>
    </w:p>
    <w:p>
      <w:pPr>
        <w:spacing w:line="256" w:lineRule="auto" w:before="0"/>
        <w:ind w:left="718" w:right="102" w:hanging="619"/>
        <w:jc w:val="both"/>
        <w:rPr>
          <w:sz w:val="22"/>
        </w:rPr>
      </w:pPr>
      <w:r>
        <w:rPr>
          <w:sz w:val="22"/>
        </w:rPr>
        <w:t>1093.</w:t>
      </w:r>
      <w:r>
        <w:rPr>
          <w:spacing w:val="40"/>
          <w:sz w:val="22"/>
        </w:rPr>
        <w:t> </w:t>
      </w:r>
      <w:r>
        <w:rPr>
          <w:sz w:val="22"/>
        </w:rPr>
        <w:t>Goodman MT, Tung KH. Alcohol consumption and the risk of borderline and invasive ovarian cancer. </w:t>
      </w:r>
      <w:r>
        <w:rPr>
          <w:i/>
          <w:sz w:val="22"/>
        </w:rPr>
        <w:t>Obstet Gynecol</w:t>
      </w:r>
      <w:r>
        <w:rPr>
          <w:sz w:val="22"/>
        </w:rPr>
        <w:t>. 2003;101:1221.</w:t>
      </w:r>
    </w:p>
    <w:p>
      <w:pPr>
        <w:spacing w:line="256" w:lineRule="auto" w:before="0"/>
        <w:ind w:left="718" w:right="98" w:hanging="619"/>
        <w:jc w:val="both"/>
        <w:rPr>
          <w:sz w:val="22"/>
        </w:rPr>
      </w:pPr>
      <w:r>
        <w:rPr>
          <w:sz w:val="22"/>
        </w:rPr>
        <w:t>1094. Suzuki R, Ye W, Rylander-Rudqvist T, Saji S, Colditz GA, Wolk A. Alcohol and</w:t>
      </w:r>
      <w:r>
        <w:rPr>
          <w:spacing w:val="40"/>
          <w:sz w:val="22"/>
        </w:rPr>
        <w:t> </w:t>
      </w:r>
      <w:r>
        <w:rPr>
          <w:sz w:val="22"/>
        </w:rPr>
        <w:t>postmenopausal breast cancer risk defined by estrogen and progesterone receptor status: </w:t>
      </w:r>
      <w:r>
        <w:rPr>
          <w:sz w:val="22"/>
        </w:rPr>
        <w:t>a prospective cohort study. </w:t>
      </w:r>
      <w:r>
        <w:rPr>
          <w:i/>
          <w:sz w:val="22"/>
        </w:rPr>
        <w:t>J Natl Cancer Inst</w:t>
      </w:r>
      <w:r>
        <w:rPr>
          <w:sz w:val="22"/>
        </w:rPr>
        <w:t>. 2005;97(21):1601.</w:t>
      </w:r>
    </w:p>
    <w:p>
      <w:pPr>
        <w:spacing w:line="256" w:lineRule="auto" w:before="0"/>
        <w:ind w:left="718" w:right="110" w:hanging="619"/>
        <w:jc w:val="both"/>
        <w:rPr>
          <w:sz w:val="22"/>
        </w:rPr>
      </w:pPr>
      <w:r>
        <w:rPr>
          <w:sz w:val="22"/>
        </w:rPr>
        <w:t>1095.</w:t>
      </w:r>
      <w:r>
        <w:rPr>
          <w:spacing w:val="40"/>
          <w:sz w:val="22"/>
        </w:rPr>
        <w:t> </w:t>
      </w:r>
      <w:r>
        <w:rPr>
          <w:sz w:val="22"/>
        </w:rPr>
        <w:t>Green A, Purdie D, Bain C, Siskind V, Webb PM. Cigarette smoking and risk of epithelial ovarian cancer (Australia). </w:t>
      </w:r>
      <w:r>
        <w:rPr>
          <w:i/>
          <w:sz w:val="22"/>
        </w:rPr>
        <w:t>Cancer Causes Control</w:t>
      </w:r>
      <w:r>
        <w:rPr>
          <w:sz w:val="22"/>
        </w:rPr>
        <w:t>. 2001;12:713.</w:t>
      </w:r>
    </w:p>
    <w:p>
      <w:pPr>
        <w:spacing w:line="256" w:lineRule="auto" w:before="0"/>
        <w:ind w:left="718" w:right="100" w:hanging="619"/>
        <w:jc w:val="both"/>
        <w:rPr>
          <w:sz w:val="22"/>
        </w:rPr>
      </w:pPr>
      <w:r>
        <w:rPr>
          <w:sz w:val="22"/>
        </w:rPr>
        <w:t>1096.</w:t>
      </w:r>
      <w:r>
        <w:rPr>
          <w:spacing w:val="40"/>
          <w:sz w:val="22"/>
        </w:rPr>
        <w:t> </w:t>
      </w:r>
      <w:r>
        <w:rPr>
          <w:sz w:val="22"/>
        </w:rPr>
        <w:t>Goodman MT, Tung KH. Active and passive tobacco smoking and the risk of borderline </w:t>
      </w:r>
      <w:r>
        <w:rPr>
          <w:sz w:val="22"/>
        </w:rPr>
        <w:t>and invasive ovarian cancer (United States). </w:t>
      </w:r>
      <w:r>
        <w:rPr>
          <w:i/>
          <w:sz w:val="22"/>
        </w:rPr>
        <w:t>Cancer Causes Control</w:t>
      </w:r>
      <w:r>
        <w:rPr>
          <w:sz w:val="22"/>
        </w:rPr>
        <w:t>. 2003;14:569.</w:t>
      </w:r>
    </w:p>
    <w:p>
      <w:pPr>
        <w:spacing w:line="256" w:lineRule="auto" w:before="0"/>
        <w:ind w:left="718" w:right="105" w:hanging="619"/>
        <w:jc w:val="both"/>
        <w:rPr>
          <w:sz w:val="22"/>
        </w:rPr>
      </w:pPr>
      <w:r>
        <w:rPr>
          <w:sz w:val="22"/>
        </w:rPr>
        <w:t>1097.</w:t>
      </w:r>
      <w:r>
        <w:rPr>
          <w:spacing w:val="40"/>
          <w:sz w:val="22"/>
        </w:rPr>
        <w:t> </w:t>
      </w:r>
      <w:r>
        <w:rPr>
          <w:sz w:val="22"/>
        </w:rPr>
        <w:t>Jordan SJ, Whiteman DC, Purdie DM, Green AC, Webb PM. Does smoking increase risk </w:t>
      </w:r>
      <w:r>
        <w:rPr>
          <w:sz w:val="22"/>
        </w:rPr>
        <w:t>of ovarian cancer? A systematic review. </w:t>
      </w:r>
      <w:r>
        <w:rPr>
          <w:i/>
          <w:sz w:val="22"/>
        </w:rPr>
        <w:t>Gynecol Oncol</w:t>
      </w:r>
      <w:r>
        <w:rPr>
          <w:sz w:val="22"/>
        </w:rPr>
        <w:t>. 2006;103:1122.</w:t>
      </w:r>
    </w:p>
    <w:p>
      <w:pPr>
        <w:spacing w:line="256" w:lineRule="auto" w:before="0"/>
        <w:ind w:left="718" w:right="104" w:hanging="619"/>
        <w:jc w:val="both"/>
        <w:rPr>
          <w:sz w:val="22"/>
        </w:rPr>
      </w:pPr>
      <w:r>
        <w:rPr>
          <w:sz w:val="22"/>
        </w:rPr>
        <w:t>1098. Modesitt SC, Tortolero-Luna G, Robinson JB, Gershenson DM, Wolf JK. Ovarian </w:t>
      </w:r>
      <w:r>
        <w:rPr>
          <w:sz w:val="22"/>
        </w:rPr>
        <w:t>and extraovarian endometriosis-associated cancer. </w:t>
      </w:r>
      <w:r>
        <w:rPr>
          <w:i/>
          <w:sz w:val="22"/>
        </w:rPr>
        <w:t>Obstet Gynecol</w:t>
      </w:r>
      <w:r>
        <w:rPr>
          <w:sz w:val="22"/>
        </w:rPr>
        <w:t>. 2002;100:788.</w:t>
      </w:r>
    </w:p>
    <w:p>
      <w:pPr>
        <w:spacing w:line="256" w:lineRule="auto" w:before="0"/>
        <w:ind w:left="718" w:right="106" w:hanging="619"/>
        <w:jc w:val="both"/>
        <w:rPr>
          <w:sz w:val="22"/>
        </w:rPr>
      </w:pPr>
      <w:r>
        <w:rPr>
          <w:sz w:val="22"/>
        </w:rPr>
        <w:t>1099.</w:t>
      </w:r>
      <w:r>
        <w:rPr>
          <w:spacing w:val="40"/>
          <w:sz w:val="22"/>
        </w:rPr>
        <w:t> </w:t>
      </w:r>
      <w:r>
        <w:rPr>
          <w:sz w:val="22"/>
        </w:rPr>
        <w:t>Purdie DW, Bain CJ, Siskind V, et al. Hormone replacement therapy and risk of </w:t>
      </w:r>
      <w:r>
        <w:rPr>
          <w:sz w:val="22"/>
        </w:rPr>
        <w:t>epithelial ovarian cancer. </w:t>
      </w:r>
      <w:r>
        <w:rPr>
          <w:i/>
          <w:sz w:val="22"/>
        </w:rPr>
        <w:t>Br J Cancer</w:t>
      </w:r>
      <w:r>
        <w:rPr>
          <w:sz w:val="22"/>
        </w:rPr>
        <w:t>. 1999;81:559.</w:t>
      </w:r>
    </w:p>
    <w:p>
      <w:pPr>
        <w:spacing w:after="0" w:line="256" w:lineRule="auto"/>
        <w:jc w:val="both"/>
        <w:rPr>
          <w:sz w:val="22"/>
        </w:rPr>
        <w:sectPr>
          <w:pgSz w:w="12240" w:h="15840"/>
          <w:pgMar w:top="1360" w:bottom="280" w:left="1440" w:right="1440"/>
        </w:sectPr>
      </w:pPr>
    </w:p>
    <w:p>
      <w:pPr>
        <w:spacing w:line="256" w:lineRule="auto" w:before="84"/>
        <w:ind w:left="718" w:right="110" w:hanging="619"/>
        <w:jc w:val="both"/>
        <w:rPr>
          <w:sz w:val="22"/>
        </w:rPr>
      </w:pPr>
      <w:r>
        <w:rPr>
          <w:sz w:val="22"/>
        </w:rPr>
        <w:t>1100.</w:t>
      </w:r>
      <w:r>
        <w:rPr>
          <w:spacing w:val="40"/>
          <w:sz w:val="22"/>
        </w:rPr>
        <w:t> </w:t>
      </w:r>
      <w:r>
        <w:rPr>
          <w:sz w:val="22"/>
        </w:rPr>
        <w:t>Eeles</w:t>
      </w:r>
      <w:r>
        <w:rPr>
          <w:spacing w:val="22"/>
          <w:sz w:val="22"/>
        </w:rPr>
        <w:t> </w:t>
      </w:r>
      <w:r>
        <w:rPr>
          <w:sz w:val="22"/>
        </w:rPr>
        <w:t>RA,</w:t>
      </w:r>
      <w:r>
        <w:rPr>
          <w:spacing w:val="22"/>
          <w:sz w:val="22"/>
        </w:rPr>
        <w:t> </w:t>
      </w:r>
      <w:r>
        <w:rPr>
          <w:sz w:val="22"/>
        </w:rPr>
        <w:t>Tan</w:t>
      </w:r>
      <w:r>
        <w:rPr>
          <w:spacing w:val="22"/>
          <w:sz w:val="22"/>
        </w:rPr>
        <w:t> </w:t>
      </w:r>
      <w:r>
        <w:rPr>
          <w:sz w:val="22"/>
        </w:rPr>
        <w:t>S,</w:t>
      </w:r>
      <w:r>
        <w:rPr>
          <w:spacing w:val="22"/>
          <w:sz w:val="22"/>
        </w:rPr>
        <w:t> </w:t>
      </w:r>
      <w:r>
        <w:rPr>
          <w:sz w:val="22"/>
        </w:rPr>
        <w:t>Whitelaw</w:t>
      </w:r>
      <w:r>
        <w:rPr>
          <w:spacing w:val="22"/>
          <w:sz w:val="22"/>
        </w:rPr>
        <w:t> </w:t>
      </w:r>
      <w:r>
        <w:rPr>
          <w:sz w:val="22"/>
        </w:rPr>
        <w:t>E,</w:t>
      </w:r>
      <w:r>
        <w:rPr>
          <w:spacing w:val="22"/>
          <w:sz w:val="22"/>
        </w:rPr>
        <w:t> </w:t>
      </w:r>
      <w:r>
        <w:rPr>
          <w:sz w:val="22"/>
        </w:rPr>
        <w:t>et</w:t>
      </w:r>
      <w:r>
        <w:rPr>
          <w:spacing w:val="22"/>
          <w:sz w:val="22"/>
        </w:rPr>
        <w:t> </w:t>
      </w:r>
      <w:r>
        <w:rPr>
          <w:sz w:val="22"/>
        </w:rPr>
        <w:t>al.</w:t>
      </w:r>
      <w:r>
        <w:rPr>
          <w:spacing w:val="22"/>
          <w:sz w:val="22"/>
        </w:rPr>
        <w:t> </w:t>
      </w:r>
      <w:r>
        <w:rPr>
          <w:sz w:val="22"/>
        </w:rPr>
        <w:t>Hormone</w:t>
      </w:r>
      <w:r>
        <w:rPr>
          <w:spacing w:val="20"/>
          <w:sz w:val="22"/>
        </w:rPr>
        <w:t> </w:t>
      </w:r>
      <w:r>
        <w:rPr>
          <w:sz w:val="22"/>
        </w:rPr>
        <w:t>replacement</w:t>
      </w:r>
      <w:r>
        <w:rPr>
          <w:spacing w:val="20"/>
          <w:sz w:val="22"/>
        </w:rPr>
        <w:t> </w:t>
      </w:r>
      <w:r>
        <w:rPr>
          <w:sz w:val="22"/>
        </w:rPr>
        <w:t>therapy</w:t>
      </w:r>
      <w:r>
        <w:rPr>
          <w:spacing w:val="20"/>
          <w:sz w:val="22"/>
        </w:rPr>
        <w:t> </w:t>
      </w:r>
      <w:r>
        <w:rPr>
          <w:sz w:val="22"/>
        </w:rPr>
        <w:t>and</w:t>
      </w:r>
      <w:r>
        <w:rPr>
          <w:spacing w:val="20"/>
          <w:sz w:val="22"/>
        </w:rPr>
        <w:t> </w:t>
      </w:r>
      <w:r>
        <w:rPr>
          <w:sz w:val="22"/>
        </w:rPr>
        <w:t>survival</w:t>
      </w:r>
      <w:r>
        <w:rPr>
          <w:spacing w:val="20"/>
          <w:sz w:val="22"/>
        </w:rPr>
        <w:t> </w:t>
      </w:r>
      <w:r>
        <w:rPr>
          <w:sz w:val="22"/>
        </w:rPr>
        <w:t>after</w:t>
      </w:r>
      <w:r>
        <w:rPr>
          <w:spacing w:val="20"/>
          <w:sz w:val="22"/>
        </w:rPr>
        <w:t> </w:t>
      </w:r>
      <w:r>
        <w:rPr>
          <w:sz w:val="22"/>
        </w:rPr>
        <w:t>surgery for ovarian cancer. </w:t>
      </w:r>
      <w:r>
        <w:rPr>
          <w:i/>
          <w:sz w:val="22"/>
        </w:rPr>
        <w:t>Br Med J</w:t>
      </w:r>
      <w:r>
        <w:rPr>
          <w:sz w:val="22"/>
        </w:rPr>
        <w:t>. 1991;302:259.</w:t>
      </w:r>
    </w:p>
    <w:p>
      <w:pPr>
        <w:spacing w:line="256" w:lineRule="auto" w:before="0"/>
        <w:ind w:left="718" w:right="98" w:hanging="619"/>
        <w:jc w:val="both"/>
        <w:rPr>
          <w:sz w:val="22"/>
        </w:rPr>
      </w:pPr>
      <w:r>
        <w:rPr>
          <w:sz w:val="22"/>
        </w:rPr>
        <w:t>1101. Guidozzi F, Daponte A. Estrogen replacement therapy for ovarian carcinoma survivors. </w:t>
      </w:r>
      <w:r>
        <w:rPr>
          <w:sz w:val="22"/>
        </w:rPr>
        <w:t>A randomized controlled trial. </w:t>
      </w:r>
      <w:r>
        <w:rPr>
          <w:i/>
          <w:sz w:val="22"/>
        </w:rPr>
        <w:t>Cancer</w:t>
      </w:r>
      <w:r>
        <w:rPr>
          <w:sz w:val="22"/>
        </w:rPr>
        <w:t>. 1999;86:1013.</w:t>
      </w:r>
    </w:p>
    <w:p>
      <w:pPr>
        <w:spacing w:line="256" w:lineRule="auto" w:before="0"/>
        <w:ind w:left="718" w:right="99" w:hanging="619"/>
        <w:jc w:val="both"/>
        <w:rPr>
          <w:sz w:val="22"/>
        </w:rPr>
      </w:pPr>
      <w:r>
        <w:rPr>
          <w:sz w:val="22"/>
        </w:rPr>
        <w:t>1102.</w:t>
      </w:r>
      <w:r>
        <w:rPr>
          <w:spacing w:val="40"/>
          <w:sz w:val="22"/>
        </w:rPr>
        <w:t> </w:t>
      </w:r>
      <w:r>
        <w:rPr>
          <w:sz w:val="22"/>
        </w:rPr>
        <w:t>Ursic-Vrscaj M, Bebar S, Zakelj MP. Hormone replacement therapy after invasive ovarian</w:t>
      </w:r>
      <w:r>
        <w:rPr>
          <w:spacing w:val="40"/>
          <w:sz w:val="22"/>
        </w:rPr>
        <w:t> </w:t>
      </w:r>
      <w:r>
        <w:rPr>
          <w:sz w:val="22"/>
        </w:rPr>
        <w:t>serous cystadenocarcinoma treatment: the effect on survival. </w:t>
      </w:r>
      <w:r>
        <w:rPr>
          <w:i/>
          <w:sz w:val="22"/>
        </w:rPr>
        <w:t>Menopause</w:t>
      </w:r>
      <w:r>
        <w:rPr>
          <w:sz w:val="22"/>
        </w:rPr>
        <w:t>. 2001;8:70.</w:t>
      </w:r>
    </w:p>
    <w:p>
      <w:pPr>
        <w:spacing w:line="256" w:lineRule="auto" w:before="0"/>
        <w:ind w:left="718" w:right="98" w:hanging="619"/>
        <w:jc w:val="both"/>
        <w:rPr>
          <w:sz w:val="22"/>
        </w:rPr>
      </w:pPr>
      <w:r>
        <w:rPr>
          <w:sz w:val="22"/>
        </w:rPr>
        <w:t>1103.</w:t>
      </w:r>
      <w:r>
        <w:rPr>
          <w:spacing w:val="40"/>
          <w:sz w:val="22"/>
        </w:rPr>
        <w:t> </w:t>
      </w:r>
      <w:r>
        <w:rPr>
          <w:sz w:val="22"/>
        </w:rPr>
        <w:t>Trabert B, Coburn SB, Falk RT, et al. Circulating estrogens and postmenopausal ovarian and endometrial cancer risk among current hormone users in the Women’s Health </w:t>
      </w:r>
      <w:r>
        <w:rPr>
          <w:sz w:val="22"/>
        </w:rPr>
        <w:t>Initiative Observational Study. </w:t>
      </w:r>
      <w:r>
        <w:rPr>
          <w:i/>
          <w:sz w:val="22"/>
        </w:rPr>
        <w:t>Cancer Causes Control</w:t>
      </w:r>
      <w:r>
        <w:rPr>
          <w:sz w:val="22"/>
        </w:rPr>
        <w:t>. 2019;30: 1201-1211.</w:t>
      </w:r>
    </w:p>
    <w:p>
      <w:pPr>
        <w:spacing w:line="256" w:lineRule="auto" w:before="0"/>
        <w:ind w:left="718" w:right="105" w:hanging="619"/>
        <w:jc w:val="both"/>
        <w:rPr>
          <w:sz w:val="22"/>
        </w:rPr>
      </w:pPr>
      <w:r>
        <w:rPr>
          <w:sz w:val="22"/>
        </w:rPr>
        <w:t>1104. Hopkins ML, Fung MF, Le T, Shorr R. Ovarian cancer patients and hormone replacement therapy: a systematic review. </w:t>
      </w:r>
      <w:r>
        <w:rPr>
          <w:i/>
          <w:sz w:val="22"/>
        </w:rPr>
        <w:t>Gynecol Oncol</w:t>
      </w:r>
      <w:r>
        <w:rPr>
          <w:sz w:val="22"/>
        </w:rPr>
        <w:t>. 2004;92:827.</w:t>
      </w:r>
    </w:p>
    <w:p>
      <w:pPr>
        <w:spacing w:line="256" w:lineRule="auto" w:before="0"/>
        <w:ind w:left="718" w:right="97" w:hanging="619"/>
        <w:jc w:val="both"/>
        <w:rPr>
          <w:sz w:val="22"/>
        </w:rPr>
      </w:pPr>
      <w:r>
        <w:rPr>
          <w:sz w:val="22"/>
        </w:rPr>
        <w:t>1105. Sturdee DW, Pines A, Archer DF, et al; International Menopause Society Writing Group. Updated IMS recommendations on postmenopausal hormone therapy and preventive </w:t>
      </w:r>
      <w:r>
        <w:rPr>
          <w:sz w:val="22"/>
        </w:rPr>
        <w:t>strategies for midlife health. </w:t>
      </w:r>
      <w:r>
        <w:rPr>
          <w:i/>
          <w:sz w:val="22"/>
        </w:rPr>
        <w:t>Climacteric</w:t>
      </w:r>
      <w:r>
        <w:rPr>
          <w:sz w:val="22"/>
        </w:rPr>
        <w:t>. 2011;14(3):302.</w:t>
      </w:r>
    </w:p>
    <w:p>
      <w:pPr>
        <w:spacing w:line="256" w:lineRule="auto" w:before="0"/>
        <w:ind w:left="718" w:right="99" w:hanging="619"/>
        <w:jc w:val="both"/>
        <w:rPr>
          <w:sz w:val="22"/>
        </w:rPr>
      </w:pPr>
      <w:r>
        <w:rPr>
          <w:sz w:val="22"/>
        </w:rPr>
        <w:t>1106.</w:t>
      </w:r>
      <w:r>
        <w:rPr>
          <w:spacing w:val="40"/>
          <w:sz w:val="22"/>
        </w:rPr>
        <w:t> </w:t>
      </w:r>
      <w:r>
        <w:rPr>
          <w:sz w:val="22"/>
        </w:rPr>
        <w:t>Chute CG, Willett WC, Colditz GA, Stampfer MJ, Rosner B, Speizer FE. A</w:t>
      </w:r>
      <w:r>
        <w:rPr>
          <w:spacing w:val="16"/>
          <w:sz w:val="22"/>
        </w:rPr>
        <w:t> </w:t>
      </w:r>
      <w:r>
        <w:rPr>
          <w:sz w:val="22"/>
        </w:rPr>
        <w:t>prospective</w:t>
      </w:r>
      <w:r>
        <w:rPr>
          <w:spacing w:val="16"/>
          <w:sz w:val="22"/>
        </w:rPr>
        <w:t> </w:t>
      </w:r>
      <w:r>
        <w:rPr>
          <w:sz w:val="22"/>
        </w:rPr>
        <w:t>study</w:t>
      </w:r>
      <w:r>
        <w:rPr>
          <w:spacing w:val="80"/>
          <w:sz w:val="22"/>
        </w:rPr>
        <w:t> </w:t>
      </w:r>
      <w:r>
        <w:rPr>
          <w:sz w:val="22"/>
        </w:rPr>
        <w:t>of reproductive history and exogenous estrogens on the risk of colorectal cancer in women. </w:t>
      </w:r>
      <w:r>
        <w:rPr>
          <w:i/>
          <w:sz w:val="22"/>
        </w:rPr>
        <w:t>Epidemiology</w:t>
      </w:r>
      <w:r>
        <w:rPr>
          <w:sz w:val="22"/>
        </w:rPr>
        <w:t>. 1991;2:201.</w:t>
      </w:r>
    </w:p>
    <w:p>
      <w:pPr>
        <w:spacing w:line="251" w:lineRule="exact" w:before="0"/>
        <w:ind w:left="99" w:right="0" w:firstLine="0"/>
        <w:jc w:val="both"/>
        <w:rPr>
          <w:sz w:val="22"/>
        </w:rPr>
      </w:pPr>
      <w:r>
        <w:rPr>
          <w:sz w:val="22"/>
        </w:rPr>
        <w:t>1107.</w:t>
      </w:r>
      <w:r>
        <w:rPr>
          <w:spacing w:val="60"/>
          <w:sz w:val="22"/>
        </w:rPr>
        <w:t> </w:t>
      </w:r>
      <w:r>
        <w:rPr>
          <w:sz w:val="22"/>
        </w:rPr>
        <w:t>Jacobs</w:t>
      </w:r>
      <w:r>
        <w:rPr>
          <w:spacing w:val="24"/>
          <w:sz w:val="22"/>
        </w:rPr>
        <w:t> </w:t>
      </w:r>
      <w:r>
        <w:rPr>
          <w:sz w:val="22"/>
        </w:rPr>
        <w:t>EJ,</w:t>
      </w:r>
      <w:r>
        <w:rPr>
          <w:spacing w:val="24"/>
          <w:sz w:val="22"/>
        </w:rPr>
        <w:t> </w:t>
      </w:r>
      <w:r>
        <w:rPr>
          <w:sz w:val="22"/>
        </w:rPr>
        <w:t>White</w:t>
      </w:r>
      <w:r>
        <w:rPr>
          <w:spacing w:val="24"/>
          <w:sz w:val="22"/>
        </w:rPr>
        <w:t> </w:t>
      </w:r>
      <w:r>
        <w:rPr>
          <w:sz w:val="22"/>
        </w:rPr>
        <w:t>E,</w:t>
      </w:r>
      <w:r>
        <w:rPr>
          <w:spacing w:val="23"/>
          <w:sz w:val="22"/>
        </w:rPr>
        <w:t> </w:t>
      </w:r>
      <w:r>
        <w:rPr>
          <w:sz w:val="22"/>
        </w:rPr>
        <w:t>Weiss</w:t>
      </w:r>
      <w:r>
        <w:rPr>
          <w:spacing w:val="24"/>
          <w:sz w:val="22"/>
        </w:rPr>
        <w:t> </w:t>
      </w:r>
      <w:r>
        <w:rPr>
          <w:sz w:val="22"/>
        </w:rPr>
        <w:t>NS.</w:t>
      </w:r>
      <w:r>
        <w:rPr>
          <w:spacing w:val="24"/>
          <w:sz w:val="22"/>
        </w:rPr>
        <w:t> </w:t>
      </w:r>
      <w:r>
        <w:rPr>
          <w:sz w:val="22"/>
        </w:rPr>
        <w:t>Exogenous</w:t>
      </w:r>
      <w:r>
        <w:rPr>
          <w:spacing w:val="24"/>
          <w:sz w:val="22"/>
        </w:rPr>
        <w:t> </w:t>
      </w:r>
      <w:r>
        <w:rPr>
          <w:sz w:val="22"/>
        </w:rPr>
        <w:t>hormones,</w:t>
      </w:r>
      <w:r>
        <w:rPr>
          <w:spacing w:val="24"/>
          <w:sz w:val="22"/>
        </w:rPr>
        <w:t> </w:t>
      </w:r>
      <w:r>
        <w:rPr>
          <w:sz w:val="22"/>
        </w:rPr>
        <w:t>reproductive</w:t>
      </w:r>
      <w:r>
        <w:rPr>
          <w:spacing w:val="24"/>
          <w:sz w:val="22"/>
        </w:rPr>
        <w:t> </w:t>
      </w:r>
      <w:r>
        <w:rPr>
          <w:sz w:val="22"/>
        </w:rPr>
        <w:t>history,</w:t>
      </w:r>
      <w:r>
        <w:rPr>
          <w:spacing w:val="24"/>
          <w:sz w:val="22"/>
        </w:rPr>
        <w:t> </w:t>
      </w:r>
      <w:r>
        <w:rPr>
          <w:sz w:val="22"/>
        </w:rPr>
        <w:t>and</w:t>
      </w:r>
      <w:r>
        <w:rPr>
          <w:spacing w:val="23"/>
          <w:sz w:val="22"/>
        </w:rPr>
        <w:t> </w:t>
      </w:r>
      <w:r>
        <w:rPr>
          <w:sz w:val="22"/>
        </w:rPr>
        <w:t>colon</w:t>
      </w:r>
      <w:r>
        <w:rPr>
          <w:spacing w:val="24"/>
          <w:sz w:val="22"/>
        </w:rPr>
        <w:t> </w:t>
      </w:r>
      <w:r>
        <w:rPr>
          <w:spacing w:val="-2"/>
          <w:sz w:val="22"/>
        </w:rPr>
        <w:t>cancer.</w:t>
      </w:r>
    </w:p>
    <w:p>
      <w:pPr>
        <w:spacing w:before="8"/>
        <w:ind w:left="718" w:right="0" w:firstLine="0"/>
        <w:jc w:val="both"/>
        <w:rPr>
          <w:sz w:val="22"/>
        </w:rPr>
      </w:pPr>
      <w:r>
        <w:rPr>
          <w:i/>
          <w:sz w:val="22"/>
        </w:rPr>
        <w:t>Cancer</w:t>
      </w:r>
      <w:r>
        <w:rPr>
          <w:i/>
          <w:spacing w:val="11"/>
          <w:sz w:val="22"/>
        </w:rPr>
        <w:t> </w:t>
      </w:r>
      <w:r>
        <w:rPr>
          <w:i/>
          <w:sz w:val="22"/>
        </w:rPr>
        <w:t>Causes</w:t>
      </w:r>
      <w:r>
        <w:rPr>
          <w:i/>
          <w:spacing w:val="11"/>
          <w:sz w:val="22"/>
        </w:rPr>
        <w:t> </w:t>
      </w:r>
      <w:r>
        <w:rPr>
          <w:i/>
          <w:sz w:val="22"/>
        </w:rPr>
        <w:t>Control</w:t>
      </w:r>
      <w:r>
        <w:rPr>
          <w:sz w:val="22"/>
        </w:rPr>
        <w:t>.</w:t>
      </w:r>
      <w:r>
        <w:rPr>
          <w:spacing w:val="11"/>
          <w:sz w:val="22"/>
        </w:rPr>
        <w:t> </w:t>
      </w:r>
      <w:r>
        <w:rPr>
          <w:spacing w:val="-2"/>
          <w:sz w:val="22"/>
        </w:rPr>
        <w:t>1994;5:359.</w:t>
      </w:r>
    </w:p>
    <w:p>
      <w:pPr>
        <w:spacing w:line="256" w:lineRule="auto" w:before="17"/>
        <w:ind w:left="718" w:right="102" w:hanging="619"/>
        <w:jc w:val="both"/>
        <w:rPr>
          <w:sz w:val="22"/>
        </w:rPr>
      </w:pPr>
      <w:r>
        <w:rPr>
          <w:sz w:val="22"/>
        </w:rPr>
        <w:t>1108.</w:t>
      </w:r>
      <w:r>
        <w:rPr>
          <w:spacing w:val="40"/>
          <w:sz w:val="22"/>
        </w:rPr>
        <w:t> </w:t>
      </w:r>
      <w:r>
        <w:rPr>
          <w:sz w:val="22"/>
        </w:rPr>
        <w:t>Calle EE, Miracle-McMahill ML, Thun MJ, Heath CW Jr. Estrogen replacement therapy </w:t>
      </w:r>
      <w:r>
        <w:rPr>
          <w:sz w:val="22"/>
        </w:rPr>
        <w:t>and</w:t>
      </w:r>
      <w:r>
        <w:rPr>
          <w:spacing w:val="40"/>
          <w:sz w:val="22"/>
        </w:rPr>
        <w:t> </w:t>
      </w:r>
      <w:r>
        <w:rPr>
          <w:sz w:val="22"/>
        </w:rPr>
        <w:t>risk</w:t>
      </w:r>
      <w:r>
        <w:rPr>
          <w:spacing w:val="35"/>
          <w:sz w:val="22"/>
        </w:rPr>
        <w:t> </w:t>
      </w:r>
      <w:r>
        <w:rPr>
          <w:sz w:val="22"/>
        </w:rPr>
        <w:t>of</w:t>
      </w:r>
      <w:r>
        <w:rPr>
          <w:spacing w:val="35"/>
          <w:sz w:val="22"/>
        </w:rPr>
        <w:t> </w:t>
      </w:r>
      <w:r>
        <w:rPr>
          <w:sz w:val="22"/>
        </w:rPr>
        <w:t>fatal</w:t>
      </w:r>
      <w:r>
        <w:rPr>
          <w:spacing w:val="35"/>
          <w:sz w:val="22"/>
        </w:rPr>
        <w:t> </w:t>
      </w:r>
      <w:r>
        <w:rPr>
          <w:sz w:val="22"/>
        </w:rPr>
        <w:t>colon</w:t>
      </w:r>
      <w:r>
        <w:rPr>
          <w:spacing w:val="35"/>
          <w:sz w:val="22"/>
        </w:rPr>
        <w:t> </w:t>
      </w:r>
      <w:r>
        <w:rPr>
          <w:sz w:val="22"/>
        </w:rPr>
        <w:t>cancer</w:t>
      </w:r>
      <w:r>
        <w:rPr>
          <w:spacing w:val="35"/>
          <w:sz w:val="22"/>
        </w:rPr>
        <w:t> </w:t>
      </w:r>
      <w:r>
        <w:rPr>
          <w:sz w:val="22"/>
        </w:rPr>
        <w:t>in</w:t>
      </w:r>
      <w:r>
        <w:rPr>
          <w:spacing w:val="35"/>
          <w:sz w:val="22"/>
        </w:rPr>
        <w:t> </w:t>
      </w:r>
      <w:r>
        <w:rPr>
          <w:sz w:val="22"/>
        </w:rPr>
        <w:t>a</w:t>
      </w:r>
      <w:r>
        <w:rPr>
          <w:spacing w:val="35"/>
          <w:sz w:val="22"/>
        </w:rPr>
        <w:t> </w:t>
      </w:r>
      <w:r>
        <w:rPr>
          <w:sz w:val="22"/>
        </w:rPr>
        <w:t>prospective</w:t>
      </w:r>
      <w:r>
        <w:rPr>
          <w:spacing w:val="35"/>
          <w:sz w:val="22"/>
        </w:rPr>
        <w:t> </w:t>
      </w:r>
      <w:r>
        <w:rPr>
          <w:sz w:val="22"/>
        </w:rPr>
        <w:t>cohort</w:t>
      </w:r>
      <w:r>
        <w:rPr>
          <w:spacing w:val="35"/>
          <w:sz w:val="22"/>
        </w:rPr>
        <w:t> </w:t>
      </w:r>
      <w:r>
        <w:rPr>
          <w:sz w:val="22"/>
        </w:rPr>
        <w:t>of</w:t>
      </w:r>
      <w:r>
        <w:rPr>
          <w:spacing w:val="35"/>
          <w:sz w:val="22"/>
        </w:rPr>
        <w:t> </w:t>
      </w:r>
      <w:r>
        <w:rPr>
          <w:sz w:val="22"/>
        </w:rPr>
        <w:t>postmenopausal</w:t>
      </w:r>
      <w:r>
        <w:rPr>
          <w:spacing w:val="35"/>
          <w:sz w:val="22"/>
        </w:rPr>
        <w:t> </w:t>
      </w:r>
      <w:r>
        <w:rPr>
          <w:sz w:val="22"/>
        </w:rPr>
        <w:t>women.</w:t>
      </w:r>
      <w:r>
        <w:rPr>
          <w:spacing w:val="35"/>
          <w:sz w:val="22"/>
        </w:rPr>
        <w:t> </w:t>
      </w:r>
      <w:r>
        <w:rPr>
          <w:i/>
          <w:sz w:val="22"/>
        </w:rPr>
        <w:t>J</w:t>
      </w:r>
      <w:r>
        <w:rPr>
          <w:i/>
          <w:spacing w:val="32"/>
          <w:sz w:val="22"/>
        </w:rPr>
        <w:t> </w:t>
      </w:r>
      <w:r>
        <w:rPr>
          <w:i/>
          <w:sz w:val="22"/>
        </w:rPr>
        <w:t>Natl</w:t>
      </w:r>
      <w:r>
        <w:rPr>
          <w:i/>
          <w:spacing w:val="32"/>
          <w:sz w:val="22"/>
        </w:rPr>
        <w:t> </w:t>
      </w:r>
      <w:r>
        <w:rPr>
          <w:i/>
          <w:sz w:val="22"/>
        </w:rPr>
        <w:t>Cancer</w:t>
      </w:r>
      <w:r>
        <w:rPr>
          <w:i/>
          <w:sz w:val="22"/>
        </w:rPr>
        <w:t> Inst</w:t>
      </w:r>
      <w:r>
        <w:rPr>
          <w:sz w:val="22"/>
        </w:rPr>
        <w:t>. 1995;87:517.</w:t>
      </w:r>
    </w:p>
    <w:p>
      <w:pPr>
        <w:spacing w:line="256" w:lineRule="auto" w:before="0"/>
        <w:ind w:left="718" w:right="101" w:hanging="619"/>
        <w:jc w:val="both"/>
        <w:rPr>
          <w:sz w:val="22"/>
        </w:rPr>
      </w:pPr>
      <w:r>
        <w:rPr>
          <w:sz w:val="22"/>
        </w:rPr>
        <w:t>1109. Kampman E, Potter JD, Slattery ML, Caan BJ, Edwards S. Hormone replacement therapy, reproductive history, and colon cancer: a multicenter, case-control study in the United </w:t>
      </w:r>
      <w:r>
        <w:rPr>
          <w:sz w:val="22"/>
        </w:rPr>
        <w:t>States. </w:t>
      </w:r>
      <w:r>
        <w:rPr>
          <w:i/>
          <w:sz w:val="22"/>
        </w:rPr>
        <w:t>Cancer Causes Control</w:t>
      </w:r>
      <w:r>
        <w:rPr>
          <w:sz w:val="22"/>
        </w:rPr>
        <w:t>. 1997;8:146.</w:t>
      </w:r>
    </w:p>
    <w:p>
      <w:pPr>
        <w:spacing w:line="256" w:lineRule="auto" w:before="0"/>
        <w:ind w:left="718" w:right="102" w:hanging="619"/>
        <w:jc w:val="both"/>
        <w:rPr>
          <w:sz w:val="22"/>
        </w:rPr>
      </w:pPr>
      <w:r>
        <w:rPr>
          <w:sz w:val="22"/>
        </w:rPr>
        <w:t>1110.</w:t>
      </w:r>
      <w:r>
        <w:rPr>
          <w:spacing w:val="40"/>
          <w:sz w:val="22"/>
        </w:rPr>
        <w:t> </w:t>
      </w:r>
      <w:r>
        <w:rPr>
          <w:sz w:val="22"/>
        </w:rPr>
        <w:t>Troisi</w:t>
      </w:r>
      <w:r>
        <w:rPr>
          <w:spacing w:val="37"/>
          <w:sz w:val="22"/>
        </w:rPr>
        <w:t> </w:t>
      </w:r>
      <w:r>
        <w:rPr>
          <w:sz w:val="22"/>
        </w:rPr>
        <w:t>R,</w:t>
      </w:r>
      <w:r>
        <w:rPr>
          <w:spacing w:val="37"/>
          <w:sz w:val="22"/>
        </w:rPr>
        <w:t> </w:t>
      </w:r>
      <w:r>
        <w:rPr>
          <w:sz w:val="22"/>
        </w:rPr>
        <w:t>Schairer</w:t>
      </w:r>
      <w:r>
        <w:rPr>
          <w:spacing w:val="37"/>
          <w:sz w:val="22"/>
        </w:rPr>
        <w:t> </w:t>
      </w:r>
      <w:r>
        <w:rPr>
          <w:sz w:val="22"/>
        </w:rPr>
        <w:t>C,</w:t>
      </w:r>
      <w:r>
        <w:rPr>
          <w:spacing w:val="37"/>
          <w:sz w:val="22"/>
        </w:rPr>
        <w:t> </w:t>
      </w:r>
      <w:r>
        <w:rPr>
          <w:sz w:val="22"/>
        </w:rPr>
        <w:t>Chow</w:t>
      </w:r>
      <w:r>
        <w:rPr>
          <w:spacing w:val="37"/>
          <w:sz w:val="22"/>
        </w:rPr>
        <w:t> </w:t>
      </w:r>
      <w:r>
        <w:rPr>
          <w:sz w:val="22"/>
        </w:rPr>
        <w:t>W-H,</w:t>
      </w:r>
      <w:r>
        <w:rPr>
          <w:spacing w:val="37"/>
          <w:sz w:val="22"/>
        </w:rPr>
        <w:t> </w:t>
      </w:r>
      <w:r>
        <w:rPr>
          <w:sz w:val="22"/>
        </w:rPr>
        <w:t>Schatzkin</w:t>
      </w:r>
      <w:r>
        <w:rPr>
          <w:spacing w:val="37"/>
          <w:sz w:val="22"/>
        </w:rPr>
        <w:t> </w:t>
      </w:r>
      <w:r>
        <w:rPr>
          <w:sz w:val="22"/>
        </w:rPr>
        <w:t>A,</w:t>
      </w:r>
      <w:r>
        <w:rPr>
          <w:spacing w:val="37"/>
          <w:sz w:val="22"/>
        </w:rPr>
        <w:t> </w:t>
      </w:r>
      <w:r>
        <w:rPr>
          <w:sz w:val="22"/>
        </w:rPr>
        <w:t>Brinton</w:t>
      </w:r>
      <w:r>
        <w:rPr>
          <w:spacing w:val="37"/>
          <w:sz w:val="22"/>
        </w:rPr>
        <w:t> </w:t>
      </w:r>
      <w:r>
        <w:rPr>
          <w:sz w:val="22"/>
        </w:rPr>
        <w:t>LA,</w:t>
      </w:r>
      <w:r>
        <w:rPr>
          <w:spacing w:val="37"/>
          <w:sz w:val="22"/>
        </w:rPr>
        <w:t> </w:t>
      </w:r>
      <w:r>
        <w:rPr>
          <w:sz w:val="22"/>
        </w:rPr>
        <w:t>Fraumeni</w:t>
      </w:r>
      <w:r>
        <w:rPr>
          <w:spacing w:val="37"/>
          <w:sz w:val="22"/>
        </w:rPr>
        <w:t> </w:t>
      </w:r>
      <w:r>
        <w:rPr>
          <w:sz w:val="22"/>
        </w:rPr>
        <w:t>JF</w:t>
      </w:r>
      <w:r>
        <w:rPr>
          <w:spacing w:val="37"/>
          <w:sz w:val="22"/>
        </w:rPr>
        <w:t> </w:t>
      </w:r>
      <w:r>
        <w:rPr>
          <w:sz w:val="22"/>
        </w:rPr>
        <w:t>Jr.</w:t>
      </w:r>
      <w:r>
        <w:rPr>
          <w:spacing w:val="37"/>
          <w:sz w:val="22"/>
        </w:rPr>
        <w:t> </w:t>
      </w:r>
      <w:r>
        <w:rPr>
          <w:sz w:val="22"/>
        </w:rPr>
        <w:t>A</w:t>
      </w:r>
      <w:r>
        <w:rPr>
          <w:spacing w:val="37"/>
          <w:sz w:val="22"/>
        </w:rPr>
        <w:t> </w:t>
      </w:r>
      <w:r>
        <w:rPr>
          <w:sz w:val="22"/>
        </w:rPr>
        <w:t>prospective study of menopausal hormones and risk of colorectal cancer (United States). </w:t>
      </w:r>
      <w:r>
        <w:rPr>
          <w:i/>
          <w:sz w:val="22"/>
        </w:rPr>
        <w:t>Cancer Causes</w:t>
      </w:r>
      <w:r>
        <w:rPr>
          <w:i/>
          <w:sz w:val="22"/>
        </w:rPr>
        <w:t> Control</w:t>
      </w:r>
      <w:r>
        <w:rPr>
          <w:sz w:val="22"/>
        </w:rPr>
        <w:t>. 1997;8:130.</w:t>
      </w:r>
    </w:p>
    <w:p>
      <w:pPr>
        <w:spacing w:line="256" w:lineRule="auto" w:before="0"/>
        <w:ind w:left="718" w:right="98" w:hanging="619"/>
        <w:jc w:val="both"/>
        <w:rPr>
          <w:sz w:val="22"/>
        </w:rPr>
      </w:pPr>
      <w:r>
        <w:rPr>
          <w:sz w:val="22"/>
        </w:rPr>
        <w:t>1111.</w:t>
      </w:r>
      <w:r>
        <w:rPr>
          <w:spacing w:val="40"/>
          <w:sz w:val="22"/>
        </w:rPr>
        <w:t> </w:t>
      </w:r>
      <w:r>
        <w:rPr>
          <w:sz w:val="22"/>
        </w:rPr>
        <w:t>Fernandez</w:t>
      </w:r>
      <w:r>
        <w:rPr>
          <w:spacing w:val="28"/>
          <w:sz w:val="22"/>
        </w:rPr>
        <w:t> </w:t>
      </w:r>
      <w:r>
        <w:rPr>
          <w:sz w:val="22"/>
        </w:rPr>
        <w:t>E,</w:t>
      </w:r>
      <w:r>
        <w:rPr>
          <w:spacing w:val="28"/>
          <w:sz w:val="22"/>
        </w:rPr>
        <w:t> </w:t>
      </w:r>
      <w:r>
        <w:rPr>
          <w:sz w:val="22"/>
        </w:rPr>
        <w:t>La</w:t>
      </w:r>
      <w:r>
        <w:rPr>
          <w:spacing w:val="28"/>
          <w:sz w:val="22"/>
        </w:rPr>
        <w:t> </w:t>
      </w:r>
      <w:r>
        <w:rPr>
          <w:sz w:val="22"/>
        </w:rPr>
        <w:t>Vecchia</w:t>
      </w:r>
      <w:r>
        <w:rPr>
          <w:spacing w:val="28"/>
          <w:sz w:val="22"/>
        </w:rPr>
        <w:t> </w:t>
      </w:r>
      <w:r>
        <w:rPr>
          <w:sz w:val="22"/>
        </w:rPr>
        <w:t>C,</w:t>
      </w:r>
      <w:r>
        <w:rPr>
          <w:spacing w:val="28"/>
          <w:sz w:val="22"/>
        </w:rPr>
        <w:t> </w:t>
      </w:r>
      <w:r>
        <w:rPr>
          <w:sz w:val="22"/>
        </w:rPr>
        <w:t>Braga</w:t>
      </w:r>
      <w:r>
        <w:rPr>
          <w:spacing w:val="28"/>
          <w:sz w:val="22"/>
        </w:rPr>
        <w:t> </w:t>
      </w:r>
      <w:r>
        <w:rPr>
          <w:sz w:val="22"/>
        </w:rPr>
        <w:t>C,</w:t>
      </w:r>
      <w:r>
        <w:rPr>
          <w:spacing w:val="28"/>
          <w:sz w:val="22"/>
        </w:rPr>
        <w:t> </w:t>
      </w:r>
      <w:r>
        <w:rPr>
          <w:sz w:val="22"/>
        </w:rPr>
        <w:t>et</w:t>
      </w:r>
      <w:r>
        <w:rPr>
          <w:spacing w:val="28"/>
          <w:sz w:val="22"/>
        </w:rPr>
        <w:t> </w:t>
      </w:r>
      <w:r>
        <w:rPr>
          <w:sz w:val="22"/>
        </w:rPr>
        <w:t>al.</w:t>
      </w:r>
      <w:r>
        <w:rPr>
          <w:spacing w:val="28"/>
          <w:sz w:val="22"/>
        </w:rPr>
        <w:t> </w:t>
      </w:r>
      <w:r>
        <w:rPr>
          <w:sz w:val="22"/>
        </w:rPr>
        <w:t>Hormone</w:t>
      </w:r>
      <w:r>
        <w:rPr>
          <w:spacing w:val="32"/>
          <w:sz w:val="22"/>
        </w:rPr>
        <w:t> </w:t>
      </w:r>
      <w:r>
        <w:rPr>
          <w:sz w:val="22"/>
        </w:rPr>
        <w:t>replacement</w:t>
      </w:r>
      <w:r>
        <w:rPr>
          <w:spacing w:val="32"/>
          <w:sz w:val="22"/>
        </w:rPr>
        <w:t> </w:t>
      </w:r>
      <w:r>
        <w:rPr>
          <w:sz w:val="22"/>
        </w:rPr>
        <w:t>therapy</w:t>
      </w:r>
      <w:r>
        <w:rPr>
          <w:spacing w:val="32"/>
          <w:sz w:val="22"/>
        </w:rPr>
        <w:t> </w:t>
      </w:r>
      <w:r>
        <w:rPr>
          <w:sz w:val="22"/>
        </w:rPr>
        <w:t>and</w:t>
      </w:r>
      <w:r>
        <w:rPr>
          <w:spacing w:val="32"/>
          <w:sz w:val="22"/>
        </w:rPr>
        <w:t> </w:t>
      </w:r>
      <w:r>
        <w:rPr>
          <w:sz w:val="22"/>
        </w:rPr>
        <w:t>risk</w:t>
      </w:r>
      <w:r>
        <w:rPr>
          <w:spacing w:val="32"/>
          <w:sz w:val="22"/>
        </w:rPr>
        <w:t> </w:t>
      </w:r>
      <w:r>
        <w:rPr>
          <w:sz w:val="22"/>
        </w:rPr>
        <w:t>of</w:t>
      </w:r>
      <w:r>
        <w:rPr>
          <w:spacing w:val="32"/>
          <w:sz w:val="22"/>
        </w:rPr>
        <w:t> </w:t>
      </w:r>
      <w:r>
        <w:rPr>
          <w:sz w:val="22"/>
        </w:rPr>
        <w:t>colon and rectal cancer. </w:t>
      </w:r>
      <w:r>
        <w:rPr>
          <w:i/>
          <w:sz w:val="22"/>
        </w:rPr>
        <w:t>Cancer Epidemiol Biomarkers Prev</w:t>
      </w:r>
      <w:r>
        <w:rPr>
          <w:sz w:val="22"/>
        </w:rPr>
        <w:t>. 1998;7:329.</w:t>
      </w:r>
    </w:p>
    <w:p>
      <w:pPr>
        <w:spacing w:line="252" w:lineRule="exact" w:before="0"/>
        <w:ind w:left="99" w:right="0" w:firstLine="0"/>
        <w:jc w:val="both"/>
        <w:rPr>
          <w:sz w:val="22"/>
        </w:rPr>
      </w:pPr>
      <w:r>
        <w:rPr>
          <w:sz w:val="22"/>
        </w:rPr>
        <w:t>1112.</w:t>
      </w:r>
      <w:r>
        <w:rPr>
          <w:spacing w:val="62"/>
          <w:sz w:val="22"/>
        </w:rPr>
        <w:t> </w:t>
      </w:r>
      <w:r>
        <w:rPr>
          <w:sz w:val="22"/>
        </w:rPr>
        <w:t>Paganini-Hill</w:t>
      </w:r>
      <w:r>
        <w:rPr>
          <w:spacing w:val="33"/>
          <w:sz w:val="22"/>
        </w:rPr>
        <w:t> </w:t>
      </w:r>
      <w:r>
        <w:rPr>
          <w:sz w:val="22"/>
        </w:rPr>
        <w:t>A.</w:t>
      </w:r>
      <w:r>
        <w:rPr>
          <w:spacing w:val="33"/>
          <w:sz w:val="22"/>
        </w:rPr>
        <w:t> </w:t>
      </w:r>
      <w:r>
        <w:rPr>
          <w:sz w:val="22"/>
        </w:rPr>
        <w:t>Estrogen</w:t>
      </w:r>
      <w:r>
        <w:rPr>
          <w:spacing w:val="37"/>
          <w:sz w:val="22"/>
        </w:rPr>
        <w:t> </w:t>
      </w:r>
      <w:r>
        <w:rPr>
          <w:sz w:val="22"/>
        </w:rPr>
        <w:t>replacement</w:t>
      </w:r>
      <w:r>
        <w:rPr>
          <w:spacing w:val="38"/>
          <w:sz w:val="22"/>
        </w:rPr>
        <w:t> </w:t>
      </w:r>
      <w:r>
        <w:rPr>
          <w:sz w:val="22"/>
        </w:rPr>
        <w:t>therapy</w:t>
      </w:r>
      <w:r>
        <w:rPr>
          <w:spacing w:val="37"/>
          <w:sz w:val="22"/>
        </w:rPr>
        <w:t> </w:t>
      </w:r>
      <w:r>
        <w:rPr>
          <w:sz w:val="22"/>
        </w:rPr>
        <w:t>and</w:t>
      </w:r>
      <w:r>
        <w:rPr>
          <w:spacing w:val="38"/>
          <w:sz w:val="22"/>
        </w:rPr>
        <w:t> </w:t>
      </w:r>
      <w:r>
        <w:rPr>
          <w:sz w:val="22"/>
        </w:rPr>
        <w:t>colorectal</w:t>
      </w:r>
      <w:r>
        <w:rPr>
          <w:spacing w:val="37"/>
          <w:sz w:val="22"/>
        </w:rPr>
        <w:t> </w:t>
      </w:r>
      <w:r>
        <w:rPr>
          <w:sz w:val="22"/>
        </w:rPr>
        <w:t>cancer</w:t>
      </w:r>
      <w:r>
        <w:rPr>
          <w:spacing w:val="38"/>
          <w:sz w:val="22"/>
        </w:rPr>
        <w:t> </w:t>
      </w:r>
      <w:r>
        <w:rPr>
          <w:sz w:val="22"/>
        </w:rPr>
        <w:t>risk</w:t>
      </w:r>
      <w:r>
        <w:rPr>
          <w:spacing w:val="37"/>
          <w:sz w:val="22"/>
        </w:rPr>
        <w:t> </w:t>
      </w:r>
      <w:r>
        <w:rPr>
          <w:sz w:val="22"/>
        </w:rPr>
        <w:t>in</w:t>
      </w:r>
      <w:r>
        <w:rPr>
          <w:spacing w:val="38"/>
          <w:sz w:val="22"/>
        </w:rPr>
        <w:t> </w:t>
      </w:r>
      <w:r>
        <w:rPr>
          <w:sz w:val="22"/>
        </w:rPr>
        <w:t>elderly</w:t>
      </w:r>
      <w:r>
        <w:rPr>
          <w:spacing w:val="37"/>
          <w:sz w:val="22"/>
        </w:rPr>
        <w:t> </w:t>
      </w:r>
      <w:r>
        <w:rPr>
          <w:spacing w:val="-2"/>
          <w:sz w:val="22"/>
        </w:rPr>
        <w:t>women.</w:t>
      </w:r>
    </w:p>
    <w:p>
      <w:pPr>
        <w:spacing w:before="11"/>
        <w:ind w:left="718" w:right="0" w:firstLine="0"/>
        <w:jc w:val="both"/>
        <w:rPr>
          <w:sz w:val="22"/>
        </w:rPr>
      </w:pPr>
      <w:r>
        <w:rPr>
          <w:i/>
          <w:sz w:val="22"/>
        </w:rPr>
        <w:t>Dis</w:t>
      </w:r>
      <w:r>
        <w:rPr>
          <w:i/>
          <w:spacing w:val="11"/>
          <w:sz w:val="22"/>
        </w:rPr>
        <w:t> </w:t>
      </w:r>
      <w:r>
        <w:rPr>
          <w:i/>
          <w:sz w:val="22"/>
        </w:rPr>
        <w:t>Colon</w:t>
      </w:r>
      <w:r>
        <w:rPr>
          <w:i/>
          <w:spacing w:val="11"/>
          <w:sz w:val="22"/>
        </w:rPr>
        <w:t> </w:t>
      </w:r>
      <w:r>
        <w:rPr>
          <w:i/>
          <w:sz w:val="22"/>
        </w:rPr>
        <w:t>Rectum</w:t>
      </w:r>
      <w:r>
        <w:rPr>
          <w:sz w:val="22"/>
        </w:rPr>
        <w:t>.</w:t>
      </w:r>
      <w:r>
        <w:rPr>
          <w:spacing w:val="11"/>
          <w:sz w:val="22"/>
        </w:rPr>
        <w:t> </w:t>
      </w:r>
      <w:r>
        <w:rPr>
          <w:spacing w:val="-2"/>
          <w:sz w:val="22"/>
        </w:rPr>
        <w:t>1999;42:1300.</w:t>
      </w:r>
    </w:p>
    <w:p>
      <w:pPr>
        <w:spacing w:line="256" w:lineRule="auto" w:before="17"/>
        <w:ind w:left="718" w:right="104" w:hanging="619"/>
        <w:jc w:val="both"/>
        <w:rPr>
          <w:sz w:val="22"/>
        </w:rPr>
      </w:pPr>
      <w:r>
        <w:rPr>
          <w:sz w:val="22"/>
        </w:rPr>
        <w:t>1113.</w:t>
      </w:r>
      <w:r>
        <w:rPr>
          <w:spacing w:val="40"/>
          <w:sz w:val="22"/>
        </w:rPr>
        <w:t> </w:t>
      </w:r>
      <w:r>
        <w:rPr>
          <w:sz w:val="22"/>
        </w:rPr>
        <w:t>Johnson</w:t>
      </w:r>
      <w:r>
        <w:rPr>
          <w:spacing w:val="40"/>
          <w:sz w:val="22"/>
        </w:rPr>
        <w:t> </w:t>
      </w:r>
      <w:r>
        <w:rPr>
          <w:sz w:val="22"/>
        </w:rPr>
        <w:t>JR,</w:t>
      </w:r>
      <w:r>
        <w:rPr>
          <w:spacing w:val="40"/>
          <w:sz w:val="22"/>
        </w:rPr>
        <w:t> </w:t>
      </w:r>
      <w:r>
        <w:rPr>
          <w:sz w:val="22"/>
        </w:rPr>
        <w:t>Lacey</w:t>
      </w:r>
      <w:r>
        <w:rPr>
          <w:spacing w:val="40"/>
          <w:sz w:val="22"/>
        </w:rPr>
        <w:t> </w:t>
      </w:r>
      <w:r>
        <w:rPr>
          <w:sz w:val="22"/>
        </w:rPr>
        <w:t>JV</w:t>
      </w:r>
      <w:r>
        <w:rPr>
          <w:spacing w:val="40"/>
          <w:sz w:val="22"/>
        </w:rPr>
        <w:t> </w:t>
      </w:r>
      <w:r>
        <w:rPr>
          <w:sz w:val="22"/>
        </w:rPr>
        <w:t>Jr,</w:t>
      </w:r>
      <w:r>
        <w:rPr>
          <w:spacing w:val="40"/>
          <w:sz w:val="22"/>
        </w:rPr>
        <w:t> </w:t>
      </w:r>
      <w:r>
        <w:rPr>
          <w:sz w:val="22"/>
        </w:rPr>
        <w:t>Lazovich</w:t>
      </w:r>
      <w:r>
        <w:rPr>
          <w:spacing w:val="40"/>
          <w:sz w:val="22"/>
        </w:rPr>
        <w:t> </w:t>
      </w:r>
      <w:r>
        <w:rPr>
          <w:sz w:val="22"/>
        </w:rPr>
        <w:t>D,</w:t>
      </w:r>
      <w:r>
        <w:rPr>
          <w:spacing w:val="40"/>
          <w:sz w:val="22"/>
        </w:rPr>
        <w:t> </w:t>
      </w:r>
      <w:r>
        <w:rPr>
          <w:sz w:val="22"/>
        </w:rPr>
        <w:t>et</w:t>
      </w:r>
      <w:r>
        <w:rPr>
          <w:spacing w:val="40"/>
          <w:sz w:val="22"/>
        </w:rPr>
        <w:t> </w:t>
      </w:r>
      <w:r>
        <w:rPr>
          <w:sz w:val="22"/>
        </w:rPr>
        <w:t>al.</w:t>
      </w:r>
      <w:r>
        <w:rPr>
          <w:spacing w:val="40"/>
          <w:sz w:val="22"/>
        </w:rPr>
        <w:t> </w:t>
      </w:r>
      <w:r>
        <w:rPr>
          <w:sz w:val="22"/>
        </w:rPr>
        <w:t>Menopausal</w:t>
      </w:r>
      <w:r>
        <w:rPr>
          <w:spacing w:val="40"/>
          <w:sz w:val="22"/>
        </w:rPr>
        <w:t> </w:t>
      </w:r>
      <w:r>
        <w:rPr>
          <w:sz w:val="22"/>
        </w:rPr>
        <w:t>hormone</w:t>
      </w:r>
      <w:r>
        <w:rPr>
          <w:spacing w:val="40"/>
          <w:sz w:val="22"/>
        </w:rPr>
        <w:t> </w:t>
      </w:r>
      <w:r>
        <w:rPr>
          <w:sz w:val="22"/>
        </w:rPr>
        <w:t>therapy</w:t>
      </w:r>
      <w:r>
        <w:rPr>
          <w:spacing w:val="40"/>
          <w:sz w:val="22"/>
        </w:rPr>
        <w:t> </w:t>
      </w:r>
      <w:r>
        <w:rPr>
          <w:sz w:val="22"/>
        </w:rPr>
        <w:t>and</w:t>
      </w:r>
      <w:r>
        <w:rPr>
          <w:spacing w:val="40"/>
          <w:sz w:val="22"/>
        </w:rPr>
        <w:t> </w:t>
      </w:r>
      <w:r>
        <w:rPr>
          <w:sz w:val="22"/>
        </w:rPr>
        <w:t>risk</w:t>
      </w:r>
      <w:r>
        <w:rPr>
          <w:spacing w:val="40"/>
          <w:sz w:val="22"/>
        </w:rPr>
        <w:t> </w:t>
      </w:r>
      <w:r>
        <w:rPr>
          <w:sz w:val="22"/>
        </w:rPr>
        <w:t>of colorectal cancer. </w:t>
      </w:r>
      <w:r>
        <w:rPr>
          <w:i/>
          <w:sz w:val="22"/>
        </w:rPr>
        <w:t>Cancer Epidemiol Biomarkers Prev</w:t>
      </w:r>
      <w:r>
        <w:rPr>
          <w:sz w:val="22"/>
        </w:rPr>
        <w:t>. 2009;18:196.</w:t>
      </w:r>
    </w:p>
    <w:p>
      <w:pPr>
        <w:spacing w:line="256" w:lineRule="auto" w:before="0"/>
        <w:ind w:left="718" w:right="108" w:hanging="619"/>
        <w:jc w:val="both"/>
        <w:rPr>
          <w:sz w:val="22"/>
        </w:rPr>
      </w:pPr>
      <w:r>
        <w:rPr>
          <w:sz w:val="22"/>
        </w:rPr>
        <w:t>1114.</w:t>
      </w:r>
      <w:r>
        <w:rPr>
          <w:spacing w:val="40"/>
          <w:sz w:val="22"/>
        </w:rPr>
        <w:t> </w:t>
      </w:r>
      <w:r>
        <w:rPr>
          <w:sz w:val="22"/>
        </w:rPr>
        <w:t>Rennert</w:t>
      </w:r>
      <w:r>
        <w:rPr>
          <w:spacing w:val="40"/>
          <w:sz w:val="22"/>
        </w:rPr>
        <w:t> </w:t>
      </w:r>
      <w:r>
        <w:rPr>
          <w:sz w:val="22"/>
        </w:rPr>
        <w:t>G,</w:t>
      </w:r>
      <w:r>
        <w:rPr>
          <w:spacing w:val="40"/>
          <w:sz w:val="22"/>
        </w:rPr>
        <w:t> </w:t>
      </w:r>
      <w:r>
        <w:rPr>
          <w:sz w:val="22"/>
        </w:rPr>
        <w:t>Rennert</w:t>
      </w:r>
      <w:r>
        <w:rPr>
          <w:spacing w:val="40"/>
          <w:sz w:val="22"/>
        </w:rPr>
        <w:t> </w:t>
      </w:r>
      <w:r>
        <w:rPr>
          <w:sz w:val="22"/>
        </w:rPr>
        <w:t>HS,</w:t>
      </w:r>
      <w:r>
        <w:rPr>
          <w:spacing w:val="40"/>
          <w:sz w:val="22"/>
        </w:rPr>
        <w:t> </w:t>
      </w:r>
      <w:r>
        <w:rPr>
          <w:sz w:val="22"/>
        </w:rPr>
        <w:t>Pinchev</w:t>
      </w:r>
      <w:r>
        <w:rPr>
          <w:spacing w:val="40"/>
          <w:sz w:val="22"/>
        </w:rPr>
        <w:t> </w:t>
      </w:r>
      <w:r>
        <w:rPr>
          <w:sz w:val="22"/>
        </w:rPr>
        <w:t>M,</w:t>
      </w:r>
      <w:r>
        <w:rPr>
          <w:spacing w:val="40"/>
          <w:sz w:val="22"/>
        </w:rPr>
        <w:t> </w:t>
      </w:r>
      <w:r>
        <w:rPr>
          <w:sz w:val="22"/>
        </w:rPr>
        <w:t>Lavie</w:t>
      </w:r>
      <w:r>
        <w:rPr>
          <w:spacing w:val="40"/>
          <w:sz w:val="22"/>
        </w:rPr>
        <w:t> </w:t>
      </w:r>
      <w:r>
        <w:rPr>
          <w:sz w:val="22"/>
        </w:rPr>
        <w:t>O,</w:t>
      </w:r>
      <w:r>
        <w:rPr>
          <w:spacing w:val="40"/>
          <w:sz w:val="22"/>
        </w:rPr>
        <w:t> </w:t>
      </w:r>
      <w:r>
        <w:rPr>
          <w:sz w:val="22"/>
        </w:rPr>
        <w:t>Gruber</w:t>
      </w:r>
      <w:r>
        <w:rPr>
          <w:spacing w:val="40"/>
          <w:sz w:val="22"/>
        </w:rPr>
        <w:t> </w:t>
      </w:r>
      <w:r>
        <w:rPr>
          <w:sz w:val="22"/>
        </w:rPr>
        <w:t>SB.</w:t>
      </w:r>
      <w:r>
        <w:rPr>
          <w:spacing w:val="40"/>
          <w:sz w:val="22"/>
        </w:rPr>
        <w:t> </w:t>
      </w:r>
      <w:r>
        <w:rPr>
          <w:sz w:val="22"/>
        </w:rPr>
        <w:t>Use</w:t>
      </w:r>
      <w:r>
        <w:rPr>
          <w:spacing w:val="40"/>
          <w:sz w:val="22"/>
        </w:rPr>
        <w:t> </w:t>
      </w:r>
      <w:r>
        <w:rPr>
          <w:sz w:val="22"/>
        </w:rPr>
        <w:t>of</w:t>
      </w:r>
      <w:r>
        <w:rPr>
          <w:spacing w:val="40"/>
          <w:sz w:val="22"/>
        </w:rPr>
        <w:t> </w:t>
      </w:r>
      <w:r>
        <w:rPr>
          <w:sz w:val="22"/>
        </w:rPr>
        <w:t>hormone</w:t>
      </w:r>
      <w:r>
        <w:rPr>
          <w:spacing w:val="40"/>
          <w:sz w:val="22"/>
        </w:rPr>
        <w:t> </w:t>
      </w:r>
      <w:r>
        <w:rPr>
          <w:sz w:val="22"/>
        </w:rPr>
        <w:t>replacement therapy and the risk of colorectal cancer. </w:t>
      </w:r>
      <w:r>
        <w:rPr>
          <w:i/>
          <w:sz w:val="22"/>
        </w:rPr>
        <w:t>J Clin Oncol</w:t>
      </w:r>
      <w:r>
        <w:rPr>
          <w:sz w:val="22"/>
        </w:rPr>
        <w:t>. 2009;27:4542.</w:t>
      </w:r>
    </w:p>
    <w:p>
      <w:pPr>
        <w:spacing w:line="256" w:lineRule="auto" w:before="0"/>
        <w:ind w:left="718" w:right="110" w:hanging="619"/>
        <w:jc w:val="both"/>
        <w:rPr>
          <w:sz w:val="22"/>
        </w:rPr>
      </w:pPr>
      <w:r>
        <w:rPr>
          <w:sz w:val="22"/>
        </w:rPr>
        <w:t>1115.</w:t>
      </w:r>
      <w:r>
        <w:rPr>
          <w:spacing w:val="40"/>
          <w:sz w:val="22"/>
        </w:rPr>
        <w:t> </w:t>
      </w:r>
      <w:r>
        <w:rPr>
          <w:sz w:val="22"/>
        </w:rPr>
        <w:t>Grodstein F, Martinez E, Platz EA, et al. Postmenopausal hormone use and risk for colorectal cancer and adenoma. </w:t>
      </w:r>
      <w:r>
        <w:rPr>
          <w:i/>
          <w:sz w:val="22"/>
        </w:rPr>
        <w:t>Ann Intern Med</w:t>
      </w:r>
      <w:r>
        <w:rPr>
          <w:sz w:val="22"/>
        </w:rPr>
        <w:t>. 1998;128:705.</w:t>
      </w:r>
    </w:p>
    <w:p>
      <w:pPr>
        <w:spacing w:line="256" w:lineRule="auto" w:before="0"/>
        <w:ind w:left="718" w:right="99" w:hanging="619"/>
        <w:jc w:val="both"/>
        <w:rPr>
          <w:sz w:val="22"/>
        </w:rPr>
      </w:pPr>
      <w:r>
        <w:rPr>
          <w:sz w:val="22"/>
        </w:rPr>
        <w:t>1116. Chan JA, Meyerhardt JA, Chan AT, Giovannucci EL, Colditz GA, Fuchs CS. </w:t>
      </w:r>
      <w:r>
        <w:rPr>
          <w:sz w:val="22"/>
        </w:rPr>
        <w:t>Hormone replacement therapy and survival after colorectal diagnosis. </w:t>
      </w:r>
      <w:r>
        <w:rPr>
          <w:i/>
          <w:sz w:val="22"/>
        </w:rPr>
        <w:t>J Clin Oncol</w:t>
      </w:r>
      <w:r>
        <w:rPr>
          <w:sz w:val="22"/>
        </w:rPr>
        <w:t>. 2006;36:5680.</w:t>
      </w:r>
    </w:p>
    <w:p>
      <w:pPr>
        <w:spacing w:line="256" w:lineRule="auto" w:before="0"/>
        <w:ind w:left="718" w:right="104" w:hanging="619"/>
        <w:jc w:val="both"/>
        <w:rPr>
          <w:sz w:val="22"/>
        </w:rPr>
      </w:pPr>
      <w:r>
        <w:rPr>
          <w:sz w:val="22"/>
        </w:rPr>
        <w:t>1117.</w:t>
      </w:r>
      <w:r>
        <w:rPr>
          <w:spacing w:val="40"/>
          <w:sz w:val="22"/>
        </w:rPr>
        <w:t> </w:t>
      </w:r>
      <w:r>
        <w:rPr>
          <w:sz w:val="22"/>
        </w:rPr>
        <w:t>Yang G, Shu XO, Li H, et al. Prospective cohort study of soy food intake and colorectal cancer risk in women. </w:t>
      </w:r>
      <w:r>
        <w:rPr>
          <w:i/>
          <w:sz w:val="22"/>
        </w:rPr>
        <w:t>Am J Clin Nutr</w:t>
      </w:r>
      <w:r>
        <w:rPr>
          <w:sz w:val="22"/>
        </w:rPr>
        <w:t>. 2009;89:577.</w:t>
      </w:r>
    </w:p>
    <w:p>
      <w:pPr>
        <w:spacing w:line="256" w:lineRule="auto" w:before="0"/>
        <w:ind w:left="718" w:right="100" w:hanging="619"/>
        <w:jc w:val="both"/>
        <w:rPr>
          <w:sz w:val="22"/>
        </w:rPr>
      </w:pPr>
      <w:r>
        <w:rPr>
          <w:sz w:val="22"/>
        </w:rPr>
        <w:t>1118.</w:t>
      </w:r>
      <w:r>
        <w:rPr>
          <w:spacing w:val="40"/>
          <w:sz w:val="22"/>
        </w:rPr>
        <w:t> </w:t>
      </w:r>
      <w:r>
        <w:rPr>
          <w:sz w:val="22"/>
        </w:rPr>
        <w:t>Ritenbaugh C, Stanford JL, Wu L, et al; Women’s Health Initiative Investigators. </w:t>
      </w:r>
      <w:r>
        <w:rPr>
          <w:sz w:val="22"/>
        </w:rPr>
        <w:t>Conjugated equine estrogens and colorectal cancer incidence and survival: the Women’s Health Initiative randomized clinical trials. </w:t>
      </w:r>
      <w:r>
        <w:rPr>
          <w:i/>
          <w:sz w:val="22"/>
        </w:rPr>
        <w:t>Cancer Epidemiol Biomarkers Prev</w:t>
      </w:r>
      <w:r>
        <w:rPr>
          <w:sz w:val="22"/>
        </w:rPr>
        <w:t>. 2008;17:2609.</w:t>
      </w:r>
    </w:p>
    <w:p>
      <w:pPr>
        <w:spacing w:line="256" w:lineRule="auto" w:before="0"/>
        <w:ind w:left="718" w:right="104" w:hanging="619"/>
        <w:jc w:val="both"/>
        <w:rPr>
          <w:sz w:val="22"/>
        </w:rPr>
      </w:pPr>
      <w:r>
        <w:rPr>
          <w:sz w:val="22"/>
        </w:rPr>
        <w:t>1119.</w:t>
      </w:r>
      <w:r>
        <w:rPr>
          <w:spacing w:val="40"/>
          <w:sz w:val="22"/>
        </w:rPr>
        <w:t> </w:t>
      </w:r>
      <w:r>
        <w:rPr>
          <w:sz w:val="22"/>
        </w:rPr>
        <w:t>Delellis Henderson K, Duan L, Sullivan-Halley J, et al. Menopausal hormone therapy use and risk of invasive colon cancer: the California Teachers Study. </w:t>
      </w:r>
      <w:r>
        <w:rPr>
          <w:i/>
          <w:sz w:val="22"/>
        </w:rPr>
        <w:t>Am J Epidemiol</w:t>
      </w:r>
      <w:r>
        <w:rPr>
          <w:sz w:val="22"/>
        </w:rPr>
        <w:t>. 2010;171:415.</w:t>
      </w:r>
    </w:p>
    <w:p>
      <w:pPr>
        <w:spacing w:after="0" w:line="256" w:lineRule="auto"/>
        <w:jc w:val="both"/>
        <w:rPr>
          <w:sz w:val="22"/>
        </w:rPr>
        <w:sectPr>
          <w:pgSz w:w="12240" w:h="15840"/>
          <w:pgMar w:top="1360" w:bottom="280" w:left="1440" w:right="1440"/>
        </w:sectPr>
      </w:pPr>
    </w:p>
    <w:p>
      <w:pPr>
        <w:spacing w:line="256" w:lineRule="auto" w:before="84"/>
        <w:ind w:left="718" w:right="104" w:hanging="619"/>
        <w:jc w:val="both"/>
        <w:rPr>
          <w:sz w:val="22"/>
        </w:rPr>
      </w:pPr>
      <w:r>
        <w:rPr>
          <w:sz w:val="22"/>
        </w:rPr>
        <w:t>1120.</w:t>
      </w:r>
      <w:r>
        <w:rPr>
          <w:spacing w:val="40"/>
          <w:sz w:val="22"/>
        </w:rPr>
        <w:t> </w:t>
      </w:r>
      <w:r>
        <w:rPr>
          <w:sz w:val="22"/>
        </w:rPr>
        <w:t>Xu</w:t>
      </w:r>
      <w:r>
        <w:rPr>
          <w:spacing w:val="38"/>
          <w:sz w:val="22"/>
        </w:rPr>
        <w:t> </w:t>
      </w:r>
      <w:r>
        <w:rPr>
          <w:sz w:val="22"/>
        </w:rPr>
        <w:t>L,</w:t>
      </w:r>
      <w:r>
        <w:rPr>
          <w:spacing w:val="38"/>
          <w:sz w:val="22"/>
        </w:rPr>
        <w:t> </w:t>
      </w:r>
      <w:r>
        <w:rPr>
          <w:sz w:val="22"/>
        </w:rPr>
        <w:t>Li</w:t>
      </w:r>
      <w:r>
        <w:rPr>
          <w:spacing w:val="38"/>
          <w:sz w:val="22"/>
        </w:rPr>
        <w:t> </w:t>
      </w:r>
      <w:r>
        <w:rPr>
          <w:sz w:val="22"/>
        </w:rPr>
        <w:t>L,</w:t>
      </w:r>
      <w:r>
        <w:rPr>
          <w:spacing w:val="38"/>
          <w:sz w:val="22"/>
        </w:rPr>
        <w:t> </w:t>
      </w:r>
      <w:r>
        <w:rPr>
          <w:sz w:val="22"/>
        </w:rPr>
        <w:t>Xu</w:t>
      </w:r>
      <w:r>
        <w:rPr>
          <w:spacing w:val="38"/>
          <w:sz w:val="22"/>
        </w:rPr>
        <w:t> </w:t>
      </w:r>
      <w:r>
        <w:rPr>
          <w:sz w:val="22"/>
        </w:rPr>
        <w:t>D,</w:t>
      </w:r>
      <w:r>
        <w:rPr>
          <w:spacing w:val="38"/>
          <w:sz w:val="22"/>
        </w:rPr>
        <w:t> </w:t>
      </w:r>
      <w:r>
        <w:rPr>
          <w:sz w:val="22"/>
        </w:rPr>
        <w:t>et</w:t>
      </w:r>
      <w:r>
        <w:rPr>
          <w:spacing w:val="38"/>
          <w:sz w:val="22"/>
        </w:rPr>
        <w:t> </w:t>
      </w:r>
      <w:r>
        <w:rPr>
          <w:sz w:val="22"/>
        </w:rPr>
        <w:t>al.</w:t>
      </w:r>
      <w:r>
        <w:rPr>
          <w:spacing w:val="38"/>
          <w:sz w:val="22"/>
        </w:rPr>
        <w:t> </w:t>
      </w:r>
      <w:r>
        <w:rPr>
          <w:sz w:val="22"/>
        </w:rPr>
        <w:t>Hormone</w:t>
      </w:r>
      <w:r>
        <w:rPr>
          <w:spacing w:val="38"/>
          <w:sz w:val="22"/>
        </w:rPr>
        <w:t> </w:t>
      </w:r>
      <w:r>
        <w:rPr>
          <w:sz w:val="22"/>
        </w:rPr>
        <w:t>replacement</w:t>
      </w:r>
      <w:r>
        <w:rPr>
          <w:spacing w:val="38"/>
          <w:sz w:val="22"/>
        </w:rPr>
        <w:t> </w:t>
      </w:r>
      <w:r>
        <w:rPr>
          <w:sz w:val="22"/>
        </w:rPr>
        <w:t>therapy</w:t>
      </w:r>
      <w:r>
        <w:rPr>
          <w:spacing w:val="38"/>
          <w:sz w:val="22"/>
        </w:rPr>
        <w:t> </w:t>
      </w:r>
      <w:r>
        <w:rPr>
          <w:sz w:val="22"/>
        </w:rPr>
        <w:t>in</w:t>
      </w:r>
      <w:r>
        <w:rPr>
          <w:spacing w:val="38"/>
          <w:sz w:val="22"/>
        </w:rPr>
        <w:t> </w:t>
      </w:r>
      <w:r>
        <w:rPr>
          <w:sz w:val="22"/>
        </w:rPr>
        <w:t>relation</w:t>
      </w:r>
      <w:r>
        <w:rPr>
          <w:spacing w:val="38"/>
          <w:sz w:val="22"/>
        </w:rPr>
        <w:t> </w:t>
      </w:r>
      <w:r>
        <w:rPr>
          <w:sz w:val="22"/>
        </w:rPr>
        <w:t>to</w:t>
      </w:r>
      <w:r>
        <w:rPr>
          <w:spacing w:val="38"/>
          <w:sz w:val="22"/>
        </w:rPr>
        <w:t> </w:t>
      </w:r>
      <w:r>
        <w:rPr>
          <w:sz w:val="22"/>
        </w:rPr>
        <w:t>the</w:t>
      </w:r>
      <w:r>
        <w:rPr>
          <w:spacing w:val="38"/>
          <w:sz w:val="22"/>
        </w:rPr>
        <w:t> </w:t>
      </w:r>
      <w:r>
        <w:rPr>
          <w:sz w:val="22"/>
        </w:rPr>
        <w:t>risk</w:t>
      </w:r>
      <w:r>
        <w:rPr>
          <w:spacing w:val="38"/>
          <w:sz w:val="22"/>
        </w:rPr>
        <w:t> </w:t>
      </w:r>
      <w:r>
        <w:rPr>
          <w:sz w:val="22"/>
        </w:rPr>
        <w:t>of</w:t>
      </w:r>
      <w:r>
        <w:rPr>
          <w:spacing w:val="38"/>
          <w:sz w:val="22"/>
        </w:rPr>
        <w:t> </w:t>
      </w:r>
      <w:r>
        <w:rPr>
          <w:sz w:val="22"/>
        </w:rPr>
        <w:t>colorectal cancer</w:t>
      </w:r>
      <w:r>
        <w:rPr>
          <w:spacing w:val="40"/>
          <w:sz w:val="22"/>
        </w:rPr>
        <w:t> </w:t>
      </w:r>
      <w:r>
        <w:rPr>
          <w:sz w:val="22"/>
        </w:rPr>
        <w:t>in</w:t>
      </w:r>
      <w:r>
        <w:rPr>
          <w:spacing w:val="40"/>
          <w:sz w:val="22"/>
        </w:rPr>
        <w:t> </w:t>
      </w:r>
      <w:r>
        <w:rPr>
          <w:sz w:val="22"/>
        </w:rPr>
        <w:t>women</w:t>
      </w:r>
      <w:r>
        <w:rPr>
          <w:spacing w:val="40"/>
          <w:sz w:val="22"/>
        </w:rPr>
        <w:t> </w:t>
      </w:r>
      <w:r>
        <w:rPr>
          <w:sz w:val="22"/>
        </w:rPr>
        <w:t>by</w:t>
      </w:r>
      <w:r>
        <w:rPr>
          <w:spacing w:val="40"/>
          <w:sz w:val="22"/>
        </w:rPr>
        <w:t> </w:t>
      </w:r>
      <w:r>
        <w:rPr>
          <w:sz w:val="22"/>
        </w:rPr>
        <w:t>BMI:</w:t>
      </w:r>
      <w:r>
        <w:rPr>
          <w:spacing w:val="40"/>
          <w:sz w:val="22"/>
        </w:rPr>
        <w:t> </w:t>
      </w:r>
      <w:r>
        <w:rPr>
          <w:sz w:val="22"/>
        </w:rPr>
        <w:t>a</w:t>
      </w:r>
      <w:r>
        <w:rPr>
          <w:spacing w:val="40"/>
          <w:sz w:val="22"/>
        </w:rPr>
        <w:t> </w:t>
      </w:r>
      <w:r>
        <w:rPr>
          <w:sz w:val="22"/>
        </w:rPr>
        <w:t>multicentre</w:t>
      </w:r>
      <w:r>
        <w:rPr>
          <w:spacing w:val="40"/>
          <w:sz w:val="22"/>
        </w:rPr>
        <w:t> </w:t>
      </w:r>
      <w:r>
        <w:rPr>
          <w:sz w:val="22"/>
        </w:rPr>
        <w:t>study</w:t>
      </w:r>
      <w:r>
        <w:rPr>
          <w:spacing w:val="40"/>
          <w:sz w:val="22"/>
        </w:rPr>
        <w:t> </w:t>
      </w:r>
      <w:r>
        <w:rPr>
          <w:sz w:val="22"/>
        </w:rPr>
        <w:t>with</w:t>
      </w:r>
      <w:r>
        <w:rPr>
          <w:spacing w:val="40"/>
          <w:sz w:val="22"/>
        </w:rPr>
        <w:t> </w:t>
      </w:r>
      <w:r>
        <w:rPr>
          <w:sz w:val="22"/>
        </w:rPr>
        <w:t>propensity</w:t>
      </w:r>
      <w:r>
        <w:rPr>
          <w:spacing w:val="40"/>
          <w:sz w:val="22"/>
        </w:rPr>
        <w:t> </w:t>
      </w:r>
      <w:r>
        <w:rPr>
          <w:sz w:val="22"/>
        </w:rPr>
        <w:t>score</w:t>
      </w:r>
      <w:r>
        <w:rPr>
          <w:spacing w:val="40"/>
          <w:sz w:val="22"/>
        </w:rPr>
        <w:t> </w:t>
      </w:r>
      <w:r>
        <w:rPr>
          <w:sz w:val="22"/>
        </w:rPr>
        <w:t>matching.</w:t>
      </w:r>
      <w:r>
        <w:rPr>
          <w:spacing w:val="40"/>
          <w:sz w:val="22"/>
        </w:rPr>
        <w:t> </w:t>
      </w:r>
      <w:r>
        <w:rPr>
          <w:i/>
          <w:sz w:val="22"/>
        </w:rPr>
        <w:t>Int</w:t>
      </w:r>
      <w:r>
        <w:rPr>
          <w:i/>
          <w:spacing w:val="40"/>
          <w:sz w:val="22"/>
        </w:rPr>
        <w:t> </w:t>
      </w:r>
      <w:r>
        <w:rPr>
          <w:i/>
          <w:sz w:val="22"/>
        </w:rPr>
        <w:t>J</w:t>
      </w:r>
      <w:r>
        <w:rPr>
          <w:i/>
          <w:spacing w:val="40"/>
          <w:sz w:val="22"/>
        </w:rPr>
        <w:t> </w:t>
      </w:r>
      <w:r>
        <w:rPr>
          <w:i/>
          <w:sz w:val="22"/>
        </w:rPr>
        <w:t>Clin</w:t>
      </w:r>
      <w:r>
        <w:rPr>
          <w:i/>
          <w:sz w:val="22"/>
        </w:rPr>
        <w:t> Oncol</w:t>
      </w:r>
      <w:r>
        <w:rPr>
          <w:sz w:val="22"/>
        </w:rPr>
        <w:t>. 2022;27(4):765-773.</w:t>
      </w:r>
    </w:p>
    <w:p>
      <w:pPr>
        <w:spacing w:line="256" w:lineRule="auto" w:before="0"/>
        <w:ind w:left="718" w:right="101" w:hanging="619"/>
        <w:jc w:val="both"/>
        <w:rPr>
          <w:sz w:val="22"/>
        </w:rPr>
      </w:pPr>
      <w:r>
        <w:rPr>
          <w:sz w:val="22"/>
        </w:rPr>
        <w:t>1121.</w:t>
      </w:r>
      <w:r>
        <w:rPr>
          <w:spacing w:val="40"/>
          <w:sz w:val="22"/>
        </w:rPr>
        <w:t> </w:t>
      </w:r>
      <w:r>
        <w:rPr>
          <w:sz w:val="22"/>
        </w:rPr>
        <w:t>Csizmadi I, Collet JP, Benedetti A, Boivin JF, Hanley JA. The effects of transdermal and oral oestrogen replacement therapy on colorectal cancer risk in postmenopausal women. </w:t>
      </w:r>
      <w:r>
        <w:rPr>
          <w:i/>
          <w:sz w:val="22"/>
        </w:rPr>
        <w:t>Br J</w:t>
      </w:r>
      <w:r>
        <w:rPr>
          <w:i/>
          <w:spacing w:val="40"/>
          <w:sz w:val="22"/>
        </w:rPr>
        <w:t> </w:t>
      </w:r>
      <w:r>
        <w:rPr>
          <w:i/>
          <w:sz w:val="22"/>
        </w:rPr>
        <w:t>Cancer</w:t>
      </w:r>
      <w:r>
        <w:rPr>
          <w:sz w:val="22"/>
        </w:rPr>
        <w:t>. 2004;90:76.</w:t>
      </w:r>
    </w:p>
    <w:p>
      <w:pPr>
        <w:spacing w:line="256" w:lineRule="auto" w:before="0"/>
        <w:ind w:left="718" w:right="100" w:hanging="619"/>
        <w:jc w:val="both"/>
        <w:rPr>
          <w:sz w:val="22"/>
        </w:rPr>
      </w:pPr>
      <w:r>
        <w:rPr>
          <w:sz w:val="22"/>
        </w:rPr>
        <w:t>1122. Chlebowski RT, Schwartz AG, Wakelee H, et al; Women’s Health Initiative Investigators. Oestrogen plus progestin and lung cancer in postmenopausal women (Women’s </w:t>
      </w:r>
      <w:r>
        <w:rPr>
          <w:sz w:val="22"/>
        </w:rPr>
        <w:t>Health</w:t>
      </w:r>
      <w:r>
        <w:rPr>
          <w:spacing w:val="80"/>
          <w:sz w:val="22"/>
        </w:rPr>
        <w:t> </w:t>
      </w:r>
      <w:r>
        <w:rPr>
          <w:sz w:val="22"/>
        </w:rPr>
        <w:t>Initiative Trial): a post-hoc analysis of a randomised controlled trial. </w:t>
      </w:r>
      <w:r>
        <w:rPr>
          <w:i/>
          <w:sz w:val="22"/>
        </w:rPr>
        <w:t>Lancet</w:t>
      </w:r>
      <w:r>
        <w:rPr>
          <w:sz w:val="22"/>
        </w:rPr>
        <w:t>. </w:t>
      </w:r>
      <w:r>
        <w:rPr>
          <w:spacing w:val="-2"/>
          <w:sz w:val="22"/>
        </w:rPr>
        <w:t>2009;374(9697):1243.</w:t>
      </w:r>
    </w:p>
    <w:p>
      <w:pPr>
        <w:spacing w:line="256" w:lineRule="auto" w:before="0"/>
        <w:ind w:left="718" w:right="98" w:hanging="619"/>
        <w:jc w:val="both"/>
        <w:rPr>
          <w:sz w:val="22"/>
        </w:rPr>
      </w:pPr>
      <w:r>
        <w:rPr>
          <w:sz w:val="22"/>
        </w:rPr>
        <w:t>1123.</w:t>
      </w:r>
      <w:r>
        <w:rPr>
          <w:spacing w:val="40"/>
          <w:sz w:val="22"/>
        </w:rPr>
        <w:t> </w:t>
      </w:r>
      <w:r>
        <w:rPr>
          <w:sz w:val="22"/>
        </w:rPr>
        <w:t>Stabile LP, Davis AL, Gubish CT, et al. Human non-small cell lung tumors and cells derived from normal lung express both estrogen receptor alpha and beta and show biological </w:t>
      </w:r>
      <w:r>
        <w:rPr>
          <w:sz w:val="22"/>
        </w:rPr>
        <w:t>responses</w:t>
      </w:r>
      <w:r>
        <w:rPr>
          <w:spacing w:val="40"/>
          <w:sz w:val="22"/>
        </w:rPr>
        <w:t> </w:t>
      </w:r>
      <w:r>
        <w:rPr>
          <w:sz w:val="22"/>
        </w:rPr>
        <w:t>to estrogen. </w:t>
      </w:r>
      <w:r>
        <w:rPr>
          <w:i/>
          <w:sz w:val="22"/>
        </w:rPr>
        <w:t>Cancer Res</w:t>
      </w:r>
      <w:r>
        <w:rPr>
          <w:sz w:val="22"/>
        </w:rPr>
        <w:t>. 2002;62:2141.</w:t>
      </w:r>
    </w:p>
    <w:p>
      <w:pPr>
        <w:spacing w:line="256" w:lineRule="auto" w:before="0"/>
        <w:ind w:left="718" w:right="109" w:hanging="619"/>
        <w:jc w:val="both"/>
        <w:rPr>
          <w:sz w:val="22"/>
        </w:rPr>
      </w:pPr>
      <w:r>
        <w:rPr>
          <w:sz w:val="22"/>
        </w:rPr>
        <w:t>1124.</w:t>
      </w:r>
      <w:r>
        <w:rPr>
          <w:spacing w:val="40"/>
          <w:sz w:val="22"/>
        </w:rPr>
        <w:t> </w:t>
      </w:r>
      <w:r>
        <w:rPr>
          <w:sz w:val="22"/>
        </w:rPr>
        <w:t>Blackman JA, Coogan PF, Rosenberg L, et al. Estrogen replacement therapy and risk of lung cancer. </w:t>
      </w:r>
      <w:r>
        <w:rPr>
          <w:i/>
          <w:sz w:val="22"/>
        </w:rPr>
        <w:t>Pharmacoepidemiol Drug Saf</w:t>
      </w:r>
      <w:r>
        <w:rPr>
          <w:sz w:val="22"/>
        </w:rPr>
        <w:t>. 2002;11:561.</w:t>
      </w:r>
    </w:p>
    <w:p>
      <w:pPr>
        <w:spacing w:line="256" w:lineRule="auto" w:before="0"/>
        <w:ind w:left="718" w:right="101" w:hanging="619"/>
        <w:jc w:val="both"/>
        <w:rPr>
          <w:sz w:val="22"/>
        </w:rPr>
      </w:pPr>
      <w:r>
        <w:rPr>
          <w:sz w:val="22"/>
        </w:rPr>
        <w:t>1125. Schabath</w:t>
      </w:r>
      <w:r>
        <w:rPr>
          <w:spacing w:val="40"/>
          <w:sz w:val="22"/>
        </w:rPr>
        <w:t> </w:t>
      </w:r>
      <w:r>
        <w:rPr>
          <w:sz w:val="22"/>
        </w:rPr>
        <w:t>MB,</w:t>
      </w:r>
      <w:r>
        <w:rPr>
          <w:spacing w:val="40"/>
          <w:sz w:val="22"/>
        </w:rPr>
        <w:t> </w:t>
      </w:r>
      <w:r>
        <w:rPr>
          <w:sz w:val="22"/>
        </w:rPr>
        <w:t>Wu</w:t>
      </w:r>
      <w:r>
        <w:rPr>
          <w:spacing w:val="40"/>
          <w:sz w:val="22"/>
        </w:rPr>
        <w:t> </w:t>
      </w:r>
      <w:r>
        <w:rPr>
          <w:sz w:val="22"/>
        </w:rPr>
        <w:t>X,</w:t>
      </w:r>
      <w:r>
        <w:rPr>
          <w:spacing w:val="40"/>
          <w:sz w:val="22"/>
        </w:rPr>
        <w:t> </w:t>
      </w:r>
      <w:r>
        <w:rPr>
          <w:sz w:val="22"/>
        </w:rPr>
        <w:t>Vassilopoulou-Sellin</w:t>
      </w:r>
      <w:r>
        <w:rPr>
          <w:spacing w:val="40"/>
          <w:sz w:val="22"/>
        </w:rPr>
        <w:t> </w:t>
      </w:r>
      <w:r>
        <w:rPr>
          <w:sz w:val="22"/>
        </w:rPr>
        <w:t>R,</w:t>
      </w:r>
      <w:r>
        <w:rPr>
          <w:spacing w:val="40"/>
          <w:sz w:val="22"/>
        </w:rPr>
        <w:t> </w:t>
      </w:r>
      <w:r>
        <w:rPr>
          <w:sz w:val="22"/>
        </w:rPr>
        <w:t>Vaporciyan</w:t>
      </w:r>
      <w:r>
        <w:rPr>
          <w:spacing w:val="40"/>
          <w:sz w:val="22"/>
        </w:rPr>
        <w:t> </w:t>
      </w:r>
      <w:r>
        <w:rPr>
          <w:sz w:val="22"/>
        </w:rPr>
        <w:t>AA,</w:t>
      </w:r>
      <w:r>
        <w:rPr>
          <w:spacing w:val="40"/>
          <w:sz w:val="22"/>
        </w:rPr>
        <w:t> </w:t>
      </w:r>
      <w:r>
        <w:rPr>
          <w:sz w:val="22"/>
        </w:rPr>
        <w:t>Spitz</w:t>
      </w:r>
      <w:r>
        <w:rPr>
          <w:spacing w:val="40"/>
          <w:sz w:val="22"/>
        </w:rPr>
        <w:t> </w:t>
      </w:r>
      <w:r>
        <w:rPr>
          <w:sz w:val="22"/>
        </w:rPr>
        <w:t>MR.</w:t>
      </w:r>
      <w:r>
        <w:rPr>
          <w:spacing w:val="40"/>
          <w:sz w:val="22"/>
        </w:rPr>
        <w:t> </w:t>
      </w:r>
      <w:r>
        <w:rPr>
          <w:sz w:val="22"/>
        </w:rPr>
        <w:t>Hormone replacement therapy and lung cancer risk: a case-control analysis. </w:t>
      </w:r>
      <w:r>
        <w:rPr>
          <w:i/>
          <w:sz w:val="22"/>
        </w:rPr>
        <w:t>Clin Cancer Res</w:t>
      </w:r>
      <w:r>
        <w:rPr>
          <w:sz w:val="22"/>
        </w:rPr>
        <w:t>.</w:t>
      </w:r>
      <w:r>
        <w:rPr>
          <w:spacing w:val="40"/>
          <w:sz w:val="22"/>
        </w:rPr>
        <w:t> </w:t>
      </w:r>
      <w:r>
        <w:rPr>
          <w:spacing w:val="-2"/>
          <w:sz w:val="22"/>
        </w:rPr>
        <w:t>2004;10:113.</w:t>
      </w:r>
    </w:p>
    <w:p>
      <w:pPr>
        <w:spacing w:line="256" w:lineRule="auto" w:before="0"/>
        <w:ind w:left="718" w:right="110" w:hanging="619"/>
        <w:jc w:val="both"/>
        <w:rPr>
          <w:sz w:val="22"/>
        </w:rPr>
      </w:pPr>
      <w:r>
        <w:rPr>
          <w:sz w:val="22"/>
        </w:rPr>
        <w:t>1126.</w:t>
      </w:r>
      <w:r>
        <w:rPr>
          <w:spacing w:val="40"/>
          <w:sz w:val="22"/>
        </w:rPr>
        <w:t> </w:t>
      </w:r>
      <w:r>
        <w:rPr>
          <w:sz w:val="22"/>
        </w:rPr>
        <w:t>Chen KY, Hsiao CF, Chang GC, et al; GEFLAC Study Group. Hormone replacement therapy and lung cancer risk in Chinese. </w:t>
      </w:r>
      <w:r>
        <w:rPr>
          <w:i/>
          <w:sz w:val="22"/>
        </w:rPr>
        <w:t>Cancer</w:t>
      </w:r>
      <w:r>
        <w:rPr>
          <w:sz w:val="22"/>
        </w:rPr>
        <w:t>. 2007;110:1768.</w:t>
      </w:r>
    </w:p>
    <w:p>
      <w:pPr>
        <w:spacing w:line="256" w:lineRule="auto" w:before="0"/>
        <w:ind w:left="718" w:right="105" w:hanging="619"/>
        <w:jc w:val="both"/>
        <w:rPr>
          <w:sz w:val="22"/>
        </w:rPr>
      </w:pPr>
      <w:r>
        <w:rPr>
          <w:sz w:val="22"/>
        </w:rPr>
        <w:t>1127.</w:t>
      </w:r>
      <w:r>
        <w:rPr>
          <w:spacing w:val="40"/>
          <w:sz w:val="22"/>
        </w:rPr>
        <w:t> </w:t>
      </w:r>
      <w:r>
        <w:rPr>
          <w:sz w:val="22"/>
        </w:rPr>
        <w:t>Rodriguez C, Spencer Feigelson H, Deka A, et al. Postmenopausal hormone therapy and lung cancer risk in the cancer prevention study II nutrition cohort. </w:t>
      </w:r>
      <w:r>
        <w:rPr>
          <w:i/>
          <w:sz w:val="22"/>
        </w:rPr>
        <w:t>Cancer Epidemiol </w:t>
      </w:r>
      <w:r>
        <w:rPr>
          <w:i/>
          <w:sz w:val="22"/>
        </w:rPr>
        <w:t>Biomarkers</w:t>
      </w:r>
      <w:r>
        <w:rPr>
          <w:i/>
          <w:sz w:val="22"/>
        </w:rPr>
        <w:t> Prev</w:t>
      </w:r>
      <w:r>
        <w:rPr>
          <w:sz w:val="22"/>
        </w:rPr>
        <w:t>. 2008;17:655.</w:t>
      </w:r>
    </w:p>
    <w:p>
      <w:pPr>
        <w:spacing w:line="256" w:lineRule="auto" w:before="0"/>
        <w:ind w:left="718" w:right="102" w:hanging="619"/>
        <w:jc w:val="both"/>
        <w:rPr>
          <w:sz w:val="22"/>
        </w:rPr>
      </w:pPr>
      <w:r>
        <w:rPr>
          <w:sz w:val="22"/>
        </w:rPr>
        <w:t>1128.</w:t>
      </w:r>
      <w:r>
        <w:rPr>
          <w:spacing w:val="40"/>
          <w:sz w:val="22"/>
        </w:rPr>
        <w:t> </w:t>
      </w:r>
      <w:r>
        <w:rPr>
          <w:sz w:val="22"/>
        </w:rPr>
        <w:t>Schwartz</w:t>
      </w:r>
      <w:r>
        <w:rPr>
          <w:spacing w:val="40"/>
          <w:sz w:val="22"/>
        </w:rPr>
        <w:t> </w:t>
      </w:r>
      <w:r>
        <w:rPr>
          <w:sz w:val="22"/>
        </w:rPr>
        <w:t>AG,</w:t>
      </w:r>
      <w:r>
        <w:rPr>
          <w:spacing w:val="40"/>
          <w:sz w:val="22"/>
        </w:rPr>
        <w:t> </w:t>
      </w:r>
      <w:r>
        <w:rPr>
          <w:sz w:val="22"/>
        </w:rPr>
        <w:t>Wenzlaff</w:t>
      </w:r>
      <w:r>
        <w:rPr>
          <w:spacing w:val="40"/>
          <w:sz w:val="22"/>
        </w:rPr>
        <w:t> </w:t>
      </w:r>
      <w:r>
        <w:rPr>
          <w:sz w:val="22"/>
        </w:rPr>
        <w:t>AS,</w:t>
      </w:r>
      <w:r>
        <w:rPr>
          <w:spacing w:val="40"/>
          <w:sz w:val="22"/>
        </w:rPr>
        <w:t> </w:t>
      </w:r>
      <w:r>
        <w:rPr>
          <w:sz w:val="22"/>
        </w:rPr>
        <w:t>Prysak</w:t>
      </w:r>
      <w:r>
        <w:rPr>
          <w:spacing w:val="40"/>
          <w:sz w:val="22"/>
        </w:rPr>
        <w:t> </w:t>
      </w:r>
      <w:r>
        <w:rPr>
          <w:sz w:val="22"/>
        </w:rPr>
        <w:t>GM,</w:t>
      </w:r>
      <w:r>
        <w:rPr>
          <w:spacing w:val="40"/>
          <w:sz w:val="22"/>
        </w:rPr>
        <w:t> </w:t>
      </w:r>
      <w:r>
        <w:rPr>
          <w:sz w:val="22"/>
        </w:rPr>
        <w:t>et</w:t>
      </w:r>
      <w:r>
        <w:rPr>
          <w:spacing w:val="40"/>
          <w:sz w:val="22"/>
        </w:rPr>
        <w:t> </w:t>
      </w:r>
      <w:r>
        <w:rPr>
          <w:sz w:val="22"/>
        </w:rPr>
        <w:t>al.</w:t>
      </w:r>
      <w:r>
        <w:rPr>
          <w:spacing w:val="40"/>
          <w:sz w:val="22"/>
        </w:rPr>
        <w:t> </w:t>
      </w:r>
      <w:r>
        <w:rPr>
          <w:sz w:val="22"/>
        </w:rPr>
        <w:t>Reproductive</w:t>
      </w:r>
      <w:r>
        <w:rPr>
          <w:spacing w:val="40"/>
          <w:sz w:val="22"/>
        </w:rPr>
        <w:t> </w:t>
      </w:r>
      <w:r>
        <w:rPr>
          <w:sz w:val="22"/>
        </w:rPr>
        <w:t>factors,</w:t>
      </w:r>
      <w:r>
        <w:rPr>
          <w:spacing w:val="40"/>
          <w:sz w:val="22"/>
        </w:rPr>
        <w:t> </w:t>
      </w:r>
      <w:r>
        <w:rPr>
          <w:sz w:val="22"/>
        </w:rPr>
        <w:t>hormone</w:t>
      </w:r>
      <w:r>
        <w:rPr>
          <w:spacing w:val="40"/>
          <w:sz w:val="22"/>
        </w:rPr>
        <w:t> </w:t>
      </w:r>
      <w:r>
        <w:rPr>
          <w:sz w:val="22"/>
        </w:rPr>
        <w:t>use,</w:t>
      </w:r>
      <w:r>
        <w:rPr>
          <w:spacing w:val="40"/>
          <w:sz w:val="22"/>
        </w:rPr>
        <w:t> </w:t>
      </w:r>
      <w:r>
        <w:rPr>
          <w:sz w:val="22"/>
        </w:rPr>
        <w:t>and estrogen receptor expression and risk of non small-cell lung cancer in women. </w:t>
      </w:r>
      <w:r>
        <w:rPr>
          <w:i/>
          <w:sz w:val="22"/>
        </w:rPr>
        <w:t>J Clin Oncol</w:t>
      </w:r>
      <w:r>
        <w:rPr>
          <w:sz w:val="22"/>
        </w:rPr>
        <w:t>. </w:t>
      </w:r>
      <w:r>
        <w:rPr>
          <w:spacing w:val="-2"/>
          <w:sz w:val="22"/>
        </w:rPr>
        <w:t>2007;25:5785.</w:t>
      </w:r>
    </w:p>
    <w:p>
      <w:pPr>
        <w:spacing w:line="256" w:lineRule="auto" w:before="0"/>
        <w:ind w:left="718" w:right="104" w:hanging="619"/>
        <w:jc w:val="both"/>
        <w:rPr>
          <w:sz w:val="22"/>
        </w:rPr>
      </w:pPr>
      <w:r>
        <w:rPr>
          <w:sz w:val="22"/>
        </w:rPr>
        <w:t>1129.</w:t>
      </w:r>
      <w:r>
        <w:rPr>
          <w:spacing w:val="40"/>
          <w:sz w:val="22"/>
        </w:rPr>
        <w:t> </w:t>
      </w:r>
      <w:r>
        <w:rPr>
          <w:sz w:val="22"/>
        </w:rPr>
        <w:t>Kreuzer</w:t>
      </w:r>
      <w:r>
        <w:rPr>
          <w:spacing w:val="22"/>
          <w:sz w:val="22"/>
        </w:rPr>
        <w:t> </w:t>
      </w:r>
      <w:r>
        <w:rPr>
          <w:sz w:val="22"/>
        </w:rPr>
        <w:t>M,</w:t>
      </w:r>
      <w:r>
        <w:rPr>
          <w:spacing w:val="22"/>
          <w:sz w:val="22"/>
        </w:rPr>
        <w:t> </w:t>
      </w:r>
      <w:r>
        <w:rPr>
          <w:sz w:val="22"/>
        </w:rPr>
        <w:t>Gerken</w:t>
      </w:r>
      <w:r>
        <w:rPr>
          <w:spacing w:val="22"/>
          <w:sz w:val="22"/>
        </w:rPr>
        <w:t> </w:t>
      </w:r>
      <w:r>
        <w:rPr>
          <w:sz w:val="22"/>
        </w:rPr>
        <w:t>M,</w:t>
      </w:r>
      <w:r>
        <w:rPr>
          <w:spacing w:val="22"/>
          <w:sz w:val="22"/>
        </w:rPr>
        <w:t> </w:t>
      </w:r>
      <w:r>
        <w:rPr>
          <w:sz w:val="22"/>
        </w:rPr>
        <w:t>Heinrich</w:t>
      </w:r>
      <w:r>
        <w:rPr>
          <w:spacing w:val="22"/>
          <w:sz w:val="22"/>
        </w:rPr>
        <w:t> </w:t>
      </w:r>
      <w:r>
        <w:rPr>
          <w:sz w:val="22"/>
        </w:rPr>
        <w:t>J,</w:t>
      </w:r>
      <w:r>
        <w:rPr>
          <w:spacing w:val="22"/>
          <w:sz w:val="22"/>
        </w:rPr>
        <w:t> </w:t>
      </w:r>
      <w:r>
        <w:rPr>
          <w:sz w:val="22"/>
        </w:rPr>
        <w:t>Kreienbrock</w:t>
      </w:r>
      <w:r>
        <w:rPr>
          <w:spacing w:val="22"/>
          <w:sz w:val="22"/>
        </w:rPr>
        <w:t> </w:t>
      </w:r>
      <w:r>
        <w:rPr>
          <w:sz w:val="22"/>
        </w:rPr>
        <w:t>L,</w:t>
      </w:r>
      <w:r>
        <w:rPr>
          <w:spacing w:val="22"/>
          <w:sz w:val="22"/>
        </w:rPr>
        <w:t> </w:t>
      </w:r>
      <w:r>
        <w:rPr>
          <w:sz w:val="22"/>
        </w:rPr>
        <w:t>Wichmann</w:t>
      </w:r>
      <w:r>
        <w:rPr>
          <w:spacing w:val="22"/>
          <w:sz w:val="22"/>
        </w:rPr>
        <w:t> </w:t>
      </w:r>
      <w:r>
        <w:rPr>
          <w:sz w:val="22"/>
        </w:rPr>
        <w:t>HE.</w:t>
      </w:r>
      <w:r>
        <w:rPr>
          <w:spacing w:val="22"/>
          <w:sz w:val="22"/>
        </w:rPr>
        <w:t> </w:t>
      </w:r>
      <w:r>
        <w:rPr>
          <w:sz w:val="22"/>
        </w:rPr>
        <w:t>Hormonal</w:t>
      </w:r>
      <w:r>
        <w:rPr>
          <w:spacing w:val="19"/>
          <w:sz w:val="22"/>
        </w:rPr>
        <w:t> </w:t>
      </w:r>
      <w:r>
        <w:rPr>
          <w:sz w:val="22"/>
        </w:rPr>
        <w:t>factors</w:t>
      </w:r>
      <w:r>
        <w:rPr>
          <w:spacing w:val="19"/>
          <w:sz w:val="22"/>
        </w:rPr>
        <w:t> </w:t>
      </w:r>
      <w:r>
        <w:rPr>
          <w:sz w:val="22"/>
        </w:rPr>
        <w:t>and</w:t>
      </w:r>
      <w:r>
        <w:rPr>
          <w:spacing w:val="19"/>
          <w:sz w:val="22"/>
        </w:rPr>
        <w:t> </w:t>
      </w:r>
      <w:r>
        <w:rPr>
          <w:sz w:val="22"/>
        </w:rPr>
        <w:t>risk of lung cancer among women? </w:t>
      </w:r>
      <w:r>
        <w:rPr>
          <w:i/>
          <w:sz w:val="22"/>
        </w:rPr>
        <w:t>Int J Epidemiol</w:t>
      </w:r>
      <w:r>
        <w:rPr>
          <w:sz w:val="22"/>
        </w:rPr>
        <w:t>. 2003;32:263.</w:t>
      </w:r>
    </w:p>
    <w:p>
      <w:pPr>
        <w:spacing w:line="256" w:lineRule="auto" w:before="0"/>
        <w:ind w:left="718" w:right="106" w:hanging="619"/>
        <w:jc w:val="both"/>
        <w:rPr>
          <w:sz w:val="22"/>
        </w:rPr>
      </w:pPr>
      <w:r>
        <w:rPr>
          <w:sz w:val="22"/>
        </w:rPr>
        <w:t>1130.</w:t>
      </w:r>
      <w:r>
        <w:rPr>
          <w:spacing w:val="40"/>
          <w:sz w:val="22"/>
        </w:rPr>
        <w:t> </w:t>
      </w:r>
      <w:r>
        <w:rPr>
          <w:sz w:val="22"/>
        </w:rPr>
        <w:t>Olsson H, Bladström A, Ingvar C. Are smoking-associated cancers prevented or postponed </w:t>
      </w:r>
      <w:r>
        <w:rPr>
          <w:sz w:val="22"/>
        </w:rPr>
        <w:t>in women using hormone replacement therapy? </w:t>
      </w:r>
      <w:r>
        <w:rPr>
          <w:i/>
          <w:sz w:val="22"/>
        </w:rPr>
        <w:t>Obstet Gynecol</w:t>
      </w:r>
      <w:r>
        <w:rPr>
          <w:sz w:val="22"/>
        </w:rPr>
        <w:t>. 2003;102:565.</w:t>
      </w:r>
    </w:p>
    <w:p>
      <w:pPr>
        <w:spacing w:line="256" w:lineRule="auto" w:before="0"/>
        <w:ind w:left="718" w:right="109" w:hanging="619"/>
        <w:jc w:val="both"/>
        <w:rPr>
          <w:sz w:val="22"/>
        </w:rPr>
      </w:pPr>
      <w:r>
        <w:rPr>
          <w:sz w:val="22"/>
        </w:rPr>
        <w:t>1131. Ganti</w:t>
      </w:r>
      <w:r>
        <w:rPr>
          <w:spacing w:val="40"/>
          <w:sz w:val="22"/>
        </w:rPr>
        <w:t> </w:t>
      </w:r>
      <w:r>
        <w:rPr>
          <w:sz w:val="22"/>
        </w:rPr>
        <w:t>AK,</w:t>
      </w:r>
      <w:r>
        <w:rPr>
          <w:spacing w:val="40"/>
          <w:sz w:val="22"/>
        </w:rPr>
        <w:t> </w:t>
      </w:r>
      <w:r>
        <w:rPr>
          <w:sz w:val="22"/>
        </w:rPr>
        <w:t>Sahmoun</w:t>
      </w:r>
      <w:r>
        <w:rPr>
          <w:spacing w:val="40"/>
          <w:sz w:val="22"/>
        </w:rPr>
        <w:t> </w:t>
      </w:r>
      <w:r>
        <w:rPr>
          <w:sz w:val="22"/>
        </w:rPr>
        <w:t>AE,</w:t>
      </w:r>
      <w:r>
        <w:rPr>
          <w:spacing w:val="40"/>
          <w:sz w:val="22"/>
        </w:rPr>
        <w:t> </w:t>
      </w:r>
      <w:r>
        <w:rPr>
          <w:sz w:val="22"/>
        </w:rPr>
        <w:t>Panwalkar</w:t>
      </w:r>
      <w:r>
        <w:rPr>
          <w:spacing w:val="40"/>
          <w:sz w:val="22"/>
        </w:rPr>
        <w:t> </w:t>
      </w:r>
      <w:r>
        <w:rPr>
          <w:sz w:val="22"/>
        </w:rPr>
        <w:t>AW,</w:t>
      </w:r>
      <w:r>
        <w:rPr>
          <w:spacing w:val="40"/>
          <w:sz w:val="22"/>
        </w:rPr>
        <w:t> </w:t>
      </w:r>
      <w:r>
        <w:rPr>
          <w:sz w:val="22"/>
        </w:rPr>
        <w:t>Tendulkar</w:t>
      </w:r>
      <w:r>
        <w:rPr>
          <w:spacing w:val="40"/>
          <w:sz w:val="22"/>
        </w:rPr>
        <w:t> </w:t>
      </w:r>
      <w:r>
        <w:rPr>
          <w:sz w:val="22"/>
        </w:rPr>
        <w:t>KK,</w:t>
      </w:r>
      <w:r>
        <w:rPr>
          <w:spacing w:val="40"/>
          <w:sz w:val="22"/>
        </w:rPr>
        <w:t> </w:t>
      </w:r>
      <w:r>
        <w:rPr>
          <w:sz w:val="22"/>
        </w:rPr>
        <w:t>Potti</w:t>
      </w:r>
      <w:r>
        <w:rPr>
          <w:spacing w:val="40"/>
          <w:sz w:val="22"/>
        </w:rPr>
        <w:t> </w:t>
      </w:r>
      <w:r>
        <w:rPr>
          <w:sz w:val="22"/>
        </w:rPr>
        <w:t>A.</w:t>
      </w:r>
      <w:r>
        <w:rPr>
          <w:spacing w:val="40"/>
          <w:sz w:val="22"/>
        </w:rPr>
        <w:t> </w:t>
      </w:r>
      <w:r>
        <w:rPr>
          <w:sz w:val="22"/>
        </w:rPr>
        <w:t>Hormone</w:t>
      </w:r>
      <w:r>
        <w:rPr>
          <w:spacing w:val="40"/>
          <w:sz w:val="22"/>
        </w:rPr>
        <w:t> </w:t>
      </w:r>
      <w:r>
        <w:rPr>
          <w:sz w:val="22"/>
        </w:rPr>
        <w:t>replacement therapy is associated with decreased survival in women with lung cancer. </w:t>
      </w:r>
      <w:r>
        <w:rPr>
          <w:i/>
          <w:sz w:val="22"/>
        </w:rPr>
        <w:t>J Clin </w:t>
      </w:r>
      <w:r>
        <w:rPr>
          <w:i/>
          <w:sz w:val="22"/>
        </w:rPr>
        <w:t>Oncol</w:t>
      </w:r>
      <w:r>
        <w:rPr>
          <w:sz w:val="22"/>
        </w:rPr>
        <w:t>. </w:t>
      </w:r>
      <w:r>
        <w:rPr>
          <w:spacing w:val="-2"/>
          <w:sz w:val="22"/>
        </w:rPr>
        <w:t>2006;24:59063.</w:t>
      </w:r>
    </w:p>
    <w:p>
      <w:pPr>
        <w:spacing w:line="256" w:lineRule="auto" w:before="0"/>
        <w:ind w:left="718" w:right="103" w:hanging="619"/>
        <w:jc w:val="both"/>
        <w:rPr>
          <w:sz w:val="22"/>
        </w:rPr>
      </w:pPr>
      <w:r>
        <w:rPr>
          <w:sz w:val="22"/>
        </w:rPr>
        <w:t>1132.</w:t>
      </w:r>
      <w:r>
        <w:rPr>
          <w:spacing w:val="40"/>
          <w:sz w:val="22"/>
        </w:rPr>
        <w:t> </w:t>
      </w:r>
      <w:r>
        <w:rPr>
          <w:sz w:val="22"/>
        </w:rPr>
        <w:t>Huang B, Carloss H, Wyatt SW, Riley E. Hormone replacement therapy and survival in lung cancer in postmenopausal women in a rural population. </w:t>
      </w:r>
      <w:r>
        <w:rPr>
          <w:i/>
          <w:sz w:val="22"/>
        </w:rPr>
        <w:t>Cancer</w:t>
      </w:r>
      <w:r>
        <w:rPr>
          <w:sz w:val="22"/>
        </w:rPr>
        <w:t>. 2009;115:4167.</w:t>
      </w:r>
    </w:p>
    <w:p>
      <w:pPr>
        <w:spacing w:line="256" w:lineRule="auto" w:before="0"/>
        <w:ind w:left="718" w:right="107" w:hanging="619"/>
        <w:jc w:val="both"/>
        <w:rPr>
          <w:sz w:val="22"/>
        </w:rPr>
      </w:pPr>
      <w:r>
        <w:rPr>
          <w:sz w:val="22"/>
        </w:rPr>
        <w:t>1133.</w:t>
      </w:r>
      <w:r>
        <w:rPr>
          <w:spacing w:val="40"/>
          <w:sz w:val="22"/>
        </w:rPr>
        <w:t> </w:t>
      </w:r>
      <w:r>
        <w:rPr>
          <w:sz w:val="22"/>
        </w:rPr>
        <w:t>Ayeni</w:t>
      </w:r>
      <w:r>
        <w:rPr>
          <w:spacing w:val="40"/>
          <w:sz w:val="22"/>
        </w:rPr>
        <w:t> </w:t>
      </w:r>
      <w:r>
        <w:rPr>
          <w:sz w:val="22"/>
        </w:rPr>
        <w:t>O,</w:t>
      </w:r>
      <w:r>
        <w:rPr>
          <w:spacing w:val="40"/>
          <w:sz w:val="22"/>
        </w:rPr>
        <w:t> </w:t>
      </w:r>
      <w:r>
        <w:rPr>
          <w:sz w:val="22"/>
        </w:rPr>
        <w:t>Robinson</w:t>
      </w:r>
      <w:r>
        <w:rPr>
          <w:spacing w:val="40"/>
          <w:sz w:val="22"/>
        </w:rPr>
        <w:t> </w:t>
      </w:r>
      <w:r>
        <w:rPr>
          <w:sz w:val="22"/>
        </w:rPr>
        <w:t>A.</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and</w:t>
      </w:r>
      <w:r>
        <w:rPr>
          <w:spacing w:val="40"/>
          <w:sz w:val="22"/>
        </w:rPr>
        <w:t> </w:t>
      </w:r>
      <w:r>
        <w:rPr>
          <w:sz w:val="22"/>
        </w:rPr>
        <w:t>outcomes</w:t>
      </w:r>
      <w:r>
        <w:rPr>
          <w:spacing w:val="40"/>
          <w:sz w:val="22"/>
        </w:rPr>
        <w:t> </w:t>
      </w:r>
      <w:r>
        <w:rPr>
          <w:sz w:val="22"/>
        </w:rPr>
        <w:t>for</w:t>
      </w:r>
      <w:r>
        <w:rPr>
          <w:spacing w:val="40"/>
          <w:sz w:val="22"/>
        </w:rPr>
        <w:t> </w:t>
      </w:r>
      <w:r>
        <w:rPr>
          <w:sz w:val="22"/>
        </w:rPr>
        <w:t>women</w:t>
      </w:r>
      <w:r>
        <w:rPr>
          <w:spacing w:val="40"/>
          <w:sz w:val="22"/>
        </w:rPr>
        <w:t> </w:t>
      </w:r>
      <w:r>
        <w:rPr>
          <w:sz w:val="22"/>
        </w:rPr>
        <w:t>with</w:t>
      </w:r>
      <w:r>
        <w:rPr>
          <w:spacing w:val="40"/>
          <w:sz w:val="22"/>
        </w:rPr>
        <w:t> </w:t>
      </w:r>
      <w:r>
        <w:rPr>
          <w:sz w:val="22"/>
        </w:rPr>
        <w:t>non-small-cell lung cancer: can an association be confirmed? </w:t>
      </w:r>
      <w:r>
        <w:rPr>
          <w:i/>
          <w:sz w:val="22"/>
        </w:rPr>
        <w:t>Curr Oncol</w:t>
      </w:r>
      <w:r>
        <w:rPr>
          <w:sz w:val="22"/>
        </w:rPr>
        <w:t>. 2009;16:21.</w:t>
      </w:r>
    </w:p>
    <w:p>
      <w:pPr>
        <w:spacing w:line="256" w:lineRule="auto" w:before="0"/>
        <w:ind w:left="718" w:right="106" w:hanging="619"/>
        <w:jc w:val="both"/>
        <w:rPr>
          <w:sz w:val="22"/>
        </w:rPr>
      </w:pPr>
      <w:r>
        <w:rPr>
          <w:sz w:val="22"/>
        </w:rPr>
        <w:t>1134.</w:t>
      </w:r>
      <w:r>
        <w:rPr>
          <w:spacing w:val="40"/>
          <w:sz w:val="22"/>
        </w:rPr>
        <w:t> </w:t>
      </w:r>
      <w:r>
        <w:rPr>
          <w:sz w:val="22"/>
        </w:rPr>
        <w:t>Hershberger</w:t>
      </w:r>
      <w:r>
        <w:rPr>
          <w:spacing w:val="26"/>
          <w:sz w:val="22"/>
        </w:rPr>
        <w:t> </w:t>
      </w:r>
      <w:r>
        <w:rPr>
          <w:sz w:val="22"/>
        </w:rPr>
        <w:t>PA,</w:t>
      </w:r>
      <w:r>
        <w:rPr>
          <w:spacing w:val="26"/>
          <w:sz w:val="22"/>
        </w:rPr>
        <w:t> </w:t>
      </w:r>
      <w:r>
        <w:rPr>
          <w:sz w:val="22"/>
        </w:rPr>
        <w:t>Vasquez</w:t>
      </w:r>
      <w:r>
        <w:rPr>
          <w:spacing w:val="26"/>
          <w:sz w:val="22"/>
        </w:rPr>
        <w:t> </w:t>
      </w:r>
      <w:r>
        <w:rPr>
          <w:sz w:val="22"/>
        </w:rPr>
        <w:t>AC,</w:t>
      </w:r>
      <w:r>
        <w:rPr>
          <w:spacing w:val="26"/>
          <w:sz w:val="22"/>
        </w:rPr>
        <w:t> </w:t>
      </w:r>
      <w:r>
        <w:rPr>
          <w:sz w:val="22"/>
        </w:rPr>
        <w:t>Kanterewicz</w:t>
      </w:r>
      <w:r>
        <w:rPr>
          <w:spacing w:val="26"/>
          <w:sz w:val="22"/>
        </w:rPr>
        <w:t> </w:t>
      </w:r>
      <w:r>
        <w:rPr>
          <w:sz w:val="22"/>
        </w:rPr>
        <w:t>B,</w:t>
      </w:r>
      <w:r>
        <w:rPr>
          <w:spacing w:val="26"/>
          <w:sz w:val="22"/>
        </w:rPr>
        <w:t> </w:t>
      </w:r>
      <w:r>
        <w:rPr>
          <w:sz w:val="22"/>
        </w:rPr>
        <w:t>Land</w:t>
      </w:r>
      <w:r>
        <w:rPr>
          <w:spacing w:val="26"/>
          <w:sz w:val="22"/>
        </w:rPr>
        <w:t> </w:t>
      </w:r>
      <w:r>
        <w:rPr>
          <w:sz w:val="22"/>
        </w:rPr>
        <w:t>S,</w:t>
      </w:r>
      <w:r>
        <w:rPr>
          <w:spacing w:val="26"/>
          <w:sz w:val="22"/>
        </w:rPr>
        <w:t> </w:t>
      </w:r>
      <w:r>
        <w:rPr>
          <w:sz w:val="22"/>
        </w:rPr>
        <w:t>Siegfried</w:t>
      </w:r>
      <w:r>
        <w:rPr>
          <w:spacing w:val="26"/>
          <w:sz w:val="22"/>
        </w:rPr>
        <w:t> </w:t>
      </w:r>
      <w:r>
        <w:rPr>
          <w:sz w:val="22"/>
        </w:rPr>
        <w:t>JM,</w:t>
      </w:r>
      <w:r>
        <w:rPr>
          <w:spacing w:val="26"/>
          <w:sz w:val="22"/>
        </w:rPr>
        <w:t> </w:t>
      </w:r>
      <w:r>
        <w:rPr>
          <w:sz w:val="22"/>
        </w:rPr>
        <w:t>Nichols</w:t>
      </w:r>
      <w:r>
        <w:rPr>
          <w:spacing w:val="26"/>
          <w:sz w:val="22"/>
        </w:rPr>
        <w:t> </w:t>
      </w:r>
      <w:r>
        <w:rPr>
          <w:sz w:val="22"/>
        </w:rPr>
        <w:t>M.</w:t>
      </w:r>
      <w:r>
        <w:rPr>
          <w:spacing w:val="25"/>
          <w:sz w:val="22"/>
        </w:rPr>
        <w:t> </w:t>
      </w:r>
      <w:r>
        <w:rPr>
          <w:sz w:val="22"/>
        </w:rPr>
        <w:t>Regulation of endogenous gene expression in human non-small cell lung cancer cells by estrogen receptor ligands. </w:t>
      </w:r>
      <w:r>
        <w:rPr>
          <w:i/>
          <w:sz w:val="22"/>
        </w:rPr>
        <w:t>Cancer Res</w:t>
      </w:r>
      <w:r>
        <w:rPr>
          <w:sz w:val="22"/>
        </w:rPr>
        <w:t>. 2005;65:1598.</w:t>
      </w:r>
    </w:p>
    <w:p>
      <w:pPr>
        <w:spacing w:line="256" w:lineRule="auto" w:before="0"/>
        <w:ind w:left="718" w:right="97" w:hanging="619"/>
        <w:jc w:val="both"/>
        <w:rPr>
          <w:sz w:val="22"/>
        </w:rPr>
      </w:pPr>
      <w:r>
        <w:rPr>
          <w:sz w:val="22"/>
        </w:rPr>
        <w:t>1135.</w:t>
      </w:r>
      <w:r>
        <w:rPr>
          <w:spacing w:val="40"/>
          <w:sz w:val="22"/>
        </w:rPr>
        <w:t> </w:t>
      </w:r>
      <w:r>
        <w:rPr>
          <w:sz w:val="22"/>
        </w:rPr>
        <w:t>Marquez-Garban DC, Chen HW, Goodglick L, Fishbein MC, Pietras RJ. Targeting aromatase and</w:t>
      </w:r>
      <w:r>
        <w:rPr>
          <w:spacing w:val="40"/>
          <w:sz w:val="22"/>
        </w:rPr>
        <w:t> </w:t>
      </w:r>
      <w:r>
        <w:rPr>
          <w:sz w:val="22"/>
        </w:rPr>
        <w:t>estrogen</w:t>
      </w:r>
      <w:r>
        <w:rPr>
          <w:spacing w:val="40"/>
          <w:sz w:val="22"/>
        </w:rPr>
        <w:t> </w:t>
      </w:r>
      <w:r>
        <w:rPr>
          <w:sz w:val="22"/>
        </w:rPr>
        <w:t>signaling</w:t>
      </w:r>
      <w:r>
        <w:rPr>
          <w:spacing w:val="40"/>
          <w:sz w:val="22"/>
        </w:rPr>
        <w:t> </w:t>
      </w:r>
      <w:r>
        <w:rPr>
          <w:sz w:val="22"/>
        </w:rPr>
        <w:t>in</w:t>
      </w:r>
      <w:r>
        <w:rPr>
          <w:spacing w:val="40"/>
          <w:sz w:val="22"/>
        </w:rPr>
        <w:t> </w:t>
      </w:r>
      <w:r>
        <w:rPr>
          <w:sz w:val="22"/>
        </w:rPr>
        <w:t>human</w:t>
      </w:r>
      <w:r>
        <w:rPr>
          <w:spacing w:val="40"/>
          <w:sz w:val="22"/>
        </w:rPr>
        <w:t> </w:t>
      </w:r>
      <w:r>
        <w:rPr>
          <w:sz w:val="22"/>
        </w:rPr>
        <w:t>non-small</w:t>
      </w:r>
      <w:r>
        <w:rPr>
          <w:spacing w:val="40"/>
          <w:sz w:val="22"/>
        </w:rPr>
        <w:t> </w:t>
      </w:r>
      <w:r>
        <w:rPr>
          <w:sz w:val="22"/>
        </w:rPr>
        <w:t>cell</w:t>
      </w:r>
      <w:r>
        <w:rPr>
          <w:spacing w:val="40"/>
          <w:sz w:val="22"/>
        </w:rPr>
        <w:t> </w:t>
      </w:r>
      <w:r>
        <w:rPr>
          <w:sz w:val="22"/>
        </w:rPr>
        <w:t>lung</w:t>
      </w:r>
      <w:r>
        <w:rPr>
          <w:spacing w:val="40"/>
          <w:sz w:val="22"/>
        </w:rPr>
        <w:t> </w:t>
      </w:r>
      <w:r>
        <w:rPr>
          <w:sz w:val="22"/>
        </w:rPr>
        <w:t>cancer.</w:t>
      </w:r>
      <w:r>
        <w:rPr>
          <w:spacing w:val="40"/>
          <w:sz w:val="22"/>
        </w:rPr>
        <w:t> </w:t>
      </w:r>
      <w:r>
        <w:rPr>
          <w:i/>
          <w:sz w:val="22"/>
        </w:rPr>
        <w:t>Ann</w:t>
      </w:r>
      <w:r>
        <w:rPr>
          <w:i/>
          <w:spacing w:val="40"/>
          <w:sz w:val="22"/>
        </w:rPr>
        <w:t> </w:t>
      </w:r>
      <w:r>
        <w:rPr>
          <w:i/>
          <w:sz w:val="22"/>
        </w:rPr>
        <w:t>N</w:t>
      </w:r>
      <w:r>
        <w:rPr>
          <w:i/>
          <w:spacing w:val="40"/>
          <w:sz w:val="22"/>
        </w:rPr>
        <w:t> </w:t>
      </w:r>
      <w:r>
        <w:rPr>
          <w:i/>
          <w:sz w:val="22"/>
        </w:rPr>
        <w:t>Y</w:t>
      </w:r>
      <w:r>
        <w:rPr>
          <w:i/>
          <w:spacing w:val="40"/>
          <w:sz w:val="22"/>
        </w:rPr>
        <w:t> </w:t>
      </w:r>
      <w:r>
        <w:rPr>
          <w:i/>
          <w:sz w:val="22"/>
        </w:rPr>
        <w:t>Acad</w:t>
      </w:r>
      <w:r>
        <w:rPr>
          <w:i/>
          <w:spacing w:val="40"/>
          <w:sz w:val="22"/>
        </w:rPr>
        <w:t> </w:t>
      </w:r>
      <w:r>
        <w:rPr>
          <w:i/>
          <w:sz w:val="22"/>
        </w:rPr>
        <w:t>Sci</w:t>
      </w:r>
      <w:r>
        <w:rPr>
          <w:sz w:val="22"/>
        </w:rPr>
        <w:t>. </w:t>
      </w:r>
      <w:r>
        <w:rPr>
          <w:spacing w:val="-2"/>
          <w:sz w:val="22"/>
        </w:rPr>
        <w:t>2009;1155:194.</w:t>
      </w:r>
    </w:p>
    <w:p>
      <w:pPr>
        <w:spacing w:line="256" w:lineRule="auto" w:before="0"/>
        <w:ind w:left="718" w:right="98" w:hanging="619"/>
        <w:jc w:val="both"/>
        <w:rPr>
          <w:sz w:val="22"/>
        </w:rPr>
      </w:pPr>
      <w:r>
        <w:rPr>
          <w:sz w:val="22"/>
        </w:rPr>
        <w:t>1136.</w:t>
      </w:r>
      <w:r>
        <w:rPr>
          <w:spacing w:val="40"/>
          <w:sz w:val="22"/>
        </w:rPr>
        <w:t> </w:t>
      </w:r>
      <w:r>
        <w:rPr>
          <w:sz w:val="22"/>
        </w:rPr>
        <w:t>Smith JR, Barrett-Connor E, Kritz-Silverstein D, Wingard DL, Al-Delaimy WK. Hormone use and lung cancer incidence: the Rancho Bernardo cohort study. </w:t>
      </w:r>
      <w:r>
        <w:rPr>
          <w:i/>
          <w:sz w:val="22"/>
        </w:rPr>
        <w:t>Menopause</w:t>
      </w:r>
      <w:r>
        <w:rPr>
          <w:sz w:val="22"/>
        </w:rPr>
        <w:t>. 2009;16:1044.</w:t>
      </w:r>
    </w:p>
    <w:p>
      <w:pPr>
        <w:spacing w:line="256" w:lineRule="auto" w:before="0"/>
        <w:ind w:left="718" w:right="104" w:hanging="619"/>
        <w:jc w:val="both"/>
        <w:rPr>
          <w:sz w:val="22"/>
        </w:rPr>
      </w:pPr>
      <w:r>
        <w:rPr>
          <w:sz w:val="22"/>
        </w:rPr>
        <w:t>1137.</w:t>
      </w:r>
      <w:r>
        <w:rPr>
          <w:spacing w:val="40"/>
          <w:sz w:val="22"/>
        </w:rPr>
        <w:t> </w:t>
      </w:r>
      <w:r>
        <w:rPr>
          <w:sz w:val="22"/>
        </w:rPr>
        <w:t>Adami H-O, Persson I, Hoover R, Schairer C, Bergkvist L. Risk of cancer in women </w:t>
      </w:r>
      <w:r>
        <w:rPr>
          <w:sz w:val="22"/>
        </w:rPr>
        <w:t>receiving hormone replacement therapy. </w:t>
      </w:r>
      <w:r>
        <w:rPr>
          <w:i/>
          <w:sz w:val="22"/>
        </w:rPr>
        <w:t>Int J Cancer</w:t>
      </w:r>
      <w:r>
        <w:rPr>
          <w:sz w:val="22"/>
        </w:rPr>
        <w:t>. 1989;44:833.</w:t>
      </w:r>
    </w:p>
    <w:p>
      <w:pPr>
        <w:spacing w:after="0" w:line="256" w:lineRule="auto"/>
        <w:jc w:val="both"/>
        <w:rPr>
          <w:sz w:val="22"/>
        </w:rPr>
        <w:sectPr>
          <w:pgSz w:w="12240" w:h="15840"/>
          <w:pgMar w:top="1360" w:bottom="280" w:left="1440" w:right="1440"/>
        </w:sectPr>
      </w:pPr>
    </w:p>
    <w:p>
      <w:pPr>
        <w:spacing w:line="256" w:lineRule="auto" w:before="84"/>
        <w:ind w:left="718" w:right="106" w:hanging="619"/>
        <w:jc w:val="both"/>
        <w:rPr>
          <w:sz w:val="22"/>
        </w:rPr>
      </w:pPr>
      <w:r>
        <w:rPr>
          <w:sz w:val="22"/>
        </w:rPr>
        <w:t>1138.</w:t>
      </w:r>
      <w:r>
        <w:rPr>
          <w:spacing w:val="40"/>
          <w:sz w:val="22"/>
        </w:rPr>
        <w:t> </w:t>
      </w:r>
      <w:r>
        <w:rPr>
          <w:sz w:val="22"/>
        </w:rPr>
        <w:t>Parazzini F, La Vecchia C, Negri E, et al. Case-control study of oestrogen replacement therapy and risk of cervical cancer. </w:t>
      </w:r>
      <w:r>
        <w:rPr>
          <w:i/>
          <w:sz w:val="22"/>
        </w:rPr>
        <w:t>Br Med J</w:t>
      </w:r>
      <w:r>
        <w:rPr>
          <w:sz w:val="22"/>
        </w:rPr>
        <w:t>. 1997;315:85.</w:t>
      </w:r>
    </w:p>
    <w:p>
      <w:pPr>
        <w:spacing w:line="256" w:lineRule="auto" w:before="0"/>
        <w:ind w:left="718" w:right="100" w:hanging="619"/>
        <w:jc w:val="both"/>
        <w:rPr>
          <w:sz w:val="22"/>
        </w:rPr>
      </w:pPr>
      <w:r>
        <w:rPr>
          <w:sz w:val="22"/>
        </w:rPr>
        <w:t>1139. Lacey JV Jr, Brinton LA, Barnes WA, et al. Use of hormone replacement therapy and adenocarcinomas and squamous cell carcinomas of the uterine cervix. </w:t>
      </w:r>
      <w:r>
        <w:rPr>
          <w:i/>
          <w:sz w:val="22"/>
        </w:rPr>
        <w:t>Gynecol Oncol</w:t>
      </w:r>
      <w:r>
        <w:rPr>
          <w:sz w:val="22"/>
        </w:rPr>
        <w:t>. </w:t>
      </w:r>
      <w:r>
        <w:rPr>
          <w:spacing w:val="-2"/>
          <w:sz w:val="22"/>
        </w:rPr>
        <w:t>2000;77:149.</w:t>
      </w:r>
    </w:p>
    <w:p>
      <w:pPr>
        <w:spacing w:line="256" w:lineRule="auto" w:before="0"/>
        <w:ind w:left="718" w:right="103" w:hanging="619"/>
        <w:jc w:val="both"/>
        <w:rPr>
          <w:sz w:val="22"/>
        </w:rPr>
      </w:pPr>
      <w:r>
        <w:rPr>
          <w:sz w:val="22"/>
        </w:rPr>
        <w:t>1140. Ploch E. Hormonal replacement therapy in patients after cervical cancer treatment. </w:t>
      </w:r>
      <w:r>
        <w:rPr>
          <w:i/>
          <w:sz w:val="22"/>
        </w:rPr>
        <w:t>Gynecol</w:t>
      </w:r>
      <w:r>
        <w:rPr>
          <w:i/>
          <w:sz w:val="22"/>
        </w:rPr>
        <w:t> Oncol</w:t>
      </w:r>
      <w:r>
        <w:rPr>
          <w:sz w:val="22"/>
        </w:rPr>
        <w:t>. 1987;26:169.</w:t>
      </w:r>
    </w:p>
    <w:p>
      <w:pPr>
        <w:spacing w:line="252" w:lineRule="exact" w:before="0"/>
        <w:ind w:left="99" w:right="0" w:firstLine="0"/>
        <w:jc w:val="both"/>
        <w:rPr>
          <w:sz w:val="22"/>
        </w:rPr>
      </w:pPr>
      <w:r>
        <w:rPr>
          <w:sz w:val="22"/>
        </w:rPr>
        <w:t>1141.</w:t>
      </w:r>
      <w:r>
        <w:rPr>
          <w:spacing w:val="68"/>
          <w:sz w:val="22"/>
        </w:rPr>
        <w:t> </w:t>
      </w:r>
      <w:r>
        <w:rPr>
          <w:sz w:val="22"/>
        </w:rPr>
        <w:t>Green</w:t>
      </w:r>
      <w:r>
        <w:rPr>
          <w:spacing w:val="12"/>
          <w:sz w:val="22"/>
        </w:rPr>
        <w:t> </w:t>
      </w:r>
      <w:r>
        <w:rPr>
          <w:sz w:val="22"/>
        </w:rPr>
        <w:t>A.</w:t>
      </w:r>
      <w:r>
        <w:rPr>
          <w:spacing w:val="12"/>
          <w:sz w:val="22"/>
        </w:rPr>
        <w:t> </w:t>
      </w:r>
      <w:r>
        <w:rPr>
          <w:sz w:val="22"/>
        </w:rPr>
        <w:t>Oral</w:t>
      </w:r>
      <w:r>
        <w:rPr>
          <w:spacing w:val="12"/>
          <w:sz w:val="22"/>
        </w:rPr>
        <w:t> </w:t>
      </w:r>
      <w:r>
        <w:rPr>
          <w:sz w:val="22"/>
        </w:rPr>
        <w:t>contraceptives</w:t>
      </w:r>
      <w:r>
        <w:rPr>
          <w:spacing w:val="12"/>
          <w:sz w:val="22"/>
        </w:rPr>
        <w:t> </w:t>
      </w:r>
      <w:r>
        <w:rPr>
          <w:sz w:val="22"/>
        </w:rPr>
        <w:t>and</w:t>
      </w:r>
      <w:r>
        <w:rPr>
          <w:spacing w:val="11"/>
          <w:sz w:val="22"/>
        </w:rPr>
        <w:t> </w:t>
      </w:r>
      <w:r>
        <w:rPr>
          <w:sz w:val="22"/>
        </w:rPr>
        <w:t>skin</w:t>
      </w:r>
      <w:r>
        <w:rPr>
          <w:spacing w:val="12"/>
          <w:sz w:val="22"/>
        </w:rPr>
        <w:t> </w:t>
      </w:r>
      <w:r>
        <w:rPr>
          <w:sz w:val="22"/>
        </w:rPr>
        <w:t>neoplasia.</w:t>
      </w:r>
      <w:r>
        <w:rPr>
          <w:spacing w:val="12"/>
          <w:sz w:val="22"/>
        </w:rPr>
        <w:t> </w:t>
      </w:r>
      <w:r>
        <w:rPr>
          <w:i/>
          <w:sz w:val="22"/>
        </w:rPr>
        <w:t>Contraception</w:t>
      </w:r>
      <w:r>
        <w:rPr>
          <w:sz w:val="22"/>
        </w:rPr>
        <w:t>.</w:t>
      </w:r>
      <w:r>
        <w:rPr>
          <w:spacing w:val="12"/>
          <w:sz w:val="22"/>
        </w:rPr>
        <w:t> </w:t>
      </w:r>
      <w:r>
        <w:rPr>
          <w:spacing w:val="-2"/>
          <w:sz w:val="22"/>
        </w:rPr>
        <w:t>1991;43:653.</w:t>
      </w:r>
    </w:p>
    <w:p>
      <w:pPr>
        <w:spacing w:line="256" w:lineRule="auto" w:before="14"/>
        <w:ind w:left="718" w:right="107" w:hanging="619"/>
        <w:jc w:val="both"/>
        <w:rPr>
          <w:sz w:val="22"/>
        </w:rPr>
      </w:pPr>
      <w:r>
        <w:rPr>
          <w:sz w:val="22"/>
        </w:rPr>
        <w:t>1142.</w:t>
      </w:r>
      <w:r>
        <w:rPr>
          <w:spacing w:val="40"/>
          <w:sz w:val="22"/>
        </w:rPr>
        <w:t> </w:t>
      </w:r>
      <w:r>
        <w:rPr>
          <w:sz w:val="22"/>
        </w:rPr>
        <w:t>Hannaford PC, Villard-Mackintosh L, Vessey MP, Kay CR. Oral contraceptives and </w:t>
      </w:r>
      <w:r>
        <w:rPr>
          <w:sz w:val="22"/>
        </w:rPr>
        <w:t>malignant melanoma. </w:t>
      </w:r>
      <w:r>
        <w:rPr>
          <w:i/>
          <w:sz w:val="22"/>
        </w:rPr>
        <w:t>Br J Cancer</w:t>
      </w:r>
      <w:r>
        <w:rPr>
          <w:sz w:val="22"/>
        </w:rPr>
        <w:t>. 1991;63:430.</w:t>
      </w:r>
    </w:p>
    <w:p>
      <w:pPr>
        <w:spacing w:line="256" w:lineRule="auto" w:before="0"/>
        <w:ind w:left="718" w:right="103" w:hanging="619"/>
        <w:jc w:val="both"/>
        <w:rPr>
          <w:sz w:val="22"/>
        </w:rPr>
      </w:pPr>
      <w:r>
        <w:rPr>
          <w:sz w:val="22"/>
        </w:rPr>
        <w:t>1143.</w:t>
      </w:r>
      <w:r>
        <w:rPr>
          <w:spacing w:val="40"/>
          <w:sz w:val="22"/>
        </w:rPr>
        <w:t> </w:t>
      </w:r>
      <w:r>
        <w:rPr>
          <w:sz w:val="22"/>
        </w:rPr>
        <w:t>Osterlind A, Tucker MA, Stone BJ, Jensen OM. The Danish case-control study of cutaneous malignant melanoma. III. Hormonal and reproductive factors in women. </w:t>
      </w:r>
      <w:r>
        <w:rPr>
          <w:i/>
          <w:sz w:val="22"/>
        </w:rPr>
        <w:t>Int J </w:t>
      </w:r>
      <w:r>
        <w:rPr>
          <w:i/>
          <w:sz w:val="22"/>
        </w:rPr>
        <w:t>Cancer</w:t>
      </w:r>
      <w:r>
        <w:rPr>
          <w:sz w:val="22"/>
        </w:rPr>
        <w:t>. </w:t>
      </w:r>
      <w:r>
        <w:rPr>
          <w:spacing w:val="-2"/>
          <w:sz w:val="22"/>
        </w:rPr>
        <w:t>1988;42:821.</w:t>
      </w:r>
    </w:p>
    <w:p>
      <w:pPr>
        <w:spacing w:line="256" w:lineRule="auto" w:before="0"/>
        <w:ind w:left="718" w:right="100" w:hanging="619"/>
        <w:jc w:val="both"/>
        <w:rPr>
          <w:sz w:val="22"/>
        </w:rPr>
      </w:pPr>
      <w:r>
        <w:rPr>
          <w:sz w:val="22"/>
        </w:rPr>
        <w:t>1144.</w:t>
      </w:r>
      <w:r>
        <w:rPr>
          <w:spacing w:val="40"/>
          <w:sz w:val="22"/>
        </w:rPr>
        <w:t> </w:t>
      </w:r>
      <w:r>
        <w:rPr>
          <w:sz w:val="22"/>
        </w:rPr>
        <w:t>Holly</w:t>
      </w:r>
      <w:r>
        <w:rPr>
          <w:spacing w:val="36"/>
          <w:sz w:val="22"/>
        </w:rPr>
        <w:t> </w:t>
      </w:r>
      <w:r>
        <w:rPr>
          <w:sz w:val="22"/>
        </w:rPr>
        <w:t>EA,</w:t>
      </w:r>
      <w:r>
        <w:rPr>
          <w:spacing w:val="36"/>
          <w:sz w:val="22"/>
        </w:rPr>
        <w:t> </w:t>
      </w:r>
      <w:r>
        <w:rPr>
          <w:sz w:val="22"/>
        </w:rPr>
        <w:t>Cress</w:t>
      </w:r>
      <w:r>
        <w:rPr>
          <w:spacing w:val="36"/>
          <w:sz w:val="22"/>
        </w:rPr>
        <w:t> </w:t>
      </w:r>
      <w:r>
        <w:rPr>
          <w:sz w:val="22"/>
        </w:rPr>
        <w:t>RD,</w:t>
      </w:r>
      <w:r>
        <w:rPr>
          <w:spacing w:val="36"/>
          <w:sz w:val="22"/>
        </w:rPr>
        <w:t> </w:t>
      </w:r>
      <w:r>
        <w:rPr>
          <w:sz w:val="22"/>
        </w:rPr>
        <w:t>Ahn</w:t>
      </w:r>
      <w:r>
        <w:rPr>
          <w:spacing w:val="36"/>
          <w:sz w:val="22"/>
        </w:rPr>
        <w:t> </w:t>
      </w:r>
      <w:r>
        <w:rPr>
          <w:sz w:val="22"/>
        </w:rPr>
        <w:t>DK.</w:t>
      </w:r>
      <w:r>
        <w:rPr>
          <w:spacing w:val="36"/>
          <w:sz w:val="22"/>
        </w:rPr>
        <w:t> </w:t>
      </w:r>
      <w:r>
        <w:rPr>
          <w:sz w:val="22"/>
        </w:rPr>
        <w:t>Cutaneous</w:t>
      </w:r>
      <w:r>
        <w:rPr>
          <w:spacing w:val="36"/>
          <w:sz w:val="22"/>
        </w:rPr>
        <w:t> </w:t>
      </w:r>
      <w:r>
        <w:rPr>
          <w:sz w:val="22"/>
        </w:rPr>
        <w:t>melanoma</w:t>
      </w:r>
      <w:r>
        <w:rPr>
          <w:spacing w:val="36"/>
          <w:sz w:val="22"/>
        </w:rPr>
        <w:t> </w:t>
      </w:r>
      <w:r>
        <w:rPr>
          <w:sz w:val="22"/>
        </w:rPr>
        <w:t>in</w:t>
      </w:r>
      <w:r>
        <w:rPr>
          <w:spacing w:val="36"/>
          <w:sz w:val="22"/>
        </w:rPr>
        <w:t> </w:t>
      </w:r>
      <w:r>
        <w:rPr>
          <w:sz w:val="22"/>
        </w:rPr>
        <w:t>women:</w:t>
      </w:r>
      <w:r>
        <w:rPr>
          <w:spacing w:val="36"/>
          <w:sz w:val="22"/>
        </w:rPr>
        <w:t> </w:t>
      </w:r>
      <w:r>
        <w:rPr>
          <w:sz w:val="22"/>
        </w:rPr>
        <w:t>ovulatory</w:t>
      </w:r>
      <w:r>
        <w:rPr>
          <w:spacing w:val="36"/>
          <w:sz w:val="22"/>
        </w:rPr>
        <w:t> </w:t>
      </w:r>
      <w:r>
        <w:rPr>
          <w:sz w:val="22"/>
        </w:rPr>
        <w:t>life,</w:t>
      </w:r>
      <w:r>
        <w:rPr>
          <w:spacing w:val="36"/>
          <w:sz w:val="22"/>
        </w:rPr>
        <w:t> </w:t>
      </w:r>
      <w:r>
        <w:rPr>
          <w:sz w:val="22"/>
        </w:rPr>
        <w:t>menopause, and use of exogenous hormones. </w:t>
      </w:r>
      <w:r>
        <w:rPr>
          <w:i/>
          <w:sz w:val="22"/>
        </w:rPr>
        <w:t>Cancer Epidemiol Biomarkers Prev</w:t>
      </w:r>
      <w:r>
        <w:rPr>
          <w:sz w:val="22"/>
        </w:rPr>
        <w:t>. 1994;3:661.</w:t>
      </w:r>
    </w:p>
    <w:p>
      <w:pPr>
        <w:spacing w:line="256" w:lineRule="auto" w:before="0"/>
        <w:ind w:left="718" w:right="111" w:hanging="619"/>
        <w:jc w:val="both"/>
        <w:rPr>
          <w:sz w:val="22"/>
        </w:rPr>
      </w:pPr>
      <w:r>
        <w:rPr>
          <w:sz w:val="22"/>
        </w:rPr>
        <w:t>1145.</w:t>
      </w:r>
      <w:r>
        <w:rPr>
          <w:spacing w:val="40"/>
          <w:sz w:val="22"/>
        </w:rPr>
        <w:t> </w:t>
      </w:r>
      <w:r>
        <w:rPr>
          <w:sz w:val="22"/>
        </w:rPr>
        <w:t>White E, Kirkpatrick CS, Lee JAH. Case-control study of malignant melanoma in Washington State: I. Constitutional factors and sun exposure. </w:t>
      </w:r>
      <w:r>
        <w:rPr>
          <w:i/>
          <w:sz w:val="22"/>
        </w:rPr>
        <w:t>Am J Epidemiol</w:t>
      </w:r>
      <w:r>
        <w:rPr>
          <w:sz w:val="22"/>
        </w:rPr>
        <w:t>. 1994;139:857.</w:t>
      </w:r>
    </w:p>
    <w:p>
      <w:pPr>
        <w:spacing w:line="256" w:lineRule="auto" w:before="0"/>
        <w:ind w:left="718" w:right="110" w:hanging="619"/>
        <w:jc w:val="both"/>
        <w:rPr>
          <w:sz w:val="22"/>
        </w:rPr>
      </w:pPr>
      <w:r>
        <w:rPr>
          <w:sz w:val="22"/>
        </w:rPr>
        <w:t>1146.</w:t>
      </w:r>
      <w:r>
        <w:rPr>
          <w:spacing w:val="40"/>
          <w:sz w:val="22"/>
        </w:rPr>
        <w:t> </w:t>
      </w:r>
      <w:r>
        <w:rPr>
          <w:sz w:val="22"/>
        </w:rPr>
        <w:t>Smith</w:t>
      </w:r>
      <w:r>
        <w:rPr>
          <w:spacing w:val="18"/>
          <w:sz w:val="22"/>
        </w:rPr>
        <w:t> </w:t>
      </w:r>
      <w:r>
        <w:rPr>
          <w:sz w:val="22"/>
        </w:rPr>
        <w:t>MA,</w:t>
      </w:r>
      <w:r>
        <w:rPr>
          <w:spacing w:val="18"/>
          <w:sz w:val="22"/>
        </w:rPr>
        <w:t> </w:t>
      </w:r>
      <w:r>
        <w:rPr>
          <w:sz w:val="22"/>
        </w:rPr>
        <w:t>Fine</w:t>
      </w:r>
      <w:r>
        <w:rPr>
          <w:spacing w:val="18"/>
          <w:sz w:val="22"/>
        </w:rPr>
        <w:t> </w:t>
      </w:r>
      <w:r>
        <w:rPr>
          <w:sz w:val="22"/>
        </w:rPr>
        <w:t>JA,</w:t>
      </w:r>
      <w:r>
        <w:rPr>
          <w:spacing w:val="18"/>
          <w:sz w:val="22"/>
        </w:rPr>
        <w:t> </w:t>
      </w:r>
      <w:r>
        <w:rPr>
          <w:sz w:val="22"/>
        </w:rPr>
        <w:t>Barnhill</w:t>
      </w:r>
      <w:r>
        <w:rPr>
          <w:spacing w:val="18"/>
          <w:sz w:val="22"/>
        </w:rPr>
        <w:t> </w:t>
      </w:r>
      <w:r>
        <w:rPr>
          <w:sz w:val="22"/>
        </w:rPr>
        <w:t>RL,</w:t>
      </w:r>
      <w:r>
        <w:rPr>
          <w:spacing w:val="18"/>
          <w:sz w:val="22"/>
        </w:rPr>
        <w:t> </w:t>
      </w:r>
      <w:r>
        <w:rPr>
          <w:sz w:val="22"/>
        </w:rPr>
        <w:t>Berwick</w:t>
      </w:r>
      <w:r>
        <w:rPr>
          <w:spacing w:val="18"/>
          <w:sz w:val="22"/>
        </w:rPr>
        <w:t> </w:t>
      </w:r>
      <w:r>
        <w:rPr>
          <w:sz w:val="22"/>
        </w:rPr>
        <w:t>M.</w:t>
      </w:r>
      <w:r>
        <w:rPr>
          <w:spacing w:val="18"/>
          <w:sz w:val="22"/>
        </w:rPr>
        <w:t> </w:t>
      </w:r>
      <w:r>
        <w:rPr>
          <w:sz w:val="22"/>
        </w:rPr>
        <w:t>Hormonal and reproductive influences and risk of melanoma in women. </w:t>
      </w:r>
      <w:r>
        <w:rPr>
          <w:i/>
          <w:sz w:val="22"/>
        </w:rPr>
        <w:t>Int J Epidemiol</w:t>
      </w:r>
      <w:r>
        <w:rPr>
          <w:sz w:val="22"/>
        </w:rPr>
        <w:t>. 1998;27:751.</w:t>
      </w:r>
    </w:p>
    <w:p>
      <w:pPr>
        <w:spacing w:line="256" w:lineRule="auto" w:before="0"/>
        <w:ind w:left="718" w:right="105" w:hanging="619"/>
        <w:jc w:val="both"/>
        <w:rPr>
          <w:sz w:val="22"/>
        </w:rPr>
      </w:pPr>
      <w:r>
        <w:rPr>
          <w:sz w:val="22"/>
        </w:rPr>
        <w:t>1147.</w:t>
      </w:r>
      <w:r>
        <w:rPr>
          <w:spacing w:val="40"/>
          <w:sz w:val="22"/>
        </w:rPr>
        <w:t> </w:t>
      </w:r>
      <w:r>
        <w:rPr>
          <w:sz w:val="22"/>
        </w:rPr>
        <w:t>Cervenka I, Al Rahmoun M, Mahamat-Saleh Y, et al. Exogenous hormone use and cutaneous melanoma</w:t>
      </w:r>
      <w:r>
        <w:rPr>
          <w:spacing w:val="30"/>
          <w:sz w:val="22"/>
        </w:rPr>
        <w:t> </w:t>
      </w:r>
      <w:r>
        <w:rPr>
          <w:sz w:val="22"/>
        </w:rPr>
        <w:t>risk</w:t>
      </w:r>
      <w:r>
        <w:rPr>
          <w:spacing w:val="30"/>
          <w:sz w:val="22"/>
        </w:rPr>
        <w:t> </w:t>
      </w:r>
      <w:r>
        <w:rPr>
          <w:sz w:val="22"/>
        </w:rPr>
        <w:t>in</w:t>
      </w:r>
      <w:r>
        <w:rPr>
          <w:spacing w:val="30"/>
          <w:sz w:val="22"/>
        </w:rPr>
        <w:t> </w:t>
      </w:r>
      <w:r>
        <w:rPr>
          <w:sz w:val="22"/>
        </w:rPr>
        <w:t>women:</w:t>
      </w:r>
      <w:r>
        <w:rPr>
          <w:spacing w:val="30"/>
          <w:sz w:val="22"/>
        </w:rPr>
        <w:t> </w:t>
      </w:r>
      <w:r>
        <w:rPr>
          <w:sz w:val="22"/>
        </w:rPr>
        <w:t>the</w:t>
      </w:r>
      <w:r>
        <w:rPr>
          <w:spacing w:val="30"/>
          <w:sz w:val="22"/>
        </w:rPr>
        <w:t> </w:t>
      </w:r>
      <w:r>
        <w:rPr>
          <w:sz w:val="22"/>
        </w:rPr>
        <w:t>European</w:t>
      </w:r>
      <w:r>
        <w:rPr>
          <w:spacing w:val="30"/>
          <w:sz w:val="22"/>
        </w:rPr>
        <w:t> </w:t>
      </w:r>
      <w:r>
        <w:rPr>
          <w:sz w:val="22"/>
        </w:rPr>
        <w:t>Prospective</w:t>
      </w:r>
      <w:r>
        <w:rPr>
          <w:spacing w:val="30"/>
          <w:sz w:val="22"/>
        </w:rPr>
        <w:t> </w:t>
      </w:r>
      <w:r>
        <w:rPr>
          <w:sz w:val="22"/>
        </w:rPr>
        <w:t>Investigation</w:t>
      </w:r>
      <w:r>
        <w:rPr>
          <w:spacing w:val="30"/>
          <w:sz w:val="22"/>
        </w:rPr>
        <w:t> </w:t>
      </w:r>
      <w:r>
        <w:rPr>
          <w:sz w:val="22"/>
        </w:rPr>
        <w:t>into</w:t>
      </w:r>
      <w:r>
        <w:rPr>
          <w:spacing w:val="30"/>
          <w:sz w:val="22"/>
        </w:rPr>
        <w:t> </w:t>
      </w:r>
      <w:r>
        <w:rPr>
          <w:sz w:val="22"/>
        </w:rPr>
        <w:t>Cancer</w:t>
      </w:r>
      <w:r>
        <w:rPr>
          <w:spacing w:val="30"/>
          <w:sz w:val="22"/>
        </w:rPr>
        <w:t> </w:t>
      </w:r>
      <w:r>
        <w:rPr>
          <w:sz w:val="22"/>
        </w:rPr>
        <w:t>and</w:t>
      </w:r>
      <w:r>
        <w:rPr>
          <w:spacing w:val="30"/>
          <w:sz w:val="22"/>
        </w:rPr>
        <w:t> </w:t>
      </w:r>
      <w:r>
        <w:rPr>
          <w:sz w:val="22"/>
        </w:rPr>
        <w:t>Nutrition. </w:t>
      </w:r>
      <w:r>
        <w:rPr>
          <w:i/>
          <w:sz w:val="22"/>
        </w:rPr>
        <w:t>Int J Cancer</w:t>
      </w:r>
      <w:r>
        <w:rPr>
          <w:sz w:val="22"/>
        </w:rPr>
        <w:t>. 2020;146(12):3267-3280.</w:t>
      </w:r>
    </w:p>
    <w:p>
      <w:pPr>
        <w:spacing w:line="256" w:lineRule="auto" w:before="0"/>
        <w:ind w:left="718" w:right="100" w:hanging="619"/>
        <w:jc w:val="both"/>
        <w:rPr>
          <w:sz w:val="22"/>
        </w:rPr>
      </w:pPr>
      <w:r>
        <w:rPr>
          <w:sz w:val="22"/>
        </w:rPr>
        <w:t>1148. Holman</w:t>
      </w:r>
      <w:r>
        <w:rPr>
          <w:spacing w:val="40"/>
          <w:sz w:val="22"/>
        </w:rPr>
        <w:t> </w:t>
      </w:r>
      <w:r>
        <w:rPr>
          <w:sz w:val="22"/>
        </w:rPr>
        <w:t>CDJ,</w:t>
      </w:r>
      <w:r>
        <w:rPr>
          <w:spacing w:val="40"/>
          <w:sz w:val="22"/>
        </w:rPr>
        <w:t> </w:t>
      </w:r>
      <w:r>
        <w:rPr>
          <w:sz w:val="22"/>
        </w:rPr>
        <w:t>Armstrong</w:t>
      </w:r>
      <w:r>
        <w:rPr>
          <w:spacing w:val="40"/>
          <w:sz w:val="22"/>
        </w:rPr>
        <w:t> </w:t>
      </w:r>
      <w:r>
        <w:rPr>
          <w:sz w:val="22"/>
        </w:rPr>
        <w:t>BK,</w:t>
      </w:r>
      <w:r>
        <w:rPr>
          <w:spacing w:val="40"/>
          <w:sz w:val="22"/>
        </w:rPr>
        <w:t> </w:t>
      </w:r>
      <w:r>
        <w:rPr>
          <w:sz w:val="22"/>
        </w:rPr>
        <w:t>Heenan</w:t>
      </w:r>
      <w:r>
        <w:rPr>
          <w:spacing w:val="40"/>
          <w:sz w:val="22"/>
        </w:rPr>
        <w:t> </w:t>
      </w:r>
      <w:r>
        <w:rPr>
          <w:sz w:val="22"/>
        </w:rPr>
        <w:t>PJ.</w:t>
      </w:r>
      <w:r>
        <w:rPr>
          <w:spacing w:val="40"/>
          <w:sz w:val="22"/>
        </w:rPr>
        <w:t> </w:t>
      </w:r>
      <w:r>
        <w:rPr>
          <w:sz w:val="22"/>
        </w:rPr>
        <w:t>Cutaneous</w:t>
      </w:r>
      <w:r>
        <w:rPr>
          <w:spacing w:val="40"/>
          <w:sz w:val="22"/>
        </w:rPr>
        <w:t> </w:t>
      </w:r>
      <w:r>
        <w:rPr>
          <w:sz w:val="22"/>
        </w:rPr>
        <w:t>malignant</w:t>
      </w:r>
      <w:r>
        <w:rPr>
          <w:spacing w:val="40"/>
          <w:sz w:val="22"/>
        </w:rPr>
        <w:t> </w:t>
      </w:r>
      <w:r>
        <w:rPr>
          <w:sz w:val="22"/>
        </w:rPr>
        <w:t>melanoma</w:t>
      </w:r>
      <w:r>
        <w:rPr>
          <w:spacing w:val="40"/>
          <w:sz w:val="22"/>
        </w:rPr>
        <w:t> </w:t>
      </w:r>
      <w:r>
        <w:rPr>
          <w:sz w:val="22"/>
        </w:rPr>
        <w:t>in</w:t>
      </w:r>
      <w:r>
        <w:rPr>
          <w:spacing w:val="40"/>
          <w:sz w:val="22"/>
        </w:rPr>
        <w:t> </w:t>
      </w:r>
      <w:r>
        <w:rPr>
          <w:sz w:val="22"/>
        </w:rPr>
        <w:t>women: exogenous sex hormones and reproductive factors. </w:t>
      </w:r>
      <w:r>
        <w:rPr>
          <w:i/>
          <w:sz w:val="22"/>
        </w:rPr>
        <w:t>Br J Cancer</w:t>
      </w:r>
      <w:r>
        <w:rPr>
          <w:sz w:val="22"/>
        </w:rPr>
        <w:t>. 1984;50:673.</w:t>
      </w:r>
    </w:p>
    <w:p>
      <w:pPr>
        <w:spacing w:line="256" w:lineRule="auto" w:before="0"/>
        <w:ind w:left="718" w:right="98" w:hanging="619"/>
        <w:jc w:val="both"/>
        <w:rPr>
          <w:sz w:val="22"/>
        </w:rPr>
      </w:pPr>
      <w:r>
        <w:rPr>
          <w:sz w:val="22"/>
        </w:rPr>
        <w:t>1149.</w:t>
      </w:r>
      <w:r>
        <w:rPr>
          <w:spacing w:val="40"/>
          <w:sz w:val="22"/>
        </w:rPr>
        <w:t> </w:t>
      </w:r>
      <w:r>
        <w:rPr>
          <w:sz w:val="22"/>
        </w:rPr>
        <w:t>Koomen ER, Joosse A, Herings RM, Casparie MK, Guchelaar HJ, Nijsten T. Estrogens, oral contraceptives and hormonal replacement therapy increase the incidence of </w:t>
      </w:r>
      <w:r>
        <w:rPr>
          <w:sz w:val="22"/>
        </w:rPr>
        <w:t>cutaneous melanoma: a population-based case-control study. </w:t>
      </w:r>
      <w:r>
        <w:rPr>
          <w:i/>
          <w:sz w:val="22"/>
        </w:rPr>
        <w:t>Ann Oncol</w:t>
      </w:r>
      <w:r>
        <w:rPr>
          <w:sz w:val="22"/>
        </w:rPr>
        <w:t>. 2009;20:358.</w:t>
      </w:r>
    </w:p>
    <w:p>
      <w:pPr>
        <w:spacing w:line="256" w:lineRule="auto" w:before="0"/>
        <w:ind w:left="718" w:right="100" w:hanging="619"/>
        <w:jc w:val="both"/>
        <w:rPr>
          <w:sz w:val="22"/>
        </w:rPr>
      </w:pPr>
      <w:r>
        <w:rPr>
          <w:sz w:val="22"/>
        </w:rPr>
        <w:t>1150. Glueck CJ, Lang J, Hamer T, Tracy T. Severe hypertriglyceridemia and pancreatitis when estrogen replacement therapy is given to hypertriglyceridemic women. </w:t>
      </w:r>
      <w:r>
        <w:rPr>
          <w:i/>
          <w:sz w:val="22"/>
        </w:rPr>
        <w:t>J Lab Clin </w:t>
      </w:r>
      <w:r>
        <w:rPr>
          <w:i/>
          <w:sz w:val="22"/>
        </w:rPr>
        <w:t>Med</w:t>
      </w:r>
      <w:r>
        <w:rPr>
          <w:sz w:val="22"/>
        </w:rPr>
        <w:t>. </w:t>
      </w:r>
      <w:r>
        <w:rPr>
          <w:spacing w:val="-2"/>
          <w:sz w:val="22"/>
        </w:rPr>
        <w:t>1994;123:59.</w:t>
      </w:r>
    </w:p>
    <w:p>
      <w:pPr>
        <w:spacing w:line="256" w:lineRule="auto" w:before="0"/>
        <w:ind w:left="718" w:right="104" w:hanging="619"/>
        <w:jc w:val="both"/>
        <w:rPr>
          <w:sz w:val="22"/>
        </w:rPr>
      </w:pPr>
      <w:r>
        <w:rPr>
          <w:sz w:val="22"/>
        </w:rPr>
        <w:t>1151.</w:t>
      </w:r>
      <w:r>
        <w:rPr>
          <w:spacing w:val="40"/>
          <w:sz w:val="22"/>
        </w:rPr>
        <w:t> </w:t>
      </w:r>
      <w:r>
        <w:rPr>
          <w:sz w:val="22"/>
        </w:rPr>
        <w:t>Goldenberg NM, Wang P, Glueck CJ. An observational study of severe hypertriglyceridemia, hypertriglyceridemic acute pancreatitis, and failure of triglyceride-lowering therapy when estrogens are given to women with and without familial hypertriglyceridemia. </w:t>
      </w:r>
      <w:r>
        <w:rPr>
          <w:i/>
          <w:sz w:val="22"/>
        </w:rPr>
        <w:t>Clin Chim </w:t>
      </w:r>
      <w:r>
        <w:rPr>
          <w:i/>
          <w:sz w:val="22"/>
        </w:rPr>
        <w:t>Acta</w:t>
      </w:r>
      <w:r>
        <w:rPr>
          <w:sz w:val="22"/>
        </w:rPr>
        <w:t>. </w:t>
      </w:r>
      <w:r>
        <w:rPr>
          <w:spacing w:val="-2"/>
          <w:sz w:val="22"/>
        </w:rPr>
        <w:t>2003;332:11.</w:t>
      </w:r>
    </w:p>
    <w:p>
      <w:pPr>
        <w:spacing w:line="256" w:lineRule="auto" w:before="0"/>
        <w:ind w:left="718" w:right="109" w:hanging="619"/>
        <w:jc w:val="both"/>
        <w:rPr>
          <w:sz w:val="22"/>
        </w:rPr>
      </w:pPr>
      <w:r>
        <w:rPr>
          <w:sz w:val="22"/>
        </w:rPr>
        <w:t>1152.</w:t>
      </w:r>
      <w:r>
        <w:rPr>
          <w:spacing w:val="65"/>
          <w:sz w:val="22"/>
        </w:rPr>
        <w:t> </w:t>
      </w:r>
      <w:r>
        <w:rPr>
          <w:sz w:val="22"/>
        </w:rPr>
        <w:t>Grodstein</w:t>
      </w:r>
      <w:r>
        <w:rPr>
          <w:spacing w:val="18"/>
          <w:sz w:val="22"/>
        </w:rPr>
        <w:t> </w:t>
      </w:r>
      <w:r>
        <w:rPr>
          <w:sz w:val="22"/>
        </w:rPr>
        <w:t>F,</w:t>
      </w:r>
      <w:r>
        <w:rPr>
          <w:spacing w:val="18"/>
          <w:sz w:val="22"/>
        </w:rPr>
        <w:t> </w:t>
      </w:r>
      <w:r>
        <w:rPr>
          <w:sz w:val="22"/>
        </w:rPr>
        <w:t>Colditz</w:t>
      </w:r>
      <w:r>
        <w:rPr>
          <w:spacing w:val="18"/>
          <w:sz w:val="22"/>
        </w:rPr>
        <w:t> </w:t>
      </w:r>
      <w:r>
        <w:rPr>
          <w:sz w:val="22"/>
        </w:rPr>
        <w:t>GA,</w:t>
      </w:r>
      <w:r>
        <w:rPr>
          <w:spacing w:val="18"/>
          <w:sz w:val="22"/>
        </w:rPr>
        <w:t> </w:t>
      </w:r>
      <w:r>
        <w:rPr>
          <w:sz w:val="22"/>
        </w:rPr>
        <w:t>Stampfer</w:t>
      </w:r>
      <w:r>
        <w:rPr>
          <w:spacing w:val="18"/>
          <w:sz w:val="22"/>
        </w:rPr>
        <w:t> </w:t>
      </w:r>
      <w:r>
        <w:rPr>
          <w:sz w:val="22"/>
        </w:rPr>
        <w:t>MJ.</w:t>
      </w:r>
      <w:r>
        <w:rPr>
          <w:spacing w:val="18"/>
          <w:sz w:val="22"/>
        </w:rPr>
        <w:t> </w:t>
      </w:r>
      <w:r>
        <w:rPr>
          <w:sz w:val="22"/>
        </w:rPr>
        <w:t>Postmenopausal</w:t>
      </w:r>
      <w:r>
        <w:rPr>
          <w:spacing w:val="20"/>
          <w:sz w:val="22"/>
        </w:rPr>
        <w:t> </w:t>
      </w:r>
      <w:r>
        <w:rPr>
          <w:sz w:val="22"/>
        </w:rPr>
        <w:t>hormone</w:t>
      </w:r>
      <w:r>
        <w:rPr>
          <w:spacing w:val="20"/>
          <w:sz w:val="22"/>
        </w:rPr>
        <w:t> </w:t>
      </w:r>
      <w:r>
        <w:rPr>
          <w:sz w:val="22"/>
        </w:rPr>
        <w:t>use</w:t>
      </w:r>
      <w:r>
        <w:rPr>
          <w:spacing w:val="20"/>
          <w:sz w:val="22"/>
        </w:rPr>
        <w:t> </w:t>
      </w:r>
      <w:r>
        <w:rPr>
          <w:sz w:val="22"/>
        </w:rPr>
        <w:t>and</w:t>
      </w:r>
      <w:r>
        <w:rPr>
          <w:spacing w:val="20"/>
          <w:sz w:val="22"/>
        </w:rPr>
        <w:t> </w:t>
      </w:r>
      <w:r>
        <w:rPr>
          <w:sz w:val="22"/>
        </w:rPr>
        <w:t>cholecystectomy</w:t>
      </w:r>
      <w:r>
        <w:rPr>
          <w:spacing w:val="20"/>
          <w:sz w:val="22"/>
        </w:rPr>
        <w:t> </w:t>
      </w:r>
      <w:r>
        <w:rPr>
          <w:sz w:val="22"/>
        </w:rPr>
        <w:t>in a large prospective study. </w:t>
      </w:r>
      <w:r>
        <w:rPr>
          <w:i/>
          <w:sz w:val="22"/>
        </w:rPr>
        <w:t>Obstet Gynecol</w:t>
      </w:r>
      <w:r>
        <w:rPr>
          <w:sz w:val="22"/>
        </w:rPr>
        <w:t>. 1994;83:5.</w:t>
      </w:r>
    </w:p>
    <w:p>
      <w:pPr>
        <w:spacing w:line="256" w:lineRule="auto" w:before="0"/>
        <w:ind w:left="718" w:right="112" w:hanging="619"/>
        <w:jc w:val="both"/>
        <w:rPr>
          <w:sz w:val="22"/>
        </w:rPr>
      </w:pPr>
      <w:r>
        <w:rPr>
          <w:sz w:val="22"/>
        </w:rPr>
        <w:t>1153.</w:t>
      </w:r>
      <w:r>
        <w:rPr>
          <w:spacing w:val="40"/>
          <w:sz w:val="22"/>
        </w:rPr>
        <w:t> </w:t>
      </w:r>
      <w:r>
        <w:rPr>
          <w:sz w:val="22"/>
        </w:rPr>
        <w:t>Petitti DB, Sidney S, Perlamn JA. Increased risk of cholecystectomy in users of supplemental estrogen. </w:t>
      </w:r>
      <w:r>
        <w:rPr>
          <w:i/>
          <w:sz w:val="22"/>
        </w:rPr>
        <w:t>Gastroenterolgoy</w:t>
      </w:r>
      <w:r>
        <w:rPr>
          <w:sz w:val="22"/>
        </w:rPr>
        <w:t>. 1988;94:91.</w:t>
      </w:r>
    </w:p>
    <w:p>
      <w:pPr>
        <w:spacing w:line="256" w:lineRule="auto" w:before="0"/>
        <w:ind w:left="718" w:right="97" w:hanging="619"/>
        <w:jc w:val="both"/>
        <w:rPr>
          <w:sz w:val="22"/>
        </w:rPr>
      </w:pPr>
      <w:r>
        <w:rPr>
          <w:sz w:val="22"/>
        </w:rPr>
        <w:t>1154.</w:t>
      </w:r>
      <w:r>
        <w:rPr>
          <w:spacing w:val="40"/>
          <w:sz w:val="22"/>
        </w:rPr>
        <w:t> </w:t>
      </w:r>
      <w:r>
        <w:rPr>
          <w:sz w:val="22"/>
        </w:rPr>
        <w:t>La Vecchia C, Negri E, D’Avanzo B, Parazzini F, Genitle A, Franceschi S. Oral contraceptives and noncontraceptive oestrogens in the risk of gallstone disease requiring surgery. </w:t>
      </w:r>
      <w:r>
        <w:rPr>
          <w:i/>
          <w:sz w:val="22"/>
        </w:rPr>
        <w:t>J Epidemiol</w:t>
      </w:r>
      <w:r>
        <w:rPr>
          <w:i/>
          <w:sz w:val="22"/>
        </w:rPr>
        <w:t> Community Health</w:t>
      </w:r>
      <w:r>
        <w:rPr>
          <w:sz w:val="22"/>
        </w:rPr>
        <w:t>. 1992;46:234.</w:t>
      </w:r>
    </w:p>
    <w:p>
      <w:pPr>
        <w:spacing w:line="256" w:lineRule="auto" w:before="0"/>
        <w:ind w:left="718" w:right="98" w:hanging="619"/>
        <w:jc w:val="both"/>
        <w:rPr>
          <w:sz w:val="22"/>
        </w:rPr>
      </w:pPr>
      <w:r>
        <w:rPr>
          <w:sz w:val="22"/>
        </w:rPr>
        <w:t>1155. Scragg RK, McMichael AJ, Seamark RF. Oral contraceptives, pregnancy and </w:t>
      </w:r>
      <w:r>
        <w:rPr>
          <w:sz w:val="22"/>
        </w:rPr>
        <w:t>endogenous estrogen in gallstone disease—a case-control study. </w:t>
      </w:r>
      <w:r>
        <w:rPr>
          <w:i/>
          <w:sz w:val="22"/>
        </w:rPr>
        <w:t>Br Med J</w:t>
      </w:r>
      <w:r>
        <w:rPr>
          <w:sz w:val="22"/>
        </w:rPr>
        <w:t>. 1984;288:1795.</w:t>
      </w:r>
    </w:p>
    <w:p>
      <w:pPr>
        <w:spacing w:line="256" w:lineRule="auto" w:before="0"/>
        <w:ind w:left="718" w:right="109" w:hanging="619"/>
        <w:jc w:val="both"/>
        <w:rPr>
          <w:sz w:val="22"/>
        </w:rPr>
      </w:pPr>
      <w:r>
        <w:rPr>
          <w:sz w:val="22"/>
        </w:rPr>
        <w:t>1156.</w:t>
      </w:r>
      <w:r>
        <w:rPr>
          <w:spacing w:val="40"/>
          <w:sz w:val="22"/>
        </w:rPr>
        <w:t> </w:t>
      </w:r>
      <w:r>
        <w:rPr>
          <w:sz w:val="22"/>
        </w:rPr>
        <w:t>Kakar F, Weiss NS, Strite SA. Non-contraceptive estrogen use and the risk of gallstone </w:t>
      </w:r>
      <w:r>
        <w:rPr>
          <w:sz w:val="22"/>
        </w:rPr>
        <w:t>disease in women. </w:t>
      </w:r>
      <w:r>
        <w:rPr>
          <w:i/>
          <w:sz w:val="22"/>
        </w:rPr>
        <w:t>Am J Public Health</w:t>
      </w:r>
      <w:r>
        <w:rPr>
          <w:sz w:val="22"/>
        </w:rPr>
        <w:t>. 1988;78:564.</w:t>
      </w:r>
    </w:p>
    <w:p>
      <w:pPr>
        <w:spacing w:line="256" w:lineRule="auto" w:before="0"/>
        <w:ind w:left="718" w:right="101" w:hanging="619"/>
        <w:jc w:val="both"/>
        <w:rPr>
          <w:sz w:val="22"/>
        </w:rPr>
      </w:pPr>
      <w:r>
        <w:rPr>
          <w:sz w:val="22"/>
        </w:rPr>
        <w:t>1157.</w:t>
      </w:r>
      <w:r>
        <w:rPr>
          <w:spacing w:val="40"/>
          <w:sz w:val="22"/>
        </w:rPr>
        <w:t> </w:t>
      </w:r>
      <w:r>
        <w:rPr>
          <w:sz w:val="22"/>
        </w:rPr>
        <w:t>Jorgensen T. Gallstones in a Danish population: fertility, period, pregnancies, and </w:t>
      </w:r>
      <w:r>
        <w:rPr>
          <w:sz w:val="22"/>
        </w:rPr>
        <w:t>exogenous female sex hormones. </w:t>
      </w:r>
      <w:r>
        <w:rPr>
          <w:i/>
          <w:sz w:val="22"/>
        </w:rPr>
        <w:t>Gut</w:t>
      </w:r>
      <w:r>
        <w:rPr>
          <w:sz w:val="22"/>
        </w:rPr>
        <w:t>. 1988;29:433.</w:t>
      </w:r>
    </w:p>
    <w:p>
      <w:pPr>
        <w:spacing w:after="0" w:line="256" w:lineRule="auto"/>
        <w:jc w:val="both"/>
        <w:rPr>
          <w:sz w:val="22"/>
        </w:rPr>
        <w:sectPr>
          <w:pgSz w:w="12240" w:h="15840"/>
          <w:pgMar w:top="1360" w:bottom="280" w:left="1440" w:right="1440"/>
        </w:sectPr>
      </w:pPr>
    </w:p>
    <w:p>
      <w:pPr>
        <w:spacing w:line="256" w:lineRule="auto" w:before="84"/>
        <w:ind w:left="718" w:right="101" w:hanging="619"/>
        <w:jc w:val="both"/>
        <w:rPr>
          <w:sz w:val="22"/>
        </w:rPr>
      </w:pPr>
      <w:r>
        <w:rPr>
          <w:sz w:val="22"/>
        </w:rPr>
        <w:t>1158.</w:t>
      </w:r>
      <w:r>
        <w:rPr>
          <w:spacing w:val="40"/>
          <w:sz w:val="22"/>
        </w:rPr>
        <w:t> </w:t>
      </w:r>
      <w:r>
        <w:rPr>
          <w:sz w:val="22"/>
        </w:rPr>
        <w:t>Simon JA, Hunninghake DB, Agarwal SK, et al; Heart and Estrogen/progestin Replacement Study Research Group. Effect of estrogen plus progestin on risk for biliary tract surgery </w:t>
      </w:r>
      <w:r>
        <w:rPr>
          <w:sz w:val="22"/>
        </w:rPr>
        <w:t>in postmenopausal women with coronary artery disease. </w:t>
      </w:r>
      <w:r>
        <w:rPr>
          <w:i/>
          <w:sz w:val="22"/>
        </w:rPr>
        <w:t>Ann Intern Med</w:t>
      </w:r>
      <w:r>
        <w:rPr>
          <w:sz w:val="22"/>
        </w:rPr>
        <w:t>. 2001;135:493.</w:t>
      </w:r>
    </w:p>
    <w:p>
      <w:pPr>
        <w:spacing w:line="256" w:lineRule="auto" w:before="0"/>
        <w:ind w:left="718" w:right="100" w:hanging="619"/>
        <w:jc w:val="both"/>
        <w:rPr>
          <w:sz w:val="22"/>
        </w:rPr>
      </w:pPr>
      <w:r>
        <w:rPr>
          <w:sz w:val="22"/>
        </w:rPr>
        <w:t>1159.</w:t>
      </w:r>
      <w:r>
        <w:rPr>
          <w:spacing w:val="40"/>
          <w:sz w:val="22"/>
        </w:rPr>
        <w:t> </w:t>
      </w:r>
      <w:r>
        <w:rPr>
          <w:sz w:val="22"/>
        </w:rPr>
        <w:t>Cirillo</w:t>
      </w:r>
      <w:r>
        <w:rPr>
          <w:spacing w:val="40"/>
          <w:sz w:val="22"/>
        </w:rPr>
        <w:t> </w:t>
      </w:r>
      <w:r>
        <w:rPr>
          <w:sz w:val="22"/>
        </w:rPr>
        <w:t>DJ,</w:t>
      </w:r>
      <w:r>
        <w:rPr>
          <w:spacing w:val="40"/>
          <w:sz w:val="22"/>
        </w:rPr>
        <w:t> </w:t>
      </w:r>
      <w:r>
        <w:rPr>
          <w:sz w:val="22"/>
        </w:rPr>
        <w:t>Wallace</w:t>
      </w:r>
      <w:r>
        <w:rPr>
          <w:spacing w:val="40"/>
          <w:sz w:val="22"/>
        </w:rPr>
        <w:t> </w:t>
      </w:r>
      <w:r>
        <w:rPr>
          <w:sz w:val="22"/>
        </w:rPr>
        <w:t>RB,</w:t>
      </w:r>
      <w:r>
        <w:rPr>
          <w:spacing w:val="40"/>
          <w:sz w:val="22"/>
        </w:rPr>
        <w:t> </w:t>
      </w:r>
      <w:r>
        <w:rPr>
          <w:sz w:val="22"/>
        </w:rPr>
        <w:t>Rodabough</w:t>
      </w:r>
      <w:r>
        <w:rPr>
          <w:spacing w:val="40"/>
          <w:sz w:val="22"/>
        </w:rPr>
        <w:t> </w:t>
      </w:r>
      <w:r>
        <w:rPr>
          <w:sz w:val="22"/>
        </w:rPr>
        <w:t>RJ,</w:t>
      </w:r>
      <w:r>
        <w:rPr>
          <w:spacing w:val="40"/>
          <w:sz w:val="22"/>
        </w:rPr>
        <w:t> </w:t>
      </w:r>
      <w:r>
        <w:rPr>
          <w:sz w:val="22"/>
        </w:rPr>
        <w:t>et</w:t>
      </w:r>
      <w:r>
        <w:rPr>
          <w:spacing w:val="40"/>
          <w:sz w:val="22"/>
        </w:rPr>
        <w:t> </w:t>
      </w:r>
      <w:r>
        <w:rPr>
          <w:sz w:val="22"/>
        </w:rPr>
        <w:t>al.</w:t>
      </w:r>
      <w:r>
        <w:rPr>
          <w:spacing w:val="40"/>
          <w:sz w:val="22"/>
        </w:rPr>
        <w:t> </w:t>
      </w:r>
      <w:r>
        <w:rPr>
          <w:sz w:val="22"/>
        </w:rPr>
        <w:t>Effect</w:t>
      </w:r>
      <w:r>
        <w:rPr>
          <w:spacing w:val="40"/>
          <w:sz w:val="22"/>
        </w:rPr>
        <w:t> </w:t>
      </w:r>
      <w:r>
        <w:rPr>
          <w:sz w:val="22"/>
        </w:rPr>
        <w:t>of</w:t>
      </w:r>
      <w:r>
        <w:rPr>
          <w:spacing w:val="40"/>
          <w:sz w:val="22"/>
        </w:rPr>
        <w:t> </w:t>
      </w:r>
      <w:r>
        <w:rPr>
          <w:sz w:val="22"/>
        </w:rPr>
        <w:t>estrogen</w:t>
      </w:r>
      <w:r>
        <w:rPr>
          <w:spacing w:val="40"/>
          <w:sz w:val="22"/>
        </w:rPr>
        <w:t> </w:t>
      </w:r>
      <w:r>
        <w:rPr>
          <w:sz w:val="22"/>
        </w:rPr>
        <w:t>therapy</w:t>
      </w:r>
      <w:r>
        <w:rPr>
          <w:spacing w:val="40"/>
          <w:sz w:val="22"/>
        </w:rPr>
        <w:t> </w:t>
      </w:r>
      <w:r>
        <w:rPr>
          <w:sz w:val="22"/>
        </w:rPr>
        <w:t>on</w:t>
      </w:r>
      <w:r>
        <w:rPr>
          <w:spacing w:val="40"/>
          <w:sz w:val="22"/>
        </w:rPr>
        <w:t> </w:t>
      </w:r>
      <w:r>
        <w:rPr>
          <w:sz w:val="22"/>
        </w:rPr>
        <w:t>gallbladder disease. </w:t>
      </w:r>
      <w:r>
        <w:rPr>
          <w:i/>
          <w:sz w:val="22"/>
        </w:rPr>
        <w:t>JAMA</w:t>
      </w:r>
      <w:r>
        <w:rPr>
          <w:sz w:val="22"/>
        </w:rPr>
        <w:t>. 2005;293:330.</w:t>
      </w:r>
    </w:p>
    <w:p>
      <w:pPr>
        <w:spacing w:line="256" w:lineRule="auto" w:before="0"/>
        <w:ind w:left="718" w:right="101" w:hanging="619"/>
        <w:jc w:val="both"/>
        <w:rPr>
          <w:sz w:val="22"/>
        </w:rPr>
      </w:pPr>
      <w:r>
        <w:rPr>
          <w:sz w:val="22"/>
        </w:rPr>
        <w:t>1160. van Erpecum KJ, van Berge Henegouwen GP, Verschoor L, Stoelwinder B, Willekens </w:t>
      </w:r>
      <w:r>
        <w:rPr>
          <w:sz w:val="22"/>
        </w:rPr>
        <w:t>FLH. Different hepatobiliary effects of oral and transdermal estradiol in postmenopausal women. </w:t>
      </w:r>
      <w:r>
        <w:rPr>
          <w:i/>
          <w:sz w:val="22"/>
        </w:rPr>
        <w:t>Gasteroenterology</w:t>
      </w:r>
      <w:r>
        <w:rPr>
          <w:sz w:val="22"/>
        </w:rPr>
        <w:t>. 1991;100:482.</w:t>
      </w:r>
    </w:p>
    <w:p>
      <w:pPr>
        <w:spacing w:line="256" w:lineRule="auto" w:before="0"/>
        <w:ind w:left="718" w:right="103" w:hanging="619"/>
        <w:jc w:val="both"/>
        <w:rPr>
          <w:sz w:val="22"/>
        </w:rPr>
      </w:pPr>
      <w:r>
        <w:rPr>
          <w:sz w:val="22"/>
        </w:rPr>
        <w:t>1161.</w:t>
      </w:r>
      <w:r>
        <w:rPr>
          <w:spacing w:val="40"/>
          <w:sz w:val="22"/>
        </w:rPr>
        <w:t> </w:t>
      </w:r>
      <w:r>
        <w:rPr>
          <w:sz w:val="22"/>
        </w:rPr>
        <w:t>Uhler</w:t>
      </w:r>
      <w:r>
        <w:rPr>
          <w:spacing w:val="34"/>
          <w:sz w:val="22"/>
        </w:rPr>
        <w:t> </w:t>
      </w:r>
      <w:r>
        <w:rPr>
          <w:sz w:val="22"/>
        </w:rPr>
        <w:t>ML,</w:t>
      </w:r>
      <w:r>
        <w:rPr>
          <w:spacing w:val="34"/>
          <w:sz w:val="22"/>
        </w:rPr>
        <w:t> </w:t>
      </w:r>
      <w:r>
        <w:rPr>
          <w:sz w:val="22"/>
        </w:rPr>
        <w:t>Marks</w:t>
      </w:r>
      <w:r>
        <w:rPr>
          <w:spacing w:val="34"/>
          <w:sz w:val="22"/>
        </w:rPr>
        <w:t> </w:t>
      </w:r>
      <w:r>
        <w:rPr>
          <w:sz w:val="22"/>
        </w:rPr>
        <w:t>JW,</w:t>
      </w:r>
      <w:r>
        <w:rPr>
          <w:spacing w:val="34"/>
          <w:sz w:val="22"/>
        </w:rPr>
        <w:t> </w:t>
      </w:r>
      <w:r>
        <w:rPr>
          <w:sz w:val="22"/>
        </w:rPr>
        <w:t>Voigt</w:t>
      </w:r>
      <w:r>
        <w:rPr>
          <w:spacing w:val="34"/>
          <w:sz w:val="22"/>
        </w:rPr>
        <w:t> </w:t>
      </w:r>
      <w:r>
        <w:rPr>
          <w:sz w:val="22"/>
        </w:rPr>
        <w:t>BJ,</w:t>
      </w:r>
      <w:r>
        <w:rPr>
          <w:spacing w:val="34"/>
          <w:sz w:val="22"/>
        </w:rPr>
        <w:t> </w:t>
      </w:r>
      <w:r>
        <w:rPr>
          <w:sz w:val="22"/>
        </w:rPr>
        <w:t>Judd</w:t>
      </w:r>
      <w:r>
        <w:rPr>
          <w:spacing w:val="34"/>
          <w:sz w:val="22"/>
        </w:rPr>
        <w:t> </w:t>
      </w:r>
      <w:r>
        <w:rPr>
          <w:sz w:val="22"/>
        </w:rPr>
        <w:t>HL.</w:t>
      </w:r>
      <w:r>
        <w:rPr>
          <w:spacing w:val="34"/>
          <w:sz w:val="22"/>
        </w:rPr>
        <w:t> </w:t>
      </w:r>
      <w:r>
        <w:rPr>
          <w:sz w:val="22"/>
        </w:rPr>
        <w:t>Comparison</w:t>
      </w:r>
      <w:r>
        <w:rPr>
          <w:spacing w:val="33"/>
          <w:sz w:val="22"/>
        </w:rPr>
        <w:t> </w:t>
      </w:r>
      <w:r>
        <w:rPr>
          <w:sz w:val="22"/>
        </w:rPr>
        <w:t>of</w:t>
      </w:r>
      <w:r>
        <w:rPr>
          <w:spacing w:val="33"/>
          <w:sz w:val="22"/>
        </w:rPr>
        <w:t> </w:t>
      </w:r>
      <w:r>
        <w:rPr>
          <w:sz w:val="22"/>
        </w:rPr>
        <w:t>the</w:t>
      </w:r>
      <w:r>
        <w:rPr>
          <w:spacing w:val="33"/>
          <w:sz w:val="22"/>
        </w:rPr>
        <w:t> </w:t>
      </w:r>
      <w:r>
        <w:rPr>
          <w:sz w:val="22"/>
        </w:rPr>
        <w:t>impact</w:t>
      </w:r>
      <w:r>
        <w:rPr>
          <w:spacing w:val="33"/>
          <w:sz w:val="22"/>
        </w:rPr>
        <w:t> </w:t>
      </w:r>
      <w:r>
        <w:rPr>
          <w:sz w:val="22"/>
        </w:rPr>
        <w:t>of</w:t>
      </w:r>
      <w:r>
        <w:rPr>
          <w:spacing w:val="33"/>
          <w:sz w:val="22"/>
        </w:rPr>
        <w:t> </w:t>
      </w:r>
      <w:r>
        <w:rPr>
          <w:sz w:val="22"/>
        </w:rPr>
        <w:t>transdermal</w:t>
      </w:r>
      <w:r>
        <w:rPr>
          <w:spacing w:val="33"/>
          <w:sz w:val="22"/>
        </w:rPr>
        <w:t> </w:t>
      </w:r>
      <w:r>
        <w:rPr>
          <w:i/>
          <w:sz w:val="22"/>
        </w:rPr>
        <w:t>versus</w:t>
      </w:r>
      <w:r>
        <w:rPr>
          <w:i/>
          <w:sz w:val="22"/>
        </w:rPr>
        <w:t> </w:t>
      </w:r>
      <w:r>
        <w:rPr>
          <w:sz w:val="22"/>
        </w:rPr>
        <w:t>oral estrogens on biliary markers of gallstone formation in postmenopausal women. </w:t>
      </w:r>
      <w:r>
        <w:rPr>
          <w:i/>
          <w:sz w:val="22"/>
        </w:rPr>
        <w:t>J </w:t>
      </w:r>
      <w:r>
        <w:rPr>
          <w:i/>
          <w:sz w:val="22"/>
        </w:rPr>
        <w:t>Clin</w:t>
      </w:r>
      <w:r>
        <w:rPr>
          <w:i/>
          <w:sz w:val="22"/>
        </w:rPr>
        <w:t> Endocrinol Metab</w:t>
      </w:r>
      <w:r>
        <w:rPr>
          <w:sz w:val="22"/>
        </w:rPr>
        <w:t>. 1998;83:410.</w:t>
      </w:r>
    </w:p>
    <w:p>
      <w:pPr>
        <w:spacing w:line="256" w:lineRule="auto" w:before="0"/>
        <w:ind w:left="718" w:right="98" w:hanging="619"/>
        <w:jc w:val="both"/>
        <w:rPr>
          <w:sz w:val="22"/>
        </w:rPr>
      </w:pPr>
      <w:r>
        <w:rPr>
          <w:sz w:val="22"/>
        </w:rPr>
        <w:t>1162. Wing R, Matthews K, Kuller L, Meilahn EN, Plantinga PL. Weight gain at the time </w:t>
      </w:r>
      <w:r>
        <w:rPr>
          <w:sz w:val="22"/>
        </w:rPr>
        <w:t>of menopause. </w:t>
      </w:r>
      <w:r>
        <w:rPr>
          <w:i/>
          <w:sz w:val="22"/>
        </w:rPr>
        <w:t>Arch Intern Med</w:t>
      </w:r>
      <w:r>
        <w:rPr>
          <w:sz w:val="22"/>
        </w:rPr>
        <w:t>. 1990;151:97.</w:t>
      </w:r>
    </w:p>
    <w:p>
      <w:pPr>
        <w:spacing w:line="256" w:lineRule="auto" w:before="0"/>
        <w:ind w:left="718" w:right="101" w:hanging="619"/>
        <w:jc w:val="both"/>
        <w:rPr>
          <w:sz w:val="22"/>
        </w:rPr>
      </w:pPr>
      <w:r>
        <w:rPr>
          <w:sz w:val="22"/>
        </w:rPr>
        <w:t>1163. Liu B, Beral V, Balkwill A, Green JR, Sweetland S, Reeves G; Million Women Study Collaborators. Gallbladder disease and use of transdermal versus oral hormone </w:t>
      </w:r>
      <w:r>
        <w:rPr>
          <w:sz w:val="22"/>
        </w:rPr>
        <w:t>replacement therapy in postmenopausal women: prospective cohort study. </w:t>
      </w:r>
      <w:r>
        <w:rPr>
          <w:i/>
          <w:sz w:val="22"/>
        </w:rPr>
        <w:t>Br Med J</w:t>
      </w:r>
      <w:r>
        <w:rPr>
          <w:sz w:val="22"/>
        </w:rPr>
        <w:t>. 2008;337:a386.</w:t>
      </w:r>
    </w:p>
    <w:p>
      <w:pPr>
        <w:spacing w:line="256" w:lineRule="auto" w:before="0"/>
        <w:ind w:left="718" w:right="99" w:hanging="619"/>
        <w:jc w:val="both"/>
        <w:rPr>
          <w:sz w:val="22"/>
        </w:rPr>
      </w:pPr>
      <w:r>
        <w:rPr>
          <w:sz w:val="22"/>
        </w:rPr>
        <w:t>1164. Crawford SL, Casey VA, Avis NE, McKinlay SM. A longitudinal study of weight and the menopause transition: results from the Massachusetts Women’s Health Study. </w:t>
      </w:r>
      <w:r>
        <w:rPr>
          <w:i/>
          <w:sz w:val="22"/>
        </w:rPr>
        <w:t>Menopause</w:t>
      </w:r>
      <w:r>
        <w:rPr>
          <w:sz w:val="22"/>
        </w:rPr>
        <w:t>. </w:t>
      </w:r>
      <w:r>
        <w:rPr>
          <w:spacing w:val="-2"/>
          <w:sz w:val="22"/>
        </w:rPr>
        <w:t>2000;7:96.</w:t>
      </w:r>
    </w:p>
    <w:p>
      <w:pPr>
        <w:spacing w:line="256" w:lineRule="auto" w:before="0"/>
        <w:ind w:left="718" w:right="98" w:hanging="619"/>
        <w:jc w:val="both"/>
        <w:rPr>
          <w:sz w:val="22"/>
        </w:rPr>
      </w:pPr>
      <w:r>
        <w:rPr>
          <w:sz w:val="22"/>
        </w:rPr>
        <w:t>1165.</w:t>
      </w:r>
      <w:r>
        <w:rPr>
          <w:spacing w:val="40"/>
          <w:sz w:val="22"/>
        </w:rPr>
        <w:t> </w:t>
      </w:r>
      <w:r>
        <w:rPr>
          <w:sz w:val="22"/>
        </w:rPr>
        <w:t>Blumel JE, Castelo-Branco C, Rocangliolo ME, Bifa L, Tacla X, Mamani L. Changes in body mass</w:t>
      </w:r>
      <w:r>
        <w:rPr>
          <w:spacing w:val="40"/>
          <w:sz w:val="22"/>
        </w:rPr>
        <w:t> </w:t>
      </w:r>
      <w:r>
        <w:rPr>
          <w:sz w:val="22"/>
        </w:rPr>
        <w:t>index</w:t>
      </w:r>
      <w:r>
        <w:rPr>
          <w:spacing w:val="40"/>
          <w:sz w:val="22"/>
        </w:rPr>
        <w:t> </w:t>
      </w:r>
      <w:r>
        <w:rPr>
          <w:sz w:val="22"/>
        </w:rPr>
        <w:t>around</w:t>
      </w:r>
      <w:r>
        <w:rPr>
          <w:spacing w:val="40"/>
          <w:sz w:val="22"/>
        </w:rPr>
        <w:t> </w:t>
      </w:r>
      <w:r>
        <w:rPr>
          <w:sz w:val="22"/>
        </w:rPr>
        <w:t>menopause:</w:t>
      </w:r>
      <w:r>
        <w:rPr>
          <w:spacing w:val="40"/>
          <w:sz w:val="22"/>
        </w:rPr>
        <w:t> </w:t>
      </w:r>
      <w:r>
        <w:rPr>
          <w:sz w:val="22"/>
        </w:rPr>
        <w:t>a</w:t>
      </w:r>
      <w:r>
        <w:rPr>
          <w:spacing w:val="40"/>
          <w:sz w:val="22"/>
        </w:rPr>
        <w:t> </w:t>
      </w:r>
      <w:r>
        <w:rPr>
          <w:sz w:val="22"/>
        </w:rPr>
        <w:t>population</w:t>
      </w:r>
      <w:r>
        <w:rPr>
          <w:spacing w:val="40"/>
          <w:sz w:val="22"/>
        </w:rPr>
        <w:t> </w:t>
      </w:r>
      <w:r>
        <w:rPr>
          <w:sz w:val="22"/>
        </w:rPr>
        <w:t>study</w:t>
      </w:r>
      <w:r>
        <w:rPr>
          <w:spacing w:val="40"/>
          <w:sz w:val="22"/>
        </w:rPr>
        <w:t> </w:t>
      </w:r>
      <w:r>
        <w:rPr>
          <w:sz w:val="22"/>
        </w:rPr>
        <w:t>of</w:t>
      </w:r>
      <w:r>
        <w:rPr>
          <w:spacing w:val="40"/>
          <w:sz w:val="22"/>
        </w:rPr>
        <w:t> </w:t>
      </w:r>
      <w:r>
        <w:rPr>
          <w:sz w:val="22"/>
        </w:rPr>
        <w:t>Chilean</w:t>
      </w:r>
      <w:r>
        <w:rPr>
          <w:spacing w:val="40"/>
          <w:sz w:val="22"/>
        </w:rPr>
        <w:t> </w:t>
      </w:r>
      <w:r>
        <w:rPr>
          <w:sz w:val="22"/>
        </w:rPr>
        <w:t>women.</w:t>
      </w:r>
      <w:r>
        <w:rPr>
          <w:spacing w:val="40"/>
          <w:sz w:val="22"/>
        </w:rPr>
        <w:t> </w:t>
      </w:r>
      <w:r>
        <w:rPr>
          <w:i/>
          <w:sz w:val="22"/>
        </w:rPr>
        <w:t>Menopause</w:t>
      </w:r>
      <w:r>
        <w:rPr>
          <w:sz w:val="22"/>
        </w:rPr>
        <w:t>. </w:t>
      </w:r>
      <w:r>
        <w:rPr>
          <w:spacing w:val="-2"/>
          <w:sz w:val="22"/>
        </w:rPr>
        <w:t>2001;8:239.</w:t>
      </w:r>
    </w:p>
    <w:p>
      <w:pPr>
        <w:spacing w:line="256" w:lineRule="auto" w:before="0"/>
        <w:ind w:left="718" w:right="98" w:hanging="619"/>
        <w:jc w:val="both"/>
        <w:rPr>
          <w:sz w:val="22"/>
        </w:rPr>
      </w:pPr>
      <w:r>
        <w:rPr>
          <w:sz w:val="22"/>
        </w:rPr>
        <w:t>1166.</w:t>
      </w:r>
      <w:r>
        <w:rPr>
          <w:spacing w:val="40"/>
          <w:sz w:val="22"/>
        </w:rPr>
        <w:t> </w:t>
      </w:r>
      <w:r>
        <w:rPr>
          <w:sz w:val="22"/>
        </w:rPr>
        <w:t>Kritz-Silverstein</w:t>
      </w:r>
      <w:r>
        <w:rPr>
          <w:spacing w:val="32"/>
          <w:sz w:val="22"/>
        </w:rPr>
        <w:t> </w:t>
      </w:r>
      <w:r>
        <w:rPr>
          <w:sz w:val="22"/>
        </w:rPr>
        <w:t>D,</w:t>
      </w:r>
      <w:r>
        <w:rPr>
          <w:spacing w:val="32"/>
          <w:sz w:val="22"/>
        </w:rPr>
        <w:t> </w:t>
      </w:r>
      <w:r>
        <w:rPr>
          <w:sz w:val="22"/>
        </w:rPr>
        <w:t>Barrett-Connor</w:t>
      </w:r>
      <w:r>
        <w:rPr>
          <w:spacing w:val="32"/>
          <w:sz w:val="22"/>
        </w:rPr>
        <w:t> </w:t>
      </w:r>
      <w:r>
        <w:rPr>
          <w:sz w:val="22"/>
        </w:rPr>
        <w:t>E.</w:t>
      </w:r>
      <w:r>
        <w:rPr>
          <w:spacing w:val="31"/>
          <w:sz w:val="22"/>
        </w:rPr>
        <w:t> </w:t>
      </w:r>
      <w:r>
        <w:rPr>
          <w:sz w:val="22"/>
        </w:rPr>
        <w:t>Long-term</w:t>
      </w:r>
      <w:r>
        <w:rPr>
          <w:spacing w:val="34"/>
          <w:sz w:val="22"/>
        </w:rPr>
        <w:t> </w:t>
      </w:r>
      <w:r>
        <w:rPr>
          <w:sz w:val="22"/>
        </w:rPr>
        <w:t>postmenopausal</w:t>
      </w:r>
      <w:r>
        <w:rPr>
          <w:spacing w:val="34"/>
          <w:sz w:val="22"/>
        </w:rPr>
        <w:t> </w:t>
      </w:r>
      <w:r>
        <w:rPr>
          <w:sz w:val="22"/>
        </w:rPr>
        <w:t>hormone</w:t>
      </w:r>
      <w:r>
        <w:rPr>
          <w:spacing w:val="34"/>
          <w:sz w:val="22"/>
        </w:rPr>
        <w:t> </w:t>
      </w:r>
      <w:r>
        <w:rPr>
          <w:sz w:val="22"/>
        </w:rPr>
        <w:t>use,</w:t>
      </w:r>
      <w:r>
        <w:rPr>
          <w:spacing w:val="34"/>
          <w:sz w:val="22"/>
        </w:rPr>
        <w:t> </w:t>
      </w:r>
      <w:r>
        <w:rPr>
          <w:sz w:val="22"/>
        </w:rPr>
        <w:t>obesity,</w:t>
      </w:r>
      <w:r>
        <w:rPr>
          <w:spacing w:val="34"/>
          <w:sz w:val="22"/>
        </w:rPr>
        <w:t> </w:t>
      </w:r>
      <w:r>
        <w:rPr>
          <w:sz w:val="22"/>
        </w:rPr>
        <w:t>and fat distribution in older women. </w:t>
      </w:r>
      <w:r>
        <w:rPr>
          <w:i/>
          <w:sz w:val="22"/>
        </w:rPr>
        <w:t>JAMA</w:t>
      </w:r>
      <w:r>
        <w:rPr>
          <w:sz w:val="22"/>
        </w:rPr>
        <w:t>. 1996;27:46.</w:t>
      </w:r>
    </w:p>
    <w:p>
      <w:pPr>
        <w:spacing w:line="256" w:lineRule="auto" w:before="0"/>
        <w:ind w:left="718" w:right="111" w:hanging="619"/>
        <w:jc w:val="both"/>
        <w:rPr>
          <w:sz w:val="22"/>
        </w:rPr>
      </w:pPr>
      <w:r>
        <w:rPr>
          <w:sz w:val="22"/>
        </w:rPr>
        <w:t>1167. Espeland MA, Stefanick ML, Kritz-Silverstein D, et al; Postmenopausal </w:t>
      </w:r>
      <w:r>
        <w:rPr>
          <w:sz w:val="22"/>
        </w:rPr>
        <w:t>Estrogen/Progestin Interventions Study Investigators. Effect of postmenopausal hormone therapy on body weight and waist and hip girths. </w:t>
      </w:r>
      <w:r>
        <w:rPr>
          <w:i/>
          <w:sz w:val="22"/>
        </w:rPr>
        <w:t>J Clin Endocrinol Metab</w:t>
      </w:r>
      <w:r>
        <w:rPr>
          <w:sz w:val="22"/>
        </w:rPr>
        <w:t>. 1997;82:1549.</w:t>
      </w:r>
    </w:p>
    <w:p>
      <w:pPr>
        <w:spacing w:line="256" w:lineRule="auto" w:before="0"/>
        <w:ind w:left="718" w:right="103" w:hanging="619"/>
        <w:jc w:val="both"/>
        <w:rPr>
          <w:sz w:val="22"/>
        </w:rPr>
      </w:pPr>
      <w:r>
        <w:rPr>
          <w:sz w:val="22"/>
        </w:rPr>
        <w:t>1168.</w:t>
      </w:r>
      <w:r>
        <w:rPr>
          <w:spacing w:val="40"/>
          <w:sz w:val="22"/>
        </w:rPr>
        <w:t> </w:t>
      </w:r>
      <w:r>
        <w:rPr>
          <w:sz w:val="22"/>
        </w:rPr>
        <w:t>Thorneycroft IH, Lindsay R, Pickar JH. Body composition during treatment with conjugated estrogens with and without medroxyprogesterone acetate: analysis of the Women’s Health, Osteoporosis, Progestin, Estrogen (HOPE) trial. </w:t>
      </w:r>
      <w:r>
        <w:rPr>
          <w:i/>
          <w:sz w:val="22"/>
        </w:rPr>
        <w:t>Am J Obstet Gynecol</w:t>
      </w:r>
      <w:r>
        <w:rPr>
          <w:sz w:val="22"/>
        </w:rPr>
        <w:t>. 2007;197:137.e1.</w:t>
      </w:r>
    </w:p>
    <w:p>
      <w:pPr>
        <w:spacing w:line="256" w:lineRule="auto" w:before="0"/>
        <w:ind w:left="718" w:right="101" w:hanging="619"/>
        <w:jc w:val="both"/>
        <w:rPr>
          <w:sz w:val="22"/>
        </w:rPr>
      </w:pPr>
      <w:r>
        <w:rPr>
          <w:sz w:val="22"/>
        </w:rPr>
        <w:t>1169.</w:t>
      </w:r>
      <w:r>
        <w:rPr>
          <w:spacing w:val="40"/>
          <w:sz w:val="22"/>
        </w:rPr>
        <w:t> </w:t>
      </w:r>
      <w:r>
        <w:rPr>
          <w:sz w:val="22"/>
        </w:rPr>
        <w:t>Sowers M, Zheng H, Tomey K, et al. Changes in body composition in women over six years at midlife: ovarian and chronological aging. </w:t>
      </w:r>
      <w:r>
        <w:rPr>
          <w:i/>
          <w:sz w:val="22"/>
        </w:rPr>
        <w:t>J Clin Endocrinol Metab</w:t>
      </w:r>
      <w:r>
        <w:rPr>
          <w:sz w:val="22"/>
        </w:rPr>
        <w:t>. 2007;92:895.</w:t>
      </w:r>
    </w:p>
    <w:p>
      <w:pPr>
        <w:spacing w:line="256" w:lineRule="auto" w:before="0"/>
        <w:ind w:left="718" w:right="106" w:hanging="619"/>
        <w:jc w:val="both"/>
        <w:rPr>
          <w:sz w:val="22"/>
        </w:rPr>
      </w:pPr>
      <w:r>
        <w:rPr>
          <w:sz w:val="22"/>
        </w:rPr>
        <w:t>1170.</w:t>
      </w:r>
      <w:r>
        <w:rPr>
          <w:spacing w:val="40"/>
          <w:sz w:val="22"/>
        </w:rPr>
        <w:t> </w:t>
      </w:r>
      <w:r>
        <w:rPr>
          <w:sz w:val="22"/>
        </w:rPr>
        <w:t>Salpeter SR, Walsh JME, Ormiston TM, Greyber E, Buckley NS, Salpeter EE. Meta-</w:t>
      </w:r>
      <w:r>
        <w:rPr>
          <w:sz w:val="22"/>
        </w:rPr>
        <w:t>analysis: effect of hormone therapy on components of the metabolic syndrome in postmenopausal</w:t>
      </w:r>
      <w:r>
        <w:rPr>
          <w:spacing w:val="40"/>
          <w:sz w:val="22"/>
        </w:rPr>
        <w:t> </w:t>
      </w:r>
      <w:r>
        <w:rPr>
          <w:sz w:val="22"/>
        </w:rPr>
        <w:t>women. </w:t>
      </w:r>
      <w:r>
        <w:rPr>
          <w:i/>
          <w:sz w:val="22"/>
        </w:rPr>
        <w:t>Diabetes Obes Metab</w:t>
      </w:r>
      <w:r>
        <w:rPr>
          <w:sz w:val="22"/>
        </w:rPr>
        <w:t>. 2006;8:538.</w:t>
      </w:r>
    </w:p>
    <w:p>
      <w:pPr>
        <w:spacing w:line="256" w:lineRule="auto" w:before="0"/>
        <w:ind w:left="718" w:right="99" w:hanging="619"/>
        <w:jc w:val="both"/>
        <w:rPr>
          <w:sz w:val="22"/>
        </w:rPr>
      </w:pPr>
      <w:r>
        <w:rPr>
          <w:sz w:val="22"/>
        </w:rPr>
        <w:t>1171. Gambacciani</w:t>
      </w:r>
      <w:r>
        <w:rPr>
          <w:spacing w:val="40"/>
          <w:sz w:val="22"/>
        </w:rPr>
        <w:t> </w:t>
      </w:r>
      <w:r>
        <w:rPr>
          <w:sz w:val="22"/>
        </w:rPr>
        <w:t>M,</w:t>
      </w:r>
      <w:r>
        <w:rPr>
          <w:spacing w:val="40"/>
          <w:sz w:val="22"/>
        </w:rPr>
        <w:t> </w:t>
      </w:r>
      <w:r>
        <w:rPr>
          <w:sz w:val="22"/>
        </w:rPr>
        <w:t>Ciaponi</w:t>
      </w:r>
      <w:r>
        <w:rPr>
          <w:spacing w:val="40"/>
          <w:sz w:val="22"/>
        </w:rPr>
        <w:t> </w:t>
      </w:r>
      <w:r>
        <w:rPr>
          <w:sz w:val="22"/>
        </w:rPr>
        <w:t>M,</w:t>
      </w:r>
      <w:r>
        <w:rPr>
          <w:spacing w:val="40"/>
          <w:sz w:val="22"/>
        </w:rPr>
        <w:t> </w:t>
      </w:r>
      <w:r>
        <w:rPr>
          <w:sz w:val="22"/>
        </w:rPr>
        <w:t>Cappagli</w:t>
      </w:r>
      <w:r>
        <w:rPr>
          <w:spacing w:val="40"/>
          <w:sz w:val="22"/>
        </w:rPr>
        <w:t> </w:t>
      </w:r>
      <w:r>
        <w:rPr>
          <w:sz w:val="22"/>
        </w:rPr>
        <w:t>B,</w:t>
      </w:r>
      <w:r>
        <w:rPr>
          <w:spacing w:val="40"/>
          <w:sz w:val="22"/>
        </w:rPr>
        <w:t> </w:t>
      </w:r>
      <w:r>
        <w:rPr>
          <w:sz w:val="22"/>
        </w:rPr>
        <w:t>De</w:t>
      </w:r>
      <w:r>
        <w:rPr>
          <w:spacing w:val="40"/>
          <w:sz w:val="22"/>
        </w:rPr>
        <w:t> </w:t>
      </w:r>
      <w:r>
        <w:rPr>
          <w:sz w:val="22"/>
        </w:rPr>
        <w:t>Simone</w:t>
      </w:r>
      <w:r>
        <w:rPr>
          <w:spacing w:val="40"/>
          <w:sz w:val="22"/>
        </w:rPr>
        <w:t> </w:t>
      </w:r>
      <w:r>
        <w:rPr>
          <w:sz w:val="22"/>
        </w:rPr>
        <w:t>L,</w:t>
      </w:r>
      <w:r>
        <w:rPr>
          <w:spacing w:val="40"/>
          <w:sz w:val="22"/>
        </w:rPr>
        <w:t> </w:t>
      </w:r>
      <w:r>
        <w:rPr>
          <w:sz w:val="22"/>
        </w:rPr>
        <w:t>Orlandi</w:t>
      </w:r>
      <w:r>
        <w:rPr>
          <w:spacing w:val="40"/>
          <w:sz w:val="22"/>
        </w:rPr>
        <w:t> </w:t>
      </w:r>
      <w:r>
        <w:rPr>
          <w:sz w:val="22"/>
        </w:rPr>
        <w:t>R,</w:t>
      </w:r>
      <w:r>
        <w:rPr>
          <w:spacing w:val="40"/>
          <w:sz w:val="22"/>
        </w:rPr>
        <w:t> </w:t>
      </w:r>
      <w:r>
        <w:rPr>
          <w:sz w:val="22"/>
        </w:rPr>
        <w:t>Genazzani</w:t>
      </w:r>
      <w:r>
        <w:rPr>
          <w:spacing w:val="40"/>
          <w:sz w:val="22"/>
        </w:rPr>
        <w:t> </w:t>
      </w:r>
      <w:r>
        <w:rPr>
          <w:sz w:val="22"/>
        </w:rPr>
        <w:t>AR. Prospective evaluation of body weight and body fat distribution in early postmenopausal</w:t>
      </w:r>
      <w:r>
        <w:rPr>
          <w:spacing w:val="80"/>
          <w:sz w:val="22"/>
        </w:rPr>
        <w:t> </w:t>
      </w:r>
      <w:r>
        <w:rPr>
          <w:sz w:val="22"/>
        </w:rPr>
        <w:t>women with and without hormonal replacement therapy. </w:t>
      </w:r>
      <w:r>
        <w:rPr>
          <w:i/>
          <w:sz w:val="22"/>
        </w:rPr>
        <w:t>Maturitas</w:t>
      </w:r>
      <w:r>
        <w:rPr>
          <w:sz w:val="22"/>
        </w:rPr>
        <w:t>. 2001;39:125.</w:t>
      </w:r>
    </w:p>
    <w:p>
      <w:pPr>
        <w:spacing w:line="256" w:lineRule="auto" w:before="0"/>
        <w:ind w:left="718" w:right="99" w:hanging="619"/>
        <w:jc w:val="both"/>
        <w:rPr>
          <w:sz w:val="22"/>
        </w:rPr>
      </w:pPr>
      <w:r>
        <w:rPr>
          <w:sz w:val="22"/>
        </w:rPr>
        <w:t>1172.</w:t>
      </w:r>
      <w:r>
        <w:rPr>
          <w:spacing w:val="40"/>
          <w:sz w:val="22"/>
        </w:rPr>
        <w:t> </w:t>
      </w:r>
      <w:r>
        <w:rPr>
          <w:sz w:val="22"/>
        </w:rPr>
        <w:t>Jensen LB, Vestergaard P, Hermann AP, et al. Hormone replacement therapy dissociates fat</w:t>
      </w:r>
      <w:r>
        <w:rPr>
          <w:spacing w:val="40"/>
          <w:sz w:val="22"/>
        </w:rPr>
        <w:t> </w:t>
      </w:r>
      <w:r>
        <w:rPr>
          <w:sz w:val="22"/>
        </w:rPr>
        <w:t>mass and bone mass, and tends to reduce weight gain in early postmenopausal women: a randomized, controlled 5-year clinical trial of the Danish Osteoporosis Prevention Study. </w:t>
      </w:r>
      <w:r>
        <w:rPr>
          <w:i/>
          <w:sz w:val="22"/>
        </w:rPr>
        <w:t>J</w:t>
      </w:r>
      <w:r>
        <w:rPr>
          <w:i/>
          <w:spacing w:val="80"/>
          <w:sz w:val="22"/>
        </w:rPr>
        <w:t> </w:t>
      </w:r>
      <w:r>
        <w:rPr>
          <w:i/>
          <w:sz w:val="22"/>
        </w:rPr>
        <w:t>Bone Miner Res</w:t>
      </w:r>
      <w:r>
        <w:rPr>
          <w:sz w:val="22"/>
        </w:rPr>
        <w:t>. 2003;18:333.</w:t>
      </w:r>
    </w:p>
    <w:p>
      <w:pPr>
        <w:spacing w:line="250" w:lineRule="exact" w:before="0"/>
        <w:ind w:left="99" w:right="0" w:firstLine="0"/>
        <w:jc w:val="both"/>
        <w:rPr>
          <w:sz w:val="22"/>
        </w:rPr>
      </w:pPr>
      <w:r>
        <w:rPr>
          <w:sz w:val="22"/>
        </w:rPr>
        <w:t>1173.</w:t>
      </w:r>
      <w:r>
        <w:rPr>
          <w:spacing w:val="61"/>
          <w:sz w:val="22"/>
        </w:rPr>
        <w:t> </w:t>
      </w:r>
      <w:r>
        <w:rPr>
          <w:sz w:val="22"/>
        </w:rPr>
        <w:t>Chen</w:t>
      </w:r>
      <w:r>
        <w:rPr>
          <w:spacing w:val="14"/>
          <w:sz w:val="22"/>
        </w:rPr>
        <w:t> </w:t>
      </w:r>
      <w:r>
        <w:rPr>
          <w:sz w:val="22"/>
        </w:rPr>
        <w:t>Z,</w:t>
      </w:r>
      <w:r>
        <w:rPr>
          <w:spacing w:val="14"/>
          <w:sz w:val="22"/>
        </w:rPr>
        <w:t> </w:t>
      </w:r>
      <w:r>
        <w:rPr>
          <w:sz w:val="22"/>
        </w:rPr>
        <w:t>Bassford</w:t>
      </w:r>
      <w:r>
        <w:rPr>
          <w:spacing w:val="13"/>
          <w:sz w:val="22"/>
        </w:rPr>
        <w:t> </w:t>
      </w:r>
      <w:r>
        <w:rPr>
          <w:sz w:val="22"/>
        </w:rPr>
        <w:t>T,</w:t>
      </w:r>
      <w:r>
        <w:rPr>
          <w:spacing w:val="14"/>
          <w:sz w:val="22"/>
        </w:rPr>
        <w:t> </w:t>
      </w:r>
      <w:r>
        <w:rPr>
          <w:sz w:val="22"/>
        </w:rPr>
        <w:t>Green</w:t>
      </w:r>
      <w:r>
        <w:rPr>
          <w:spacing w:val="13"/>
          <w:sz w:val="22"/>
        </w:rPr>
        <w:t> </w:t>
      </w:r>
      <w:r>
        <w:rPr>
          <w:sz w:val="22"/>
        </w:rPr>
        <w:t>SB,</w:t>
      </w:r>
      <w:r>
        <w:rPr>
          <w:spacing w:val="14"/>
          <w:sz w:val="22"/>
        </w:rPr>
        <w:t> </w:t>
      </w:r>
      <w:r>
        <w:rPr>
          <w:sz w:val="22"/>
        </w:rPr>
        <w:t>et</w:t>
      </w:r>
      <w:r>
        <w:rPr>
          <w:spacing w:val="13"/>
          <w:sz w:val="22"/>
        </w:rPr>
        <w:t> </w:t>
      </w:r>
      <w:r>
        <w:rPr>
          <w:sz w:val="22"/>
        </w:rPr>
        <w:t>al.</w:t>
      </w:r>
      <w:r>
        <w:rPr>
          <w:spacing w:val="14"/>
          <w:sz w:val="22"/>
        </w:rPr>
        <w:t> </w:t>
      </w:r>
      <w:r>
        <w:rPr>
          <w:sz w:val="22"/>
        </w:rPr>
        <w:t>Postmenopausal</w:t>
      </w:r>
      <w:r>
        <w:rPr>
          <w:spacing w:val="18"/>
          <w:sz w:val="22"/>
        </w:rPr>
        <w:t> </w:t>
      </w:r>
      <w:r>
        <w:rPr>
          <w:sz w:val="22"/>
        </w:rPr>
        <w:t>hormone</w:t>
      </w:r>
      <w:r>
        <w:rPr>
          <w:spacing w:val="18"/>
          <w:sz w:val="22"/>
        </w:rPr>
        <w:t> </w:t>
      </w:r>
      <w:r>
        <w:rPr>
          <w:sz w:val="22"/>
        </w:rPr>
        <w:t>therapy</w:t>
      </w:r>
      <w:r>
        <w:rPr>
          <w:spacing w:val="18"/>
          <w:sz w:val="22"/>
        </w:rPr>
        <w:t> </w:t>
      </w:r>
      <w:r>
        <w:rPr>
          <w:sz w:val="22"/>
        </w:rPr>
        <w:t>and</w:t>
      </w:r>
      <w:r>
        <w:rPr>
          <w:spacing w:val="18"/>
          <w:sz w:val="22"/>
        </w:rPr>
        <w:t> </w:t>
      </w:r>
      <w:r>
        <w:rPr>
          <w:sz w:val="22"/>
        </w:rPr>
        <w:t>body</w:t>
      </w:r>
      <w:r>
        <w:rPr>
          <w:spacing w:val="18"/>
          <w:sz w:val="22"/>
        </w:rPr>
        <w:t> </w:t>
      </w:r>
      <w:r>
        <w:rPr>
          <w:spacing w:val="-2"/>
          <w:sz w:val="22"/>
        </w:rPr>
        <w:t>composition</w:t>
      </w:r>
    </w:p>
    <w:p>
      <w:pPr>
        <w:spacing w:line="256" w:lineRule="auto" w:before="0"/>
        <w:ind w:left="718" w:right="99" w:firstLine="0"/>
        <w:jc w:val="both"/>
        <w:rPr>
          <w:sz w:val="22"/>
        </w:rPr>
      </w:pPr>
      <w:r>
        <w:rPr>
          <w:sz w:val="22"/>
        </w:rPr>
        <w:t>—a substudy of the estrogen plus progestin trial of the Women’s Health Initiative. </w:t>
      </w:r>
      <w:r>
        <w:rPr>
          <w:i/>
          <w:sz w:val="22"/>
        </w:rPr>
        <w:t>Am J </w:t>
      </w:r>
      <w:r>
        <w:rPr>
          <w:i/>
          <w:sz w:val="22"/>
        </w:rPr>
        <w:t>Clin</w:t>
      </w:r>
      <w:r>
        <w:rPr>
          <w:i/>
          <w:sz w:val="22"/>
        </w:rPr>
        <w:t> Nutr</w:t>
      </w:r>
      <w:r>
        <w:rPr>
          <w:sz w:val="22"/>
        </w:rPr>
        <w:t>. 2005;82:651.</w:t>
      </w:r>
    </w:p>
    <w:p>
      <w:pPr>
        <w:spacing w:line="256" w:lineRule="auto" w:before="0"/>
        <w:ind w:left="718" w:right="101" w:hanging="619"/>
        <w:jc w:val="both"/>
        <w:rPr>
          <w:sz w:val="22"/>
        </w:rPr>
      </w:pPr>
      <w:r>
        <w:rPr>
          <w:sz w:val="22"/>
        </w:rPr>
        <w:t>1174. Arabi A, Garnero P, Porcher R, Pelissier C, Benhamou CL, Roux C. Changes in body composition during post-menopausal hormone therapy: a 2 year prospective study. </w:t>
      </w:r>
      <w:r>
        <w:rPr>
          <w:i/>
          <w:sz w:val="22"/>
        </w:rPr>
        <w:t>Hum</w:t>
      </w:r>
      <w:r>
        <w:rPr>
          <w:i/>
          <w:spacing w:val="80"/>
          <w:sz w:val="22"/>
        </w:rPr>
        <w:t> </w:t>
      </w:r>
      <w:r>
        <w:rPr>
          <w:i/>
          <w:sz w:val="22"/>
        </w:rPr>
        <w:t>Reprod</w:t>
      </w:r>
      <w:r>
        <w:rPr>
          <w:sz w:val="22"/>
        </w:rPr>
        <w:t>. 2003;18:1747.</w:t>
      </w:r>
    </w:p>
    <w:p>
      <w:pPr>
        <w:spacing w:after="0" w:line="256" w:lineRule="auto"/>
        <w:jc w:val="both"/>
        <w:rPr>
          <w:sz w:val="22"/>
        </w:rPr>
        <w:sectPr>
          <w:pgSz w:w="12240" w:h="15840"/>
          <w:pgMar w:top="1360" w:bottom="280" w:left="1440" w:right="1440"/>
        </w:sectPr>
      </w:pPr>
    </w:p>
    <w:p>
      <w:pPr>
        <w:spacing w:before="84"/>
        <w:ind w:left="99" w:right="0" w:firstLine="0"/>
        <w:jc w:val="both"/>
        <w:rPr>
          <w:sz w:val="22"/>
        </w:rPr>
      </w:pPr>
      <w:r>
        <w:rPr>
          <w:sz w:val="22"/>
        </w:rPr>
        <w:t>1175.</w:t>
      </w:r>
      <w:r>
        <w:rPr>
          <w:spacing w:val="64"/>
          <w:sz w:val="22"/>
        </w:rPr>
        <w:t> </w:t>
      </w:r>
      <w:r>
        <w:rPr>
          <w:sz w:val="22"/>
        </w:rPr>
        <w:t>Creasman</w:t>
      </w:r>
      <w:r>
        <w:rPr>
          <w:spacing w:val="10"/>
          <w:sz w:val="22"/>
        </w:rPr>
        <w:t> </w:t>
      </w:r>
      <w:r>
        <w:rPr>
          <w:sz w:val="22"/>
        </w:rPr>
        <w:t>WT.</w:t>
      </w:r>
      <w:r>
        <w:rPr>
          <w:spacing w:val="10"/>
          <w:sz w:val="22"/>
        </w:rPr>
        <w:t> </w:t>
      </w:r>
      <w:r>
        <w:rPr>
          <w:sz w:val="22"/>
        </w:rPr>
        <w:t>Estrogen</w:t>
      </w:r>
      <w:r>
        <w:rPr>
          <w:spacing w:val="15"/>
          <w:sz w:val="22"/>
        </w:rPr>
        <w:t> </w:t>
      </w:r>
      <w:r>
        <w:rPr>
          <w:sz w:val="22"/>
        </w:rPr>
        <w:t>replacement</w:t>
      </w:r>
      <w:r>
        <w:rPr>
          <w:spacing w:val="15"/>
          <w:sz w:val="22"/>
        </w:rPr>
        <w:t> </w:t>
      </w:r>
      <w:r>
        <w:rPr>
          <w:sz w:val="22"/>
        </w:rPr>
        <w:t>therapy:</w:t>
      </w:r>
      <w:r>
        <w:rPr>
          <w:spacing w:val="16"/>
          <w:sz w:val="22"/>
        </w:rPr>
        <w:t> </w:t>
      </w:r>
      <w:r>
        <w:rPr>
          <w:sz w:val="22"/>
        </w:rPr>
        <w:t>is</w:t>
      </w:r>
      <w:r>
        <w:rPr>
          <w:spacing w:val="15"/>
          <w:sz w:val="22"/>
        </w:rPr>
        <w:t> </w:t>
      </w:r>
      <w:r>
        <w:rPr>
          <w:sz w:val="22"/>
        </w:rPr>
        <w:t>previously</w:t>
      </w:r>
      <w:r>
        <w:rPr>
          <w:spacing w:val="15"/>
          <w:sz w:val="22"/>
        </w:rPr>
        <w:t> </w:t>
      </w:r>
      <w:r>
        <w:rPr>
          <w:sz w:val="22"/>
        </w:rPr>
        <w:t>treated</w:t>
      </w:r>
      <w:r>
        <w:rPr>
          <w:spacing w:val="16"/>
          <w:sz w:val="22"/>
        </w:rPr>
        <w:t> </w:t>
      </w:r>
      <w:r>
        <w:rPr>
          <w:sz w:val="22"/>
        </w:rPr>
        <w:t>cancer</w:t>
      </w:r>
      <w:r>
        <w:rPr>
          <w:spacing w:val="15"/>
          <w:sz w:val="22"/>
        </w:rPr>
        <w:t> </w:t>
      </w:r>
      <w:r>
        <w:rPr>
          <w:sz w:val="22"/>
        </w:rPr>
        <w:t>a</w:t>
      </w:r>
      <w:r>
        <w:rPr>
          <w:spacing w:val="15"/>
          <w:sz w:val="22"/>
        </w:rPr>
        <w:t> </w:t>
      </w:r>
      <w:r>
        <w:rPr>
          <w:spacing w:val="-2"/>
          <w:sz w:val="22"/>
        </w:rPr>
        <w:t>contraindication?.</w:t>
      </w:r>
    </w:p>
    <w:p>
      <w:pPr>
        <w:spacing w:before="17"/>
        <w:ind w:left="718" w:right="0" w:firstLine="0"/>
        <w:jc w:val="both"/>
        <w:rPr>
          <w:sz w:val="22"/>
        </w:rPr>
      </w:pPr>
      <w:r>
        <w:rPr>
          <w:i/>
          <w:sz w:val="22"/>
        </w:rPr>
        <w:t>Obstet</w:t>
      </w:r>
      <w:r>
        <w:rPr>
          <w:i/>
          <w:spacing w:val="14"/>
          <w:sz w:val="22"/>
        </w:rPr>
        <w:t> </w:t>
      </w:r>
      <w:r>
        <w:rPr>
          <w:i/>
          <w:sz w:val="22"/>
        </w:rPr>
        <w:t>Gynecol</w:t>
      </w:r>
      <w:r>
        <w:rPr>
          <w:sz w:val="22"/>
        </w:rPr>
        <w:t>.</w:t>
      </w:r>
      <w:r>
        <w:rPr>
          <w:spacing w:val="14"/>
          <w:sz w:val="22"/>
        </w:rPr>
        <w:t> </w:t>
      </w:r>
      <w:r>
        <w:rPr>
          <w:spacing w:val="-2"/>
          <w:sz w:val="22"/>
        </w:rPr>
        <w:t>1991;77:308.</w:t>
      </w:r>
    </w:p>
    <w:p>
      <w:pPr>
        <w:spacing w:line="256" w:lineRule="auto" w:before="17"/>
        <w:ind w:left="718" w:right="105" w:hanging="619"/>
        <w:jc w:val="both"/>
        <w:rPr>
          <w:sz w:val="22"/>
        </w:rPr>
      </w:pPr>
      <w:r>
        <w:rPr>
          <w:sz w:val="22"/>
        </w:rPr>
        <w:t>1176. Lee RB, Burke TW, Park RC. Estrogen replacement therapy following treatment for stage 1 endometrial carcinoma. </w:t>
      </w:r>
      <w:r>
        <w:rPr>
          <w:i/>
          <w:sz w:val="22"/>
        </w:rPr>
        <w:t>Gynecol Oncol</w:t>
      </w:r>
      <w:r>
        <w:rPr>
          <w:sz w:val="22"/>
        </w:rPr>
        <w:t>. 1990;36:189.</w:t>
      </w:r>
    </w:p>
    <w:p>
      <w:pPr>
        <w:spacing w:line="252" w:lineRule="exact" w:before="0"/>
        <w:ind w:left="99" w:right="0" w:firstLine="0"/>
        <w:jc w:val="both"/>
        <w:rPr>
          <w:sz w:val="22"/>
        </w:rPr>
      </w:pPr>
      <w:r>
        <w:rPr>
          <w:sz w:val="22"/>
        </w:rPr>
        <w:t>1177.</w:t>
      </w:r>
      <w:r>
        <w:rPr>
          <w:spacing w:val="59"/>
          <w:sz w:val="22"/>
        </w:rPr>
        <w:t> </w:t>
      </w:r>
      <w:r>
        <w:rPr>
          <w:sz w:val="22"/>
        </w:rPr>
        <w:t>Baker</w:t>
      </w:r>
      <w:r>
        <w:rPr>
          <w:spacing w:val="57"/>
          <w:sz w:val="22"/>
        </w:rPr>
        <w:t> </w:t>
      </w:r>
      <w:r>
        <w:rPr>
          <w:sz w:val="22"/>
        </w:rPr>
        <w:t>DP.</w:t>
      </w:r>
      <w:r>
        <w:rPr>
          <w:spacing w:val="56"/>
          <w:sz w:val="22"/>
        </w:rPr>
        <w:t> </w:t>
      </w:r>
      <w:r>
        <w:rPr>
          <w:sz w:val="22"/>
        </w:rPr>
        <w:t>Estrogen-replacement</w:t>
      </w:r>
      <w:r>
        <w:rPr>
          <w:spacing w:val="59"/>
          <w:sz w:val="22"/>
        </w:rPr>
        <w:t> </w:t>
      </w:r>
      <w:r>
        <w:rPr>
          <w:sz w:val="22"/>
        </w:rPr>
        <w:t>therapy</w:t>
      </w:r>
      <w:r>
        <w:rPr>
          <w:spacing w:val="58"/>
          <w:sz w:val="22"/>
        </w:rPr>
        <w:t> </w:t>
      </w:r>
      <w:r>
        <w:rPr>
          <w:sz w:val="22"/>
        </w:rPr>
        <w:t>in</w:t>
      </w:r>
      <w:r>
        <w:rPr>
          <w:spacing w:val="59"/>
          <w:sz w:val="22"/>
        </w:rPr>
        <w:t> </w:t>
      </w:r>
      <w:r>
        <w:rPr>
          <w:sz w:val="22"/>
        </w:rPr>
        <w:t>patients</w:t>
      </w:r>
      <w:r>
        <w:rPr>
          <w:spacing w:val="59"/>
          <w:sz w:val="22"/>
        </w:rPr>
        <w:t> </w:t>
      </w:r>
      <w:r>
        <w:rPr>
          <w:sz w:val="22"/>
        </w:rPr>
        <w:t>with</w:t>
      </w:r>
      <w:r>
        <w:rPr>
          <w:spacing w:val="58"/>
          <w:sz w:val="22"/>
        </w:rPr>
        <w:t> </w:t>
      </w:r>
      <w:r>
        <w:rPr>
          <w:sz w:val="22"/>
        </w:rPr>
        <w:t>previous</w:t>
      </w:r>
      <w:r>
        <w:rPr>
          <w:spacing w:val="59"/>
          <w:sz w:val="22"/>
        </w:rPr>
        <w:t> </w:t>
      </w:r>
      <w:r>
        <w:rPr>
          <w:sz w:val="22"/>
        </w:rPr>
        <w:t>endometrial</w:t>
      </w:r>
      <w:r>
        <w:rPr>
          <w:spacing w:val="59"/>
          <w:sz w:val="22"/>
        </w:rPr>
        <w:t> </w:t>
      </w:r>
      <w:r>
        <w:rPr>
          <w:spacing w:val="-2"/>
          <w:sz w:val="22"/>
        </w:rPr>
        <w:t>carcinoma.</w:t>
      </w:r>
    </w:p>
    <w:p>
      <w:pPr>
        <w:spacing w:before="17"/>
        <w:ind w:left="718" w:right="0" w:firstLine="0"/>
        <w:jc w:val="both"/>
        <w:rPr>
          <w:sz w:val="22"/>
        </w:rPr>
      </w:pPr>
      <w:r>
        <w:rPr>
          <w:i/>
          <w:sz w:val="22"/>
        </w:rPr>
        <w:t>Compr</w:t>
      </w:r>
      <w:r>
        <w:rPr>
          <w:i/>
          <w:spacing w:val="11"/>
          <w:sz w:val="22"/>
        </w:rPr>
        <w:t> </w:t>
      </w:r>
      <w:r>
        <w:rPr>
          <w:i/>
          <w:sz w:val="22"/>
        </w:rPr>
        <w:t>Ther</w:t>
      </w:r>
      <w:r>
        <w:rPr>
          <w:sz w:val="22"/>
        </w:rPr>
        <w:t>.</w:t>
      </w:r>
      <w:r>
        <w:rPr>
          <w:spacing w:val="11"/>
          <w:sz w:val="22"/>
        </w:rPr>
        <w:t> </w:t>
      </w:r>
      <w:r>
        <w:rPr>
          <w:spacing w:val="-2"/>
          <w:sz w:val="22"/>
        </w:rPr>
        <w:t>1990;16:28.</w:t>
      </w:r>
    </w:p>
    <w:p>
      <w:pPr>
        <w:spacing w:line="256" w:lineRule="auto" w:before="17"/>
        <w:ind w:left="718" w:right="100" w:hanging="619"/>
        <w:jc w:val="both"/>
        <w:rPr>
          <w:sz w:val="22"/>
        </w:rPr>
      </w:pPr>
      <w:r>
        <w:rPr>
          <w:sz w:val="22"/>
        </w:rPr>
        <w:t>1178.</w:t>
      </w:r>
      <w:r>
        <w:rPr>
          <w:spacing w:val="40"/>
          <w:sz w:val="22"/>
        </w:rPr>
        <w:t> </w:t>
      </w:r>
      <w:r>
        <w:rPr>
          <w:sz w:val="22"/>
        </w:rPr>
        <w:t>Chapman</w:t>
      </w:r>
      <w:r>
        <w:rPr>
          <w:spacing w:val="21"/>
          <w:sz w:val="22"/>
        </w:rPr>
        <w:t> </w:t>
      </w:r>
      <w:r>
        <w:rPr>
          <w:sz w:val="22"/>
        </w:rPr>
        <w:t>JA,</w:t>
      </w:r>
      <w:r>
        <w:rPr>
          <w:spacing w:val="21"/>
          <w:sz w:val="22"/>
        </w:rPr>
        <w:t> </w:t>
      </w:r>
      <w:r>
        <w:rPr>
          <w:sz w:val="22"/>
        </w:rPr>
        <w:t>DiSaia</w:t>
      </w:r>
      <w:r>
        <w:rPr>
          <w:spacing w:val="21"/>
          <w:sz w:val="22"/>
        </w:rPr>
        <w:t> </w:t>
      </w:r>
      <w:r>
        <w:rPr>
          <w:sz w:val="22"/>
        </w:rPr>
        <w:t>PJ,</w:t>
      </w:r>
      <w:r>
        <w:rPr>
          <w:spacing w:val="21"/>
          <w:sz w:val="22"/>
        </w:rPr>
        <w:t> </w:t>
      </w:r>
      <w:r>
        <w:rPr>
          <w:sz w:val="22"/>
        </w:rPr>
        <w:t>Osann</w:t>
      </w:r>
      <w:r>
        <w:rPr>
          <w:spacing w:val="21"/>
          <w:sz w:val="22"/>
        </w:rPr>
        <w:t> </w:t>
      </w:r>
      <w:r>
        <w:rPr>
          <w:sz w:val="22"/>
        </w:rPr>
        <w:t>K,</w:t>
      </w:r>
      <w:r>
        <w:rPr>
          <w:spacing w:val="21"/>
          <w:sz w:val="22"/>
        </w:rPr>
        <w:t> </w:t>
      </w:r>
      <w:r>
        <w:rPr>
          <w:sz w:val="22"/>
        </w:rPr>
        <w:t>Roth</w:t>
      </w:r>
      <w:r>
        <w:rPr>
          <w:spacing w:val="21"/>
          <w:sz w:val="22"/>
        </w:rPr>
        <w:t> </w:t>
      </w:r>
      <w:r>
        <w:rPr>
          <w:sz w:val="22"/>
        </w:rPr>
        <w:t>PD,</w:t>
      </w:r>
      <w:r>
        <w:rPr>
          <w:spacing w:val="21"/>
          <w:sz w:val="22"/>
        </w:rPr>
        <w:t> </w:t>
      </w:r>
      <w:r>
        <w:rPr>
          <w:sz w:val="22"/>
        </w:rPr>
        <w:t>Gillotte</w:t>
      </w:r>
      <w:r>
        <w:rPr>
          <w:spacing w:val="21"/>
          <w:sz w:val="22"/>
        </w:rPr>
        <w:t> </w:t>
      </w:r>
      <w:r>
        <w:rPr>
          <w:sz w:val="22"/>
        </w:rPr>
        <w:t>DL,</w:t>
      </w:r>
      <w:r>
        <w:rPr>
          <w:spacing w:val="21"/>
          <w:sz w:val="22"/>
        </w:rPr>
        <w:t> </w:t>
      </w:r>
      <w:r>
        <w:rPr>
          <w:sz w:val="22"/>
        </w:rPr>
        <w:t>Berman</w:t>
      </w:r>
      <w:r>
        <w:rPr>
          <w:spacing w:val="21"/>
          <w:sz w:val="22"/>
        </w:rPr>
        <w:t> </w:t>
      </w:r>
      <w:r>
        <w:rPr>
          <w:sz w:val="22"/>
        </w:rPr>
        <w:t>ML.</w:t>
      </w:r>
      <w:r>
        <w:rPr>
          <w:spacing w:val="21"/>
          <w:sz w:val="22"/>
        </w:rPr>
        <w:t> </w:t>
      </w:r>
      <w:r>
        <w:rPr>
          <w:sz w:val="22"/>
        </w:rPr>
        <w:t>Estrogen</w:t>
      </w:r>
      <w:r>
        <w:rPr>
          <w:spacing w:val="26"/>
          <w:sz w:val="22"/>
        </w:rPr>
        <w:t> </w:t>
      </w:r>
      <w:r>
        <w:rPr>
          <w:sz w:val="22"/>
        </w:rPr>
        <w:t>replacement in surgical stage I and II endometrial cancer survivors. </w:t>
      </w:r>
      <w:r>
        <w:rPr>
          <w:i/>
          <w:sz w:val="22"/>
        </w:rPr>
        <w:t>Am J Obstet Gynecol</w:t>
      </w:r>
      <w:r>
        <w:rPr>
          <w:sz w:val="22"/>
        </w:rPr>
        <w:t>. 1996;175:1195.</w:t>
      </w:r>
    </w:p>
    <w:p>
      <w:pPr>
        <w:spacing w:line="256" w:lineRule="auto" w:before="0"/>
        <w:ind w:left="718" w:right="101" w:hanging="619"/>
        <w:jc w:val="both"/>
        <w:rPr>
          <w:sz w:val="22"/>
        </w:rPr>
      </w:pPr>
      <w:r>
        <w:rPr>
          <w:sz w:val="22"/>
        </w:rPr>
        <w:t>1179.</w:t>
      </w:r>
      <w:r>
        <w:rPr>
          <w:spacing w:val="40"/>
          <w:sz w:val="22"/>
        </w:rPr>
        <w:t> </w:t>
      </w:r>
      <w:r>
        <w:rPr>
          <w:sz w:val="22"/>
        </w:rPr>
        <w:t>Suriano</w:t>
      </w:r>
      <w:r>
        <w:rPr>
          <w:spacing w:val="17"/>
          <w:sz w:val="22"/>
        </w:rPr>
        <w:t> </w:t>
      </w:r>
      <w:r>
        <w:rPr>
          <w:sz w:val="22"/>
        </w:rPr>
        <w:t>KA,</w:t>
      </w:r>
      <w:r>
        <w:rPr>
          <w:spacing w:val="17"/>
          <w:sz w:val="22"/>
        </w:rPr>
        <w:t> </w:t>
      </w:r>
      <w:r>
        <w:rPr>
          <w:sz w:val="22"/>
        </w:rPr>
        <w:t>McHale</w:t>
      </w:r>
      <w:r>
        <w:rPr>
          <w:spacing w:val="17"/>
          <w:sz w:val="22"/>
        </w:rPr>
        <w:t> </w:t>
      </w:r>
      <w:r>
        <w:rPr>
          <w:sz w:val="22"/>
        </w:rPr>
        <w:t>M,</w:t>
      </w:r>
      <w:r>
        <w:rPr>
          <w:spacing w:val="17"/>
          <w:sz w:val="22"/>
        </w:rPr>
        <w:t> </w:t>
      </w:r>
      <w:r>
        <w:rPr>
          <w:sz w:val="22"/>
        </w:rPr>
        <w:t>McLaren</w:t>
      </w:r>
      <w:r>
        <w:rPr>
          <w:spacing w:val="17"/>
          <w:sz w:val="22"/>
        </w:rPr>
        <w:t> </w:t>
      </w:r>
      <w:r>
        <w:rPr>
          <w:sz w:val="22"/>
        </w:rPr>
        <w:t>C,</w:t>
      </w:r>
      <w:r>
        <w:rPr>
          <w:spacing w:val="17"/>
          <w:sz w:val="22"/>
        </w:rPr>
        <w:t> </w:t>
      </w:r>
      <w:r>
        <w:rPr>
          <w:sz w:val="22"/>
        </w:rPr>
        <w:t>Li</w:t>
      </w:r>
      <w:r>
        <w:rPr>
          <w:spacing w:val="17"/>
          <w:sz w:val="22"/>
        </w:rPr>
        <w:t> </w:t>
      </w:r>
      <w:r>
        <w:rPr>
          <w:sz w:val="22"/>
        </w:rPr>
        <w:t>K-T,</w:t>
      </w:r>
      <w:r>
        <w:rPr>
          <w:spacing w:val="17"/>
          <w:sz w:val="22"/>
        </w:rPr>
        <w:t> </w:t>
      </w:r>
      <w:r>
        <w:rPr>
          <w:sz w:val="22"/>
        </w:rPr>
        <w:t>Re</w:t>
      </w:r>
      <w:r>
        <w:rPr>
          <w:spacing w:val="17"/>
          <w:sz w:val="22"/>
        </w:rPr>
        <w:t> </w:t>
      </w:r>
      <w:r>
        <w:rPr>
          <w:sz w:val="22"/>
        </w:rPr>
        <w:t>A,</w:t>
      </w:r>
      <w:r>
        <w:rPr>
          <w:spacing w:val="17"/>
          <w:sz w:val="22"/>
        </w:rPr>
        <w:t> </w:t>
      </w:r>
      <w:r>
        <w:rPr>
          <w:sz w:val="22"/>
        </w:rPr>
        <w:t>DiSaia</w:t>
      </w:r>
      <w:r>
        <w:rPr>
          <w:spacing w:val="17"/>
          <w:sz w:val="22"/>
        </w:rPr>
        <w:t> </w:t>
      </w:r>
      <w:r>
        <w:rPr>
          <w:sz w:val="22"/>
        </w:rPr>
        <w:t>PJ.</w:t>
      </w:r>
      <w:r>
        <w:rPr>
          <w:spacing w:val="16"/>
          <w:sz w:val="22"/>
        </w:rPr>
        <w:t> </w:t>
      </w:r>
      <w:r>
        <w:rPr>
          <w:sz w:val="22"/>
        </w:rPr>
        <w:t>Estrogen</w:t>
      </w:r>
      <w:r>
        <w:rPr>
          <w:spacing w:val="24"/>
          <w:sz w:val="22"/>
        </w:rPr>
        <w:t> </w:t>
      </w:r>
      <w:r>
        <w:rPr>
          <w:sz w:val="22"/>
        </w:rPr>
        <w:t>replacement</w:t>
      </w:r>
      <w:r>
        <w:rPr>
          <w:spacing w:val="24"/>
          <w:sz w:val="22"/>
        </w:rPr>
        <w:t> </w:t>
      </w:r>
      <w:r>
        <w:rPr>
          <w:sz w:val="22"/>
        </w:rPr>
        <w:t>therapy in endometrial cancer patients: a matched cohort study. </w:t>
      </w:r>
      <w:r>
        <w:rPr>
          <w:i/>
          <w:sz w:val="22"/>
        </w:rPr>
        <w:t>Obstet Gynecol</w:t>
      </w:r>
      <w:r>
        <w:rPr>
          <w:sz w:val="22"/>
        </w:rPr>
        <w:t>. 2001;97:555.</w:t>
      </w:r>
    </w:p>
    <w:p>
      <w:pPr>
        <w:spacing w:line="256" w:lineRule="auto" w:before="0"/>
        <w:ind w:left="718" w:right="99" w:hanging="619"/>
        <w:jc w:val="both"/>
        <w:rPr>
          <w:sz w:val="22"/>
        </w:rPr>
      </w:pPr>
      <w:r>
        <w:rPr>
          <w:sz w:val="22"/>
        </w:rPr>
        <w:t>1180.</w:t>
      </w:r>
      <w:r>
        <w:rPr>
          <w:spacing w:val="40"/>
          <w:sz w:val="22"/>
        </w:rPr>
        <w:t> </w:t>
      </w:r>
      <w:r>
        <w:rPr>
          <w:sz w:val="22"/>
        </w:rPr>
        <w:t>Ayhan</w:t>
      </w:r>
      <w:r>
        <w:rPr>
          <w:spacing w:val="40"/>
          <w:sz w:val="22"/>
        </w:rPr>
        <w:t> </w:t>
      </w:r>
      <w:r>
        <w:rPr>
          <w:sz w:val="22"/>
        </w:rPr>
        <w:t>A,</w:t>
      </w:r>
      <w:r>
        <w:rPr>
          <w:spacing w:val="40"/>
          <w:sz w:val="22"/>
        </w:rPr>
        <w:t> </w:t>
      </w:r>
      <w:r>
        <w:rPr>
          <w:sz w:val="22"/>
        </w:rPr>
        <w:t>Taskiran</w:t>
      </w:r>
      <w:r>
        <w:rPr>
          <w:spacing w:val="40"/>
          <w:sz w:val="22"/>
        </w:rPr>
        <w:t> </w:t>
      </w:r>
      <w:r>
        <w:rPr>
          <w:sz w:val="22"/>
        </w:rPr>
        <w:t>C,</w:t>
      </w:r>
      <w:r>
        <w:rPr>
          <w:spacing w:val="40"/>
          <w:sz w:val="22"/>
        </w:rPr>
        <w:t> </w:t>
      </w:r>
      <w:r>
        <w:rPr>
          <w:sz w:val="22"/>
        </w:rPr>
        <w:t>Simsek</w:t>
      </w:r>
      <w:r>
        <w:rPr>
          <w:spacing w:val="40"/>
          <w:sz w:val="22"/>
        </w:rPr>
        <w:t> </w:t>
      </w:r>
      <w:r>
        <w:rPr>
          <w:sz w:val="22"/>
        </w:rPr>
        <w:t>S,</w:t>
      </w:r>
      <w:r>
        <w:rPr>
          <w:spacing w:val="40"/>
          <w:sz w:val="22"/>
        </w:rPr>
        <w:t> </w:t>
      </w:r>
      <w:r>
        <w:rPr>
          <w:sz w:val="22"/>
        </w:rPr>
        <w:t>Sever</w:t>
      </w:r>
      <w:r>
        <w:rPr>
          <w:spacing w:val="40"/>
          <w:sz w:val="22"/>
        </w:rPr>
        <w:t> </w:t>
      </w:r>
      <w:r>
        <w:rPr>
          <w:sz w:val="22"/>
        </w:rPr>
        <w:t>A.</w:t>
      </w:r>
      <w:r>
        <w:rPr>
          <w:spacing w:val="40"/>
          <w:sz w:val="22"/>
        </w:rPr>
        <w:t> </w:t>
      </w:r>
      <w:r>
        <w:rPr>
          <w:sz w:val="22"/>
        </w:rPr>
        <w:t>Does</w:t>
      </w:r>
      <w:r>
        <w:rPr>
          <w:spacing w:val="40"/>
          <w:sz w:val="22"/>
        </w:rPr>
        <w:t> </w:t>
      </w:r>
      <w:r>
        <w:rPr>
          <w:sz w:val="22"/>
        </w:rPr>
        <w:t>immediate</w:t>
      </w:r>
      <w:r>
        <w:rPr>
          <w:spacing w:val="40"/>
          <w:sz w:val="22"/>
        </w:rPr>
        <w:t> </w:t>
      </w:r>
      <w:r>
        <w:rPr>
          <w:sz w:val="22"/>
        </w:rPr>
        <w:t>hormone</w:t>
      </w:r>
      <w:r>
        <w:rPr>
          <w:spacing w:val="40"/>
          <w:sz w:val="22"/>
        </w:rPr>
        <w:t> </w:t>
      </w:r>
      <w:r>
        <w:rPr>
          <w:sz w:val="22"/>
        </w:rPr>
        <w:t>replacement</w:t>
      </w:r>
      <w:r>
        <w:rPr>
          <w:spacing w:val="40"/>
          <w:sz w:val="22"/>
        </w:rPr>
        <w:t> </w:t>
      </w:r>
      <w:r>
        <w:rPr>
          <w:sz w:val="22"/>
        </w:rPr>
        <w:t>therapy affect the oncologic outcome in endometrial cancer survivors? </w:t>
      </w:r>
      <w:r>
        <w:rPr>
          <w:i/>
          <w:sz w:val="22"/>
        </w:rPr>
        <w:t>Int J Gynecol </w:t>
      </w:r>
      <w:r>
        <w:rPr>
          <w:i/>
          <w:sz w:val="22"/>
        </w:rPr>
        <w:t>Cancer</w:t>
      </w:r>
      <w:r>
        <w:rPr>
          <w:sz w:val="22"/>
        </w:rPr>
        <w:t>. </w:t>
      </w:r>
      <w:r>
        <w:rPr>
          <w:spacing w:val="-2"/>
          <w:sz w:val="22"/>
        </w:rPr>
        <w:t>2006;16:805.</w:t>
      </w:r>
    </w:p>
    <w:p>
      <w:pPr>
        <w:spacing w:line="256" w:lineRule="auto" w:before="0"/>
        <w:ind w:left="718" w:right="105" w:hanging="619"/>
        <w:jc w:val="both"/>
        <w:rPr>
          <w:sz w:val="22"/>
        </w:rPr>
      </w:pPr>
      <w:r>
        <w:rPr>
          <w:sz w:val="22"/>
        </w:rPr>
        <w:t>1181.</w:t>
      </w:r>
      <w:r>
        <w:rPr>
          <w:spacing w:val="40"/>
          <w:sz w:val="22"/>
        </w:rPr>
        <w:t> </w:t>
      </w:r>
      <w:r>
        <w:rPr>
          <w:sz w:val="22"/>
        </w:rPr>
        <w:t>Barakat RR, Bundy BN, Spirtos NM, Bell J, Mannel RS; Gynecologic Oncology Group Study. Randomized double-blind trial of estrogen replacement therapy versus placebo in stage I or </w:t>
      </w:r>
      <w:r>
        <w:rPr>
          <w:sz w:val="22"/>
        </w:rPr>
        <w:t>II endometrial cancer: a Gynecologic Oncology Group Study. </w:t>
      </w:r>
      <w:r>
        <w:rPr>
          <w:i/>
          <w:sz w:val="22"/>
        </w:rPr>
        <w:t>J Clin Oncol</w:t>
      </w:r>
      <w:r>
        <w:rPr>
          <w:sz w:val="22"/>
        </w:rPr>
        <w:t>. 2006;24:587.</w:t>
      </w:r>
    </w:p>
    <w:p>
      <w:pPr>
        <w:spacing w:line="256" w:lineRule="auto" w:before="0"/>
        <w:ind w:left="718" w:right="97" w:hanging="619"/>
        <w:jc w:val="both"/>
        <w:rPr>
          <w:sz w:val="22"/>
        </w:rPr>
      </w:pPr>
      <w:r>
        <w:rPr>
          <w:sz w:val="22"/>
        </w:rPr>
        <w:t>1182. Reimnitz</w:t>
      </w:r>
      <w:r>
        <w:rPr>
          <w:spacing w:val="40"/>
          <w:sz w:val="22"/>
        </w:rPr>
        <w:t> </w:t>
      </w:r>
      <w:r>
        <w:rPr>
          <w:sz w:val="22"/>
        </w:rPr>
        <w:t>C,</w:t>
      </w:r>
      <w:r>
        <w:rPr>
          <w:spacing w:val="40"/>
          <w:sz w:val="22"/>
        </w:rPr>
        <w:t> </w:t>
      </w:r>
      <w:r>
        <w:rPr>
          <w:sz w:val="22"/>
        </w:rPr>
        <w:t>Brand</w:t>
      </w:r>
      <w:r>
        <w:rPr>
          <w:spacing w:val="40"/>
          <w:sz w:val="22"/>
        </w:rPr>
        <w:t> </w:t>
      </w:r>
      <w:r>
        <w:rPr>
          <w:sz w:val="22"/>
        </w:rPr>
        <w:t>E,</w:t>
      </w:r>
      <w:r>
        <w:rPr>
          <w:spacing w:val="40"/>
          <w:sz w:val="22"/>
        </w:rPr>
        <w:t> </w:t>
      </w:r>
      <w:r>
        <w:rPr>
          <w:sz w:val="22"/>
        </w:rPr>
        <w:t>Nieberg</w:t>
      </w:r>
      <w:r>
        <w:rPr>
          <w:spacing w:val="40"/>
          <w:sz w:val="22"/>
        </w:rPr>
        <w:t> </w:t>
      </w:r>
      <w:r>
        <w:rPr>
          <w:sz w:val="22"/>
        </w:rPr>
        <w:t>RK,</w:t>
      </w:r>
      <w:r>
        <w:rPr>
          <w:spacing w:val="40"/>
          <w:sz w:val="22"/>
        </w:rPr>
        <w:t> </w:t>
      </w:r>
      <w:r>
        <w:rPr>
          <w:sz w:val="22"/>
        </w:rPr>
        <w:t>Hacker</w:t>
      </w:r>
      <w:r>
        <w:rPr>
          <w:spacing w:val="40"/>
          <w:sz w:val="22"/>
        </w:rPr>
        <w:t> </w:t>
      </w:r>
      <w:r>
        <w:rPr>
          <w:sz w:val="22"/>
        </w:rPr>
        <w:t>NF.</w:t>
      </w:r>
      <w:r>
        <w:rPr>
          <w:spacing w:val="40"/>
          <w:sz w:val="22"/>
        </w:rPr>
        <w:t> </w:t>
      </w:r>
      <w:r>
        <w:rPr>
          <w:sz w:val="22"/>
        </w:rPr>
        <w:t>Malignancy</w:t>
      </w:r>
      <w:r>
        <w:rPr>
          <w:spacing w:val="40"/>
          <w:sz w:val="22"/>
        </w:rPr>
        <w:t> </w:t>
      </w:r>
      <w:r>
        <w:rPr>
          <w:sz w:val="22"/>
        </w:rPr>
        <w:t>arising</w:t>
      </w:r>
      <w:r>
        <w:rPr>
          <w:spacing w:val="40"/>
          <w:sz w:val="22"/>
        </w:rPr>
        <w:t> </w:t>
      </w:r>
      <w:r>
        <w:rPr>
          <w:sz w:val="22"/>
        </w:rPr>
        <w:t>in</w:t>
      </w:r>
      <w:r>
        <w:rPr>
          <w:spacing w:val="40"/>
          <w:sz w:val="22"/>
        </w:rPr>
        <w:t> </w:t>
      </w:r>
      <w:r>
        <w:rPr>
          <w:sz w:val="22"/>
        </w:rPr>
        <w:t>endometriosis associated with unopposed estrogen replacement. </w:t>
      </w:r>
      <w:r>
        <w:rPr>
          <w:i/>
          <w:sz w:val="22"/>
        </w:rPr>
        <w:t>Obstet Gynecol</w:t>
      </w:r>
      <w:r>
        <w:rPr>
          <w:sz w:val="22"/>
        </w:rPr>
        <w:t>. 1988;71:444.</w:t>
      </w:r>
    </w:p>
    <w:p>
      <w:pPr>
        <w:spacing w:line="256" w:lineRule="auto" w:before="0"/>
        <w:ind w:left="718" w:right="111" w:hanging="619"/>
        <w:jc w:val="both"/>
        <w:rPr>
          <w:sz w:val="22"/>
        </w:rPr>
      </w:pPr>
      <w:r>
        <w:rPr>
          <w:sz w:val="22"/>
        </w:rPr>
        <w:t>1183. Heaps JM, Nieberg RK, Berek JS. Malignant neoplasms arising in endometriosis. </w:t>
      </w:r>
      <w:r>
        <w:rPr>
          <w:i/>
          <w:sz w:val="22"/>
        </w:rPr>
        <w:t>Obstet</w:t>
      </w:r>
      <w:r>
        <w:rPr>
          <w:i/>
          <w:sz w:val="22"/>
        </w:rPr>
        <w:t> Gynecol</w:t>
      </w:r>
      <w:r>
        <w:rPr>
          <w:sz w:val="22"/>
        </w:rPr>
        <w:t>. 1990;75:1023.</w:t>
      </w:r>
    </w:p>
    <w:p>
      <w:pPr>
        <w:spacing w:line="256" w:lineRule="auto" w:before="0"/>
        <w:ind w:left="718" w:right="106" w:hanging="619"/>
        <w:jc w:val="both"/>
        <w:rPr>
          <w:sz w:val="22"/>
        </w:rPr>
      </w:pPr>
      <w:r>
        <w:rPr>
          <w:sz w:val="22"/>
        </w:rPr>
        <w:t>1184.</w:t>
      </w:r>
      <w:r>
        <w:rPr>
          <w:spacing w:val="40"/>
          <w:sz w:val="22"/>
        </w:rPr>
        <w:t> </w:t>
      </w:r>
      <w:r>
        <w:rPr>
          <w:sz w:val="22"/>
        </w:rPr>
        <w:t>Duun S, Roed-Petersen K, Michelsen JW. Endometrioid carcinoma arising from </w:t>
      </w:r>
      <w:r>
        <w:rPr>
          <w:sz w:val="22"/>
        </w:rPr>
        <w:t>endometriosis</w:t>
      </w:r>
      <w:r>
        <w:rPr>
          <w:spacing w:val="40"/>
          <w:sz w:val="22"/>
        </w:rPr>
        <w:t> </w:t>
      </w:r>
      <w:r>
        <w:rPr>
          <w:sz w:val="22"/>
        </w:rPr>
        <w:t>of the sigmoid colon during estrogenic treatment. </w:t>
      </w:r>
      <w:r>
        <w:rPr>
          <w:i/>
          <w:sz w:val="22"/>
        </w:rPr>
        <w:t>Acta Obstet Gynecol Scand</w:t>
      </w:r>
      <w:r>
        <w:rPr>
          <w:sz w:val="22"/>
        </w:rPr>
        <w:t>. 1993;72:676.</w:t>
      </w:r>
    </w:p>
    <w:p>
      <w:pPr>
        <w:spacing w:line="256" w:lineRule="auto" w:before="0"/>
        <w:ind w:left="718" w:right="108" w:hanging="619"/>
        <w:jc w:val="both"/>
        <w:rPr>
          <w:sz w:val="22"/>
        </w:rPr>
      </w:pPr>
      <w:r>
        <w:rPr>
          <w:sz w:val="22"/>
        </w:rPr>
        <w:t>1185. Namnoum AB, Hickman TN, Goodman SB, Gehlbach DL, Rock JA. Incidence of </w:t>
      </w:r>
      <w:r>
        <w:rPr>
          <w:sz w:val="22"/>
        </w:rPr>
        <w:t>symptom recurrence after hysterectomy for endometriosis. </w:t>
      </w:r>
      <w:r>
        <w:rPr>
          <w:i/>
          <w:sz w:val="22"/>
        </w:rPr>
        <w:t>Fertil Steril</w:t>
      </w:r>
      <w:r>
        <w:rPr>
          <w:sz w:val="22"/>
        </w:rPr>
        <w:t>. 1995;64:898.</w:t>
      </w:r>
    </w:p>
    <w:p>
      <w:pPr>
        <w:spacing w:line="256" w:lineRule="auto" w:before="0"/>
        <w:ind w:left="718" w:right="110" w:hanging="619"/>
        <w:jc w:val="both"/>
        <w:rPr>
          <w:sz w:val="22"/>
        </w:rPr>
      </w:pPr>
      <w:r>
        <w:rPr>
          <w:sz w:val="22"/>
        </w:rPr>
        <w:t>1186. Gucer F, Pieber D, Arikan MG. Malignancy arising in extraovarian endometriosis </w:t>
      </w:r>
      <w:r>
        <w:rPr>
          <w:sz w:val="22"/>
        </w:rPr>
        <w:t>during estrogen stimulation. </w:t>
      </w:r>
      <w:r>
        <w:rPr>
          <w:i/>
          <w:sz w:val="22"/>
        </w:rPr>
        <w:t>Eur J Gynaecol Oncol</w:t>
      </w:r>
      <w:r>
        <w:rPr>
          <w:sz w:val="22"/>
        </w:rPr>
        <w:t>. 1998;19:39.</w:t>
      </w:r>
    </w:p>
    <w:p>
      <w:pPr>
        <w:spacing w:line="252" w:lineRule="exact" w:before="0"/>
        <w:ind w:left="99" w:right="0" w:firstLine="0"/>
        <w:jc w:val="both"/>
        <w:rPr>
          <w:sz w:val="22"/>
        </w:rPr>
      </w:pPr>
      <w:r>
        <w:rPr>
          <w:sz w:val="22"/>
        </w:rPr>
        <w:t>1187.</w:t>
      </w:r>
      <w:r>
        <w:rPr>
          <w:spacing w:val="60"/>
          <w:sz w:val="22"/>
        </w:rPr>
        <w:t> </w:t>
      </w:r>
      <w:r>
        <w:rPr>
          <w:sz w:val="22"/>
        </w:rPr>
        <w:t>Leiserowitz</w:t>
      </w:r>
      <w:r>
        <w:rPr>
          <w:spacing w:val="43"/>
          <w:sz w:val="22"/>
        </w:rPr>
        <w:t> </w:t>
      </w:r>
      <w:r>
        <w:rPr>
          <w:sz w:val="22"/>
        </w:rPr>
        <w:t>GS,</w:t>
      </w:r>
      <w:r>
        <w:rPr>
          <w:spacing w:val="43"/>
          <w:sz w:val="22"/>
        </w:rPr>
        <w:t> </w:t>
      </w:r>
      <w:r>
        <w:rPr>
          <w:sz w:val="22"/>
        </w:rPr>
        <w:t>Gumbs</w:t>
      </w:r>
      <w:r>
        <w:rPr>
          <w:spacing w:val="43"/>
          <w:sz w:val="22"/>
        </w:rPr>
        <w:t> </w:t>
      </w:r>
      <w:r>
        <w:rPr>
          <w:sz w:val="22"/>
        </w:rPr>
        <w:t>JL,</w:t>
      </w:r>
      <w:r>
        <w:rPr>
          <w:spacing w:val="43"/>
          <w:sz w:val="22"/>
        </w:rPr>
        <w:t> </w:t>
      </w:r>
      <w:r>
        <w:rPr>
          <w:sz w:val="22"/>
        </w:rPr>
        <w:t>Oi</w:t>
      </w:r>
      <w:r>
        <w:rPr>
          <w:spacing w:val="43"/>
          <w:sz w:val="22"/>
        </w:rPr>
        <w:t> </w:t>
      </w:r>
      <w:r>
        <w:rPr>
          <w:sz w:val="22"/>
        </w:rPr>
        <w:t>R,</w:t>
      </w:r>
      <w:r>
        <w:rPr>
          <w:spacing w:val="43"/>
          <w:sz w:val="22"/>
        </w:rPr>
        <w:t> </w:t>
      </w:r>
      <w:r>
        <w:rPr>
          <w:sz w:val="22"/>
        </w:rPr>
        <w:t>et</w:t>
      </w:r>
      <w:r>
        <w:rPr>
          <w:spacing w:val="43"/>
          <w:sz w:val="22"/>
        </w:rPr>
        <w:t> </w:t>
      </w:r>
      <w:r>
        <w:rPr>
          <w:sz w:val="22"/>
        </w:rPr>
        <w:t>al.</w:t>
      </w:r>
      <w:r>
        <w:rPr>
          <w:spacing w:val="43"/>
          <w:sz w:val="22"/>
        </w:rPr>
        <w:t> </w:t>
      </w:r>
      <w:r>
        <w:rPr>
          <w:sz w:val="22"/>
        </w:rPr>
        <w:t>Endometriosis-related</w:t>
      </w:r>
      <w:r>
        <w:rPr>
          <w:spacing w:val="41"/>
          <w:sz w:val="22"/>
        </w:rPr>
        <w:t> </w:t>
      </w:r>
      <w:r>
        <w:rPr>
          <w:sz w:val="22"/>
        </w:rPr>
        <w:t>malignancies.</w:t>
      </w:r>
      <w:r>
        <w:rPr>
          <w:spacing w:val="41"/>
          <w:sz w:val="22"/>
        </w:rPr>
        <w:t> </w:t>
      </w:r>
      <w:r>
        <w:rPr>
          <w:sz w:val="22"/>
        </w:rPr>
        <w:t>Int</w:t>
      </w:r>
      <w:r>
        <w:rPr>
          <w:spacing w:val="48"/>
          <w:sz w:val="22"/>
        </w:rPr>
        <w:t> </w:t>
      </w:r>
      <w:r>
        <w:rPr>
          <w:sz w:val="22"/>
        </w:rPr>
        <w:t>J</w:t>
      </w:r>
      <w:r>
        <w:rPr>
          <w:spacing w:val="49"/>
          <w:sz w:val="22"/>
        </w:rPr>
        <w:t> </w:t>
      </w:r>
      <w:r>
        <w:rPr>
          <w:spacing w:val="-2"/>
          <w:sz w:val="22"/>
        </w:rPr>
        <w:t>Gynecol</w:t>
      </w:r>
    </w:p>
    <w:p>
      <w:pPr>
        <w:spacing w:before="5"/>
        <w:ind w:left="718" w:right="0" w:firstLine="0"/>
        <w:jc w:val="both"/>
        <w:rPr>
          <w:sz w:val="22"/>
        </w:rPr>
      </w:pPr>
      <w:r>
        <w:rPr>
          <w:i/>
          <w:sz w:val="22"/>
        </w:rPr>
        <w:t>Cancer</w:t>
      </w:r>
      <w:r>
        <w:rPr>
          <w:sz w:val="22"/>
        </w:rPr>
        <w:t>.</w:t>
      </w:r>
      <w:r>
        <w:rPr>
          <w:spacing w:val="14"/>
          <w:sz w:val="22"/>
        </w:rPr>
        <w:t> </w:t>
      </w:r>
      <w:r>
        <w:rPr>
          <w:spacing w:val="-2"/>
          <w:sz w:val="22"/>
        </w:rPr>
        <w:t>2003;13:466.</w:t>
      </w:r>
    </w:p>
    <w:p>
      <w:pPr>
        <w:spacing w:line="256" w:lineRule="auto" w:before="17"/>
        <w:ind w:left="718" w:right="100" w:hanging="619"/>
        <w:jc w:val="both"/>
        <w:rPr>
          <w:sz w:val="22"/>
        </w:rPr>
      </w:pPr>
      <w:r>
        <w:rPr>
          <w:sz w:val="22"/>
        </w:rPr>
        <w:t>1188.</w:t>
      </w:r>
      <w:r>
        <w:rPr>
          <w:spacing w:val="40"/>
          <w:sz w:val="22"/>
        </w:rPr>
        <w:t> </w:t>
      </w:r>
      <w:r>
        <w:rPr>
          <w:sz w:val="22"/>
        </w:rPr>
        <w:t>Spicer D, Pike MC, Henderson BE. The question of estrogen replacement therapy in </w:t>
      </w:r>
      <w:r>
        <w:rPr>
          <w:sz w:val="22"/>
        </w:rPr>
        <w:t>patients with a prior diagnosis of breast cancer. </w:t>
      </w:r>
      <w:r>
        <w:rPr>
          <w:i/>
          <w:sz w:val="22"/>
        </w:rPr>
        <w:t>Oncology</w:t>
      </w:r>
      <w:r>
        <w:rPr>
          <w:sz w:val="22"/>
        </w:rPr>
        <w:t>. 1990;4:49.</w:t>
      </w:r>
    </w:p>
    <w:p>
      <w:pPr>
        <w:spacing w:line="256" w:lineRule="auto" w:before="0"/>
        <w:ind w:left="99" w:right="103" w:firstLine="0"/>
        <w:jc w:val="both"/>
        <w:rPr>
          <w:sz w:val="22"/>
        </w:rPr>
      </w:pPr>
      <w:r>
        <w:rPr>
          <w:sz w:val="22"/>
        </w:rPr>
        <w:t>1189.</w:t>
      </w:r>
      <w:r>
        <w:rPr>
          <w:spacing w:val="80"/>
          <w:sz w:val="22"/>
        </w:rPr>
        <w:t> </w:t>
      </w:r>
      <w:r>
        <w:rPr>
          <w:sz w:val="22"/>
        </w:rPr>
        <w:t>Stoll</w:t>
      </w:r>
      <w:r>
        <w:rPr>
          <w:spacing w:val="40"/>
          <w:sz w:val="22"/>
        </w:rPr>
        <w:t> </w:t>
      </w:r>
      <w:r>
        <w:rPr>
          <w:sz w:val="22"/>
        </w:rPr>
        <w:t>W.</w:t>
      </w:r>
      <w:r>
        <w:rPr>
          <w:spacing w:val="40"/>
          <w:sz w:val="22"/>
        </w:rPr>
        <w:t> </w:t>
      </w:r>
      <w:r>
        <w:rPr>
          <w:sz w:val="22"/>
        </w:rPr>
        <w:t>Phytotherapy</w:t>
      </w:r>
      <w:r>
        <w:rPr>
          <w:spacing w:val="40"/>
          <w:sz w:val="22"/>
        </w:rPr>
        <w:t> </w:t>
      </w:r>
      <w:r>
        <w:rPr>
          <w:sz w:val="22"/>
        </w:rPr>
        <w:t>influences</w:t>
      </w:r>
      <w:r>
        <w:rPr>
          <w:spacing w:val="40"/>
          <w:sz w:val="22"/>
        </w:rPr>
        <w:t> </w:t>
      </w:r>
      <w:r>
        <w:rPr>
          <w:sz w:val="22"/>
        </w:rPr>
        <w:t>atrophic</w:t>
      </w:r>
      <w:r>
        <w:rPr>
          <w:spacing w:val="40"/>
          <w:sz w:val="22"/>
        </w:rPr>
        <w:t> </w:t>
      </w:r>
      <w:r>
        <w:rPr>
          <w:sz w:val="22"/>
        </w:rPr>
        <w:t>vaginal</w:t>
      </w:r>
      <w:r>
        <w:rPr>
          <w:spacing w:val="40"/>
          <w:sz w:val="22"/>
        </w:rPr>
        <w:t> </w:t>
      </w:r>
      <w:r>
        <w:rPr>
          <w:sz w:val="22"/>
        </w:rPr>
        <w:t>epithelium.</w:t>
      </w:r>
      <w:r>
        <w:rPr>
          <w:spacing w:val="40"/>
          <w:sz w:val="22"/>
        </w:rPr>
        <w:t> </w:t>
      </w:r>
      <w:r>
        <w:rPr>
          <w:i/>
          <w:sz w:val="22"/>
        </w:rPr>
        <w:t>Therapeutikon</w:t>
      </w:r>
      <w:r>
        <w:rPr>
          <w:sz w:val="22"/>
        </w:rPr>
        <w:t>.</w:t>
      </w:r>
      <w:r>
        <w:rPr>
          <w:spacing w:val="40"/>
          <w:sz w:val="22"/>
        </w:rPr>
        <w:t> </w:t>
      </w:r>
      <w:r>
        <w:rPr>
          <w:sz w:val="22"/>
        </w:rPr>
        <w:t>1987;1:23.</w:t>
      </w:r>
      <w:r>
        <w:rPr>
          <w:sz w:val="22"/>
        </w:rPr>
        <w:t> 1190.</w:t>
      </w:r>
      <w:r>
        <w:rPr>
          <w:spacing w:val="61"/>
          <w:sz w:val="22"/>
        </w:rPr>
        <w:t> </w:t>
      </w:r>
      <w:r>
        <w:rPr>
          <w:sz w:val="22"/>
        </w:rPr>
        <w:t>Powles</w:t>
      </w:r>
      <w:r>
        <w:rPr>
          <w:spacing w:val="13"/>
          <w:sz w:val="22"/>
        </w:rPr>
        <w:t> </w:t>
      </w:r>
      <w:r>
        <w:rPr>
          <w:sz w:val="22"/>
        </w:rPr>
        <w:t>TJ,</w:t>
      </w:r>
      <w:r>
        <w:rPr>
          <w:spacing w:val="14"/>
          <w:sz w:val="22"/>
        </w:rPr>
        <w:t> </w:t>
      </w:r>
      <w:r>
        <w:rPr>
          <w:sz w:val="22"/>
        </w:rPr>
        <w:t>Hickish</w:t>
      </w:r>
      <w:r>
        <w:rPr>
          <w:spacing w:val="13"/>
          <w:sz w:val="22"/>
        </w:rPr>
        <w:t> </w:t>
      </w:r>
      <w:r>
        <w:rPr>
          <w:sz w:val="22"/>
        </w:rPr>
        <w:t>T,</w:t>
      </w:r>
      <w:r>
        <w:rPr>
          <w:spacing w:val="13"/>
          <w:sz w:val="22"/>
        </w:rPr>
        <w:t> </w:t>
      </w:r>
      <w:r>
        <w:rPr>
          <w:sz w:val="22"/>
        </w:rPr>
        <w:t>Casey</w:t>
      </w:r>
      <w:r>
        <w:rPr>
          <w:spacing w:val="13"/>
          <w:sz w:val="22"/>
        </w:rPr>
        <w:t> </w:t>
      </w:r>
      <w:r>
        <w:rPr>
          <w:sz w:val="22"/>
        </w:rPr>
        <w:t>S,</w:t>
      </w:r>
      <w:r>
        <w:rPr>
          <w:spacing w:val="14"/>
          <w:sz w:val="22"/>
        </w:rPr>
        <w:t> </w:t>
      </w:r>
      <w:r>
        <w:rPr>
          <w:sz w:val="22"/>
        </w:rPr>
        <w:t>O’Brien</w:t>
      </w:r>
      <w:r>
        <w:rPr>
          <w:spacing w:val="13"/>
          <w:sz w:val="22"/>
        </w:rPr>
        <w:t> </w:t>
      </w:r>
      <w:r>
        <w:rPr>
          <w:sz w:val="22"/>
        </w:rPr>
        <w:t>M.</w:t>
      </w:r>
      <w:r>
        <w:rPr>
          <w:spacing w:val="13"/>
          <w:sz w:val="22"/>
        </w:rPr>
        <w:t> </w:t>
      </w:r>
      <w:r>
        <w:rPr>
          <w:sz w:val="22"/>
        </w:rPr>
        <w:t>Hormone</w:t>
      </w:r>
      <w:r>
        <w:rPr>
          <w:spacing w:val="18"/>
          <w:sz w:val="22"/>
        </w:rPr>
        <w:t> </w:t>
      </w:r>
      <w:r>
        <w:rPr>
          <w:sz w:val="22"/>
        </w:rPr>
        <w:t>replacement</w:t>
      </w:r>
      <w:r>
        <w:rPr>
          <w:spacing w:val="18"/>
          <w:sz w:val="22"/>
        </w:rPr>
        <w:t> </w:t>
      </w:r>
      <w:r>
        <w:rPr>
          <w:sz w:val="22"/>
        </w:rPr>
        <w:t>after</w:t>
      </w:r>
      <w:r>
        <w:rPr>
          <w:spacing w:val="18"/>
          <w:sz w:val="22"/>
        </w:rPr>
        <w:t> </w:t>
      </w:r>
      <w:r>
        <w:rPr>
          <w:sz w:val="22"/>
        </w:rPr>
        <w:t>breast</w:t>
      </w:r>
      <w:r>
        <w:rPr>
          <w:spacing w:val="17"/>
          <w:sz w:val="22"/>
        </w:rPr>
        <w:t> </w:t>
      </w:r>
      <w:r>
        <w:rPr>
          <w:sz w:val="22"/>
        </w:rPr>
        <w:t>cancer.</w:t>
      </w:r>
      <w:r>
        <w:rPr>
          <w:spacing w:val="18"/>
          <w:sz w:val="22"/>
        </w:rPr>
        <w:t> </w:t>
      </w:r>
      <w:r>
        <w:rPr>
          <w:i/>
          <w:spacing w:val="-2"/>
          <w:sz w:val="22"/>
        </w:rPr>
        <w:t>Lancet</w:t>
      </w:r>
      <w:r>
        <w:rPr>
          <w:spacing w:val="-2"/>
          <w:sz w:val="22"/>
        </w:rPr>
        <w:t>.</w:t>
      </w:r>
    </w:p>
    <w:p>
      <w:pPr>
        <w:spacing w:line="252" w:lineRule="exact" w:before="0"/>
        <w:ind w:left="718" w:right="0" w:firstLine="0"/>
        <w:jc w:val="left"/>
        <w:rPr>
          <w:sz w:val="22"/>
        </w:rPr>
      </w:pPr>
      <w:r>
        <w:rPr>
          <w:spacing w:val="-2"/>
          <w:sz w:val="22"/>
        </w:rPr>
        <w:t>1993;342:60.</w:t>
      </w:r>
    </w:p>
    <w:p>
      <w:pPr>
        <w:spacing w:line="256" w:lineRule="auto" w:before="16"/>
        <w:ind w:left="718" w:right="101" w:hanging="619"/>
        <w:jc w:val="both"/>
        <w:rPr>
          <w:sz w:val="22"/>
        </w:rPr>
      </w:pPr>
      <w:r>
        <w:rPr>
          <w:sz w:val="22"/>
        </w:rPr>
        <w:t>1191.</w:t>
      </w:r>
      <w:r>
        <w:rPr>
          <w:spacing w:val="40"/>
          <w:sz w:val="22"/>
        </w:rPr>
        <w:t> </w:t>
      </w:r>
      <w:r>
        <w:rPr>
          <w:sz w:val="22"/>
        </w:rPr>
        <w:t>Wile</w:t>
      </w:r>
      <w:r>
        <w:rPr>
          <w:spacing w:val="40"/>
          <w:sz w:val="22"/>
        </w:rPr>
        <w:t> </w:t>
      </w:r>
      <w:r>
        <w:rPr>
          <w:sz w:val="22"/>
        </w:rPr>
        <w:t>AG,</w:t>
      </w:r>
      <w:r>
        <w:rPr>
          <w:spacing w:val="40"/>
          <w:sz w:val="22"/>
        </w:rPr>
        <w:t> </w:t>
      </w:r>
      <w:r>
        <w:rPr>
          <w:sz w:val="22"/>
        </w:rPr>
        <w:t>Opfell</w:t>
      </w:r>
      <w:r>
        <w:rPr>
          <w:spacing w:val="40"/>
          <w:sz w:val="22"/>
        </w:rPr>
        <w:t> </w:t>
      </w:r>
      <w:r>
        <w:rPr>
          <w:sz w:val="22"/>
        </w:rPr>
        <w:t>RW,</w:t>
      </w:r>
      <w:r>
        <w:rPr>
          <w:spacing w:val="40"/>
          <w:sz w:val="22"/>
        </w:rPr>
        <w:t> </w:t>
      </w:r>
      <w:r>
        <w:rPr>
          <w:sz w:val="22"/>
        </w:rPr>
        <w:t>Margileth</w:t>
      </w:r>
      <w:r>
        <w:rPr>
          <w:spacing w:val="40"/>
          <w:sz w:val="22"/>
        </w:rPr>
        <w:t> </w:t>
      </w:r>
      <w:r>
        <w:rPr>
          <w:sz w:val="22"/>
        </w:rPr>
        <w:t>DA.</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in</w:t>
      </w:r>
      <w:r>
        <w:rPr>
          <w:spacing w:val="40"/>
          <w:sz w:val="22"/>
        </w:rPr>
        <w:t> </w:t>
      </w:r>
      <w:r>
        <w:rPr>
          <w:sz w:val="22"/>
        </w:rPr>
        <w:t>previously</w:t>
      </w:r>
      <w:r>
        <w:rPr>
          <w:spacing w:val="40"/>
          <w:sz w:val="22"/>
        </w:rPr>
        <w:t> </w:t>
      </w:r>
      <w:r>
        <w:rPr>
          <w:sz w:val="22"/>
        </w:rPr>
        <w:t>treated breast cancer patients. </w:t>
      </w:r>
      <w:r>
        <w:rPr>
          <w:i/>
          <w:sz w:val="22"/>
        </w:rPr>
        <w:t>Am J Surg</w:t>
      </w:r>
      <w:r>
        <w:rPr>
          <w:sz w:val="22"/>
        </w:rPr>
        <w:t>. 1993;165:372.</w:t>
      </w:r>
    </w:p>
    <w:p>
      <w:pPr>
        <w:spacing w:line="256" w:lineRule="auto" w:before="0"/>
        <w:ind w:left="718" w:right="100" w:hanging="619"/>
        <w:jc w:val="both"/>
        <w:rPr>
          <w:sz w:val="22"/>
        </w:rPr>
      </w:pPr>
      <w:r>
        <w:rPr>
          <w:sz w:val="22"/>
        </w:rPr>
        <w:t>1192. DiSaia PJ, Odicino F, Grosen EA, Cowan B, Pecorelli S, Wile AG. Hormone </w:t>
      </w:r>
      <w:r>
        <w:rPr>
          <w:sz w:val="22"/>
        </w:rPr>
        <w:t>replacement therapy in breast cancer (letter). </w:t>
      </w:r>
      <w:r>
        <w:rPr>
          <w:i/>
          <w:sz w:val="22"/>
        </w:rPr>
        <w:t>Lancet</w:t>
      </w:r>
      <w:r>
        <w:rPr>
          <w:sz w:val="22"/>
        </w:rPr>
        <w:t>. 1993;342:1232.</w:t>
      </w:r>
    </w:p>
    <w:p>
      <w:pPr>
        <w:spacing w:line="256" w:lineRule="auto" w:before="0"/>
        <w:ind w:left="718" w:right="98" w:hanging="619"/>
        <w:jc w:val="both"/>
        <w:rPr>
          <w:sz w:val="22"/>
        </w:rPr>
      </w:pPr>
      <w:r>
        <w:rPr>
          <w:sz w:val="22"/>
        </w:rPr>
        <w:t>1193. DiSaia</w:t>
      </w:r>
      <w:r>
        <w:rPr>
          <w:spacing w:val="40"/>
          <w:sz w:val="22"/>
        </w:rPr>
        <w:t> </w:t>
      </w:r>
      <w:r>
        <w:rPr>
          <w:sz w:val="22"/>
        </w:rPr>
        <w:t>PJ,</w:t>
      </w:r>
      <w:r>
        <w:rPr>
          <w:spacing w:val="40"/>
          <w:sz w:val="22"/>
        </w:rPr>
        <w:t> </w:t>
      </w:r>
      <w:r>
        <w:rPr>
          <w:sz w:val="22"/>
        </w:rPr>
        <w:t>Grosen</w:t>
      </w:r>
      <w:r>
        <w:rPr>
          <w:spacing w:val="40"/>
          <w:sz w:val="22"/>
        </w:rPr>
        <w:t> </w:t>
      </w:r>
      <w:r>
        <w:rPr>
          <w:sz w:val="22"/>
        </w:rPr>
        <w:t>EA,</w:t>
      </w:r>
      <w:r>
        <w:rPr>
          <w:spacing w:val="40"/>
          <w:sz w:val="22"/>
        </w:rPr>
        <w:t> </w:t>
      </w:r>
      <w:r>
        <w:rPr>
          <w:sz w:val="22"/>
        </w:rPr>
        <w:t>Kurosaki</w:t>
      </w:r>
      <w:r>
        <w:rPr>
          <w:spacing w:val="40"/>
          <w:sz w:val="22"/>
        </w:rPr>
        <w:t> </w:t>
      </w:r>
      <w:r>
        <w:rPr>
          <w:sz w:val="22"/>
        </w:rPr>
        <w:t>T,</w:t>
      </w:r>
      <w:r>
        <w:rPr>
          <w:spacing w:val="40"/>
          <w:sz w:val="22"/>
        </w:rPr>
        <w:t> </w:t>
      </w:r>
      <w:r>
        <w:rPr>
          <w:sz w:val="22"/>
        </w:rPr>
        <w:t>Gildea</w:t>
      </w:r>
      <w:r>
        <w:rPr>
          <w:spacing w:val="40"/>
          <w:sz w:val="22"/>
        </w:rPr>
        <w:t> </w:t>
      </w:r>
      <w:r>
        <w:rPr>
          <w:sz w:val="22"/>
        </w:rPr>
        <w:t>M,</w:t>
      </w:r>
      <w:r>
        <w:rPr>
          <w:spacing w:val="40"/>
          <w:sz w:val="22"/>
        </w:rPr>
        <w:t> </w:t>
      </w:r>
      <w:r>
        <w:rPr>
          <w:sz w:val="22"/>
        </w:rPr>
        <w:t>Cowan</w:t>
      </w:r>
      <w:r>
        <w:rPr>
          <w:spacing w:val="40"/>
          <w:sz w:val="22"/>
        </w:rPr>
        <w:t> </w:t>
      </w:r>
      <w:r>
        <w:rPr>
          <w:sz w:val="22"/>
        </w:rPr>
        <w:t>B,</w:t>
      </w:r>
      <w:r>
        <w:rPr>
          <w:spacing w:val="40"/>
          <w:sz w:val="22"/>
        </w:rPr>
        <w:t> </w:t>
      </w:r>
      <w:r>
        <w:rPr>
          <w:sz w:val="22"/>
        </w:rPr>
        <w:t>Anton-Culver</w:t>
      </w:r>
      <w:r>
        <w:rPr>
          <w:spacing w:val="40"/>
          <w:sz w:val="22"/>
        </w:rPr>
        <w:t> </w:t>
      </w:r>
      <w:r>
        <w:rPr>
          <w:sz w:val="22"/>
        </w:rPr>
        <w:t>H.</w:t>
      </w:r>
      <w:r>
        <w:rPr>
          <w:spacing w:val="40"/>
          <w:sz w:val="22"/>
        </w:rPr>
        <w:t> </w:t>
      </w:r>
      <w:r>
        <w:rPr>
          <w:sz w:val="22"/>
        </w:rPr>
        <w:t>Hormone replacement therapy in breast cancer survivors: a cohort study. </w:t>
      </w:r>
      <w:r>
        <w:rPr>
          <w:i/>
          <w:sz w:val="22"/>
        </w:rPr>
        <w:t>Am J Obstet Gynecol</w:t>
      </w:r>
      <w:r>
        <w:rPr>
          <w:sz w:val="22"/>
        </w:rPr>
        <w:t>. </w:t>
      </w:r>
      <w:r>
        <w:rPr>
          <w:spacing w:val="-2"/>
          <w:sz w:val="22"/>
        </w:rPr>
        <w:t>1996;174:1494.</w:t>
      </w:r>
    </w:p>
    <w:p>
      <w:pPr>
        <w:spacing w:line="256" w:lineRule="auto" w:before="0"/>
        <w:ind w:left="718" w:right="104" w:hanging="619"/>
        <w:jc w:val="both"/>
        <w:rPr>
          <w:sz w:val="22"/>
        </w:rPr>
      </w:pPr>
      <w:r>
        <w:rPr>
          <w:sz w:val="22"/>
        </w:rPr>
        <w:t>1194.</w:t>
      </w:r>
      <w:r>
        <w:rPr>
          <w:spacing w:val="40"/>
          <w:sz w:val="22"/>
        </w:rPr>
        <w:t> </w:t>
      </w:r>
      <w:r>
        <w:rPr>
          <w:sz w:val="22"/>
        </w:rPr>
        <w:t>Vassilopoulou-Sellin R, Theriault R, Klein MJ. Estrogen replacement therapy in women </w:t>
      </w:r>
      <w:r>
        <w:rPr>
          <w:sz w:val="22"/>
        </w:rPr>
        <w:t>with prior diagnosis and treatment for breast cancer. </w:t>
      </w:r>
      <w:r>
        <w:rPr>
          <w:i/>
          <w:sz w:val="22"/>
        </w:rPr>
        <w:t>Gynecol Oncol</w:t>
      </w:r>
      <w:r>
        <w:rPr>
          <w:sz w:val="22"/>
        </w:rPr>
        <w:t>. 1997;65:89.</w:t>
      </w:r>
    </w:p>
    <w:p>
      <w:pPr>
        <w:spacing w:line="256" w:lineRule="auto" w:before="0"/>
        <w:ind w:left="718" w:right="104" w:hanging="619"/>
        <w:jc w:val="both"/>
        <w:rPr>
          <w:sz w:val="22"/>
        </w:rPr>
      </w:pPr>
      <w:r>
        <w:rPr>
          <w:sz w:val="22"/>
        </w:rPr>
        <w:t>1195. Vassilopoulou-Sellin R, Asmar L, Hortobagyi GN, et al. Estrogen replacement therapy </w:t>
      </w:r>
      <w:r>
        <w:rPr>
          <w:sz w:val="22"/>
        </w:rPr>
        <w:t>after localized breast cancer: clinical outcome of 319 women followed prospectively. </w:t>
      </w:r>
      <w:r>
        <w:rPr>
          <w:i/>
          <w:sz w:val="22"/>
        </w:rPr>
        <w:t>J Clin Oncol</w:t>
      </w:r>
      <w:r>
        <w:rPr>
          <w:sz w:val="22"/>
        </w:rPr>
        <w:t>. </w:t>
      </w:r>
      <w:r>
        <w:rPr>
          <w:spacing w:val="-2"/>
          <w:sz w:val="22"/>
        </w:rPr>
        <w:t>1999;17:1482.</w:t>
      </w:r>
    </w:p>
    <w:p>
      <w:pPr>
        <w:spacing w:line="256" w:lineRule="auto" w:before="0"/>
        <w:ind w:left="718" w:right="111" w:hanging="619"/>
        <w:jc w:val="both"/>
        <w:rPr>
          <w:sz w:val="22"/>
        </w:rPr>
      </w:pPr>
      <w:r>
        <w:rPr>
          <w:sz w:val="22"/>
        </w:rPr>
        <w:t>1196. Decker DA, Pettinga JE, Cox TC, Burdakin JH, Jaiyesimi IA, Benitez PR. </w:t>
      </w:r>
      <w:r>
        <w:rPr>
          <w:sz w:val="22"/>
        </w:rPr>
        <w:t>Hormone</w:t>
      </w:r>
      <w:r>
        <w:rPr>
          <w:spacing w:val="80"/>
          <w:w w:val="150"/>
          <w:sz w:val="22"/>
        </w:rPr>
        <w:t> </w:t>
      </w:r>
      <w:r>
        <w:rPr>
          <w:sz w:val="22"/>
        </w:rPr>
        <w:t>replacement therapy in breast cancer survivors. </w:t>
      </w:r>
      <w:r>
        <w:rPr>
          <w:i/>
          <w:sz w:val="22"/>
        </w:rPr>
        <w:t>Breast J</w:t>
      </w:r>
      <w:r>
        <w:rPr>
          <w:sz w:val="22"/>
        </w:rPr>
        <w:t>. 1997;3:63.</w:t>
      </w:r>
    </w:p>
    <w:p>
      <w:pPr>
        <w:spacing w:after="0" w:line="256" w:lineRule="auto"/>
        <w:jc w:val="both"/>
        <w:rPr>
          <w:sz w:val="22"/>
        </w:rPr>
        <w:sectPr>
          <w:pgSz w:w="12240" w:h="15840"/>
          <w:pgMar w:top="1360" w:bottom="280" w:left="1440" w:right="1440"/>
        </w:sectPr>
      </w:pPr>
    </w:p>
    <w:p>
      <w:pPr>
        <w:spacing w:line="256" w:lineRule="auto" w:before="84"/>
        <w:ind w:left="718" w:right="0" w:hanging="619"/>
        <w:jc w:val="left"/>
        <w:rPr>
          <w:sz w:val="22"/>
        </w:rPr>
      </w:pPr>
      <w:r>
        <w:rPr>
          <w:sz w:val="22"/>
        </w:rPr>
        <w:t>1197.</w:t>
      </w:r>
      <w:r>
        <w:rPr>
          <w:spacing w:val="40"/>
          <w:sz w:val="22"/>
        </w:rPr>
        <w:t> </w:t>
      </w:r>
      <w:r>
        <w:rPr>
          <w:sz w:val="22"/>
        </w:rPr>
        <w:t>Dew</w:t>
      </w:r>
      <w:r>
        <w:rPr>
          <w:spacing w:val="40"/>
          <w:sz w:val="22"/>
        </w:rPr>
        <w:t> </w:t>
      </w:r>
      <w:r>
        <w:rPr>
          <w:sz w:val="22"/>
        </w:rPr>
        <w:t>J,</w:t>
      </w:r>
      <w:r>
        <w:rPr>
          <w:spacing w:val="40"/>
          <w:sz w:val="22"/>
        </w:rPr>
        <w:t> </w:t>
      </w:r>
      <w:r>
        <w:rPr>
          <w:sz w:val="22"/>
        </w:rPr>
        <w:t>Eden</w:t>
      </w:r>
      <w:r>
        <w:rPr>
          <w:spacing w:val="40"/>
          <w:sz w:val="22"/>
        </w:rPr>
        <w:t> </w:t>
      </w:r>
      <w:r>
        <w:rPr>
          <w:sz w:val="22"/>
        </w:rPr>
        <w:t>JA,</w:t>
      </w:r>
      <w:r>
        <w:rPr>
          <w:spacing w:val="40"/>
          <w:sz w:val="22"/>
        </w:rPr>
        <w:t> </w:t>
      </w:r>
      <w:r>
        <w:rPr>
          <w:sz w:val="22"/>
        </w:rPr>
        <w:t>Beller</w:t>
      </w:r>
      <w:r>
        <w:rPr>
          <w:spacing w:val="40"/>
          <w:sz w:val="22"/>
        </w:rPr>
        <w:t> </w:t>
      </w:r>
      <w:r>
        <w:rPr>
          <w:sz w:val="22"/>
        </w:rPr>
        <w:t>E,</w:t>
      </w:r>
      <w:r>
        <w:rPr>
          <w:spacing w:val="40"/>
          <w:sz w:val="22"/>
        </w:rPr>
        <w:t> </w:t>
      </w:r>
      <w:r>
        <w:rPr>
          <w:sz w:val="22"/>
        </w:rPr>
        <w:t>et</w:t>
      </w:r>
      <w:r>
        <w:rPr>
          <w:spacing w:val="40"/>
          <w:sz w:val="22"/>
        </w:rPr>
        <w:t> </w:t>
      </w:r>
      <w:r>
        <w:rPr>
          <w:sz w:val="22"/>
        </w:rPr>
        <w:t>al.</w:t>
      </w:r>
      <w:r>
        <w:rPr>
          <w:spacing w:val="40"/>
          <w:sz w:val="22"/>
        </w:rPr>
        <w:t> </w:t>
      </w:r>
      <w:r>
        <w:rPr>
          <w:sz w:val="22"/>
        </w:rPr>
        <w:t>A</w:t>
      </w:r>
      <w:r>
        <w:rPr>
          <w:spacing w:val="40"/>
          <w:sz w:val="22"/>
        </w:rPr>
        <w:t> </w:t>
      </w:r>
      <w:r>
        <w:rPr>
          <w:sz w:val="22"/>
        </w:rPr>
        <w:t>cohort</w:t>
      </w:r>
      <w:r>
        <w:rPr>
          <w:spacing w:val="40"/>
          <w:sz w:val="22"/>
        </w:rPr>
        <w:t> </w:t>
      </w:r>
      <w:r>
        <w:rPr>
          <w:sz w:val="22"/>
        </w:rPr>
        <w:t>study</w:t>
      </w:r>
      <w:r>
        <w:rPr>
          <w:spacing w:val="40"/>
          <w:sz w:val="22"/>
        </w:rPr>
        <w:t> </w:t>
      </w:r>
      <w:r>
        <w:rPr>
          <w:sz w:val="22"/>
        </w:rPr>
        <w:t>of</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sz w:val="22"/>
        </w:rPr>
        <w:t>given</w:t>
      </w:r>
      <w:r>
        <w:rPr>
          <w:spacing w:val="40"/>
          <w:sz w:val="22"/>
        </w:rPr>
        <w:t> </w:t>
      </w:r>
      <w:r>
        <w:rPr>
          <w:sz w:val="22"/>
        </w:rPr>
        <w:t>to women previously treated for breast cancer. </w:t>
      </w:r>
      <w:r>
        <w:rPr>
          <w:i/>
          <w:sz w:val="22"/>
        </w:rPr>
        <w:t>Climacteric</w:t>
      </w:r>
      <w:r>
        <w:rPr>
          <w:sz w:val="22"/>
        </w:rPr>
        <w:t>. 1998;1:137.</w:t>
      </w:r>
    </w:p>
    <w:p>
      <w:pPr>
        <w:spacing w:line="256" w:lineRule="auto" w:before="0"/>
        <w:ind w:left="718" w:right="0" w:hanging="619"/>
        <w:jc w:val="left"/>
        <w:rPr>
          <w:sz w:val="22"/>
        </w:rPr>
      </w:pPr>
      <w:r>
        <w:rPr>
          <w:sz w:val="22"/>
        </w:rPr>
        <w:t>1198.</w:t>
      </w:r>
      <w:r>
        <w:rPr>
          <w:spacing w:val="40"/>
          <w:sz w:val="22"/>
        </w:rPr>
        <w:t> </w:t>
      </w:r>
      <w:r>
        <w:rPr>
          <w:sz w:val="22"/>
        </w:rPr>
        <w:t>Ursic-Vrscaj</w:t>
      </w:r>
      <w:r>
        <w:rPr>
          <w:spacing w:val="21"/>
          <w:sz w:val="22"/>
        </w:rPr>
        <w:t> </w:t>
      </w:r>
      <w:r>
        <w:rPr>
          <w:sz w:val="22"/>
        </w:rPr>
        <w:t>M,</w:t>
      </w:r>
      <w:r>
        <w:rPr>
          <w:spacing w:val="21"/>
          <w:sz w:val="22"/>
        </w:rPr>
        <w:t> </w:t>
      </w:r>
      <w:r>
        <w:rPr>
          <w:sz w:val="22"/>
        </w:rPr>
        <w:t>Bebar</w:t>
      </w:r>
      <w:r>
        <w:rPr>
          <w:spacing w:val="21"/>
          <w:sz w:val="22"/>
        </w:rPr>
        <w:t> </w:t>
      </w:r>
      <w:r>
        <w:rPr>
          <w:sz w:val="22"/>
        </w:rPr>
        <w:t>S.</w:t>
      </w:r>
      <w:r>
        <w:rPr>
          <w:spacing w:val="21"/>
          <w:sz w:val="22"/>
        </w:rPr>
        <w:t> </w:t>
      </w:r>
      <w:r>
        <w:rPr>
          <w:sz w:val="22"/>
        </w:rPr>
        <w:t>A</w:t>
      </w:r>
      <w:r>
        <w:rPr>
          <w:spacing w:val="21"/>
          <w:sz w:val="22"/>
        </w:rPr>
        <w:t> </w:t>
      </w:r>
      <w:r>
        <w:rPr>
          <w:sz w:val="22"/>
        </w:rPr>
        <w:t>case-control</w:t>
      </w:r>
      <w:r>
        <w:rPr>
          <w:spacing w:val="21"/>
          <w:sz w:val="22"/>
        </w:rPr>
        <w:t> </w:t>
      </w:r>
      <w:r>
        <w:rPr>
          <w:sz w:val="22"/>
        </w:rPr>
        <w:t>study</w:t>
      </w:r>
      <w:r>
        <w:rPr>
          <w:spacing w:val="21"/>
          <w:sz w:val="22"/>
        </w:rPr>
        <w:t> </w:t>
      </w:r>
      <w:r>
        <w:rPr>
          <w:sz w:val="22"/>
        </w:rPr>
        <w:t>of</w:t>
      </w:r>
      <w:r>
        <w:rPr>
          <w:spacing w:val="21"/>
          <w:sz w:val="22"/>
        </w:rPr>
        <w:t> </w:t>
      </w:r>
      <w:r>
        <w:rPr>
          <w:sz w:val="22"/>
        </w:rPr>
        <w:t>hormone</w:t>
      </w:r>
      <w:r>
        <w:rPr>
          <w:spacing w:val="21"/>
          <w:sz w:val="22"/>
        </w:rPr>
        <w:t> </w:t>
      </w:r>
      <w:r>
        <w:rPr>
          <w:sz w:val="22"/>
        </w:rPr>
        <w:t>replacement</w:t>
      </w:r>
      <w:r>
        <w:rPr>
          <w:spacing w:val="21"/>
          <w:sz w:val="22"/>
        </w:rPr>
        <w:t> </w:t>
      </w:r>
      <w:r>
        <w:rPr>
          <w:sz w:val="22"/>
        </w:rPr>
        <w:t>therapy</w:t>
      </w:r>
      <w:r>
        <w:rPr>
          <w:spacing w:val="21"/>
          <w:sz w:val="22"/>
        </w:rPr>
        <w:t> </w:t>
      </w:r>
      <w:r>
        <w:rPr>
          <w:sz w:val="22"/>
        </w:rPr>
        <w:t>after</w:t>
      </w:r>
      <w:r>
        <w:rPr>
          <w:spacing w:val="21"/>
          <w:sz w:val="22"/>
        </w:rPr>
        <w:t> </w:t>
      </w:r>
      <w:r>
        <w:rPr>
          <w:sz w:val="22"/>
        </w:rPr>
        <w:t>primary surgical breast cancer treatment. </w:t>
      </w:r>
      <w:r>
        <w:rPr>
          <w:i/>
          <w:sz w:val="22"/>
        </w:rPr>
        <w:t>Eur J Surg Oncol</w:t>
      </w:r>
      <w:r>
        <w:rPr>
          <w:sz w:val="22"/>
        </w:rPr>
        <w:t>. 1999;25:146.</w:t>
      </w:r>
    </w:p>
    <w:p>
      <w:pPr>
        <w:spacing w:line="252" w:lineRule="exact" w:before="0"/>
        <w:ind w:left="99" w:right="0" w:firstLine="0"/>
        <w:jc w:val="left"/>
        <w:rPr>
          <w:sz w:val="22"/>
        </w:rPr>
      </w:pPr>
      <w:r>
        <w:rPr>
          <w:sz w:val="22"/>
        </w:rPr>
        <w:t>1199.</w:t>
      </w:r>
      <w:r>
        <w:rPr>
          <w:spacing w:val="60"/>
          <w:sz w:val="22"/>
        </w:rPr>
        <w:t> </w:t>
      </w:r>
      <w:r>
        <w:rPr>
          <w:sz w:val="22"/>
        </w:rPr>
        <w:t>Guidozzi</w:t>
      </w:r>
      <w:r>
        <w:rPr>
          <w:spacing w:val="32"/>
          <w:sz w:val="22"/>
        </w:rPr>
        <w:t> </w:t>
      </w:r>
      <w:r>
        <w:rPr>
          <w:sz w:val="22"/>
        </w:rPr>
        <w:t>F.</w:t>
      </w:r>
      <w:r>
        <w:rPr>
          <w:spacing w:val="32"/>
          <w:sz w:val="22"/>
        </w:rPr>
        <w:t> </w:t>
      </w:r>
      <w:r>
        <w:rPr>
          <w:sz w:val="22"/>
        </w:rPr>
        <w:t>Estrogen</w:t>
      </w:r>
      <w:r>
        <w:rPr>
          <w:spacing w:val="31"/>
          <w:sz w:val="22"/>
        </w:rPr>
        <w:t> </w:t>
      </w:r>
      <w:r>
        <w:rPr>
          <w:sz w:val="22"/>
        </w:rPr>
        <w:t>replacement</w:t>
      </w:r>
      <w:r>
        <w:rPr>
          <w:spacing w:val="31"/>
          <w:sz w:val="22"/>
        </w:rPr>
        <w:t> </w:t>
      </w:r>
      <w:r>
        <w:rPr>
          <w:sz w:val="22"/>
        </w:rPr>
        <w:t>therapy</w:t>
      </w:r>
      <w:r>
        <w:rPr>
          <w:spacing w:val="30"/>
          <w:sz w:val="22"/>
        </w:rPr>
        <w:t> </w:t>
      </w:r>
      <w:r>
        <w:rPr>
          <w:sz w:val="22"/>
        </w:rPr>
        <w:t>in</w:t>
      </w:r>
      <w:r>
        <w:rPr>
          <w:spacing w:val="31"/>
          <w:sz w:val="22"/>
        </w:rPr>
        <w:t> </w:t>
      </w:r>
      <w:r>
        <w:rPr>
          <w:sz w:val="22"/>
        </w:rPr>
        <w:t>breast</w:t>
      </w:r>
      <w:r>
        <w:rPr>
          <w:spacing w:val="31"/>
          <w:sz w:val="22"/>
        </w:rPr>
        <w:t> </w:t>
      </w:r>
      <w:r>
        <w:rPr>
          <w:sz w:val="22"/>
        </w:rPr>
        <w:t>cancer</w:t>
      </w:r>
      <w:r>
        <w:rPr>
          <w:spacing w:val="31"/>
          <w:sz w:val="22"/>
        </w:rPr>
        <w:t> </w:t>
      </w:r>
      <w:r>
        <w:rPr>
          <w:sz w:val="22"/>
        </w:rPr>
        <w:t>survivors.</w:t>
      </w:r>
      <w:r>
        <w:rPr>
          <w:spacing w:val="30"/>
          <w:sz w:val="22"/>
        </w:rPr>
        <w:t> </w:t>
      </w:r>
      <w:r>
        <w:rPr>
          <w:i/>
          <w:sz w:val="22"/>
        </w:rPr>
        <w:t>Int</w:t>
      </w:r>
      <w:r>
        <w:rPr>
          <w:i/>
          <w:spacing w:val="36"/>
          <w:sz w:val="22"/>
        </w:rPr>
        <w:t> </w:t>
      </w:r>
      <w:r>
        <w:rPr>
          <w:i/>
          <w:sz w:val="22"/>
        </w:rPr>
        <w:t>J</w:t>
      </w:r>
      <w:r>
        <w:rPr>
          <w:i/>
          <w:spacing w:val="35"/>
          <w:sz w:val="22"/>
        </w:rPr>
        <w:t> </w:t>
      </w:r>
      <w:r>
        <w:rPr>
          <w:i/>
          <w:sz w:val="22"/>
        </w:rPr>
        <w:t>Gynaecol</w:t>
      </w:r>
      <w:r>
        <w:rPr>
          <w:i/>
          <w:spacing w:val="35"/>
          <w:sz w:val="22"/>
        </w:rPr>
        <w:t> </w:t>
      </w:r>
      <w:r>
        <w:rPr>
          <w:i/>
          <w:spacing w:val="-2"/>
          <w:sz w:val="22"/>
        </w:rPr>
        <w:t>Obstet</w:t>
      </w:r>
      <w:r>
        <w:rPr>
          <w:spacing w:val="-2"/>
          <w:sz w:val="22"/>
        </w:rPr>
        <w:t>.</w:t>
      </w:r>
    </w:p>
    <w:p>
      <w:pPr>
        <w:spacing w:before="16"/>
        <w:ind w:left="718" w:right="0" w:firstLine="0"/>
        <w:jc w:val="left"/>
        <w:rPr>
          <w:sz w:val="22"/>
        </w:rPr>
      </w:pPr>
      <w:r>
        <w:rPr>
          <w:spacing w:val="-2"/>
          <w:sz w:val="22"/>
        </w:rPr>
        <w:t>2000;69:101.</w:t>
      </w:r>
    </w:p>
    <w:p>
      <w:pPr>
        <w:spacing w:line="256" w:lineRule="auto" w:before="17"/>
        <w:ind w:left="718" w:right="98" w:hanging="619"/>
        <w:jc w:val="both"/>
        <w:rPr>
          <w:sz w:val="22"/>
        </w:rPr>
      </w:pPr>
      <w:r>
        <w:rPr>
          <w:sz w:val="22"/>
        </w:rPr>
        <w:t>1200. DiSaia PJ, Brewster WR, Ziogas A, Anton-Culver H. Breast cancer survival and hormone replacement therapy: a cohort analysis. Am </w:t>
      </w:r>
      <w:r>
        <w:rPr>
          <w:i/>
          <w:sz w:val="22"/>
        </w:rPr>
        <w:t>J Clin Oncol</w:t>
      </w:r>
      <w:r>
        <w:rPr>
          <w:sz w:val="22"/>
        </w:rPr>
        <w:t>. 2000;23:541.</w:t>
      </w:r>
    </w:p>
    <w:p>
      <w:pPr>
        <w:spacing w:line="256" w:lineRule="auto" w:before="0"/>
        <w:ind w:left="718" w:right="106" w:hanging="619"/>
        <w:jc w:val="both"/>
        <w:rPr>
          <w:sz w:val="22"/>
        </w:rPr>
      </w:pPr>
      <w:r>
        <w:rPr>
          <w:sz w:val="22"/>
        </w:rPr>
        <w:t>1201. Marttunen MB, Hietanen P, Pyrhönen S, Tiitinen A, Ylikorkala O. A prospective study </w:t>
      </w:r>
      <w:r>
        <w:rPr>
          <w:sz w:val="22"/>
        </w:rPr>
        <w:t>on women with a history of breast cancer and with or without estrogen replacement therapy. </w:t>
      </w:r>
      <w:r>
        <w:rPr>
          <w:i/>
          <w:sz w:val="22"/>
        </w:rPr>
        <w:t>Maturitas</w:t>
      </w:r>
      <w:r>
        <w:rPr>
          <w:sz w:val="22"/>
        </w:rPr>
        <w:t>. 2001;39:217.</w:t>
      </w:r>
    </w:p>
    <w:p>
      <w:pPr>
        <w:spacing w:line="256" w:lineRule="auto" w:before="0"/>
        <w:ind w:left="718" w:right="109" w:hanging="619"/>
        <w:jc w:val="both"/>
        <w:rPr>
          <w:sz w:val="22"/>
        </w:rPr>
      </w:pPr>
      <w:r>
        <w:rPr>
          <w:sz w:val="22"/>
        </w:rPr>
        <w:t>1202.</w:t>
      </w:r>
      <w:r>
        <w:rPr>
          <w:spacing w:val="40"/>
          <w:sz w:val="22"/>
        </w:rPr>
        <w:t> </w:t>
      </w:r>
      <w:r>
        <w:rPr>
          <w:sz w:val="22"/>
        </w:rPr>
        <w:t>Peters GN, Fodera T, Sabol J, Jones S, Euhus D. Estrogen replacement therapy after </w:t>
      </w:r>
      <w:r>
        <w:rPr>
          <w:sz w:val="22"/>
        </w:rPr>
        <w:t>breast cancer: a 12-year follow-up. </w:t>
      </w:r>
      <w:r>
        <w:rPr>
          <w:i/>
          <w:sz w:val="22"/>
        </w:rPr>
        <w:t>Ann Surg Oncol</w:t>
      </w:r>
      <w:r>
        <w:rPr>
          <w:sz w:val="22"/>
        </w:rPr>
        <w:t>. 2001;8:828.</w:t>
      </w:r>
    </w:p>
    <w:p>
      <w:pPr>
        <w:spacing w:line="256" w:lineRule="auto" w:before="0"/>
        <w:ind w:left="718" w:right="107" w:hanging="619"/>
        <w:jc w:val="both"/>
        <w:rPr>
          <w:sz w:val="22"/>
        </w:rPr>
      </w:pPr>
      <w:r>
        <w:rPr>
          <w:sz w:val="22"/>
        </w:rPr>
        <w:t>1203.</w:t>
      </w:r>
      <w:r>
        <w:rPr>
          <w:spacing w:val="40"/>
          <w:sz w:val="22"/>
        </w:rPr>
        <w:t> </w:t>
      </w:r>
      <w:r>
        <w:rPr>
          <w:sz w:val="22"/>
        </w:rPr>
        <w:t>Beckmann MW, Jap D, Djahansouzi S, et al. Hormone replacement therapy after treatment </w:t>
      </w:r>
      <w:r>
        <w:rPr>
          <w:sz w:val="22"/>
        </w:rPr>
        <w:t>of breast</w:t>
      </w:r>
      <w:r>
        <w:rPr>
          <w:spacing w:val="40"/>
          <w:sz w:val="22"/>
        </w:rPr>
        <w:t> </w:t>
      </w:r>
      <w:r>
        <w:rPr>
          <w:sz w:val="22"/>
        </w:rPr>
        <w:t>cancer:</w:t>
      </w:r>
      <w:r>
        <w:rPr>
          <w:spacing w:val="40"/>
          <w:sz w:val="22"/>
        </w:rPr>
        <w:t> </w:t>
      </w:r>
      <w:r>
        <w:rPr>
          <w:sz w:val="22"/>
        </w:rPr>
        <w:t>effects</w:t>
      </w:r>
      <w:r>
        <w:rPr>
          <w:spacing w:val="40"/>
          <w:sz w:val="22"/>
        </w:rPr>
        <w:t> </w:t>
      </w:r>
      <w:r>
        <w:rPr>
          <w:sz w:val="22"/>
        </w:rPr>
        <w:t>on</w:t>
      </w:r>
      <w:r>
        <w:rPr>
          <w:spacing w:val="40"/>
          <w:sz w:val="22"/>
        </w:rPr>
        <w:t> </w:t>
      </w:r>
      <w:r>
        <w:rPr>
          <w:sz w:val="22"/>
        </w:rPr>
        <w:t>postmenopausal</w:t>
      </w:r>
      <w:r>
        <w:rPr>
          <w:spacing w:val="40"/>
          <w:sz w:val="22"/>
        </w:rPr>
        <w:t> </w:t>
      </w:r>
      <w:r>
        <w:rPr>
          <w:sz w:val="22"/>
        </w:rPr>
        <w:t>symptoms,</w:t>
      </w:r>
      <w:r>
        <w:rPr>
          <w:spacing w:val="40"/>
          <w:sz w:val="22"/>
        </w:rPr>
        <w:t> </w:t>
      </w:r>
      <w:r>
        <w:rPr>
          <w:sz w:val="22"/>
        </w:rPr>
        <w:t>bone</w:t>
      </w:r>
      <w:r>
        <w:rPr>
          <w:spacing w:val="40"/>
          <w:sz w:val="22"/>
        </w:rPr>
        <w:t> </w:t>
      </w:r>
      <w:r>
        <w:rPr>
          <w:sz w:val="22"/>
        </w:rPr>
        <w:t>mineral</w:t>
      </w:r>
      <w:r>
        <w:rPr>
          <w:spacing w:val="40"/>
          <w:sz w:val="22"/>
        </w:rPr>
        <w:t> </w:t>
      </w:r>
      <w:r>
        <w:rPr>
          <w:sz w:val="22"/>
        </w:rPr>
        <w:t>density</w:t>
      </w:r>
      <w:r>
        <w:rPr>
          <w:spacing w:val="40"/>
          <w:sz w:val="22"/>
        </w:rPr>
        <w:t> </w:t>
      </w:r>
      <w:r>
        <w:rPr>
          <w:sz w:val="22"/>
        </w:rPr>
        <w:t>and</w:t>
      </w:r>
      <w:r>
        <w:rPr>
          <w:spacing w:val="40"/>
          <w:sz w:val="22"/>
        </w:rPr>
        <w:t> </w:t>
      </w:r>
      <w:r>
        <w:rPr>
          <w:sz w:val="22"/>
        </w:rPr>
        <w:t>recurrence rates. </w:t>
      </w:r>
      <w:r>
        <w:rPr>
          <w:i/>
          <w:sz w:val="22"/>
        </w:rPr>
        <w:t>Oncology</w:t>
      </w:r>
      <w:r>
        <w:rPr>
          <w:sz w:val="22"/>
        </w:rPr>
        <w:t>. 2001;60:199.</w:t>
      </w:r>
    </w:p>
    <w:p>
      <w:pPr>
        <w:spacing w:line="256" w:lineRule="auto" w:before="0"/>
        <w:ind w:left="718" w:right="106" w:hanging="619"/>
        <w:jc w:val="both"/>
        <w:rPr>
          <w:sz w:val="22"/>
        </w:rPr>
      </w:pPr>
      <w:r>
        <w:rPr>
          <w:sz w:val="22"/>
        </w:rPr>
        <w:t>1204.</w:t>
      </w:r>
      <w:r>
        <w:rPr>
          <w:spacing w:val="40"/>
          <w:sz w:val="22"/>
        </w:rPr>
        <w:t> </w:t>
      </w:r>
      <w:r>
        <w:rPr>
          <w:sz w:val="22"/>
        </w:rPr>
        <w:t>Puthugramam K, Gambrell RD Jr. Estrogen replacement therapy in patients with early </w:t>
      </w:r>
      <w:r>
        <w:rPr>
          <w:sz w:val="22"/>
        </w:rPr>
        <w:t>breast cancer. </w:t>
      </w:r>
      <w:r>
        <w:rPr>
          <w:i/>
          <w:sz w:val="22"/>
        </w:rPr>
        <w:t>Am J Obstet Gynecol</w:t>
      </w:r>
      <w:r>
        <w:rPr>
          <w:sz w:val="22"/>
        </w:rPr>
        <w:t>. 2002;187:289.</w:t>
      </w:r>
    </w:p>
    <w:p>
      <w:pPr>
        <w:spacing w:line="256" w:lineRule="auto" w:before="0"/>
        <w:ind w:left="718" w:right="108" w:hanging="619"/>
        <w:jc w:val="both"/>
        <w:rPr>
          <w:sz w:val="22"/>
        </w:rPr>
      </w:pPr>
      <w:r>
        <w:rPr>
          <w:sz w:val="22"/>
        </w:rPr>
        <w:t>1205. Decker DA, Pettinga JE, VanderVelde N, Huang RR, Kestin L, Burdakin JH. </w:t>
      </w:r>
      <w:r>
        <w:rPr>
          <w:sz w:val="22"/>
        </w:rPr>
        <w:t>Estrogen replacement therapy in breast cancer survivors: a matched-controlled series. </w:t>
      </w:r>
      <w:r>
        <w:rPr>
          <w:i/>
          <w:sz w:val="22"/>
        </w:rPr>
        <w:t>Menopause</w:t>
      </w:r>
      <w:r>
        <w:rPr>
          <w:sz w:val="22"/>
        </w:rPr>
        <w:t>. </w:t>
      </w:r>
      <w:r>
        <w:rPr>
          <w:spacing w:val="-2"/>
          <w:sz w:val="22"/>
        </w:rPr>
        <w:t>2003;10:277.</w:t>
      </w:r>
    </w:p>
    <w:p>
      <w:pPr>
        <w:spacing w:line="256" w:lineRule="auto" w:before="0"/>
        <w:ind w:left="718" w:right="98" w:hanging="619"/>
        <w:jc w:val="both"/>
        <w:rPr>
          <w:sz w:val="22"/>
        </w:rPr>
      </w:pPr>
      <w:r>
        <w:rPr>
          <w:sz w:val="22"/>
        </w:rPr>
        <w:t>1206. O’Meara ES, Rossing MA, Daling JR, Elmore JG, Barlow WE, Weiss NS. Hormone</w:t>
      </w:r>
      <w:r>
        <w:rPr>
          <w:spacing w:val="80"/>
          <w:sz w:val="22"/>
        </w:rPr>
        <w:t> </w:t>
      </w:r>
      <w:r>
        <w:rPr>
          <w:sz w:val="22"/>
        </w:rPr>
        <w:t>replacement therapy after a diagnosis of breast cancer in relation to recurrence and mortality. </w:t>
      </w:r>
      <w:r>
        <w:rPr>
          <w:i/>
          <w:sz w:val="22"/>
        </w:rPr>
        <w:t>J</w:t>
      </w:r>
      <w:r>
        <w:rPr>
          <w:i/>
          <w:sz w:val="22"/>
        </w:rPr>
        <w:t> Natl Cancer Inst</w:t>
      </w:r>
      <w:r>
        <w:rPr>
          <w:sz w:val="22"/>
        </w:rPr>
        <w:t>. 2001;93:754.</w:t>
      </w:r>
    </w:p>
    <w:p>
      <w:pPr>
        <w:spacing w:line="256" w:lineRule="auto" w:before="0"/>
        <w:ind w:left="718" w:right="110" w:hanging="619"/>
        <w:jc w:val="both"/>
        <w:rPr>
          <w:sz w:val="22"/>
        </w:rPr>
      </w:pPr>
      <w:r>
        <w:rPr>
          <w:sz w:val="22"/>
        </w:rPr>
        <w:t>1207. Vassilopoulou-Sellin R, Theriault RL. Randomized prospective trial of estrogen </w:t>
      </w:r>
      <w:r>
        <w:rPr>
          <w:sz w:val="22"/>
        </w:rPr>
        <w:t>replacement therapy in women with a history of breast cancer. </w:t>
      </w:r>
      <w:r>
        <w:rPr>
          <w:i/>
          <w:sz w:val="22"/>
        </w:rPr>
        <w:t>J Natl Cancer Inst</w:t>
      </w:r>
      <w:r>
        <w:rPr>
          <w:sz w:val="22"/>
        </w:rPr>
        <w:t>. 1994;16:153.</w:t>
      </w:r>
    </w:p>
    <w:p>
      <w:pPr>
        <w:spacing w:line="256" w:lineRule="auto" w:before="0"/>
        <w:ind w:left="718" w:right="107" w:hanging="619"/>
        <w:jc w:val="both"/>
        <w:rPr>
          <w:sz w:val="22"/>
        </w:rPr>
      </w:pPr>
      <w:r>
        <w:rPr>
          <w:sz w:val="22"/>
        </w:rPr>
        <w:t>1208. Vassilopoulou-Sellin R, Cohen DS, Hortobagyi GN, et al. Estrogen replacement therapy </w:t>
      </w:r>
      <w:r>
        <w:rPr>
          <w:sz w:val="22"/>
        </w:rPr>
        <w:t>for menopausal women with a history of breast carcinoma: results of a 5-year, prospective study. </w:t>
      </w:r>
      <w:r>
        <w:rPr>
          <w:i/>
          <w:sz w:val="22"/>
        </w:rPr>
        <w:t>Cancer</w:t>
      </w:r>
      <w:r>
        <w:rPr>
          <w:sz w:val="22"/>
        </w:rPr>
        <w:t>. 2002;95:1817.</w:t>
      </w:r>
    </w:p>
    <w:p>
      <w:pPr>
        <w:spacing w:line="256" w:lineRule="auto" w:before="0"/>
        <w:ind w:left="718" w:right="107" w:hanging="619"/>
        <w:jc w:val="both"/>
        <w:rPr>
          <w:sz w:val="22"/>
        </w:rPr>
      </w:pPr>
      <w:r>
        <w:rPr>
          <w:sz w:val="22"/>
        </w:rPr>
        <w:t>1209.</w:t>
      </w:r>
      <w:r>
        <w:rPr>
          <w:spacing w:val="40"/>
          <w:sz w:val="22"/>
        </w:rPr>
        <w:t> </w:t>
      </w:r>
      <w:r>
        <w:rPr>
          <w:sz w:val="22"/>
        </w:rPr>
        <w:t>Cold S, Cold F, Jensen MB, Cronin-Fenton D, Christiansen P, Ejlertsen B. Systemic or vaginal hormone therapy after early breast cancer: a Danish observational cohort study. </w:t>
      </w:r>
      <w:r>
        <w:rPr>
          <w:i/>
          <w:sz w:val="22"/>
        </w:rPr>
        <w:t>J Natl Cancer</w:t>
      </w:r>
      <w:r>
        <w:rPr>
          <w:i/>
          <w:sz w:val="22"/>
        </w:rPr>
        <w:t> Inst</w:t>
      </w:r>
      <w:r>
        <w:rPr>
          <w:sz w:val="22"/>
        </w:rPr>
        <w:t>. 2022;114(10):1347-1354.</w:t>
      </w:r>
    </w:p>
    <w:p>
      <w:pPr>
        <w:spacing w:line="256" w:lineRule="auto" w:before="0"/>
        <w:ind w:left="718" w:right="108" w:hanging="619"/>
        <w:jc w:val="both"/>
        <w:rPr>
          <w:sz w:val="22"/>
        </w:rPr>
      </w:pPr>
      <w:r>
        <w:rPr>
          <w:sz w:val="22"/>
        </w:rPr>
        <w:t>1210.</w:t>
      </w:r>
      <w:r>
        <w:rPr>
          <w:spacing w:val="40"/>
          <w:sz w:val="22"/>
        </w:rPr>
        <w:t> </w:t>
      </w:r>
      <w:r>
        <w:rPr>
          <w:sz w:val="22"/>
        </w:rPr>
        <w:t>Figueiredo JC, Bernstein L, Capanu M, et al. Oral contraceptives, postmenopausal </w:t>
      </w:r>
      <w:r>
        <w:rPr>
          <w:sz w:val="22"/>
        </w:rPr>
        <w:t>hormones,</w:t>
      </w:r>
      <w:r>
        <w:rPr>
          <w:spacing w:val="40"/>
          <w:sz w:val="22"/>
        </w:rPr>
        <w:t> </w:t>
      </w:r>
      <w:r>
        <w:rPr>
          <w:sz w:val="22"/>
        </w:rPr>
        <w:t>and risk of asynchronous bilateral breast cancer: the WECARE Study Group. </w:t>
      </w:r>
      <w:r>
        <w:rPr>
          <w:i/>
          <w:sz w:val="22"/>
        </w:rPr>
        <w:t>J Clin Oncol</w:t>
      </w:r>
      <w:r>
        <w:rPr>
          <w:sz w:val="22"/>
        </w:rPr>
        <w:t>. </w:t>
      </w:r>
      <w:r>
        <w:rPr>
          <w:spacing w:val="-2"/>
          <w:sz w:val="22"/>
        </w:rPr>
        <w:t>2008;26:1411.</w:t>
      </w:r>
    </w:p>
    <w:p>
      <w:pPr>
        <w:spacing w:line="256" w:lineRule="auto" w:before="0"/>
        <w:ind w:left="718" w:right="100" w:hanging="619"/>
        <w:jc w:val="both"/>
        <w:rPr>
          <w:sz w:val="22"/>
        </w:rPr>
      </w:pPr>
      <w:r>
        <w:rPr>
          <w:sz w:val="22"/>
        </w:rPr>
        <w:t>1211. Holmberg L, Anderson H; HABITS steering and data monitoring committees. </w:t>
      </w:r>
      <w:r>
        <w:rPr>
          <w:sz w:val="22"/>
        </w:rPr>
        <w:t>HABITS (hormonal</w:t>
      </w:r>
      <w:r>
        <w:rPr>
          <w:spacing w:val="40"/>
          <w:sz w:val="22"/>
        </w:rPr>
        <w:t> </w:t>
      </w:r>
      <w:r>
        <w:rPr>
          <w:sz w:val="22"/>
        </w:rPr>
        <w:t>replacement</w:t>
      </w:r>
      <w:r>
        <w:rPr>
          <w:spacing w:val="40"/>
          <w:sz w:val="22"/>
        </w:rPr>
        <w:t> </w:t>
      </w:r>
      <w:r>
        <w:rPr>
          <w:sz w:val="22"/>
        </w:rPr>
        <w:t>therapy</w:t>
      </w:r>
      <w:r>
        <w:rPr>
          <w:spacing w:val="40"/>
          <w:sz w:val="22"/>
        </w:rPr>
        <w:t> </w:t>
      </w:r>
      <w:r>
        <w:rPr>
          <w:sz w:val="22"/>
        </w:rPr>
        <w:t>after</w:t>
      </w:r>
      <w:r>
        <w:rPr>
          <w:spacing w:val="40"/>
          <w:sz w:val="22"/>
        </w:rPr>
        <w:t> </w:t>
      </w:r>
      <w:r>
        <w:rPr>
          <w:sz w:val="22"/>
        </w:rPr>
        <w:t>breast</w:t>
      </w:r>
      <w:r>
        <w:rPr>
          <w:spacing w:val="40"/>
          <w:sz w:val="22"/>
        </w:rPr>
        <w:t> </w:t>
      </w:r>
      <w:r>
        <w:rPr>
          <w:sz w:val="22"/>
        </w:rPr>
        <w:t>cancer—is</w:t>
      </w:r>
      <w:r>
        <w:rPr>
          <w:spacing w:val="40"/>
          <w:sz w:val="22"/>
        </w:rPr>
        <w:t> </w:t>
      </w:r>
      <w:r>
        <w:rPr>
          <w:sz w:val="22"/>
        </w:rPr>
        <w:t>it</w:t>
      </w:r>
      <w:r>
        <w:rPr>
          <w:spacing w:val="40"/>
          <w:sz w:val="22"/>
        </w:rPr>
        <w:t> </w:t>
      </w:r>
      <w:r>
        <w:rPr>
          <w:sz w:val="22"/>
        </w:rPr>
        <w:t>safe?),</w:t>
      </w:r>
      <w:r>
        <w:rPr>
          <w:spacing w:val="40"/>
          <w:sz w:val="22"/>
        </w:rPr>
        <w:t> </w:t>
      </w:r>
      <w:r>
        <w:rPr>
          <w:sz w:val="22"/>
        </w:rPr>
        <w:t>a</w:t>
      </w:r>
      <w:r>
        <w:rPr>
          <w:spacing w:val="40"/>
          <w:sz w:val="22"/>
        </w:rPr>
        <w:t> </w:t>
      </w:r>
      <w:r>
        <w:rPr>
          <w:sz w:val="22"/>
        </w:rPr>
        <w:t>randomized</w:t>
      </w:r>
      <w:r>
        <w:rPr>
          <w:spacing w:val="40"/>
          <w:sz w:val="22"/>
        </w:rPr>
        <w:t> </w:t>
      </w:r>
      <w:r>
        <w:rPr>
          <w:sz w:val="22"/>
        </w:rPr>
        <w:t>comparison: trial stopped. </w:t>
      </w:r>
      <w:r>
        <w:rPr>
          <w:i/>
          <w:sz w:val="22"/>
        </w:rPr>
        <w:t>Lancet</w:t>
      </w:r>
      <w:r>
        <w:rPr>
          <w:sz w:val="22"/>
        </w:rPr>
        <w:t>. 2004;363:453.</w:t>
      </w:r>
    </w:p>
    <w:p>
      <w:pPr>
        <w:spacing w:line="256" w:lineRule="auto" w:before="0"/>
        <w:ind w:left="718" w:right="99" w:hanging="619"/>
        <w:jc w:val="both"/>
        <w:rPr>
          <w:sz w:val="22"/>
        </w:rPr>
      </w:pPr>
      <w:r>
        <w:rPr>
          <w:sz w:val="22"/>
        </w:rPr>
        <w:t>1212. Holmberg L, Iversen O-E, Rudenstam CM, et al; on behalf of the HABITS Study Group. Increased risk of recurrence after hormone replacement therapy in breast cancer survivors. </w:t>
      </w:r>
      <w:r>
        <w:rPr>
          <w:i/>
          <w:sz w:val="22"/>
        </w:rPr>
        <w:t>J</w:t>
      </w:r>
      <w:r>
        <w:rPr>
          <w:i/>
          <w:spacing w:val="80"/>
          <w:sz w:val="22"/>
        </w:rPr>
        <w:t> </w:t>
      </w:r>
      <w:r>
        <w:rPr>
          <w:i/>
          <w:sz w:val="22"/>
        </w:rPr>
        <w:t>Natl Cancer Inst</w:t>
      </w:r>
      <w:r>
        <w:rPr>
          <w:sz w:val="22"/>
        </w:rPr>
        <w:t>. 2008;100:475.</w:t>
      </w:r>
    </w:p>
    <w:p>
      <w:pPr>
        <w:spacing w:line="256" w:lineRule="auto" w:before="0"/>
        <w:ind w:left="718" w:right="111" w:hanging="619"/>
        <w:jc w:val="both"/>
        <w:rPr>
          <w:sz w:val="22"/>
        </w:rPr>
      </w:pPr>
      <w:r>
        <w:rPr>
          <w:sz w:val="22"/>
        </w:rPr>
        <w:t>1213. von Schoultz E, Rutqvist LE; Stockholm Breast Cancer Study Group. Menopausal </w:t>
      </w:r>
      <w:r>
        <w:rPr>
          <w:sz w:val="22"/>
        </w:rPr>
        <w:t>hormone therapy after breast cancer: the Stockholm randomized trial. </w:t>
      </w:r>
      <w:r>
        <w:rPr>
          <w:i/>
          <w:sz w:val="22"/>
        </w:rPr>
        <w:t>J Natl Cancer Inst</w:t>
      </w:r>
      <w:r>
        <w:rPr>
          <w:sz w:val="22"/>
        </w:rPr>
        <w:t>. 2005;97:533.</w:t>
      </w:r>
    </w:p>
    <w:p>
      <w:pPr>
        <w:spacing w:line="256" w:lineRule="auto" w:before="0"/>
        <w:ind w:left="718" w:right="98" w:hanging="619"/>
        <w:jc w:val="both"/>
        <w:rPr>
          <w:sz w:val="22"/>
        </w:rPr>
      </w:pPr>
      <w:r>
        <w:rPr>
          <w:sz w:val="22"/>
        </w:rPr>
        <w:t>1214. Samaras K, Kelly RP, Hayward CS, Campbell LV, Sullivan D. Effects of </w:t>
      </w:r>
      <w:r>
        <w:rPr>
          <w:sz w:val="22"/>
        </w:rPr>
        <w:t>postmenopausal hormone</w:t>
      </w:r>
      <w:r>
        <w:rPr>
          <w:spacing w:val="40"/>
          <w:sz w:val="22"/>
        </w:rPr>
        <w:t> </w:t>
      </w:r>
      <w:r>
        <w:rPr>
          <w:sz w:val="22"/>
        </w:rPr>
        <w:t>replacement</w:t>
      </w:r>
      <w:r>
        <w:rPr>
          <w:spacing w:val="40"/>
          <w:sz w:val="22"/>
        </w:rPr>
        <w:t> </w:t>
      </w:r>
      <w:r>
        <w:rPr>
          <w:sz w:val="22"/>
        </w:rPr>
        <w:t>therapy</w:t>
      </w:r>
      <w:r>
        <w:rPr>
          <w:spacing w:val="40"/>
          <w:sz w:val="22"/>
        </w:rPr>
        <w:t> </w:t>
      </w:r>
      <w:r>
        <w:rPr>
          <w:sz w:val="22"/>
        </w:rPr>
        <w:t>on</w:t>
      </w:r>
      <w:r>
        <w:rPr>
          <w:spacing w:val="40"/>
          <w:sz w:val="22"/>
        </w:rPr>
        <w:t> </w:t>
      </w:r>
      <w:r>
        <w:rPr>
          <w:sz w:val="22"/>
        </w:rPr>
        <w:t>central</w:t>
      </w:r>
      <w:r>
        <w:rPr>
          <w:spacing w:val="40"/>
          <w:sz w:val="22"/>
        </w:rPr>
        <w:t> </w:t>
      </w:r>
      <w:r>
        <w:rPr>
          <w:sz w:val="22"/>
        </w:rPr>
        <w:t>abdominal</w:t>
      </w:r>
      <w:r>
        <w:rPr>
          <w:spacing w:val="40"/>
          <w:sz w:val="22"/>
        </w:rPr>
        <w:t> </w:t>
      </w:r>
      <w:r>
        <w:rPr>
          <w:sz w:val="22"/>
        </w:rPr>
        <w:t>fat,</w:t>
      </w:r>
      <w:r>
        <w:rPr>
          <w:spacing w:val="40"/>
          <w:sz w:val="22"/>
        </w:rPr>
        <w:t> </w:t>
      </w:r>
      <w:r>
        <w:rPr>
          <w:sz w:val="22"/>
        </w:rPr>
        <w:t>glycemic</w:t>
      </w:r>
      <w:r>
        <w:rPr>
          <w:spacing w:val="40"/>
          <w:sz w:val="22"/>
        </w:rPr>
        <w:t> </w:t>
      </w:r>
      <w:r>
        <w:rPr>
          <w:sz w:val="22"/>
        </w:rPr>
        <w:t>control,</w:t>
      </w:r>
      <w:r>
        <w:rPr>
          <w:spacing w:val="40"/>
          <w:sz w:val="22"/>
        </w:rPr>
        <w:t> </w:t>
      </w:r>
      <w:r>
        <w:rPr>
          <w:sz w:val="22"/>
        </w:rPr>
        <w:t>lipid</w:t>
      </w:r>
      <w:r>
        <w:rPr>
          <w:spacing w:val="40"/>
          <w:sz w:val="22"/>
        </w:rPr>
        <w:t> </w:t>
      </w:r>
      <w:r>
        <w:rPr>
          <w:sz w:val="22"/>
        </w:rPr>
        <w:t>metabolism, and vascular factors in type 2 diabetes. </w:t>
      </w:r>
      <w:r>
        <w:rPr>
          <w:i/>
          <w:sz w:val="22"/>
        </w:rPr>
        <w:t>Diabetes Care</w:t>
      </w:r>
      <w:r>
        <w:rPr>
          <w:sz w:val="22"/>
        </w:rPr>
        <w:t>. 1999;22:1401.</w:t>
      </w:r>
    </w:p>
    <w:p>
      <w:pPr>
        <w:spacing w:line="256" w:lineRule="auto" w:before="0"/>
        <w:ind w:left="718" w:right="99" w:hanging="619"/>
        <w:jc w:val="both"/>
        <w:rPr>
          <w:sz w:val="22"/>
        </w:rPr>
      </w:pPr>
      <w:r>
        <w:rPr>
          <w:sz w:val="22"/>
        </w:rPr>
        <w:t>1215.</w:t>
      </w:r>
      <w:r>
        <w:rPr>
          <w:spacing w:val="40"/>
          <w:sz w:val="22"/>
        </w:rPr>
        <w:t> </w:t>
      </w:r>
      <w:r>
        <w:rPr>
          <w:sz w:val="22"/>
        </w:rPr>
        <w:t>Cornu</w:t>
      </w:r>
      <w:r>
        <w:rPr>
          <w:spacing w:val="40"/>
          <w:sz w:val="22"/>
        </w:rPr>
        <w:t> </w:t>
      </w:r>
      <w:r>
        <w:rPr>
          <w:sz w:val="22"/>
        </w:rPr>
        <w:t>C,</w:t>
      </w:r>
      <w:r>
        <w:rPr>
          <w:spacing w:val="40"/>
          <w:sz w:val="22"/>
        </w:rPr>
        <w:t> </w:t>
      </w:r>
      <w:r>
        <w:rPr>
          <w:sz w:val="22"/>
        </w:rPr>
        <w:t>Mercier</w:t>
      </w:r>
      <w:r>
        <w:rPr>
          <w:spacing w:val="40"/>
          <w:sz w:val="22"/>
        </w:rPr>
        <w:t> </w:t>
      </w:r>
      <w:r>
        <w:rPr>
          <w:sz w:val="22"/>
        </w:rPr>
        <w:t>C,</w:t>
      </w:r>
      <w:r>
        <w:rPr>
          <w:spacing w:val="40"/>
          <w:sz w:val="22"/>
        </w:rPr>
        <w:t> </w:t>
      </w:r>
      <w:r>
        <w:rPr>
          <w:sz w:val="22"/>
        </w:rPr>
        <w:t>French</w:t>
      </w:r>
      <w:r>
        <w:rPr>
          <w:spacing w:val="40"/>
          <w:sz w:val="22"/>
        </w:rPr>
        <w:t> </w:t>
      </w:r>
      <w:r>
        <w:rPr>
          <w:sz w:val="22"/>
        </w:rPr>
        <w:t>P,</w:t>
      </w:r>
      <w:r>
        <w:rPr>
          <w:spacing w:val="40"/>
          <w:sz w:val="22"/>
        </w:rPr>
        <w:t> </w:t>
      </w:r>
      <w:r>
        <w:rPr>
          <w:sz w:val="22"/>
        </w:rPr>
        <w:t>et</w:t>
      </w:r>
      <w:r>
        <w:rPr>
          <w:spacing w:val="40"/>
          <w:sz w:val="22"/>
        </w:rPr>
        <w:t> </w:t>
      </w:r>
      <w:r>
        <w:rPr>
          <w:sz w:val="22"/>
        </w:rPr>
        <w:t>al.</w:t>
      </w:r>
      <w:r>
        <w:rPr>
          <w:spacing w:val="40"/>
          <w:sz w:val="22"/>
        </w:rPr>
        <w:t> </w:t>
      </w:r>
      <w:r>
        <w:rPr>
          <w:sz w:val="22"/>
        </w:rPr>
        <w:t>Postmenopause</w:t>
      </w:r>
      <w:r>
        <w:rPr>
          <w:spacing w:val="40"/>
          <w:sz w:val="22"/>
        </w:rPr>
        <w:t> </w:t>
      </w:r>
      <w:r>
        <w:rPr>
          <w:sz w:val="22"/>
        </w:rPr>
        <w:t>hormone</w:t>
      </w:r>
      <w:r>
        <w:rPr>
          <w:spacing w:val="40"/>
          <w:sz w:val="22"/>
        </w:rPr>
        <w:t> </w:t>
      </w:r>
      <w:r>
        <w:rPr>
          <w:sz w:val="22"/>
        </w:rPr>
        <w:t>treatment</w:t>
      </w:r>
      <w:r>
        <w:rPr>
          <w:spacing w:val="40"/>
          <w:sz w:val="22"/>
        </w:rPr>
        <w:t> </w:t>
      </w:r>
      <w:r>
        <w:rPr>
          <w:sz w:val="22"/>
        </w:rPr>
        <w:t>in</w:t>
      </w:r>
      <w:r>
        <w:rPr>
          <w:spacing w:val="40"/>
          <w:sz w:val="22"/>
        </w:rPr>
        <w:t> </w:t>
      </w:r>
      <w:r>
        <w:rPr>
          <w:sz w:val="22"/>
        </w:rPr>
        <w:t>women</w:t>
      </w:r>
      <w:r>
        <w:rPr>
          <w:spacing w:val="40"/>
          <w:sz w:val="22"/>
        </w:rPr>
        <w:t> </w:t>
      </w:r>
      <w:r>
        <w:rPr>
          <w:sz w:val="22"/>
        </w:rPr>
        <w:t>with NIDDM</w:t>
      </w:r>
      <w:r>
        <w:rPr>
          <w:spacing w:val="68"/>
          <w:sz w:val="22"/>
        </w:rPr>
        <w:t> </w:t>
      </w:r>
      <w:r>
        <w:rPr>
          <w:sz w:val="22"/>
        </w:rPr>
        <w:t>or</w:t>
      </w:r>
      <w:r>
        <w:rPr>
          <w:spacing w:val="69"/>
          <w:sz w:val="22"/>
        </w:rPr>
        <w:t> </w:t>
      </w:r>
      <w:r>
        <w:rPr>
          <w:sz w:val="22"/>
        </w:rPr>
        <w:t>impaired</w:t>
      </w:r>
      <w:r>
        <w:rPr>
          <w:spacing w:val="69"/>
          <w:sz w:val="22"/>
        </w:rPr>
        <w:t> </w:t>
      </w:r>
      <w:r>
        <w:rPr>
          <w:sz w:val="22"/>
        </w:rPr>
        <w:t>glucose</w:t>
      </w:r>
      <w:r>
        <w:rPr>
          <w:spacing w:val="68"/>
          <w:sz w:val="22"/>
        </w:rPr>
        <w:t> </w:t>
      </w:r>
      <w:r>
        <w:rPr>
          <w:sz w:val="22"/>
        </w:rPr>
        <w:t>tolerance:</w:t>
      </w:r>
      <w:r>
        <w:rPr>
          <w:spacing w:val="69"/>
          <w:sz w:val="22"/>
        </w:rPr>
        <w:t> </w:t>
      </w:r>
      <w:r>
        <w:rPr>
          <w:sz w:val="22"/>
        </w:rPr>
        <w:t>the</w:t>
      </w:r>
      <w:r>
        <w:rPr>
          <w:spacing w:val="69"/>
          <w:sz w:val="22"/>
        </w:rPr>
        <w:t> </w:t>
      </w:r>
      <w:r>
        <w:rPr>
          <w:sz w:val="22"/>
        </w:rPr>
        <w:t>MEDIA</w:t>
      </w:r>
      <w:r>
        <w:rPr>
          <w:spacing w:val="68"/>
          <w:sz w:val="22"/>
        </w:rPr>
        <w:t> </w:t>
      </w:r>
      <w:r>
        <w:rPr>
          <w:sz w:val="22"/>
        </w:rPr>
        <w:t>randomized</w:t>
      </w:r>
      <w:r>
        <w:rPr>
          <w:spacing w:val="69"/>
          <w:sz w:val="22"/>
        </w:rPr>
        <w:t> </w:t>
      </w:r>
      <w:r>
        <w:rPr>
          <w:sz w:val="22"/>
        </w:rPr>
        <w:t>clinical</w:t>
      </w:r>
      <w:r>
        <w:rPr>
          <w:spacing w:val="69"/>
          <w:sz w:val="22"/>
        </w:rPr>
        <w:t> </w:t>
      </w:r>
      <w:r>
        <w:rPr>
          <w:sz w:val="22"/>
        </w:rPr>
        <w:t>trial.</w:t>
      </w:r>
      <w:r>
        <w:rPr>
          <w:spacing w:val="68"/>
          <w:sz w:val="22"/>
        </w:rPr>
        <w:t> </w:t>
      </w:r>
      <w:r>
        <w:rPr>
          <w:i/>
          <w:spacing w:val="-2"/>
          <w:sz w:val="22"/>
        </w:rPr>
        <w:t>Maturitas</w:t>
      </w:r>
      <w:r>
        <w:rPr>
          <w:spacing w:val="-2"/>
          <w:sz w:val="22"/>
        </w:rPr>
        <w:t>.</w:t>
      </w:r>
    </w:p>
    <w:p>
      <w:pPr>
        <w:spacing w:after="0" w:line="256" w:lineRule="auto"/>
        <w:jc w:val="both"/>
        <w:rPr>
          <w:sz w:val="22"/>
        </w:rPr>
        <w:sectPr>
          <w:pgSz w:w="12240" w:h="15840"/>
          <w:pgMar w:top="1360" w:bottom="280" w:left="1440" w:right="1440"/>
        </w:sectPr>
      </w:pPr>
    </w:p>
    <w:p>
      <w:pPr>
        <w:spacing w:before="84"/>
        <w:ind w:left="718" w:right="0" w:firstLine="0"/>
        <w:jc w:val="left"/>
        <w:rPr>
          <w:sz w:val="22"/>
        </w:rPr>
      </w:pPr>
      <w:r>
        <w:rPr>
          <w:spacing w:val="-2"/>
          <w:sz w:val="22"/>
        </w:rPr>
        <w:t>2000;37:95.</w:t>
      </w:r>
    </w:p>
    <w:p>
      <w:pPr>
        <w:spacing w:line="256" w:lineRule="auto" w:before="17"/>
        <w:ind w:left="718" w:right="111" w:hanging="619"/>
        <w:jc w:val="both"/>
        <w:rPr>
          <w:sz w:val="22"/>
        </w:rPr>
      </w:pPr>
      <w:r>
        <w:rPr>
          <w:sz w:val="22"/>
        </w:rPr>
        <w:t>1216.</w:t>
      </w:r>
      <w:r>
        <w:rPr>
          <w:spacing w:val="40"/>
          <w:sz w:val="22"/>
        </w:rPr>
        <w:t> </w:t>
      </w:r>
      <w:r>
        <w:rPr>
          <w:sz w:val="22"/>
        </w:rPr>
        <w:t>Darko DA, Dornhorst A, Kennedy G, Mandeno RC, Seed M. Glycaemic control and </w:t>
      </w:r>
      <w:r>
        <w:rPr>
          <w:sz w:val="22"/>
        </w:rPr>
        <w:t>plasma lipoproteins in menopausal women with Type 2 diabetes treated with oral and transdermal combined hormone replacement therapy. </w:t>
      </w:r>
      <w:r>
        <w:rPr>
          <w:i/>
          <w:sz w:val="22"/>
        </w:rPr>
        <w:t>Diabetes Res Clin Pract</w:t>
      </w:r>
      <w:r>
        <w:rPr>
          <w:sz w:val="22"/>
        </w:rPr>
        <w:t>. 2001;54:157.</w:t>
      </w:r>
    </w:p>
    <w:p>
      <w:pPr>
        <w:spacing w:line="256" w:lineRule="auto" w:before="0"/>
        <w:ind w:left="718" w:right="102" w:hanging="619"/>
        <w:jc w:val="both"/>
        <w:rPr>
          <w:sz w:val="22"/>
        </w:rPr>
      </w:pPr>
      <w:r>
        <w:rPr>
          <w:sz w:val="22"/>
        </w:rPr>
        <w:t>1217. Ferrara A, Liu JY, Karter AJ, Selby JV, Ackerson LM. Hormone replacement therapy is associated with better glycemic control in women with type 2 diabetes. </w:t>
      </w:r>
      <w:r>
        <w:rPr>
          <w:i/>
          <w:sz w:val="22"/>
        </w:rPr>
        <w:t>Diabetes Care</w:t>
      </w:r>
      <w:r>
        <w:rPr>
          <w:sz w:val="22"/>
        </w:rPr>
        <w:t>. </w:t>
      </w:r>
      <w:r>
        <w:rPr>
          <w:spacing w:val="-2"/>
          <w:sz w:val="22"/>
        </w:rPr>
        <w:t>2001;24:1144.</w:t>
      </w:r>
    </w:p>
    <w:p>
      <w:pPr>
        <w:spacing w:line="256" w:lineRule="auto" w:before="0"/>
        <w:ind w:left="718" w:right="105" w:hanging="619"/>
        <w:jc w:val="both"/>
        <w:rPr>
          <w:sz w:val="22"/>
        </w:rPr>
      </w:pPr>
      <w:r>
        <w:rPr>
          <w:sz w:val="22"/>
        </w:rPr>
        <w:t>1218. Fenkci S, Fenkci V, Yilmazer M, Serteser M, Koken T. Effects of short-term </w:t>
      </w:r>
      <w:r>
        <w:rPr>
          <w:sz w:val="22"/>
        </w:rPr>
        <w:t>transdermal hormone replacement therapy on glycaemic control, lipid metabolism, C-reactive protein and proteinuria in postmenopausal women with type 2 diabetes or hypertension. </w:t>
      </w:r>
      <w:r>
        <w:rPr>
          <w:i/>
          <w:sz w:val="22"/>
        </w:rPr>
        <w:t>Hum Reprod</w:t>
      </w:r>
      <w:r>
        <w:rPr>
          <w:sz w:val="22"/>
        </w:rPr>
        <w:t>. </w:t>
      </w:r>
      <w:r>
        <w:rPr>
          <w:spacing w:val="-2"/>
          <w:sz w:val="22"/>
        </w:rPr>
        <w:t>2003;18:866.</w:t>
      </w:r>
    </w:p>
    <w:p>
      <w:pPr>
        <w:spacing w:line="256" w:lineRule="auto" w:before="0"/>
        <w:ind w:left="718" w:right="102" w:hanging="619"/>
        <w:jc w:val="both"/>
        <w:rPr>
          <w:sz w:val="22"/>
        </w:rPr>
      </w:pPr>
      <w:r>
        <w:rPr>
          <w:sz w:val="22"/>
        </w:rPr>
        <w:t>1219. Ferrara A, Quesenberry CP, Karter AJ, Njoroge CW, Jacobson AS, Selby JV; Northern</w:t>
      </w:r>
      <w:r>
        <w:rPr>
          <w:spacing w:val="40"/>
          <w:sz w:val="22"/>
        </w:rPr>
        <w:t> </w:t>
      </w:r>
      <w:r>
        <w:rPr>
          <w:sz w:val="22"/>
        </w:rPr>
        <w:t>California Kaiser Permanente Diabetes Registry. Current use of unopposed estrogen </w:t>
      </w:r>
      <w:r>
        <w:rPr>
          <w:sz w:val="22"/>
        </w:rPr>
        <w:t>and estrogen</w:t>
      </w:r>
      <w:r>
        <w:rPr>
          <w:spacing w:val="40"/>
          <w:sz w:val="22"/>
        </w:rPr>
        <w:t> </w:t>
      </w:r>
      <w:r>
        <w:rPr>
          <w:sz w:val="22"/>
        </w:rPr>
        <w:t>plus</w:t>
      </w:r>
      <w:r>
        <w:rPr>
          <w:spacing w:val="40"/>
          <w:sz w:val="22"/>
        </w:rPr>
        <w:t> </w:t>
      </w:r>
      <w:r>
        <w:rPr>
          <w:sz w:val="22"/>
        </w:rPr>
        <w:t>progestin</w:t>
      </w:r>
      <w:r>
        <w:rPr>
          <w:spacing w:val="40"/>
          <w:sz w:val="22"/>
        </w:rPr>
        <w:t> </w:t>
      </w:r>
      <w:r>
        <w:rPr>
          <w:sz w:val="22"/>
        </w:rPr>
        <w:t>and</w:t>
      </w:r>
      <w:r>
        <w:rPr>
          <w:spacing w:val="40"/>
          <w:sz w:val="22"/>
        </w:rPr>
        <w:t> </w:t>
      </w:r>
      <w:r>
        <w:rPr>
          <w:sz w:val="22"/>
        </w:rPr>
        <w:t>the</w:t>
      </w:r>
      <w:r>
        <w:rPr>
          <w:spacing w:val="40"/>
          <w:sz w:val="22"/>
        </w:rPr>
        <w:t> </w:t>
      </w:r>
      <w:r>
        <w:rPr>
          <w:sz w:val="22"/>
        </w:rPr>
        <w:t>risk</w:t>
      </w:r>
      <w:r>
        <w:rPr>
          <w:spacing w:val="40"/>
          <w:sz w:val="22"/>
        </w:rPr>
        <w:t> </w:t>
      </w:r>
      <w:r>
        <w:rPr>
          <w:sz w:val="22"/>
        </w:rPr>
        <w:t>of</w:t>
      </w:r>
      <w:r>
        <w:rPr>
          <w:spacing w:val="40"/>
          <w:sz w:val="22"/>
        </w:rPr>
        <w:t> </w:t>
      </w:r>
      <w:r>
        <w:rPr>
          <w:sz w:val="22"/>
        </w:rPr>
        <w:t>acute</w:t>
      </w:r>
      <w:r>
        <w:rPr>
          <w:spacing w:val="40"/>
          <w:sz w:val="22"/>
        </w:rPr>
        <w:t> </w:t>
      </w:r>
      <w:r>
        <w:rPr>
          <w:sz w:val="22"/>
        </w:rPr>
        <w:t>myocardial</w:t>
      </w:r>
      <w:r>
        <w:rPr>
          <w:spacing w:val="40"/>
          <w:sz w:val="22"/>
        </w:rPr>
        <w:t> </w:t>
      </w:r>
      <w:r>
        <w:rPr>
          <w:sz w:val="22"/>
        </w:rPr>
        <w:t>infarction</w:t>
      </w:r>
      <w:r>
        <w:rPr>
          <w:spacing w:val="40"/>
          <w:sz w:val="22"/>
        </w:rPr>
        <w:t> </w:t>
      </w:r>
      <w:r>
        <w:rPr>
          <w:sz w:val="22"/>
        </w:rPr>
        <w:t>among</w:t>
      </w:r>
      <w:r>
        <w:rPr>
          <w:spacing w:val="40"/>
          <w:sz w:val="22"/>
        </w:rPr>
        <w:t> </w:t>
      </w:r>
      <w:r>
        <w:rPr>
          <w:sz w:val="22"/>
        </w:rPr>
        <w:t>women</w:t>
      </w:r>
      <w:r>
        <w:rPr>
          <w:spacing w:val="40"/>
          <w:sz w:val="22"/>
        </w:rPr>
        <w:t> </w:t>
      </w:r>
      <w:r>
        <w:rPr>
          <w:sz w:val="22"/>
        </w:rPr>
        <w:t>with diabetes: the Northern California Kaiser Permanente Diabetes Registry, 1995-1998.</w:t>
      </w:r>
      <w:r>
        <w:rPr>
          <w:spacing w:val="80"/>
          <w:w w:val="150"/>
          <w:sz w:val="22"/>
        </w:rPr>
        <w:t> </w:t>
      </w:r>
      <w:r>
        <w:rPr>
          <w:i/>
          <w:sz w:val="22"/>
        </w:rPr>
        <w:t>Circulation</w:t>
      </w:r>
      <w:r>
        <w:rPr>
          <w:sz w:val="22"/>
        </w:rPr>
        <w:t>. 2003;107:43.</w:t>
      </w:r>
    </w:p>
    <w:p>
      <w:pPr>
        <w:spacing w:line="256" w:lineRule="auto" w:before="0"/>
        <w:ind w:left="718" w:right="103" w:hanging="619"/>
        <w:jc w:val="both"/>
        <w:rPr>
          <w:sz w:val="22"/>
        </w:rPr>
      </w:pPr>
      <w:r>
        <w:rPr>
          <w:sz w:val="22"/>
        </w:rPr>
        <w:t>1220.</w:t>
      </w:r>
      <w:r>
        <w:rPr>
          <w:spacing w:val="40"/>
          <w:sz w:val="22"/>
        </w:rPr>
        <w:t> </w:t>
      </w:r>
      <w:r>
        <w:rPr>
          <w:sz w:val="22"/>
        </w:rPr>
        <w:t>Cagnacci A, Paoletti AM, Zanni A, et al. Raloxifene does not modify insulin sensitivity </w:t>
      </w:r>
      <w:r>
        <w:rPr>
          <w:sz w:val="22"/>
        </w:rPr>
        <w:t>and glucose metabolism in postmenopausal women. </w:t>
      </w:r>
      <w:r>
        <w:rPr>
          <w:i/>
          <w:sz w:val="22"/>
        </w:rPr>
        <w:t>J Clin Endocrinol Metab</w:t>
      </w:r>
      <w:r>
        <w:rPr>
          <w:sz w:val="22"/>
        </w:rPr>
        <w:t>. 2002;87:4117.</w:t>
      </w:r>
    </w:p>
    <w:p>
      <w:pPr>
        <w:spacing w:line="256" w:lineRule="auto" w:before="0"/>
        <w:ind w:left="718" w:right="100" w:hanging="619"/>
        <w:jc w:val="both"/>
        <w:rPr>
          <w:sz w:val="22"/>
        </w:rPr>
      </w:pPr>
      <w:r>
        <w:rPr>
          <w:sz w:val="22"/>
        </w:rPr>
        <w:t>1221.</w:t>
      </w:r>
      <w:r>
        <w:rPr>
          <w:spacing w:val="40"/>
          <w:sz w:val="22"/>
        </w:rPr>
        <w:t> </w:t>
      </w:r>
      <w:r>
        <w:rPr>
          <w:sz w:val="22"/>
        </w:rPr>
        <w:t>Cucinelli F, Soranna L, Romualdi D, Muzj G, Mancuso S, Lanzone A. The effect of raloxifene on glyco-insulinemic homeostasis in healthy postmenopausal women: a randomized </w:t>
      </w:r>
      <w:r>
        <w:rPr>
          <w:sz w:val="22"/>
        </w:rPr>
        <w:t>placebo-controlled study. </w:t>
      </w:r>
      <w:r>
        <w:rPr>
          <w:i/>
          <w:sz w:val="22"/>
        </w:rPr>
        <w:t>J Clin Endocrinol Metab</w:t>
      </w:r>
      <w:r>
        <w:rPr>
          <w:sz w:val="22"/>
        </w:rPr>
        <w:t>. 2002;87:4186.</w:t>
      </w:r>
    </w:p>
    <w:p>
      <w:pPr>
        <w:spacing w:line="256" w:lineRule="auto" w:before="0"/>
        <w:ind w:left="718" w:right="99" w:hanging="619"/>
        <w:jc w:val="both"/>
        <w:rPr>
          <w:sz w:val="22"/>
        </w:rPr>
      </w:pPr>
      <w:r>
        <w:rPr>
          <w:sz w:val="22"/>
        </w:rPr>
        <w:t>1222.</w:t>
      </w:r>
      <w:r>
        <w:rPr>
          <w:spacing w:val="40"/>
          <w:sz w:val="22"/>
        </w:rPr>
        <w:t> </w:t>
      </w:r>
      <w:r>
        <w:rPr>
          <w:sz w:val="22"/>
        </w:rPr>
        <w:t>Crippin JS, Jorgensen RA, Dickson ER, Lindor KD. Hepatic osteodystrophy in primary </w:t>
      </w:r>
      <w:r>
        <w:rPr>
          <w:sz w:val="22"/>
        </w:rPr>
        <w:t>biliary cirrhosis: effects of medical treatment. </w:t>
      </w:r>
      <w:r>
        <w:rPr>
          <w:i/>
          <w:sz w:val="22"/>
        </w:rPr>
        <w:t>Am J Gastroenterol</w:t>
      </w:r>
      <w:r>
        <w:rPr>
          <w:sz w:val="22"/>
        </w:rPr>
        <w:t>. 1994;89:47.</w:t>
      </w:r>
    </w:p>
    <w:p>
      <w:pPr>
        <w:spacing w:line="256" w:lineRule="auto" w:before="0"/>
        <w:ind w:left="718" w:right="101" w:hanging="619"/>
        <w:jc w:val="both"/>
        <w:rPr>
          <w:sz w:val="22"/>
        </w:rPr>
      </w:pPr>
      <w:r>
        <w:rPr>
          <w:sz w:val="22"/>
        </w:rPr>
        <w:t>1223. Menon KV, Angulo P, Boe GM, Landor KD. Safety and efficacy of estrogen therapy in preventing bone loss in primary biliary cirrhosis. </w:t>
      </w:r>
      <w:r>
        <w:rPr>
          <w:i/>
          <w:sz w:val="22"/>
        </w:rPr>
        <w:t>Am J Gastroenterol</w:t>
      </w:r>
      <w:r>
        <w:rPr>
          <w:sz w:val="22"/>
        </w:rPr>
        <w:t>. 2003;98:889.</w:t>
      </w:r>
    </w:p>
    <w:p>
      <w:pPr>
        <w:spacing w:line="256" w:lineRule="auto" w:before="0"/>
        <w:ind w:left="718" w:right="106" w:hanging="619"/>
        <w:jc w:val="both"/>
        <w:rPr>
          <w:sz w:val="22"/>
        </w:rPr>
      </w:pPr>
      <w:r>
        <w:rPr>
          <w:sz w:val="22"/>
        </w:rPr>
        <w:t>1224. Ormarsd6ttir S, Mallmin H, Naessén T, et al. An open, randomized, controlled study of transdermal</w:t>
      </w:r>
      <w:r>
        <w:rPr>
          <w:spacing w:val="15"/>
          <w:sz w:val="22"/>
        </w:rPr>
        <w:t> </w:t>
      </w:r>
      <w:r>
        <w:rPr>
          <w:sz w:val="22"/>
        </w:rPr>
        <w:t>hormone</w:t>
      </w:r>
      <w:r>
        <w:rPr>
          <w:spacing w:val="15"/>
          <w:sz w:val="22"/>
        </w:rPr>
        <w:t> </w:t>
      </w:r>
      <w:r>
        <w:rPr>
          <w:sz w:val="22"/>
        </w:rPr>
        <w:t>replacement</w:t>
      </w:r>
      <w:r>
        <w:rPr>
          <w:spacing w:val="15"/>
          <w:sz w:val="22"/>
        </w:rPr>
        <w:t> </w:t>
      </w:r>
      <w:r>
        <w:rPr>
          <w:sz w:val="22"/>
        </w:rPr>
        <w:t>therapy</w:t>
      </w:r>
      <w:r>
        <w:rPr>
          <w:spacing w:val="15"/>
          <w:sz w:val="22"/>
        </w:rPr>
        <w:t> </w:t>
      </w:r>
      <w:r>
        <w:rPr>
          <w:sz w:val="22"/>
        </w:rPr>
        <w:t>on</w:t>
      </w:r>
      <w:r>
        <w:rPr>
          <w:spacing w:val="15"/>
          <w:sz w:val="22"/>
        </w:rPr>
        <w:t> </w:t>
      </w:r>
      <w:r>
        <w:rPr>
          <w:sz w:val="22"/>
        </w:rPr>
        <w:t>the</w:t>
      </w:r>
      <w:r>
        <w:rPr>
          <w:spacing w:val="15"/>
          <w:sz w:val="22"/>
        </w:rPr>
        <w:t> </w:t>
      </w:r>
      <w:r>
        <w:rPr>
          <w:sz w:val="22"/>
        </w:rPr>
        <w:t>rate</w:t>
      </w:r>
      <w:r>
        <w:rPr>
          <w:spacing w:val="15"/>
          <w:sz w:val="22"/>
        </w:rPr>
        <w:t> </w:t>
      </w:r>
      <w:r>
        <w:rPr>
          <w:sz w:val="22"/>
        </w:rPr>
        <w:t>of</w:t>
      </w:r>
      <w:r>
        <w:rPr>
          <w:spacing w:val="15"/>
          <w:sz w:val="22"/>
        </w:rPr>
        <w:t> </w:t>
      </w:r>
      <w:r>
        <w:rPr>
          <w:sz w:val="22"/>
        </w:rPr>
        <w:t>bone</w:t>
      </w:r>
      <w:r>
        <w:rPr>
          <w:spacing w:val="15"/>
          <w:sz w:val="22"/>
        </w:rPr>
        <w:t> </w:t>
      </w:r>
      <w:r>
        <w:rPr>
          <w:sz w:val="22"/>
        </w:rPr>
        <w:t>loss</w:t>
      </w:r>
      <w:r>
        <w:rPr>
          <w:spacing w:val="15"/>
          <w:sz w:val="22"/>
        </w:rPr>
        <w:t> </w:t>
      </w:r>
      <w:r>
        <w:rPr>
          <w:sz w:val="22"/>
        </w:rPr>
        <w:t>in</w:t>
      </w:r>
      <w:r>
        <w:rPr>
          <w:spacing w:val="15"/>
          <w:sz w:val="22"/>
        </w:rPr>
        <w:t> </w:t>
      </w:r>
      <w:r>
        <w:rPr>
          <w:sz w:val="22"/>
        </w:rPr>
        <w:t>primary</w:t>
      </w:r>
      <w:r>
        <w:rPr>
          <w:spacing w:val="15"/>
          <w:sz w:val="22"/>
        </w:rPr>
        <w:t> </w:t>
      </w:r>
      <w:r>
        <w:rPr>
          <w:sz w:val="22"/>
        </w:rPr>
        <w:t>biliary</w:t>
      </w:r>
      <w:r>
        <w:rPr>
          <w:spacing w:val="15"/>
          <w:sz w:val="22"/>
        </w:rPr>
        <w:t> </w:t>
      </w:r>
      <w:r>
        <w:rPr>
          <w:sz w:val="22"/>
        </w:rPr>
        <w:t>cirrhosis. </w:t>
      </w:r>
      <w:r>
        <w:rPr>
          <w:i/>
          <w:sz w:val="22"/>
        </w:rPr>
        <w:t>J Intern Med</w:t>
      </w:r>
      <w:r>
        <w:rPr>
          <w:sz w:val="22"/>
        </w:rPr>
        <w:t>. 2004;256:63.</w:t>
      </w:r>
    </w:p>
    <w:p>
      <w:pPr>
        <w:spacing w:line="256" w:lineRule="auto" w:before="0"/>
        <w:ind w:left="718" w:right="99" w:hanging="619"/>
        <w:jc w:val="both"/>
        <w:rPr>
          <w:sz w:val="22"/>
        </w:rPr>
      </w:pPr>
      <w:r>
        <w:rPr>
          <w:sz w:val="22"/>
        </w:rPr>
        <w:t>1225.</w:t>
      </w:r>
      <w:r>
        <w:rPr>
          <w:spacing w:val="40"/>
          <w:sz w:val="22"/>
        </w:rPr>
        <w:t> </w:t>
      </w:r>
      <w:r>
        <w:rPr>
          <w:sz w:val="22"/>
        </w:rPr>
        <w:t>Codes L, Asselah T, Cazals-Hatem D, et al. Liver fibrosis in women with chronic hepatitis C: evidence for the negative role of the menopause and steatosis and the potential benefit of hormone replacement therapy. </w:t>
      </w:r>
      <w:r>
        <w:rPr>
          <w:i/>
          <w:sz w:val="22"/>
        </w:rPr>
        <w:t>Gut</w:t>
      </w:r>
      <w:r>
        <w:rPr>
          <w:sz w:val="22"/>
        </w:rPr>
        <w:t>. 2007;56:390.</w:t>
      </w:r>
    </w:p>
    <w:p>
      <w:pPr>
        <w:spacing w:line="256" w:lineRule="auto" w:before="0"/>
        <w:ind w:left="718" w:right="102" w:hanging="619"/>
        <w:jc w:val="both"/>
        <w:rPr>
          <w:sz w:val="22"/>
        </w:rPr>
      </w:pPr>
      <w:r>
        <w:rPr>
          <w:sz w:val="22"/>
        </w:rPr>
        <w:t>1226.</w:t>
      </w:r>
      <w:r>
        <w:rPr>
          <w:spacing w:val="40"/>
          <w:sz w:val="22"/>
        </w:rPr>
        <w:t> </w:t>
      </w:r>
      <w:r>
        <w:rPr>
          <w:sz w:val="22"/>
        </w:rPr>
        <w:t>Di Martino V, Lebray P, Myers RP, et al. Progression of liver fibrosis in women infected with hepatitis C: long-term benefit of estrogen exposure. </w:t>
      </w:r>
      <w:r>
        <w:rPr>
          <w:i/>
          <w:sz w:val="22"/>
        </w:rPr>
        <w:t>Hepatology</w:t>
      </w:r>
      <w:r>
        <w:rPr>
          <w:sz w:val="22"/>
        </w:rPr>
        <w:t>. 2004;40:1426.</w:t>
      </w:r>
    </w:p>
    <w:p>
      <w:pPr>
        <w:spacing w:line="256" w:lineRule="auto" w:before="0"/>
        <w:ind w:left="718" w:right="104" w:hanging="619"/>
        <w:jc w:val="both"/>
        <w:rPr>
          <w:sz w:val="22"/>
        </w:rPr>
      </w:pPr>
      <w:r>
        <w:rPr>
          <w:sz w:val="22"/>
        </w:rPr>
        <w:t>1227.</w:t>
      </w:r>
      <w:r>
        <w:rPr>
          <w:spacing w:val="40"/>
          <w:sz w:val="22"/>
        </w:rPr>
        <w:t> </w:t>
      </w:r>
      <w:r>
        <w:rPr>
          <w:sz w:val="22"/>
        </w:rPr>
        <w:t>Pietrzak B, Cyganek A, Jabiry-Zieniewicz Z, et al. Safety and efficacy of hormonal therapy in menopausal kidney-allograft recipients. </w:t>
      </w:r>
      <w:r>
        <w:rPr>
          <w:i/>
          <w:sz w:val="22"/>
        </w:rPr>
        <w:t>Transplant Proc</w:t>
      </w:r>
      <w:r>
        <w:rPr>
          <w:sz w:val="22"/>
        </w:rPr>
        <w:t>. 2006;38:184.</w:t>
      </w:r>
    </w:p>
    <w:p>
      <w:pPr>
        <w:spacing w:line="256" w:lineRule="auto" w:before="0"/>
        <w:ind w:left="718" w:right="102" w:hanging="619"/>
        <w:jc w:val="both"/>
        <w:rPr>
          <w:sz w:val="22"/>
        </w:rPr>
      </w:pPr>
      <w:r>
        <w:rPr>
          <w:sz w:val="22"/>
        </w:rPr>
        <w:t>1228.</w:t>
      </w:r>
      <w:r>
        <w:rPr>
          <w:spacing w:val="40"/>
          <w:sz w:val="22"/>
        </w:rPr>
        <w:t> </w:t>
      </w:r>
      <w:r>
        <w:rPr>
          <w:sz w:val="22"/>
        </w:rPr>
        <w:t>Frigo P, Eppel W, Asseryanis E, et al. The effects of hormone substitution in depot form on the uterus in a group of 50 perimenopausal women—a vaginosonographic study. </w:t>
      </w:r>
      <w:r>
        <w:rPr>
          <w:i/>
          <w:sz w:val="22"/>
        </w:rPr>
        <w:t>Maturitas</w:t>
      </w:r>
      <w:r>
        <w:rPr>
          <w:sz w:val="22"/>
        </w:rPr>
        <w:t>. </w:t>
      </w:r>
      <w:r>
        <w:rPr>
          <w:spacing w:val="-2"/>
          <w:sz w:val="22"/>
        </w:rPr>
        <w:t>1995;21:221.</w:t>
      </w:r>
    </w:p>
    <w:p>
      <w:pPr>
        <w:spacing w:line="256" w:lineRule="auto" w:before="0"/>
        <w:ind w:left="718" w:right="106" w:hanging="619"/>
        <w:jc w:val="both"/>
        <w:rPr>
          <w:sz w:val="22"/>
          <w:szCs w:val="22"/>
        </w:rPr>
      </w:pPr>
      <w:r>
        <w:rPr>
          <w:sz w:val="22"/>
          <w:szCs w:val="22"/>
        </w:rPr>
        <w:t>1229. Sener AB, Se�kin NC, 0zmen S, Gökmen O, Dogu N, Ekici E. The effects of </w:t>
      </w:r>
      <w:r>
        <w:rPr>
          <w:sz w:val="22"/>
          <w:szCs w:val="22"/>
        </w:rPr>
        <w:t>hormone replacement therapy on uterine fibroids in postmenopausal women. </w:t>
      </w:r>
      <w:r>
        <w:rPr>
          <w:i/>
          <w:iCs/>
          <w:sz w:val="22"/>
          <w:szCs w:val="22"/>
        </w:rPr>
        <w:t>Fertil Steril</w:t>
      </w:r>
      <w:r>
        <w:rPr>
          <w:sz w:val="22"/>
          <w:szCs w:val="22"/>
        </w:rPr>
        <w:t>. 1996;65:354.</w:t>
      </w:r>
    </w:p>
    <w:p>
      <w:pPr>
        <w:spacing w:line="256" w:lineRule="auto" w:before="0"/>
        <w:ind w:left="718" w:right="102" w:hanging="619"/>
        <w:jc w:val="both"/>
        <w:rPr>
          <w:sz w:val="22"/>
        </w:rPr>
      </w:pPr>
      <w:r>
        <w:rPr>
          <w:sz w:val="22"/>
        </w:rPr>
        <w:t>1230. Schwartz LB, Lazer S, Mark M, Nachtigall LE, Horan C, Goldstein SR. Does the use </w:t>
      </w:r>
      <w:r>
        <w:rPr>
          <w:sz w:val="22"/>
        </w:rPr>
        <w:t>of postmenopausal hormone replacement therapy influence the size of uterine leiomyomata? A preliminary report. </w:t>
      </w:r>
      <w:r>
        <w:rPr>
          <w:i/>
          <w:sz w:val="22"/>
        </w:rPr>
        <w:t>Menopause</w:t>
      </w:r>
      <w:r>
        <w:rPr>
          <w:sz w:val="22"/>
        </w:rPr>
        <w:t>. 1996;3:38.</w:t>
      </w:r>
    </w:p>
    <w:p>
      <w:pPr>
        <w:spacing w:line="256" w:lineRule="auto" w:before="0"/>
        <w:ind w:left="718" w:right="105" w:hanging="619"/>
        <w:jc w:val="both"/>
        <w:rPr>
          <w:sz w:val="22"/>
        </w:rPr>
      </w:pPr>
      <w:r>
        <w:rPr>
          <w:sz w:val="22"/>
        </w:rPr>
        <w:t>1231. de Aloysio D, Altieri P, Penacchioni P, Salgarello M, Ventura V. Bleeding patterns in </w:t>
      </w:r>
      <w:r>
        <w:rPr>
          <w:sz w:val="22"/>
        </w:rPr>
        <w:t>recent postmenopausal outpatients with uterine myomas: comparison between two regimens of HRT. </w:t>
      </w:r>
      <w:r>
        <w:rPr>
          <w:i/>
          <w:sz w:val="22"/>
        </w:rPr>
        <w:t>Maturitas</w:t>
      </w:r>
      <w:r>
        <w:rPr>
          <w:sz w:val="22"/>
        </w:rPr>
        <w:t>. 1998;29:261.</w:t>
      </w:r>
    </w:p>
    <w:p>
      <w:pPr>
        <w:spacing w:line="256" w:lineRule="auto" w:before="0"/>
        <w:ind w:left="718" w:right="105" w:hanging="619"/>
        <w:jc w:val="both"/>
        <w:rPr>
          <w:sz w:val="22"/>
        </w:rPr>
      </w:pPr>
      <w:r>
        <w:rPr>
          <w:sz w:val="22"/>
        </w:rPr>
        <w:t>1232. Palomba S, Sena T, Noia R, Di Carlo C, Zullo F, Mastrantonio P. Transdermal hormone replacement</w:t>
      </w:r>
      <w:r>
        <w:rPr>
          <w:spacing w:val="58"/>
          <w:sz w:val="22"/>
        </w:rPr>
        <w:t> </w:t>
      </w:r>
      <w:r>
        <w:rPr>
          <w:sz w:val="22"/>
        </w:rPr>
        <w:t>therapy</w:t>
      </w:r>
      <w:r>
        <w:rPr>
          <w:spacing w:val="59"/>
          <w:sz w:val="22"/>
        </w:rPr>
        <w:t> </w:t>
      </w:r>
      <w:r>
        <w:rPr>
          <w:sz w:val="22"/>
        </w:rPr>
        <w:t>in</w:t>
      </w:r>
      <w:r>
        <w:rPr>
          <w:spacing w:val="59"/>
          <w:sz w:val="22"/>
        </w:rPr>
        <w:t> </w:t>
      </w:r>
      <w:r>
        <w:rPr>
          <w:sz w:val="22"/>
        </w:rPr>
        <w:t>postmenopausal</w:t>
      </w:r>
      <w:r>
        <w:rPr>
          <w:spacing w:val="59"/>
          <w:sz w:val="22"/>
        </w:rPr>
        <w:t> </w:t>
      </w:r>
      <w:r>
        <w:rPr>
          <w:sz w:val="22"/>
        </w:rPr>
        <w:t>women</w:t>
      </w:r>
      <w:r>
        <w:rPr>
          <w:spacing w:val="59"/>
          <w:sz w:val="22"/>
        </w:rPr>
        <w:t> </w:t>
      </w:r>
      <w:r>
        <w:rPr>
          <w:sz w:val="22"/>
        </w:rPr>
        <w:t>with</w:t>
      </w:r>
      <w:r>
        <w:rPr>
          <w:spacing w:val="58"/>
          <w:sz w:val="22"/>
        </w:rPr>
        <w:t> </w:t>
      </w:r>
      <w:r>
        <w:rPr>
          <w:sz w:val="22"/>
        </w:rPr>
        <w:t>uterine</w:t>
      </w:r>
      <w:r>
        <w:rPr>
          <w:spacing w:val="59"/>
          <w:sz w:val="22"/>
        </w:rPr>
        <w:t> </w:t>
      </w:r>
      <w:r>
        <w:rPr>
          <w:sz w:val="22"/>
        </w:rPr>
        <w:t>leiomyomas.</w:t>
      </w:r>
      <w:r>
        <w:rPr>
          <w:spacing w:val="59"/>
          <w:sz w:val="22"/>
        </w:rPr>
        <w:t> </w:t>
      </w:r>
      <w:r>
        <w:rPr>
          <w:i/>
          <w:sz w:val="22"/>
        </w:rPr>
        <w:t>Obstet</w:t>
      </w:r>
      <w:r>
        <w:rPr>
          <w:i/>
          <w:spacing w:val="61"/>
          <w:sz w:val="22"/>
        </w:rPr>
        <w:t> </w:t>
      </w:r>
      <w:r>
        <w:rPr>
          <w:i/>
          <w:spacing w:val="-2"/>
          <w:sz w:val="22"/>
        </w:rPr>
        <w:t>Gynecol</w:t>
      </w:r>
      <w:r>
        <w:rPr>
          <w:spacing w:val="-2"/>
          <w:sz w:val="22"/>
        </w:rPr>
        <w:t>.</w:t>
      </w:r>
    </w:p>
    <w:p>
      <w:pPr>
        <w:spacing w:after="0" w:line="256" w:lineRule="auto"/>
        <w:jc w:val="both"/>
        <w:rPr>
          <w:sz w:val="22"/>
        </w:rPr>
        <w:sectPr>
          <w:pgSz w:w="12240" w:h="15840"/>
          <w:pgMar w:top="1360" w:bottom="280" w:left="1440" w:right="1440"/>
        </w:sectPr>
      </w:pPr>
    </w:p>
    <w:p>
      <w:pPr>
        <w:spacing w:before="84"/>
        <w:ind w:left="718" w:right="0" w:firstLine="0"/>
        <w:jc w:val="left"/>
        <w:rPr>
          <w:sz w:val="22"/>
        </w:rPr>
      </w:pPr>
      <w:r>
        <w:rPr>
          <w:spacing w:val="-2"/>
          <w:sz w:val="22"/>
        </w:rPr>
        <w:t>2001;98:1053.</w:t>
      </w:r>
    </w:p>
    <w:p>
      <w:pPr>
        <w:spacing w:line="256" w:lineRule="auto" w:before="17"/>
        <w:ind w:left="718" w:right="103" w:hanging="619"/>
        <w:jc w:val="both"/>
        <w:rPr>
          <w:sz w:val="22"/>
        </w:rPr>
      </w:pPr>
      <w:r>
        <w:rPr>
          <w:sz w:val="22"/>
        </w:rPr>
        <w:t>1233. Palomba S, Sammartino A, Di Carlo C, Affinito P, Zullo F, Nappi C. Effects of raloxifene treatment on uterine leiomyomas in postmenopausal women. </w:t>
      </w:r>
      <w:r>
        <w:rPr>
          <w:i/>
          <w:sz w:val="22"/>
        </w:rPr>
        <w:t>Fertil Steril</w:t>
      </w:r>
      <w:r>
        <w:rPr>
          <w:sz w:val="22"/>
        </w:rPr>
        <w:t>. 2001;76:38.</w:t>
      </w:r>
    </w:p>
    <w:p>
      <w:pPr>
        <w:spacing w:line="256" w:lineRule="auto" w:before="0"/>
        <w:ind w:left="718" w:right="101" w:hanging="619"/>
        <w:jc w:val="both"/>
        <w:rPr>
          <w:sz w:val="22"/>
        </w:rPr>
      </w:pPr>
      <w:r>
        <w:rPr>
          <w:sz w:val="22"/>
        </w:rPr>
        <w:t>1234.</w:t>
      </w:r>
      <w:r>
        <w:rPr>
          <w:spacing w:val="40"/>
          <w:sz w:val="22"/>
        </w:rPr>
        <w:t> </w:t>
      </w:r>
      <w:r>
        <w:rPr>
          <w:sz w:val="22"/>
        </w:rPr>
        <w:t>Palomba</w:t>
      </w:r>
      <w:r>
        <w:rPr>
          <w:spacing w:val="33"/>
          <w:sz w:val="22"/>
        </w:rPr>
        <w:t> </w:t>
      </w:r>
      <w:r>
        <w:rPr>
          <w:sz w:val="22"/>
        </w:rPr>
        <w:t>S,</w:t>
      </w:r>
      <w:r>
        <w:rPr>
          <w:spacing w:val="33"/>
          <w:sz w:val="22"/>
        </w:rPr>
        <w:t> </w:t>
      </w:r>
      <w:r>
        <w:rPr>
          <w:sz w:val="22"/>
        </w:rPr>
        <w:t>Orio</w:t>
      </w:r>
      <w:r>
        <w:rPr>
          <w:spacing w:val="33"/>
          <w:sz w:val="22"/>
        </w:rPr>
        <w:t> </w:t>
      </w:r>
      <w:r>
        <w:rPr>
          <w:sz w:val="22"/>
        </w:rPr>
        <w:t>F</w:t>
      </w:r>
      <w:r>
        <w:rPr>
          <w:spacing w:val="33"/>
          <w:sz w:val="22"/>
        </w:rPr>
        <w:t> </w:t>
      </w:r>
      <w:r>
        <w:rPr>
          <w:sz w:val="22"/>
        </w:rPr>
        <w:t>Jr,</w:t>
      </w:r>
      <w:r>
        <w:rPr>
          <w:spacing w:val="33"/>
          <w:sz w:val="22"/>
        </w:rPr>
        <w:t> </w:t>
      </w:r>
      <w:r>
        <w:rPr>
          <w:sz w:val="22"/>
        </w:rPr>
        <w:t>Morelli</w:t>
      </w:r>
      <w:r>
        <w:rPr>
          <w:spacing w:val="33"/>
          <w:sz w:val="22"/>
        </w:rPr>
        <w:t> </w:t>
      </w:r>
      <w:r>
        <w:rPr>
          <w:sz w:val="22"/>
        </w:rPr>
        <w:t>M,</w:t>
      </w:r>
      <w:r>
        <w:rPr>
          <w:spacing w:val="33"/>
          <w:sz w:val="22"/>
        </w:rPr>
        <w:t> </w:t>
      </w:r>
      <w:r>
        <w:rPr>
          <w:sz w:val="22"/>
        </w:rPr>
        <w:t>et</w:t>
      </w:r>
      <w:r>
        <w:rPr>
          <w:spacing w:val="33"/>
          <w:sz w:val="22"/>
        </w:rPr>
        <w:t> </w:t>
      </w:r>
      <w:r>
        <w:rPr>
          <w:sz w:val="22"/>
        </w:rPr>
        <w:t>al.</w:t>
      </w:r>
      <w:r>
        <w:rPr>
          <w:spacing w:val="33"/>
          <w:sz w:val="22"/>
        </w:rPr>
        <w:t> </w:t>
      </w:r>
      <w:r>
        <w:rPr>
          <w:sz w:val="22"/>
        </w:rPr>
        <w:t>Raloxifene</w:t>
      </w:r>
      <w:r>
        <w:rPr>
          <w:spacing w:val="32"/>
          <w:sz w:val="22"/>
        </w:rPr>
        <w:t> </w:t>
      </w:r>
      <w:r>
        <w:rPr>
          <w:sz w:val="22"/>
        </w:rPr>
        <w:t>administration</w:t>
      </w:r>
      <w:r>
        <w:rPr>
          <w:spacing w:val="32"/>
          <w:sz w:val="22"/>
        </w:rPr>
        <w:t> </w:t>
      </w:r>
      <w:r>
        <w:rPr>
          <w:sz w:val="22"/>
        </w:rPr>
        <w:t>in</w:t>
      </w:r>
      <w:r>
        <w:rPr>
          <w:spacing w:val="32"/>
          <w:sz w:val="22"/>
        </w:rPr>
        <w:t> </w:t>
      </w:r>
      <w:r>
        <w:rPr>
          <w:sz w:val="22"/>
        </w:rPr>
        <w:t>premenopausal</w:t>
      </w:r>
      <w:r>
        <w:rPr>
          <w:spacing w:val="32"/>
          <w:sz w:val="22"/>
        </w:rPr>
        <w:t> </w:t>
      </w:r>
      <w:r>
        <w:rPr>
          <w:sz w:val="22"/>
        </w:rPr>
        <w:t>women with uterine leiomyomas: a pilot study. </w:t>
      </w:r>
      <w:r>
        <w:rPr>
          <w:i/>
          <w:sz w:val="22"/>
        </w:rPr>
        <w:t>J Clin Endocrinol Metab</w:t>
      </w:r>
      <w:r>
        <w:rPr>
          <w:sz w:val="22"/>
        </w:rPr>
        <w:t>. 2002;87:3603.</w:t>
      </w:r>
    </w:p>
    <w:p>
      <w:pPr>
        <w:spacing w:line="256" w:lineRule="auto" w:before="0"/>
        <w:ind w:left="718" w:right="105" w:hanging="619"/>
        <w:jc w:val="both"/>
        <w:rPr>
          <w:sz w:val="22"/>
        </w:rPr>
      </w:pPr>
      <w:r>
        <w:rPr>
          <w:sz w:val="22"/>
        </w:rPr>
        <w:t>1235.</w:t>
      </w:r>
      <w:r>
        <w:rPr>
          <w:spacing w:val="40"/>
          <w:sz w:val="22"/>
        </w:rPr>
        <w:t> </w:t>
      </w:r>
      <w:r>
        <w:rPr>
          <w:sz w:val="22"/>
        </w:rPr>
        <w:t>Siegle JC, Cartmell L. Vulvar leiomyoma associated with estrogen/progestin therapy. A </w:t>
      </w:r>
      <w:r>
        <w:rPr>
          <w:sz w:val="22"/>
        </w:rPr>
        <w:t>case report. </w:t>
      </w:r>
      <w:r>
        <w:rPr>
          <w:i/>
          <w:sz w:val="22"/>
        </w:rPr>
        <w:t>J Reprod Med</w:t>
      </w:r>
      <w:r>
        <w:rPr>
          <w:sz w:val="22"/>
        </w:rPr>
        <w:t>. 1995;40:147.</w:t>
      </w:r>
    </w:p>
    <w:p>
      <w:pPr>
        <w:spacing w:line="256" w:lineRule="auto" w:before="0"/>
        <w:ind w:left="718" w:right="97" w:hanging="619"/>
        <w:jc w:val="both"/>
        <w:rPr>
          <w:sz w:val="22"/>
        </w:rPr>
      </w:pPr>
      <w:r>
        <w:rPr>
          <w:sz w:val="22"/>
        </w:rPr>
        <w:t>1236. Schwartz</w:t>
      </w:r>
      <w:r>
        <w:rPr>
          <w:spacing w:val="40"/>
          <w:sz w:val="22"/>
        </w:rPr>
        <w:t> </w:t>
      </w:r>
      <w:r>
        <w:rPr>
          <w:sz w:val="22"/>
        </w:rPr>
        <w:t>SM,</w:t>
      </w:r>
      <w:r>
        <w:rPr>
          <w:spacing w:val="40"/>
          <w:sz w:val="22"/>
        </w:rPr>
        <w:t> </w:t>
      </w:r>
      <w:r>
        <w:rPr>
          <w:sz w:val="22"/>
        </w:rPr>
        <w:t>Weiss</w:t>
      </w:r>
      <w:r>
        <w:rPr>
          <w:spacing w:val="40"/>
          <w:sz w:val="22"/>
        </w:rPr>
        <w:t> </w:t>
      </w:r>
      <w:r>
        <w:rPr>
          <w:sz w:val="22"/>
        </w:rPr>
        <w:t>NS,</w:t>
      </w:r>
      <w:r>
        <w:rPr>
          <w:spacing w:val="40"/>
          <w:sz w:val="22"/>
        </w:rPr>
        <w:t> </w:t>
      </w:r>
      <w:r>
        <w:rPr>
          <w:sz w:val="22"/>
        </w:rPr>
        <w:t>Daling</w:t>
      </w:r>
      <w:r>
        <w:rPr>
          <w:spacing w:val="40"/>
          <w:sz w:val="22"/>
        </w:rPr>
        <w:t> </w:t>
      </w:r>
      <w:r>
        <w:rPr>
          <w:sz w:val="22"/>
        </w:rPr>
        <w:t>JR,</w:t>
      </w:r>
      <w:r>
        <w:rPr>
          <w:spacing w:val="40"/>
          <w:sz w:val="22"/>
        </w:rPr>
        <w:t> </w:t>
      </w:r>
      <w:r>
        <w:rPr>
          <w:sz w:val="22"/>
        </w:rPr>
        <w:t>et</w:t>
      </w:r>
      <w:r>
        <w:rPr>
          <w:spacing w:val="40"/>
          <w:sz w:val="22"/>
        </w:rPr>
        <w:t> </w:t>
      </w:r>
      <w:r>
        <w:rPr>
          <w:sz w:val="22"/>
        </w:rPr>
        <w:t>al.</w:t>
      </w:r>
      <w:r>
        <w:rPr>
          <w:spacing w:val="40"/>
          <w:sz w:val="22"/>
        </w:rPr>
        <w:t> </w:t>
      </w:r>
      <w:r>
        <w:rPr>
          <w:sz w:val="22"/>
        </w:rPr>
        <w:t>Exogenous</w:t>
      </w:r>
      <w:r>
        <w:rPr>
          <w:spacing w:val="40"/>
          <w:sz w:val="22"/>
        </w:rPr>
        <w:t> </w:t>
      </w:r>
      <w:r>
        <w:rPr>
          <w:sz w:val="22"/>
        </w:rPr>
        <w:t>sex</w:t>
      </w:r>
      <w:r>
        <w:rPr>
          <w:spacing w:val="40"/>
          <w:sz w:val="22"/>
        </w:rPr>
        <w:t> </w:t>
      </w:r>
      <w:r>
        <w:rPr>
          <w:sz w:val="22"/>
        </w:rPr>
        <w:t>hormone</w:t>
      </w:r>
      <w:r>
        <w:rPr>
          <w:spacing w:val="40"/>
          <w:sz w:val="22"/>
        </w:rPr>
        <w:t> </w:t>
      </w:r>
      <w:r>
        <w:rPr>
          <w:sz w:val="22"/>
        </w:rPr>
        <w:t>use</w:t>
      </w:r>
      <w:r>
        <w:rPr>
          <w:spacing w:val="40"/>
          <w:sz w:val="22"/>
        </w:rPr>
        <w:t> </w:t>
      </w:r>
      <w:r>
        <w:rPr>
          <w:sz w:val="22"/>
        </w:rPr>
        <w:t>correlates</w:t>
      </w:r>
      <w:r>
        <w:rPr>
          <w:spacing w:val="40"/>
          <w:sz w:val="22"/>
        </w:rPr>
        <w:t> </w:t>
      </w:r>
      <w:r>
        <w:rPr>
          <w:sz w:val="22"/>
        </w:rPr>
        <w:t>of endogenous hormone levels, and the incidence of histologic types of sarcoma of the uterus. </w:t>
      </w:r>
      <w:r>
        <w:rPr>
          <w:i/>
          <w:sz w:val="22"/>
        </w:rPr>
        <w:t>Cancer</w:t>
      </w:r>
      <w:r>
        <w:rPr>
          <w:sz w:val="22"/>
        </w:rPr>
        <w:t>. 1996;77:717.</w:t>
      </w:r>
    </w:p>
    <w:p>
      <w:pPr>
        <w:spacing w:line="256" w:lineRule="auto" w:before="0"/>
        <w:ind w:left="718" w:right="106" w:hanging="619"/>
        <w:jc w:val="both"/>
        <w:rPr>
          <w:sz w:val="22"/>
        </w:rPr>
      </w:pPr>
      <w:r>
        <w:rPr>
          <w:sz w:val="22"/>
        </w:rPr>
        <w:t>1237.</w:t>
      </w:r>
      <w:r>
        <w:rPr>
          <w:spacing w:val="40"/>
          <w:sz w:val="22"/>
        </w:rPr>
        <w:t> </w:t>
      </w:r>
      <w:r>
        <w:rPr>
          <w:sz w:val="22"/>
        </w:rPr>
        <w:t>Cistulli PA, Barnes DJ, Grunstein RR, Sullivan CE. Effect of short term hormone </w:t>
      </w:r>
      <w:r>
        <w:rPr>
          <w:sz w:val="22"/>
        </w:rPr>
        <w:t>replacement</w:t>
      </w:r>
      <w:r>
        <w:rPr>
          <w:spacing w:val="80"/>
          <w:sz w:val="22"/>
        </w:rPr>
        <w:t> </w:t>
      </w:r>
      <w:r>
        <w:rPr>
          <w:sz w:val="22"/>
        </w:rPr>
        <w:t>in the treatment of obstructive sleep apnea in postmenopausal women. </w:t>
      </w:r>
      <w:r>
        <w:rPr>
          <w:i/>
          <w:sz w:val="22"/>
        </w:rPr>
        <w:t>Thorax</w:t>
      </w:r>
      <w:r>
        <w:rPr>
          <w:sz w:val="22"/>
        </w:rPr>
        <w:t>. 1994;46:699.</w:t>
      </w:r>
    </w:p>
    <w:p>
      <w:pPr>
        <w:spacing w:line="256" w:lineRule="auto" w:before="0"/>
        <w:ind w:left="718" w:right="109" w:hanging="619"/>
        <w:jc w:val="both"/>
        <w:rPr>
          <w:sz w:val="22"/>
        </w:rPr>
      </w:pPr>
      <w:r>
        <w:rPr>
          <w:sz w:val="22"/>
        </w:rPr>
        <w:t>1238.</w:t>
      </w:r>
      <w:r>
        <w:rPr>
          <w:spacing w:val="40"/>
          <w:sz w:val="22"/>
        </w:rPr>
        <w:t> </w:t>
      </w:r>
      <w:r>
        <w:rPr>
          <w:sz w:val="22"/>
        </w:rPr>
        <w:t>Polo-Kantola P, Rauhala E, Helenius H, Erkkola R, Irjala K, Polo O. Breathing during sleep in menopause: a randomized, controlled, crossover trial with estrogen therapy. </w:t>
      </w:r>
      <w:r>
        <w:rPr>
          <w:i/>
          <w:sz w:val="22"/>
        </w:rPr>
        <w:t>Obstet Gynecol</w:t>
      </w:r>
      <w:r>
        <w:rPr>
          <w:sz w:val="22"/>
        </w:rPr>
        <w:t>. </w:t>
      </w:r>
      <w:r>
        <w:rPr>
          <w:spacing w:val="-2"/>
          <w:sz w:val="22"/>
        </w:rPr>
        <w:t>2003;102:68.</w:t>
      </w:r>
    </w:p>
    <w:p>
      <w:pPr>
        <w:spacing w:line="256" w:lineRule="auto" w:before="0"/>
        <w:ind w:left="718" w:right="103" w:hanging="619"/>
        <w:jc w:val="both"/>
        <w:rPr>
          <w:sz w:val="22"/>
        </w:rPr>
      </w:pPr>
      <w:r>
        <w:rPr>
          <w:sz w:val="22"/>
        </w:rPr>
        <w:t>1239.</w:t>
      </w:r>
      <w:r>
        <w:rPr>
          <w:spacing w:val="40"/>
          <w:sz w:val="22"/>
        </w:rPr>
        <w:t> </w:t>
      </w:r>
      <w:r>
        <w:rPr>
          <w:sz w:val="22"/>
        </w:rPr>
        <w:t>Keefe DL, Watson R, Naftolin F. Hormone replacement therapy may alleviate sleep apnea </w:t>
      </w:r>
      <w:r>
        <w:rPr>
          <w:sz w:val="22"/>
        </w:rPr>
        <w:t>in menopausal women: a pilot study. </w:t>
      </w:r>
      <w:r>
        <w:rPr>
          <w:i/>
          <w:sz w:val="22"/>
        </w:rPr>
        <w:t>Menopause</w:t>
      </w:r>
      <w:r>
        <w:rPr>
          <w:sz w:val="22"/>
        </w:rPr>
        <w:t>. 1999;6:196.</w:t>
      </w:r>
    </w:p>
    <w:p>
      <w:pPr>
        <w:spacing w:line="256" w:lineRule="auto" w:before="0"/>
        <w:ind w:left="718" w:right="111" w:hanging="619"/>
        <w:jc w:val="both"/>
        <w:rPr>
          <w:sz w:val="22"/>
        </w:rPr>
      </w:pPr>
      <w:r>
        <w:rPr>
          <w:sz w:val="22"/>
        </w:rPr>
        <w:t>1240.</w:t>
      </w:r>
      <w:r>
        <w:rPr>
          <w:spacing w:val="40"/>
          <w:sz w:val="22"/>
        </w:rPr>
        <w:t> </w:t>
      </w:r>
      <w:r>
        <w:rPr>
          <w:sz w:val="22"/>
        </w:rPr>
        <w:t>Manber R, Kuo TF, Cataldo NA, Colrain IM. The effects of hormone replacement therapy on sleep-disordered breathing in postmenopausal women: a pilot study. </w:t>
      </w:r>
      <w:r>
        <w:rPr>
          <w:i/>
          <w:sz w:val="22"/>
        </w:rPr>
        <w:t>Sleep</w:t>
      </w:r>
      <w:r>
        <w:rPr>
          <w:sz w:val="22"/>
        </w:rPr>
        <w:t>. 2003;26:163.</w:t>
      </w:r>
    </w:p>
    <w:p>
      <w:pPr>
        <w:spacing w:line="256" w:lineRule="auto" w:before="0"/>
        <w:ind w:left="718" w:right="112" w:hanging="619"/>
        <w:jc w:val="both"/>
        <w:rPr>
          <w:sz w:val="22"/>
        </w:rPr>
      </w:pPr>
      <w:r>
        <w:rPr>
          <w:sz w:val="22"/>
        </w:rPr>
        <w:t>1241.</w:t>
      </w:r>
      <w:r>
        <w:rPr>
          <w:spacing w:val="40"/>
          <w:sz w:val="22"/>
        </w:rPr>
        <w:t> </w:t>
      </w:r>
      <w:r>
        <w:rPr>
          <w:sz w:val="22"/>
        </w:rPr>
        <w:t>Wesström J, Ulfberg J, Nilsson S. Sleep apnea and hormone replacement therapy: a pilot </w:t>
      </w:r>
      <w:r>
        <w:rPr>
          <w:sz w:val="22"/>
        </w:rPr>
        <w:t>study and a literature review. </w:t>
      </w:r>
      <w:r>
        <w:rPr>
          <w:i/>
          <w:sz w:val="22"/>
        </w:rPr>
        <w:t>Acta Obstet Gynecol Scand</w:t>
      </w:r>
      <w:r>
        <w:rPr>
          <w:sz w:val="22"/>
        </w:rPr>
        <w:t>. 2005;84:54.</w:t>
      </w:r>
    </w:p>
    <w:p>
      <w:pPr>
        <w:spacing w:line="256" w:lineRule="auto" w:before="0"/>
        <w:ind w:left="718" w:right="103" w:hanging="619"/>
        <w:jc w:val="both"/>
        <w:rPr>
          <w:sz w:val="22"/>
        </w:rPr>
      </w:pPr>
      <w:r>
        <w:rPr>
          <w:sz w:val="22"/>
        </w:rPr>
        <w:t>1242.</w:t>
      </w:r>
      <w:r>
        <w:rPr>
          <w:spacing w:val="40"/>
          <w:sz w:val="22"/>
        </w:rPr>
        <w:t> </w:t>
      </w:r>
      <w:r>
        <w:rPr>
          <w:sz w:val="22"/>
        </w:rPr>
        <w:t>Lieberman D, Kopernik G, Porath A, Lazer S, Heimer D. Sub-clinical worsening of bronchial asthma during estrogen replacement therapy in asthmatic post-menopausal women. </w:t>
      </w:r>
      <w:r>
        <w:rPr>
          <w:i/>
          <w:sz w:val="22"/>
        </w:rPr>
        <w:t>Maturitas</w:t>
      </w:r>
      <w:r>
        <w:rPr>
          <w:sz w:val="22"/>
        </w:rPr>
        <w:t>. </w:t>
      </w:r>
      <w:r>
        <w:rPr>
          <w:spacing w:val="-2"/>
          <w:sz w:val="22"/>
        </w:rPr>
        <w:t>1995;21:153.</w:t>
      </w:r>
    </w:p>
    <w:p>
      <w:pPr>
        <w:spacing w:line="256" w:lineRule="auto" w:before="0"/>
        <w:ind w:left="718" w:right="100" w:hanging="619"/>
        <w:jc w:val="both"/>
        <w:rPr>
          <w:sz w:val="22"/>
        </w:rPr>
      </w:pPr>
      <w:r>
        <w:rPr>
          <w:sz w:val="22"/>
        </w:rPr>
        <w:t>1243.</w:t>
      </w:r>
      <w:r>
        <w:rPr>
          <w:spacing w:val="40"/>
          <w:sz w:val="22"/>
        </w:rPr>
        <w:t> </w:t>
      </w:r>
      <w:r>
        <w:rPr>
          <w:sz w:val="22"/>
        </w:rPr>
        <w:t>Hepburn MJ, Dooley DP, Morris MJ. The effects of estrogen replacement therapy on airway function in postmenopausal, asthmatic women. </w:t>
      </w:r>
      <w:r>
        <w:rPr>
          <w:i/>
          <w:sz w:val="22"/>
        </w:rPr>
        <w:t>Arch Intern Med</w:t>
      </w:r>
      <w:r>
        <w:rPr>
          <w:sz w:val="22"/>
        </w:rPr>
        <w:t>. 2001;161:2717.</w:t>
      </w:r>
    </w:p>
    <w:p>
      <w:pPr>
        <w:spacing w:line="256" w:lineRule="auto" w:before="0"/>
        <w:ind w:left="718" w:right="107" w:hanging="619"/>
        <w:jc w:val="both"/>
        <w:rPr>
          <w:sz w:val="22"/>
        </w:rPr>
      </w:pPr>
      <w:r>
        <w:rPr>
          <w:sz w:val="22"/>
        </w:rPr>
        <w:t>1244.</w:t>
      </w:r>
      <w:r>
        <w:rPr>
          <w:spacing w:val="40"/>
          <w:sz w:val="22"/>
        </w:rPr>
        <w:t> </w:t>
      </w:r>
      <w:r>
        <w:rPr>
          <w:sz w:val="22"/>
        </w:rPr>
        <w:t>Kos-Kudla</w:t>
      </w:r>
      <w:r>
        <w:rPr>
          <w:spacing w:val="40"/>
          <w:sz w:val="22"/>
        </w:rPr>
        <w:t> </w:t>
      </w:r>
      <w:r>
        <w:rPr>
          <w:sz w:val="22"/>
        </w:rPr>
        <w:t>B,</w:t>
      </w:r>
      <w:r>
        <w:rPr>
          <w:spacing w:val="40"/>
          <w:sz w:val="22"/>
        </w:rPr>
        <w:t> </w:t>
      </w:r>
      <w:r>
        <w:rPr>
          <w:sz w:val="22"/>
        </w:rPr>
        <w:t>Ostrowsksa</w:t>
      </w:r>
      <w:r>
        <w:rPr>
          <w:spacing w:val="40"/>
          <w:sz w:val="22"/>
        </w:rPr>
        <w:t> </w:t>
      </w:r>
      <w:r>
        <w:rPr>
          <w:sz w:val="22"/>
        </w:rPr>
        <w:t>Z,</w:t>
      </w:r>
      <w:r>
        <w:rPr>
          <w:spacing w:val="40"/>
          <w:sz w:val="22"/>
        </w:rPr>
        <w:t> </w:t>
      </w:r>
      <w:r>
        <w:rPr>
          <w:sz w:val="22"/>
        </w:rPr>
        <w:t>Marek</w:t>
      </w:r>
      <w:r>
        <w:rPr>
          <w:spacing w:val="40"/>
          <w:sz w:val="22"/>
        </w:rPr>
        <w:t> </w:t>
      </w:r>
      <w:r>
        <w:rPr>
          <w:sz w:val="22"/>
        </w:rPr>
        <w:t>B,</w:t>
      </w:r>
      <w:r>
        <w:rPr>
          <w:spacing w:val="40"/>
          <w:sz w:val="22"/>
        </w:rPr>
        <w:t> </w:t>
      </w:r>
      <w:r>
        <w:rPr>
          <w:sz w:val="22"/>
        </w:rPr>
        <w:t>Ciesielska-Kopacz</w:t>
      </w:r>
      <w:r>
        <w:rPr>
          <w:spacing w:val="40"/>
          <w:sz w:val="22"/>
        </w:rPr>
        <w:t> </w:t>
      </w:r>
      <w:r>
        <w:rPr>
          <w:sz w:val="22"/>
        </w:rPr>
        <w:t>N,</w:t>
      </w:r>
      <w:r>
        <w:rPr>
          <w:spacing w:val="40"/>
          <w:sz w:val="22"/>
        </w:rPr>
        <w:t> </w:t>
      </w:r>
      <w:r>
        <w:rPr>
          <w:sz w:val="22"/>
        </w:rPr>
        <w:t>Kajdaniuk</w:t>
      </w:r>
      <w:r>
        <w:rPr>
          <w:spacing w:val="40"/>
          <w:sz w:val="22"/>
        </w:rPr>
        <w:t> </w:t>
      </w:r>
      <w:r>
        <w:rPr>
          <w:sz w:val="22"/>
        </w:rPr>
        <w:t>DK,</w:t>
      </w:r>
      <w:r>
        <w:rPr>
          <w:spacing w:val="40"/>
          <w:sz w:val="22"/>
        </w:rPr>
        <w:t> </w:t>
      </w:r>
      <w:r>
        <w:rPr>
          <w:sz w:val="22"/>
        </w:rPr>
        <w:t>Kudła</w:t>
      </w:r>
      <w:r>
        <w:rPr>
          <w:spacing w:val="40"/>
          <w:sz w:val="22"/>
        </w:rPr>
        <w:t> </w:t>
      </w:r>
      <w:r>
        <w:rPr>
          <w:sz w:val="22"/>
        </w:rPr>
        <w:t>M. Effects of hormone replacement therapy on endocrine and spirometric parameters in asthmatic postmenopausal women. </w:t>
      </w:r>
      <w:r>
        <w:rPr>
          <w:i/>
          <w:sz w:val="22"/>
        </w:rPr>
        <w:t>Gynecol Endocrinol</w:t>
      </w:r>
      <w:r>
        <w:rPr>
          <w:sz w:val="22"/>
        </w:rPr>
        <w:t>. 2001;15:304.</w:t>
      </w:r>
    </w:p>
    <w:p>
      <w:pPr>
        <w:spacing w:line="256" w:lineRule="auto" w:before="0"/>
        <w:ind w:left="718" w:right="98" w:hanging="619"/>
        <w:jc w:val="both"/>
        <w:rPr>
          <w:sz w:val="22"/>
        </w:rPr>
      </w:pPr>
      <w:r>
        <w:rPr>
          <w:sz w:val="22"/>
        </w:rPr>
        <w:t>1245. Troisi RJ, Speizer FE, Willett WC, Trichopoulos D, Rosner B. Menopause, postmenopausal estrogen preparations and the risk of adult-onset asthma. </w:t>
      </w:r>
      <w:r>
        <w:rPr>
          <w:i/>
          <w:sz w:val="22"/>
        </w:rPr>
        <w:t>Am J Respir Crit Care Med</w:t>
      </w:r>
      <w:r>
        <w:rPr>
          <w:sz w:val="22"/>
        </w:rPr>
        <w:t>. </w:t>
      </w:r>
      <w:r>
        <w:rPr>
          <w:spacing w:val="-2"/>
          <w:sz w:val="22"/>
        </w:rPr>
        <w:t>1995;152:1183.</w:t>
      </w:r>
    </w:p>
    <w:p>
      <w:pPr>
        <w:spacing w:line="256" w:lineRule="auto" w:before="0"/>
        <w:ind w:left="718" w:right="106" w:hanging="619"/>
        <w:jc w:val="both"/>
        <w:rPr>
          <w:sz w:val="22"/>
        </w:rPr>
      </w:pPr>
      <w:r>
        <w:rPr>
          <w:sz w:val="22"/>
        </w:rPr>
        <w:t>1246.</w:t>
      </w:r>
      <w:r>
        <w:rPr>
          <w:spacing w:val="40"/>
          <w:sz w:val="22"/>
        </w:rPr>
        <w:t> </w:t>
      </w:r>
      <w:r>
        <w:rPr>
          <w:sz w:val="22"/>
        </w:rPr>
        <w:t>Romieu</w:t>
      </w:r>
      <w:r>
        <w:rPr>
          <w:spacing w:val="29"/>
          <w:sz w:val="22"/>
        </w:rPr>
        <w:t> </w:t>
      </w:r>
      <w:r>
        <w:rPr>
          <w:sz w:val="22"/>
        </w:rPr>
        <w:t>I,</w:t>
      </w:r>
      <w:r>
        <w:rPr>
          <w:spacing w:val="29"/>
          <w:sz w:val="22"/>
        </w:rPr>
        <w:t> </w:t>
      </w:r>
      <w:r>
        <w:rPr>
          <w:sz w:val="22"/>
        </w:rPr>
        <w:t>Fabre</w:t>
      </w:r>
      <w:r>
        <w:rPr>
          <w:spacing w:val="29"/>
          <w:sz w:val="22"/>
        </w:rPr>
        <w:t> </w:t>
      </w:r>
      <w:r>
        <w:rPr>
          <w:sz w:val="22"/>
        </w:rPr>
        <w:t>A,</w:t>
      </w:r>
      <w:r>
        <w:rPr>
          <w:spacing w:val="29"/>
          <w:sz w:val="22"/>
        </w:rPr>
        <w:t> </w:t>
      </w:r>
      <w:r>
        <w:rPr>
          <w:sz w:val="22"/>
        </w:rPr>
        <w:t>Fournier</w:t>
      </w:r>
      <w:r>
        <w:rPr>
          <w:spacing w:val="29"/>
          <w:sz w:val="22"/>
        </w:rPr>
        <w:t> </w:t>
      </w:r>
      <w:r>
        <w:rPr>
          <w:sz w:val="22"/>
        </w:rPr>
        <w:t>A,</w:t>
      </w:r>
      <w:r>
        <w:rPr>
          <w:spacing w:val="29"/>
          <w:sz w:val="22"/>
        </w:rPr>
        <w:t> </w:t>
      </w:r>
      <w:r>
        <w:rPr>
          <w:sz w:val="22"/>
        </w:rPr>
        <w:t>et</w:t>
      </w:r>
      <w:r>
        <w:rPr>
          <w:spacing w:val="29"/>
          <w:sz w:val="22"/>
        </w:rPr>
        <w:t> </w:t>
      </w:r>
      <w:r>
        <w:rPr>
          <w:sz w:val="22"/>
        </w:rPr>
        <w:t>al.</w:t>
      </w:r>
      <w:r>
        <w:rPr>
          <w:spacing w:val="28"/>
          <w:sz w:val="22"/>
        </w:rPr>
        <w:t> </w:t>
      </w:r>
      <w:r>
        <w:rPr>
          <w:sz w:val="22"/>
        </w:rPr>
        <w:t>Postmenopausal</w:t>
      </w:r>
      <w:r>
        <w:rPr>
          <w:spacing w:val="27"/>
          <w:sz w:val="22"/>
        </w:rPr>
        <w:t> </w:t>
      </w:r>
      <w:r>
        <w:rPr>
          <w:sz w:val="22"/>
        </w:rPr>
        <w:t>hormone</w:t>
      </w:r>
      <w:r>
        <w:rPr>
          <w:spacing w:val="27"/>
          <w:sz w:val="22"/>
        </w:rPr>
        <w:t> </w:t>
      </w:r>
      <w:r>
        <w:rPr>
          <w:sz w:val="22"/>
        </w:rPr>
        <w:t>therapy</w:t>
      </w:r>
      <w:r>
        <w:rPr>
          <w:spacing w:val="27"/>
          <w:sz w:val="22"/>
        </w:rPr>
        <w:t> </w:t>
      </w:r>
      <w:r>
        <w:rPr>
          <w:sz w:val="22"/>
        </w:rPr>
        <w:t>and</w:t>
      </w:r>
      <w:r>
        <w:rPr>
          <w:spacing w:val="27"/>
          <w:sz w:val="22"/>
        </w:rPr>
        <w:t> </w:t>
      </w:r>
      <w:r>
        <w:rPr>
          <w:sz w:val="22"/>
        </w:rPr>
        <w:t>asthma</w:t>
      </w:r>
      <w:r>
        <w:rPr>
          <w:spacing w:val="27"/>
          <w:sz w:val="22"/>
        </w:rPr>
        <w:t> </w:t>
      </w:r>
      <w:r>
        <w:rPr>
          <w:sz w:val="22"/>
        </w:rPr>
        <w:t>onset</w:t>
      </w:r>
      <w:r>
        <w:rPr>
          <w:spacing w:val="27"/>
          <w:sz w:val="22"/>
        </w:rPr>
        <w:t> </w:t>
      </w:r>
      <w:r>
        <w:rPr>
          <w:sz w:val="22"/>
        </w:rPr>
        <w:t>in the E3N cohort. </w:t>
      </w:r>
      <w:r>
        <w:rPr>
          <w:i/>
          <w:sz w:val="22"/>
        </w:rPr>
        <w:t>Thorax</w:t>
      </w:r>
      <w:r>
        <w:rPr>
          <w:sz w:val="22"/>
        </w:rPr>
        <w:t>. 2010;65(4):292.</w:t>
      </w:r>
    </w:p>
    <w:p>
      <w:pPr>
        <w:spacing w:line="256" w:lineRule="auto" w:before="0"/>
        <w:ind w:left="718" w:right="106" w:hanging="619"/>
        <w:jc w:val="both"/>
        <w:rPr>
          <w:sz w:val="22"/>
        </w:rPr>
      </w:pPr>
      <w:r>
        <w:rPr>
          <w:sz w:val="22"/>
        </w:rPr>
        <w:t>1247.</w:t>
      </w:r>
      <w:r>
        <w:rPr>
          <w:spacing w:val="40"/>
          <w:sz w:val="22"/>
        </w:rPr>
        <w:t> </w:t>
      </w:r>
      <w:r>
        <w:rPr>
          <w:sz w:val="22"/>
        </w:rPr>
        <w:t>Shumaker</w:t>
      </w:r>
      <w:r>
        <w:rPr>
          <w:spacing w:val="40"/>
          <w:sz w:val="22"/>
        </w:rPr>
        <w:t> </w:t>
      </w:r>
      <w:r>
        <w:rPr>
          <w:sz w:val="22"/>
        </w:rPr>
        <w:t>SA,</w:t>
      </w:r>
      <w:r>
        <w:rPr>
          <w:spacing w:val="40"/>
          <w:sz w:val="22"/>
        </w:rPr>
        <w:t> </w:t>
      </w:r>
      <w:r>
        <w:rPr>
          <w:sz w:val="22"/>
        </w:rPr>
        <w:t>Legault</w:t>
      </w:r>
      <w:r>
        <w:rPr>
          <w:spacing w:val="40"/>
          <w:sz w:val="22"/>
        </w:rPr>
        <w:t> </w:t>
      </w:r>
      <w:r>
        <w:rPr>
          <w:sz w:val="22"/>
        </w:rPr>
        <w:t>C,</w:t>
      </w:r>
      <w:r>
        <w:rPr>
          <w:spacing w:val="40"/>
          <w:sz w:val="22"/>
        </w:rPr>
        <w:t> </w:t>
      </w:r>
      <w:r>
        <w:rPr>
          <w:sz w:val="22"/>
        </w:rPr>
        <w:t>Rapp</w:t>
      </w:r>
      <w:r>
        <w:rPr>
          <w:spacing w:val="40"/>
          <w:sz w:val="22"/>
        </w:rPr>
        <w:t> </w:t>
      </w:r>
      <w:r>
        <w:rPr>
          <w:sz w:val="22"/>
        </w:rPr>
        <w:t>SR,</w:t>
      </w:r>
      <w:r>
        <w:rPr>
          <w:spacing w:val="40"/>
          <w:sz w:val="22"/>
        </w:rPr>
        <w:t> </w:t>
      </w:r>
      <w:r>
        <w:rPr>
          <w:sz w:val="22"/>
        </w:rPr>
        <w:t>et</w:t>
      </w:r>
      <w:r>
        <w:rPr>
          <w:spacing w:val="40"/>
          <w:sz w:val="22"/>
        </w:rPr>
        <w:t> </w:t>
      </w:r>
      <w:r>
        <w:rPr>
          <w:sz w:val="22"/>
        </w:rPr>
        <w:t>al.</w:t>
      </w:r>
      <w:r>
        <w:rPr>
          <w:spacing w:val="40"/>
          <w:sz w:val="22"/>
        </w:rPr>
        <w:t> </w:t>
      </w:r>
      <w:r>
        <w:rPr>
          <w:sz w:val="22"/>
        </w:rPr>
        <w:t>Estrogen</w:t>
      </w:r>
      <w:r>
        <w:rPr>
          <w:spacing w:val="40"/>
          <w:sz w:val="22"/>
        </w:rPr>
        <w:t> </w:t>
      </w:r>
      <w:r>
        <w:rPr>
          <w:sz w:val="22"/>
        </w:rPr>
        <w:t>plus</w:t>
      </w:r>
      <w:r>
        <w:rPr>
          <w:spacing w:val="40"/>
          <w:sz w:val="22"/>
        </w:rPr>
        <w:t> </w:t>
      </w:r>
      <w:r>
        <w:rPr>
          <w:sz w:val="22"/>
        </w:rPr>
        <w:t>progestin</w:t>
      </w:r>
      <w:r>
        <w:rPr>
          <w:spacing w:val="40"/>
          <w:sz w:val="22"/>
        </w:rPr>
        <w:t> </w:t>
      </w:r>
      <w:r>
        <w:rPr>
          <w:sz w:val="22"/>
        </w:rPr>
        <w:t>and</w:t>
      </w:r>
      <w:r>
        <w:rPr>
          <w:spacing w:val="40"/>
          <w:sz w:val="22"/>
        </w:rPr>
        <w:t> </w:t>
      </w:r>
      <w:r>
        <w:rPr>
          <w:sz w:val="22"/>
        </w:rPr>
        <w:t>the</w:t>
      </w:r>
      <w:r>
        <w:rPr>
          <w:spacing w:val="40"/>
          <w:sz w:val="22"/>
        </w:rPr>
        <w:t> </w:t>
      </w:r>
      <w:r>
        <w:rPr>
          <w:sz w:val="22"/>
        </w:rPr>
        <w:t>incidence</w:t>
      </w:r>
      <w:r>
        <w:rPr>
          <w:spacing w:val="40"/>
          <w:sz w:val="22"/>
        </w:rPr>
        <w:t> </w:t>
      </w:r>
      <w:r>
        <w:rPr>
          <w:sz w:val="22"/>
        </w:rPr>
        <w:t>of dementia and mild cognitive impairment in postmenopausal women: the Women’s Health Initiative Memory Study: a randomized controlled trial. </w:t>
      </w:r>
      <w:r>
        <w:rPr>
          <w:i/>
          <w:sz w:val="22"/>
        </w:rPr>
        <w:t>JAMA</w:t>
      </w:r>
      <w:r>
        <w:rPr>
          <w:sz w:val="22"/>
        </w:rPr>
        <w:t>. 2003;289:2651.</w:t>
      </w:r>
    </w:p>
    <w:p>
      <w:pPr>
        <w:spacing w:line="256" w:lineRule="auto" w:before="0"/>
        <w:ind w:left="718" w:right="107" w:hanging="619"/>
        <w:jc w:val="both"/>
        <w:rPr>
          <w:sz w:val="22"/>
        </w:rPr>
      </w:pPr>
      <w:r>
        <w:rPr>
          <w:sz w:val="22"/>
        </w:rPr>
        <w:t>1248. Rapp SR, Espeland MA, Shumaker SA, et al. Effect of estrogen plus progestin on </w:t>
      </w:r>
      <w:r>
        <w:rPr>
          <w:sz w:val="22"/>
        </w:rPr>
        <w:t>global cognitive</w:t>
      </w:r>
      <w:r>
        <w:rPr>
          <w:spacing w:val="25"/>
          <w:sz w:val="22"/>
        </w:rPr>
        <w:t> </w:t>
      </w:r>
      <w:r>
        <w:rPr>
          <w:sz w:val="22"/>
        </w:rPr>
        <w:t>function</w:t>
      </w:r>
      <w:r>
        <w:rPr>
          <w:spacing w:val="25"/>
          <w:sz w:val="22"/>
        </w:rPr>
        <w:t> </w:t>
      </w:r>
      <w:r>
        <w:rPr>
          <w:sz w:val="22"/>
        </w:rPr>
        <w:t>in</w:t>
      </w:r>
      <w:r>
        <w:rPr>
          <w:spacing w:val="25"/>
          <w:sz w:val="22"/>
        </w:rPr>
        <w:t> </w:t>
      </w:r>
      <w:r>
        <w:rPr>
          <w:sz w:val="22"/>
        </w:rPr>
        <w:t>postmenopausal</w:t>
      </w:r>
      <w:r>
        <w:rPr>
          <w:spacing w:val="25"/>
          <w:sz w:val="22"/>
        </w:rPr>
        <w:t> </w:t>
      </w:r>
      <w:r>
        <w:rPr>
          <w:sz w:val="22"/>
        </w:rPr>
        <w:t>women:</w:t>
      </w:r>
      <w:r>
        <w:rPr>
          <w:spacing w:val="25"/>
          <w:sz w:val="22"/>
        </w:rPr>
        <w:t> </w:t>
      </w:r>
      <w:r>
        <w:rPr>
          <w:sz w:val="22"/>
        </w:rPr>
        <w:t>the</w:t>
      </w:r>
      <w:r>
        <w:rPr>
          <w:spacing w:val="25"/>
          <w:sz w:val="22"/>
        </w:rPr>
        <w:t> </w:t>
      </w:r>
      <w:r>
        <w:rPr>
          <w:sz w:val="22"/>
        </w:rPr>
        <w:t>Women’s</w:t>
      </w:r>
      <w:r>
        <w:rPr>
          <w:spacing w:val="25"/>
          <w:sz w:val="22"/>
        </w:rPr>
        <w:t> </w:t>
      </w:r>
      <w:r>
        <w:rPr>
          <w:sz w:val="22"/>
        </w:rPr>
        <w:t>Health</w:t>
      </w:r>
      <w:r>
        <w:rPr>
          <w:spacing w:val="25"/>
          <w:sz w:val="22"/>
        </w:rPr>
        <w:t> </w:t>
      </w:r>
      <w:r>
        <w:rPr>
          <w:sz w:val="22"/>
        </w:rPr>
        <w:t>Initiative</w:t>
      </w:r>
      <w:r>
        <w:rPr>
          <w:spacing w:val="25"/>
          <w:sz w:val="22"/>
        </w:rPr>
        <w:t> </w:t>
      </w:r>
      <w:r>
        <w:rPr>
          <w:sz w:val="22"/>
        </w:rPr>
        <w:t>Memory</w:t>
      </w:r>
      <w:r>
        <w:rPr>
          <w:spacing w:val="25"/>
          <w:sz w:val="22"/>
        </w:rPr>
        <w:t> </w:t>
      </w:r>
      <w:r>
        <w:rPr>
          <w:sz w:val="22"/>
        </w:rPr>
        <w:t>Study: a randomized controlled trial. </w:t>
      </w:r>
      <w:r>
        <w:rPr>
          <w:i/>
          <w:sz w:val="22"/>
        </w:rPr>
        <w:t>JAMA</w:t>
      </w:r>
      <w:r>
        <w:rPr>
          <w:sz w:val="22"/>
        </w:rPr>
        <w:t>. 2003;289:2663.</w:t>
      </w:r>
    </w:p>
    <w:p>
      <w:pPr>
        <w:spacing w:line="256" w:lineRule="auto" w:before="0"/>
        <w:ind w:left="718" w:right="102" w:hanging="619"/>
        <w:jc w:val="both"/>
        <w:rPr>
          <w:sz w:val="22"/>
        </w:rPr>
      </w:pPr>
      <w:r>
        <w:rPr>
          <w:sz w:val="22"/>
        </w:rPr>
        <w:t>1249. Espeland MA, Rapp SR, Shumaker SA, et al; Women’s Health Initiative Memory Study. Conjugated equine estrogens and global cognitive function in postmenopausal </w:t>
      </w:r>
      <w:r>
        <w:rPr>
          <w:sz w:val="22"/>
        </w:rPr>
        <w:t>women:</w:t>
      </w:r>
      <w:r>
        <w:rPr>
          <w:spacing w:val="40"/>
          <w:sz w:val="22"/>
        </w:rPr>
        <w:t> </w:t>
      </w:r>
      <w:r>
        <w:rPr>
          <w:sz w:val="22"/>
        </w:rPr>
        <w:t>Women’s Health Initiative Memory Study. </w:t>
      </w:r>
      <w:r>
        <w:rPr>
          <w:i/>
          <w:sz w:val="22"/>
        </w:rPr>
        <w:t>JAMA</w:t>
      </w:r>
      <w:r>
        <w:rPr>
          <w:sz w:val="22"/>
        </w:rPr>
        <w:t>. 2004;291:2959.</w:t>
      </w:r>
    </w:p>
    <w:p>
      <w:pPr>
        <w:spacing w:line="256" w:lineRule="auto" w:before="0"/>
        <w:ind w:left="718" w:right="104" w:hanging="619"/>
        <w:jc w:val="both"/>
        <w:rPr>
          <w:sz w:val="22"/>
        </w:rPr>
      </w:pPr>
      <w:r>
        <w:rPr>
          <w:sz w:val="22"/>
        </w:rPr>
        <w:t>1250.</w:t>
      </w:r>
      <w:r>
        <w:rPr>
          <w:spacing w:val="40"/>
          <w:sz w:val="22"/>
        </w:rPr>
        <w:t> </w:t>
      </w:r>
      <w:r>
        <w:rPr>
          <w:sz w:val="22"/>
        </w:rPr>
        <w:t>Barr</w:t>
      </w:r>
      <w:r>
        <w:rPr>
          <w:spacing w:val="35"/>
          <w:sz w:val="22"/>
        </w:rPr>
        <w:t> </w:t>
      </w:r>
      <w:r>
        <w:rPr>
          <w:sz w:val="22"/>
        </w:rPr>
        <w:t>RG,</w:t>
      </w:r>
      <w:r>
        <w:rPr>
          <w:spacing w:val="35"/>
          <w:sz w:val="22"/>
        </w:rPr>
        <w:t> </w:t>
      </w:r>
      <w:r>
        <w:rPr>
          <w:sz w:val="22"/>
        </w:rPr>
        <w:t>Wentowski</w:t>
      </w:r>
      <w:r>
        <w:rPr>
          <w:spacing w:val="35"/>
          <w:sz w:val="22"/>
        </w:rPr>
        <w:t> </w:t>
      </w:r>
      <w:r>
        <w:rPr>
          <w:sz w:val="22"/>
        </w:rPr>
        <w:t>CC,</w:t>
      </w:r>
      <w:r>
        <w:rPr>
          <w:spacing w:val="35"/>
          <w:sz w:val="22"/>
        </w:rPr>
        <w:t> </w:t>
      </w:r>
      <w:r>
        <w:rPr>
          <w:sz w:val="22"/>
        </w:rPr>
        <w:t>Grodstein</w:t>
      </w:r>
      <w:r>
        <w:rPr>
          <w:spacing w:val="35"/>
          <w:sz w:val="22"/>
        </w:rPr>
        <w:t> </w:t>
      </w:r>
      <w:r>
        <w:rPr>
          <w:sz w:val="22"/>
        </w:rPr>
        <w:t>F,</w:t>
      </w:r>
      <w:r>
        <w:rPr>
          <w:spacing w:val="35"/>
          <w:sz w:val="22"/>
        </w:rPr>
        <w:t> </w:t>
      </w:r>
      <w:r>
        <w:rPr>
          <w:sz w:val="22"/>
        </w:rPr>
        <w:t>et</w:t>
      </w:r>
      <w:r>
        <w:rPr>
          <w:spacing w:val="35"/>
          <w:sz w:val="22"/>
        </w:rPr>
        <w:t> </w:t>
      </w:r>
      <w:r>
        <w:rPr>
          <w:sz w:val="22"/>
        </w:rPr>
        <w:t>al.</w:t>
      </w:r>
      <w:r>
        <w:rPr>
          <w:spacing w:val="35"/>
          <w:sz w:val="22"/>
        </w:rPr>
        <w:t> </w:t>
      </w:r>
      <w:r>
        <w:rPr>
          <w:sz w:val="22"/>
        </w:rPr>
        <w:t>Prospective</w:t>
      </w:r>
      <w:r>
        <w:rPr>
          <w:spacing w:val="39"/>
          <w:sz w:val="22"/>
        </w:rPr>
        <w:t> </w:t>
      </w:r>
      <w:r>
        <w:rPr>
          <w:sz w:val="22"/>
        </w:rPr>
        <w:t>study</w:t>
      </w:r>
      <w:r>
        <w:rPr>
          <w:spacing w:val="39"/>
          <w:sz w:val="22"/>
        </w:rPr>
        <w:t> </w:t>
      </w:r>
      <w:r>
        <w:rPr>
          <w:sz w:val="22"/>
        </w:rPr>
        <w:t>of</w:t>
      </w:r>
      <w:r>
        <w:rPr>
          <w:spacing w:val="39"/>
          <w:sz w:val="22"/>
        </w:rPr>
        <w:t> </w:t>
      </w:r>
      <w:r>
        <w:rPr>
          <w:sz w:val="22"/>
        </w:rPr>
        <w:t>postmenopausal</w:t>
      </w:r>
      <w:r>
        <w:rPr>
          <w:spacing w:val="39"/>
          <w:sz w:val="22"/>
        </w:rPr>
        <w:t> </w:t>
      </w:r>
      <w:r>
        <w:rPr>
          <w:sz w:val="22"/>
        </w:rPr>
        <w:t>hormone use and newly diagnosed asthma and chronic obstructive pulmonary disease. </w:t>
      </w:r>
      <w:r>
        <w:rPr>
          <w:i/>
          <w:sz w:val="22"/>
        </w:rPr>
        <w:t>Arch Intern Med</w:t>
      </w:r>
      <w:r>
        <w:rPr>
          <w:sz w:val="22"/>
        </w:rPr>
        <w:t>. </w:t>
      </w:r>
      <w:r>
        <w:rPr>
          <w:spacing w:val="-2"/>
          <w:sz w:val="22"/>
        </w:rPr>
        <w:t>2004;164:379.</w:t>
      </w:r>
    </w:p>
    <w:p>
      <w:pPr>
        <w:spacing w:line="256" w:lineRule="auto" w:before="0"/>
        <w:ind w:left="718" w:right="104" w:hanging="619"/>
        <w:jc w:val="both"/>
        <w:rPr>
          <w:sz w:val="22"/>
        </w:rPr>
      </w:pPr>
      <w:r>
        <w:rPr>
          <w:sz w:val="22"/>
        </w:rPr>
        <w:t>1251.</w:t>
      </w:r>
      <w:r>
        <w:rPr>
          <w:spacing w:val="40"/>
          <w:sz w:val="22"/>
        </w:rPr>
        <w:t> </w:t>
      </w:r>
      <w:r>
        <w:rPr>
          <w:sz w:val="22"/>
        </w:rPr>
        <w:t>Ober BA, Shenaut GK, Taylor SL. Effects of hormone therapy on list and story recall in post-menopausal women. </w:t>
      </w:r>
      <w:r>
        <w:rPr>
          <w:i/>
          <w:sz w:val="22"/>
        </w:rPr>
        <w:t>Exp Aging Res</w:t>
      </w:r>
      <w:r>
        <w:rPr>
          <w:sz w:val="22"/>
        </w:rPr>
        <w:t>. 2019;45(3):199-222.</w:t>
      </w:r>
    </w:p>
    <w:p>
      <w:pPr>
        <w:spacing w:after="0" w:line="256" w:lineRule="auto"/>
        <w:jc w:val="both"/>
        <w:rPr>
          <w:sz w:val="22"/>
        </w:rPr>
        <w:sectPr>
          <w:pgSz w:w="12240" w:h="15840"/>
          <w:pgMar w:top="1360" w:bottom="280" w:left="1440" w:right="1440"/>
        </w:sectPr>
      </w:pPr>
    </w:p>
    <w:p>
      <w:pPr>
        <w:spacing w:line="256" w:lineRule="auto" w:before="84"/>
        <w:ind w:left="718" w:right="100" w:hanging="619"/>
        <w:jc w:val="both"/>
        <w:rPr>
          <w:sz w:val="22"/>
        </w:rPr>
      </w:pPr>
      <w:r>
        <w:rPr>
          <w:sz w:val="22"/>
        </w:rPr>
        <w:t>1252. Zandi PP, Carlson MC, Plassman BL, et al. Hormone replacement therapy and incidence </w:t>
      </w:r>
      <w:r>
        <w:rPr>
          <w:sz w:val="22"/>
        </w:rPr>
        <w:t>of Alzheimer disease in older women: the Cache County Study. </w:t>
      </w:r>
      <w:r>
        <w:rPr>
          <w:i/>
          <w:sz w:val="22"/>
        </w:rPr>
        <w:t>JAMA</w:t>
      </w:r>
      <w:r>
        <w:rPr>
          <w:sz w:val="22"/>
        </w:rPr>
        <w:t>. 2002;288:2123.</w:t>
      </w:r>
    </w:p>
    <w:p>
      <w:pPr>
        <w:spacing w:line="256" w:lineRule="auto" w:before="0"/>
        <w:ind w:left="718" w:right="101" w:hanging="619"/>
        <w:jc w:val="both"/>
        <w:rPr>
          <w:sz w:val="22"/>
        </w:rPr>
      </w:pPr>
      <w:r>
        <w:rPr>
          <w:sz w:val="22"/>
        </w:rPr>
        <w:t>1253.</w:t>
      </w:r>
      <w:r>
        <w:rPr>
          <w:spacing w:val="40"/>
          <w:sz w:val="22"/>
        </w:rPr>
        <w:t> </w:t>
      </w:r>
      <w:r>
        <w:rPr>
          <w:sz w:val="22"/>
        </w:rPr>
        <w:t>Gleason CE, Dowling NM, Wharton W, et al. Effects of hormone therapy on cognition and</w:t>
      </w:r>
      <w:r>
        <w:rPr>
          <w:spacing w:val="40"/>
          <w:sz w:val="22"/>
        </w:rPr>
        <w:t> </w:t>
      </w:r>
      <w:r>
        <w:rPr>
          <w:sz w:val="22"/>
        </w:rPr>
        <w:t>mood in recently postmenopausal women: findings from the randomized, controlled KEEPS-cognitive and affective study. </w:t>
      </w:r>
      <w:r>
        <w:rPr>
          <w:i/>
          <w:sz w:val="22"/>
        </w:rPr>
        <w:t>PLoS Med. </w:t>
      </w:r>
      <w:r>
        <w:rPr>
          <w:sz w:val="22"/>
        </w:rPr>
        <w:t>2015;12(6):e1001833.</w:t>
      </w:r>
    </w:p>
    <w:p>
      <w:pPr>
        <w:spacing w:line="256" w:lineRule="auto" w:before="0"/>
        <w:ind w:left="718" w:right="99" w:hanging="619"/>
        <w:jc w:val="both"/>
        <w:rPr>
          <w:sz w:val="22"/>
        </w:rPr>
      </w:pPr>
      <w:r>
        <w:rPr>
          <w:sz w:val="22"/>
        </w:rPr>
        <w:t>1254. Shumaker</w:t>
      </w:r>
      <w:r>
        <w:rPr>
          <w:spacing w:val="40"/>
          <w:sz w:val="22"/>
        </w:rPr>
        <w:t> </w:t>
      </w:r>
      <w:r>
        <w:rPr>
          <w:sz w:val="22"/>
        </w:rPr>
        <w:t>SA,</w:t>
      </w:r>
      <w:r>
        <w:rPr>
          <w:spacing w:val="40"/>
          <w:sz w:val="22"/>
        </w:rPr>
        <w:t> </w:t>
      </w:r>
      <w:r>
        <w:rPr>
          <w:sz w:val="22"/>
        </w:rPr>
        <w:t>Legault</w:t>
      </w:r>
      <w:r>
        <w:rPr>
          <w:spacing w:val="40"/>
          <w:sz w:val="22"/>
        </w:rPr>
        <w:t> </w:t>
      </w:r>
      <w:r>
        <w:rPr>
          <w:sz w:val="22"/>
        </w:rPr>
        <w:t>C,</w:t>
      </w:r>
      <w:r>
        <w:rPr>
          <w:spacing w:val="40"/>
          <w:sz w:val="22"/>
        </w:rPr>
        <w:t> </w:t>
      </w:r>
      <w:r>
        <w:rPr>
          <w:sz w:val="22"/>
        </w:rPr>
        <w:t>Kuller</w:t>
      </w:r>
      <w:r>
        <w:rPr>
          <w:spacing w:val="40"/>
          <w:sz w:val="22"/>
        </w:rPr>
        <w:t> </w:t>
      </w:r>
      <w:r>
        <w:rPr>
          <w:sz w:val="22"/>
        </w:rPr>
        <w:t>L,</w:t>
      </w:r>
      <w:r>
        <w:rPr>
          <w:spacing w:val="40"/>
          <w:sz w:val="22"/>
        </w:rPr>
        <w:t> </w:t>
      </w:r>
      <w:r>
        <w:rPr>
          <w:sz w:val="22"/>
        </w:rPr>
        <w:t>et</w:t>
      </w:r>
      <w:r>
        <w:rPr>
          <w:spacing w:val="40"/>
          <w:sz w:val="22"/>
        </w:rPr>
        <w:t> </w:t>
      </w:r>
      <w:r>
        <w:rPr>
          <w:sz w:val="22"/>
        </w:rPr>
        <w:t>al;</w:t>
      </w:r>
      <w:r>
        <w:rPr>
          <w:spacing w:val="40"/>
          <w:sz w:val="22"/>
        </w:rPr>
        <w:t> </w:t>
      </w:r>
      <w:r>
        <w:rPr>
          <w:sz w:val="22"/>
        </w:rPr>
        <w:t>Women’s</w:t>
      </w:r>
      <w:r>
        <w:rPr>
          <w:spacing w:val="40"/>
          <w:sz w:val="22"/>
        </w:rPr>
        <w:t> </w:t>
      </w:r>
      <w:r>
        <w:rPr>
          <w:sz w:val="22"/>
        </w:rPr>
        <w:t>Health</w:t>
      </w:r>
      <w:r>
        <w:rPr>
          <w:spacing w:val="40"/>
          <w:sz w:val="22"/>
        </w:rPr>
        <w:t> </w:t>
      </w:r>
      <w:r>
        <w:rPr>
          <w:sz w:val="22"/>
        </w:rPr>
        <w:t>Initiative</w:t>
      </w:r>
      <w:r>
        <w:rPr>
          <w:spacing w:val="40"/>
          <w:sz w:val="22"/>
        </w:rPr>
        <w:t> </w:t>
      </w:r>
      <w:r>
        <w:rPr>
          <w:sz w:val="22"/>
        </w:rPr>
        <w:t>Memory</w:t>
      </w:r>
      <w:r>
        <w:rPr>
          <w:spacing w:val="40"/>
          <w:sz w:val="22"/>
        </w:rPr>
        <w:t> </w:t>
      </w:r>
      <w:r>
        <w:rPr>
          <w:sz w:val="22"/>
        </w:rPr>
        <w:t>Study. Conjugated equine estrogens and incidence of probable dementia and mild </w:t>
      </w:r>
      <w:r>
        <w:rPr>
          <w:sz w:val="22"/>
        </w:rPr>
        <w:t>cognitive</w:t>
      </w:r>
      <w:r>
        <w:rPr>
          <w:spacing w:val="80"/>
          <w:sz w:val="22"/>
        </w:rPr>
        <w:t> </w:t>
      </w:r>
      <w:r>
        <w:rPr>
          <w:sz w:val="22"/>
        </w:rPr>
        <w:t>impairment in postmenopausal women: Women’s Health Initiative Memory Study. </w:t>
      </w:r>
      <w:r>
        <w:rPr>
          <w:i/>
          <w:sz w:val="22"/>
        </w:rPr>
        <w:t>JAMA</w:t>
      </w:r>
      <w:r>
        <w:rPr>
          <w:sz w:val="22"/>
        </w:rPr>
        <w:t>. </w:t>
      </w:r>
      <w:r>
        <w:rPr>
          <w:spacing w:val="-2"/>
          <w:sz w:val="22"/>
        </w:rPr>
        <w:t>2004;291:2947.</w:t>
      </w:r>
    </w:p>
    <w:p>
      <w:pPr>
        <w:spacing w:line="250" w:lineRule="exact" w:before="0"/>
        <w:ind w:left="99" w:right="0" w:firstLine="0"/>
        <w:jc w:val="both"/>
        <w:rPr>
          <w:sz w:val="22"/>
        </w:rPr>
      </w:pPr>
      <w:r>
        <w:rPr>
          <w:sz w:val="22"/>
        </w:rPr>
        <w:t>1255.</w:t>
      </w:r>
      <w:r>
        <w:rPr>
          <w:spacing w:val="55"/>
          <w:sz w:val="22"/>
        </w:rPr>
        <w:t> </w:t>
      </w:r>
      <w:r>
        <w:rPr>
          <w:sz w:val="22"/>
        </w:rPr>
        <w:t>Steiger</w:t>
      </w:r>
      <w:r>
        <w:rPr>
          <w:spacing w:val="36"/>
          <w:sz w:val="22"/>
        </w:rPr>
        <w:t>  </w:t>
      </w:r>
      <w:r>
        <w:rPr>
          <w:sz w:val="22"/>
        </w:rPr>
        <w:t>MJ,</w:t>
      </w:r>
      <w:r>
        <w:rPr>
          <w:spacing w:val="36"/>
          <w:sz w:val="22"/>
        </w:rPr>
        <w:t>  </w:t>
      </w:r>
      <w:r>
        <w:rPr>
          <w:sz w:val="22"/>
        </w:rPr>
        <w:t>Quinn</w:t>
      </w:r>
      <w:r>
        <w:rPr>
          <w:spacing w:val="35"/>
          <w:sz w:val="22"/>
        </w:rPr>
        <w:t>  </w:t>
      </w:r>
      <w:r>
        <w:rPr>
          <w:sz w:val="22"/>
        </w:rPr>
        <w:t>NP.</w:t>
      </w:r>
      <w:r>
        <w:rPr>
          <w:spacing w:val="36"/>
          <w:sz w:val="22"/>
        </w:rPr>
        <w:t>  </w:t>
      </w:r>
      <w:r>
        <w:rPr>
          <w:sz w:val="22"/>
        </w:rPr>
        <w:t>Hormone</w:t>
      </w:r>
      <w:r>
        <w:rPr>
          <w:spacing w:val="36"/>
          <w:sz w:val="22"/>
        </w:rPr>
        <w:t>  </w:t>
      </w:r>
      <w:r>
        <w:rPr>
          <w:sz w:val="22"/>
        </w:rPr>
        <w:t>replacement</w:t>
      </w:r>
      <w:r>
        <w:rPr>
          <w:spacing w:val="37"/>
          <w:sz w:val="22"/>
        </w:rPr>
        <w:t>  </w:t>
      </w:r>
      <w:r>
        <w:rPr>
          <w:sz w:val="22"/>
        </w:rPr>
        <w:t>therapy</w:t>
      </w:r>
      <w:r>
        <w:rPr>
          <w:spacing w:val="36"/>
          <w:sz w:val="22"/>
        </w:rPr>
        <w:t>  </w:t>
      </w:r>
      <w:r>
        <w:rPr>
          <w:sz w:val="22"/>
        </w:rPr>
        <w:t>induced</w:t>
      </w:r>
      <w:r>
        <w:rPr>
          <w:spacing w:val="36"/>
          <w:sz w:val="22"/>
        </w:rPr>
        <w:t>  </w:t>
      </w:r>
      <w:r>
        <w:rPr>
          <w:sz w:val="22"/>
        </w:rPr>
        <w:t>chorea.</w:t>
      </w:r>
      <w:r>
        <w:rPr>
          <w:spacing w:val="37"/>
          <w:sz w:val="22"/>
        </w:rPr>
        <w:t>  </w:t>
      </w:r>
      <w:r>
        <w:rPr>
          <w:i/>
          <w:sz w:val="22"/>
        </w:rPr>
        <w:t>Br</w:t>
      </w:r>
      <w:r>
        <w:rPr>
          <w:i/>
          <w:spacing w:val="38"/>
          <w:sz w:val="22"/>
        </w:rPr>
        <w:t>  </w:t>
      </w:r>
      <w:r>
        <w:rPr>
          <w:i/>
          <w:sz w:val="22"/>
        </w:rPr>
        <w:t>Med</w:t>
      </w:r>
      <w:r>
        <w:rPr>
          <w:i/>
          <w:spacing w:val="38"/>
          <w:sz w:val="22"/>
        </w:rPr>
        <w:t>  </w:t>
      </w:r>
      <w:r>
        <w:rPr>
          <w:i/>
          <w:spacing w:val="-5"/>
          <w:sz w:val="22"/>
        </w:rPr>
        <w:t>J</w:t>
      </w:r>
      <w:r>
        <w:rPr>
          <w:spacing w:val="-5"/>
          <w:sz w:val="22"/>
        </w:rPr>
        <w:t>.</w:t>
      </w:r>
    </w:p>
    <w:p>
      <w:pPr>
        <w:spacing w:before="14"/>
        <w:ind w:left="718" w:right="0" w:firstLine="0"/>
        <w:jc w:val="left"/>
        <w:rPr>
          <w:sz w:val="22"/>
        </w:rPr>
      </w:pPr>
      <w:r>
        <w:rPr>
          <w:spacing w:val="-2"/>
          <w:sz w:val="22"/>
        </w:rPr>
        <w:t>1991;302:762.</w:t>
      </w:r>
    </w:p>
    <w:p>
      <w:pPr>
        <w:spacing w:line="256" w:lineRule="auto" w:before="17"/>
        <w:ind w:left="718" w:right="99" w:hanging="619"/>
        <w:jc w:val="both"/>
        <w:rPr>
          <w:sz w:val="22"/>
        </w:rPr>
      </w:pPr>
      <w:r>
        <w:rPr>
          <w:sz w:val="22"/>
        </w:rPr>
        <w:t>1256.</w:t>
      </w:r>
      <w:r>
        <w:rPr>
          <w:spacing w:val="40"/>
          <w:sz w:val="22"/>
        </w:rPr>
        <w:t> </w:t>
      </w:r>
      <w:r>
        <w:rPr>
          <w:sz w:val="22"/>
        </w:rPr>
        <w:t>Thomas JM. Hormone-replacement therapy and pulmonary leiomyomatosis (Letter). </w:t>
      </w:r>
      <w:r>
        <w:rPr>
          <w:i/>
          <w:sz w:val="22"/>
        </w:rPr>
        <w:t>N Engl J</w:t>
      </w:r>
      <w:r>
        <w:rPr>
          <w:i/>
          <w:sz w:val="22"/>
        </w:rPr>
        <w:t> Med</w:t>
      </w:r>
      <w:r>
        <w:rPr>
          <w:sz w:val="22"/>
        </w:rPr>
        <w:t>. 1992;327:1956.</w:t>
      </w:r>
    </w:p>
    <w:p>
      <w:pPr>
        <w:spacing w:line="256" w:lineRule="auto" w:before="0"/>
        <w:ind w:left="718" w:right="111" w:hanging="619"/>
        <w:jc w:val="both"/>
        <w:rPr>
          <w:sz w:val="22"/>
        </w:rPr>
      </w:pPr>
      <w:r>
        <w:rPr>
          <w:sz w:val="22"/>
        </w:rPr>
        <w:t>1257. Wetterberg</w:t>
      </w:r>
      <w:r>
        <w:rPr>
          <w:spacing w:val="40"/>
          <w:sz w:val="22"/>
        </w:rPr>
        <w:t> </w:t>
      </w:r>
      <w:r>
        <w:rPr>
          <w:sz w:val="22"/>
        </w:rPr>
        <w:t>L,</w:t>
      </w:r>
      <w:r>
        <w:rPr>
          <w:spacing w:val="40"/>
          <w:sz w:val="22"/>
        </w:rPr>
        <w:t> </w:t>
      </w:r>
      <w:r>
        <w:rPr>
          <w:sz w:val="22"/>
        </w:rPr>
        <w:t>Olsson</w:t>
      </w:r>
      <w:r>
        <w:rPr>
          <w:spacing w:val="40"/>
          <w:sz w:val="22"/>
        </w:rPr>
        <w:t> </w:t>
      </w:r>
      <w:r>
        <w:rPr>
          <w:sz w:val="22"/>
        </w:rPr>
        <w:t>MB,</w:t>
      </w:r>
      <w:r>
        <w:rPr>
          <w:spacing w:val="40"/>
          <w:sz w:val="22"/>
        </w:rPr>
        <w:t> </w:t>
      </w:r>
      <w:r>
        <w:rPr>
          <w:sz w:val="22"/>
        </w:rPr>
        <w:t>Alm-Agvald</w:t>
      </w:r>
      <w:r>
        <w:rPr>
          <w:spacing w:val="40"/>
          <w:sz w:val="22"/>
        </w:rPr>
        <w:t> </w:t>
      </w:r>
      <w:r>
        <w:rPr>
          <w:sz w:val="22"/>
        </w:rPr>
        <w:t>I.</w:t>
      </w:r>
      <w:r>
        <w:rPr>
          <w:spacing w:val="40"/>
          <w:sz w:val="22"/>
        </w:rPr>
        <w:t> </w:t>
      </w:r>
      <w:r>
        <w:rPr>
          <w:sz w:val="22"/>
        </w:rPr>
        <w:t>Estrogen</w:t>
      </w:r>
      <w:r>
        <w:rPr>
          <w:spacing w:val="40"/>
          <w:sz w:val="22"/>
        </w:rPr>
        <w:t> </w:t>
      </w:r>
      <w:r>
        <w:rPr>
          <w:sz w:val="22"/>
        </w:rPr>
        <w:t>treatment</w:t>
      </w:r>
      <w:r>
        <w:rPr>
          <w:spacing w:val="40"/>
          <w:sz w:val="22"/>
        </w:rPr>
        <w:t> </w:t>
      </w:r>
      <w:r>
        <w:rPr>
          <w:sz w:val="22"/>
        </w:rPr>
        <w:t>caused</w:t>
      </w:r>
      <w:r>
        <w:rPr>
          <w:spacing w:val="40"/>
          <w:sz w:val="22"/>
        </w:rPr>
        <w:t> </w:t>
      </w:r>
      <w:r>
        <w:rPr>
          <w:sz w:val="22"/>
        </w:rPr>
        <w:t>acute</w:t>
      </w:r>
      <w:r>
        <w:rPr>
          <w:spacing w:val="40"/>
          <w:sz w:val="22"/>
        </w:rPr>
        <w:t> </w:t>
      </w:r>
      <w:r>
        <w:rPr>
          <w:sz w:val="22"/>
        </w:rPr>
        <w:t>attacks</w:t>
      </w:r>
      <w:r>
        <w:rPr>
          <w:spacing w:val="40"/>
          <w:sz w:val="22"/>
        </w:rPr>
        <w:t> </w:t>
      </w:r>
      <w:r>
        <w:rPr>
          <w:sz w:val="22"/>
        </w:rPr>
        <w:t>of porphyria. </w:t>
      </w:r>
      <w:r>
        <w:rPr>
          <w:i/>
          <w:sz w:val="22"/>
        </w:rPr>
        <w:t>Lakartidningen</w:t>
      </w:r>
      <w:r>
        <w:rPr>
          <w:sz w:val="22"/>
        </w:rPr>
        <w:t>. 1995;92:2197.</w:t>
      </w:r>
    </w:p>
    <w:p>
      <w:pPr>
        <w:spacing w:line="256" w:lineRule="auto" w:before="0"/>
        <w:ind w:left="718" w:right="100" w:hanging="619"/>
        <w:jc w:val="both"/>
        <w:rPr>
          <w:sz w:val="22"/>
        </w:rPr>
      </w:pPr>
      <w:r>
        <w:rPr>
          <w:sz w:val="22"/>
        </w:rPr>
        <w:t>1258. Gurwood</w:t>
      </w:r>
      <w:r>
        <w:rPr>
          <w:spacing w:val="40"/>
          <w:sz w:val="22"/>
        </w:rPr>
        <w:t> </w:t>
      </w:r>
      <w:r>
        <w:rPr>
          <w:sz w:val="22"/>
        </w:rPr>
        <w:t>AS,</w:t>
      </w:r>
      <w:r>
        <w:rPr>
          <w:spacing w:val="40"/>
          <w:sz w:val="22"/>
        </w:rPr>
        <w:t> </w:t>
      </w:r>
      <w:r>
        <w:rPr>
          <w:sz w:val="22"/>
        </w:rPr>
        <w:t>Gurwood</w:t>
      </w:r>
      <w:r>
        <w:rPr>
          <w:spacing w:val="40"/>
          <w:sz w:val="22"/>
        </w:rPr>
        <w:t> </w:t>
      </w:r>
      <w:r>
        <w:rPr>
          <w:sz w:val="22"/>
        </w:rPr>
        <w:t>I,</w:t>
      </w:r>
      <w:r>
        <w:rPr>
          <w:spacing w:val="40"/>
          <w:sz w:val="22"/>
        </w:rPr>
        <w:t> </w:t>
      </w:r>
      <w:r>
        <w:rPr>
          <w:sz w:val="22"/>
        </w:rPr>
        <w:t>Gubman</w:t>
      </w:r>
      <w:r>
        <w:rPr>
          <w:spacing w:val="40"/>
          <w:sz w:val="22"/>
        </w:rPr>
        <w:t> </w:t>
      </w:r>
      <w:r>
        <w:rPr>
          <w:sz w:val="22"/>
        </w:rPr>
        <w:t>DT,</w:t>
      </w:r>
      <w:r>
        <w:rPr>
          <w:spacing w:val="40"/>
          <w:sz w:val="22"/>
        </w:rPr>
        <w:t> </w:t>
      </w:r>
      <w:r>
        <w:rPr>
          <w:sz w:val="22"/>
        </w:rPr>
        <w:t>Brzezicki</w:t>
      </w:r>
      <w:r>
        <w:rPr>
          <w:spacing w:val="40"/>
          <w:sz w:val="22"/>
        </w:rPr>
        <w:t> </w:t>
      </w:r>
      <w:r>
        <w:rPr>
          <w:sz w:val="22"/>
        </w:rPr>
        <w:t>LJ.</w:t>
      </w:r>
      <w:r>
        <w:rPr>
          <w:spacing w:val="40"/>
          <w:sz w:val="22"/>
        </w:rPr>
        <w:t> </w:t>
      </w:r>
      <w:r>
        <w:rPr>
          <w:sz w:val="22"/>
        </w:rPr>
        <w:t>Idiosyncratic</w:t>
      </w:r>
      <w:r>
        <w:rPr>
          <w:spacing w:val="40"/>
          <w:sz w:val="22"/>
        </w:rPr>
        <w:t> </w:t>
      </w:r>
      <w:r>
        <w:rPr>
          <w:sz w:val="22"/>
        </w:rPr>
        <w:t>ocular</w:t>
      </w:r>
      <w:r>
        <w:rPr>
          <w:spacing w:val="40"/>
          <w:sz w:val="22"/>
        </w:rPr>
        <w:t> </w:t>
      </w:r>
      <w:r>
        <w:rPr>
          <w:sz w:val="22"/>
        </w:rPr>
        <w:t>symptoms associated with the estradiol transdermal estrogen replacement patch system. </w:t>
      </w:r>
      <w:r>
        <w:rPr>
          <w:i/>
          <w:sz w:val="22"/>
        </w:rPr>
        <w:t>Optom Vis Sci</w:t>
      </w:r>
      <w:r>
        <w:rPr>
          <w:sz w:val="22"/>
        </w:rPr>
        <w:t>. </w:t>
      </w:r>
      <w:r>
        <w:rPr>
          <w:spacing w:val="-2"/>
          <w:sz w:val="22"/>
        </w:rPr>
        <w:t>1995;72:29.</w:t>
      </w:r>
    </w:p>
    <w:p>
      <w:pPr>
        <w:spacing w:line="256" w:lineRule="auto" w:before="0"/>
        <w:ind w:left="718" w:right="99" w:hanging="619"/>
        <w:jc w:val="both"/>
        <w:rPr>
          <w:sz w:val="22"/>
        </w:rPr>
      </w:pPr>
      <w:r>
        <w:rPr>
          <w:sz w:val="22"/>
        </w:rPr>
        <w:t>1259.</w:t>
      </w:r>
      <w:r>
        <w:rPr>
          <w:spacing w:val="40"/>
          <w:sz w:val="22"/>
        </w:rPr>
        <w:t> </w:t>
      </w:r>
      <w:r>
        <w:rPr>
          <w:sz w:val="22"/>
        </w:rPr>
        <w:t>Strachan</w:t>
      </w:r>
      <w:r>
        <w:rPr>
          <w:spacing w:val="40"/>
          <w:sz w:val="22"/>
        </w:rPr>
        <w:t> </w:t>
      </w:r>
      <w:r>
        <w:rPr>
          <w:sz w:val="22"/>
        </w:rPr>
        <w:t>D.</w:t>
      </w:r>
      <w:r>
        <w:rPr>
          <w:spacing w:val="40"/>
          <w:sz w:val="22"/>
        </w:rPr>
        <w:t> </w:t>
      </w:r>
      <w:r>
        <w:rPr>
          <w:sz w:val="22"/>
        </w:rPr>
        <w:t>Sudden</w:t>
      </w:r>
      <w:r>
        <w:rPr>
          <w:spacing w:val="40"/>
          <w:sz w:val="22"/>
        </w:rPr>
        <w:t> </w:t>
      </w:r>
      <w:r>
        <w:rPr>
          <w:sz w:val="22"/>
        </w:rPr>
        <w:t>sensorineural</w:t>
      </w:r>
      <w:r>
        <w:rPr>
          <w:spacing w:val="40"/>
          <w:sz w:val="22"/>
        </w:rPr>
        <w:t> </w:t>
      </w:r>
      <w:r>
        <w:rPr>
          <w:sz w:val="22"/>
        </w:rPr>
        <w:t>deafness</w:t>
      </w:r>
      <w:r>
        <w:rPr>
          <w:spacing w:val="40"/>
          <w:sz w:val="22"/>
        </w:rPr>
        <w:t> </w:t>
      </w:r>
      <w:r>
        <w:rPr>
          <w:sz w:val="22"/>
        </w:rPr>
        <w:t>and</w:t>
      </w:r>
      <w:r>
        <w:rPr>
          <w:spacing w:val="40"/>
          <w:sz w:val="22"/>
        </w:rPr>
        <w:t> </w:t>
      </w:r>
      <w:r>
        <w:rPr>
          <w:sz w:val="22"/>
        </w:rPr>
        <w:t>hormone</w:t>
      </w:r>
      <w:r>
        <w:rPr>
          <w:spacing w:val="40"/>
          <w:sz w:val="22"/>
        </w:rPr>
        <w:t> </w:t>
      </w:r>
      <w:r>
        <w:rPr>
          <w:sz w:val="22"/>
        </w:rPr>
        <w:t>replacement</w:t>
      </w:r>
      <w:r>
        <w:rPr>
          <w:spacing w:val="40"/>
          <w:sz w:val="22"/>
        </w:rPr>
        <w:t> </w:t>
      </w:r>
      <w:r>
        <w:rPr>
          <w:sz w:val="22"/>
        </w:rPr>
        <w:t>therapy.</w:t>
      </w:r>
      <w:r>
        <w:rPr>
          <w:spacing w:val="40"/>
          <w:sz w:val="22"/>
        </w:rPr>
        <w:t> </w:t>
      </w:r>
      <w:r>
        <w:rPr>
          <w:i/>
          <w:sz w:val="22"/>
        </w:rPr>
        <w:t>J</w:t>
      </w:r>
      <w:r>
        <w:rPr>
          <w:i/>
          <w:spacing w:val="40"/>
          <w:sz w:val="22"/>
        </w:rPr>
        <w:t> </w:t>
      </w:r>
      <w:r>
        <w:rPr>
          <w:i/>
          <w:sz w:val="22"/>
        </w:rPr>
        <w:t>Laryngol</w:t>
      </w:r>
      <w:r>
        <w:rPr>
          <w:i/>
          <w:sz w:val="22"/>
        </w:rPr>
        <w:t> Otol</w:t>
      </w:r>
      <w:r>
        <w:rPr>
          <w:sz w:val="22"/>
        </w:rPr>
        <w:t>. 1996;110:1148.</w:t>
      </w:r>
    </w:p>
    <w:p>
      <w:pPr>
        <w:spacing w:line="256" w:lineRule="auto" w:before="0"/>
        <w:ind w:left="718" w:right="110" w:hanging="619"/>
        <w:jc w:val="both"/>
        <w:rPr>
          <w:sz w:val="22"/>
        </w:rPr>
      </w:pPr>
      <w:r>
        <w:rPr>
          <w:sz w:val="22"/>
        </w:rPr>
        <w:t>1260.</w:t>
      </w:r>
      <w:r>
        <w:rPr>
          <w:spacing w:val="40"/>
          <w:sz w:val="22"/>
        </w:rPr>
        <w:t> </w:t>
      </w:r>
      <w:r>
        <w:rPr>
          <w:sz w:val="22"/>
        </w:rPr>
        <w:t>Sharma R, Pickering J, McCormack WM. </w:t>
      </w:r>
      <w:r>
        <w:rPr>
          <w:i/>
          <w:sz w:val="22"/>
        </w:rPr>
        <w:t>Trichomoniasis </w:t>
      </w:r>
      <w:r>
        <w:rPr>
          <w:sz w:val="22"/>
        </w:rPr>
        <w:t>in a postmenopausal women </w:t>
      </w:r>
      <w:r>
        <w:rPr>
          <w:sz w:val="22"/>
        </w:rPr>
        <w:t>cured after discontinuation of estrogen replacement therapy. </w:t>
      </w:r>
      <w:r>
        <w:rPr>
          <w:i/>
          <w:sz w:val="22"/>
        </w:rPr>
        <w:t>Sex Trans Dis</w:t>
      </w:r>
      <w:r>
        <w:rPr>
          <w:sz w:val="22"/>
        </w:rPr>
        <w:t>. 1997;2:543.</w:t>
      </w:r>
    </w:p>
    <w:p>
      <w:pPr>
        <w:spacing w:line="256" w:lineRule="auto" w:before="0"/>
        <w:ind w:left="718" w:right="98" w:hanging="619"/>
        <w:jc w:val="both"/>
        <w:rPr>
          <w:sz w:val="22"/>
        </w:rPr>
      </w:pPr>
      <w:r>
        <w:rPr>
          <w:sz w:val="22"/>
        </w:rPr>
        <w:t>1261.</w:t>
      </w:r>
      <w:r>
        <w:rPr>
          <w:spacing w:val="40"/>
          <w:sz w:val="22"/>
        </w:rPr>
        <w:t> </w:t>
      </w:r>
      <w:r>
        <w:rPr>
          <w:sz w:val="22"/>
        </w:rPr>
        <w:t>Sartore</w:t>
      </w:r>
      <w:r>
        <w:rPr>
          <w:spacing w:val="37"/>
          <w:sz w:val="22"/>
        </w:rPr>
        <w:t> </w:t>
      </w:r>
      <w:r>
        <w:rPr>
          <w:sz w:val="22"/>
        </w:rPr>
        <w:t>A,</w:t>
      </w:r>
      <w:r>
        <w:rPr>
          <w:spacing w:val="37"/>
          <w:sz w:val="22"/>
        </w:rPr>
        <w:t> </w:t>
      </w:r>
      <w:r>
        <w:rPr>
          <w:sz w:val="22"/>
        </w:rPr>
        <w:t>Grimaldi</w:t>
      </w:r>
      <w:r>
        <w:rPr>
          <w:spacing w:val="37"/>
          <w:sz w:val="22"/>
        </w:rPr>
        <w:t> </w:t>
      </w:r>
      <w:r>
        <w:rPr>
          <w:sz w:val="22"/>
        </w:rPr>
        <w:t>E,</w:t>
      </w:r>
      <w:r>
        <w:rPr>
          <w:spacing w:val="37"/>
          <w:sz w:val="22"/>
        </w:rPr>
        <w:t> </w:t>
      </w:r>
      <w:r>
        <w:rPr>
          <w:sz w:val="22"/>
        </w:rPr>
        <w:t>Guaschino</w:t>
      </w:r>
      <w:r>
        <w:rPr>
          <w:spacing w:val="37"/>
          <w:sz w:val="22"/>
        </w:rPr>
        <w:t> </w:t>
      </w:r>
      <w:r>
        <w:rPr>
          <w:sz w:val="22"/>
        </w:rPr>
        <w:t>S.</w:t>
      </w:r>
      <w:r>
        <w:rPr>
          <w:spacing w:val="37"/>
          <w:sz w:val="22"/>
        </w:rPr>
        <w:t> </w:t>
      </w:r>
      <w:r>
        <w:rPr>
          <w:sz w:val="22"/>
        </w:rPr>
        <w:t>The</w:t>
      </w:r>
      <w:r>
        <w:rPr>
          <w:spacing w:val="40"/>
          <w:sz w:val="22"/>
        </w:rPr>
        <w:t> </w:t>
      </w:r>
      <w:r>
        <w:rPr>
          <w:sz w:val="22"/>
        </w:rPr>
        <w:t>treatment</w:t>
      </w:r>
      <w:r>
        <w:rPr>
          <w:spacing w:val="40"/>
          <w:sz w:val="22"/>
        </w:rPr>
        <w:t> </w:t>
      </w:r>
      <w:r>
        <w:rPr>
          <w:sz w:val="22"/>
        </w:rPr>
        <w:t>of</w:t>
      </w:r>
      <w:r>
        <w:rPr>
          <w:spacing w:val="40"/>
          <w:sz w:val="22"/>
        </w:rPr>
        <w:t> </w:t>
      </w:r>
      <w:r>
        <w:rPr>
          <w:sz w:val="22"/>
        </w:rPr>
        <w:t>Sjögren’s</w:t>
      </w:r>
      <w:r>
        <w:rPr>
          <w:spacing w:val="40"/>
          <w:sz w:val="22"/>
        </w:rPr>
        <w:t> </w:t>
      </w:r>
      <w:r>
        <w:rPr>
          <w:sz w:val="22"/>
        </w:rPr>
        <w:t>syndrome</w:t>
      </w:r>
      <w:r>
        <w:rPr>
          <w:spacing w:val="40"/>
          <w:sz w:val="22"/>
        </w:rPr>
        <w:t> </w:t>
      </w:r>
      <w:r>
        <w:rPr>
          <w:sz w:val="22"/>
        </w:rPr>
        <w:t>with</w:t>
      </w:r>
      <w:r>
        <w:rPr>
          <w:spacing w:val="40"/>
          <w:sz w:val="22"/>
        </w:rPr>
        <w:t> </w:t>
      </w:r>
      <w:r>
        <w:rPr>
          <w:sz w:val="22"/>
        </w:rPr>
        <w:t>tibolone:</w:t>
      </w:r>
      <w:r>
        <w:rPr>
          <w:spacing w:val="40"/>
          <w:sz w:val="22"/>
        </w:rPr>
        <w:t> </w:t>
      </w:r>
      <w:r>
        <w:rPr>
          <w:sz w:val="22"/>
        </w:rPr>
        <w:t>a case report. </w:t>
      </w:r>
      <w:r>
        <w:rPr>
          <w:i/>
          <w:sz w:val="22"/>
        </w:rPr>
        <w:t>Am J Obstet Gynecol</w:t>
      </w:r>
      <w:r>
        <w:rPr>
          <w:sz w:val="22"/>
        </w:rPr>
        <w:t>. 2003;189:894.</w:t>
      </w:r>
    </w:p>
    <w:p>
      <w:pPr>
        <w:spacing w:line="256" w:lineRule="auto" w:before="0"/>
        <w:ind w:left="718" w:right="102" w:hanging="619"/>
        <w:jc w:val="both"/>
        <w:rPr>
          <w:sz w:val="22"/>
        </w:rPr>
      </w:pPr>
      <w:r>
        <w:rPr>
          <w:sz w:val="22"/>
        </w:rPr>
        <w:t>1262. Vandenbroucke JP, Witteman JCM, Valkenburg HA, et al. Noncontraceptive hormones and rheumatoid arthritis in perimenopausal and postmenopausal women. </w:t>
      </w:r>
      <w:r>
        <w:rPr>
          <w:i/>
          <w:sz w:val="22"/>
        </w:rPr>
        <w:t>JAMA</w:t>
      </w:r>
      <w:r>
        <w:rPr>
          <w:sz w:val="22"/>
        </w:rPr>
        <w:t>. 1986;255:1299.</w:t>
      </w:r>
    </w:p>
    <w:p>
      <w:pPr>
        <w:spacing w:line="256" w:lineRule="auto" w:before="0"/>
        <w:ind w:left="718" w:right="101" w:hanging="619"/>
        <w:jc w:val="both"/>
        <w:rPr>
          <w:sz w:val="22"/>
        </w:rPr>
      </w:pPr>
      <w:r>
        <w:rPr>
          <w:sz w:val="22"/>
        </w:rPr>
        <w:t>1263.</w:t>
      </w:r>
      <w:r>
        <w:rPr>
          <w:spacing w:val="40"/>
          <w:sz w:val="22"/>
        </w:rPr>
        <w:t> </w:t>
      </w:r>
      <w:r>
        <w:rPr>
          <w:sz w:val="22"/>
        </w:rPr>
        <w:t>Spector TD, Pregnnan P, Harris P, Studd JWW, Silman AJ. Does estrogen replacement therapy protect against rheumatoid arthritis? </w:t>
      </w:r>
      <w:r>
        <w:rPr>
          <w:i/>
          <w:sz w:val="22"/>
        </w:rPr>
        <w:t>J Rheumatol</w:t>
      </w:r>
      <w:r>
        <w:rPr>
          <w:sz w:val="22"/>
        </w:rPr>
        <w:t>. 1991;18:1473.</w:t>
      </w:r>
    </w:p>
    <w:p>
      <w:pPr>
        <w:spacing w:line="256" w:lineRule="auto" w:before="0"/>
        <w:ind w:left="718" w:right="97" w:hanging="619"/>
        <w:jc w:val="both"/>
        <w:rPr>
          <w:sz w:val="22"/>
        </w:rPr>
      </w:pPr>
      <w:r>
        <w:rPr>
          <w:sz w:val="22"/>
        </w:rPr>
        <w:t>1264.</w:t>
      </w:r>
      <w:r>
        <w:rPr>
          <w:spacing w:val="40"/>
          <w:sz w:val="22"/>
        </w:rPr>
        <w:t> </w:t>
      </w:r>
      <w:r>
        <w:rPr>
          <w:sz w:val="22"/>
        </w:rPr>
        <w:t>Koepsell</w:t>
      </w:r>
      <w:r>
        <w:rPr>
          <w:spacing w:val="34"/>
          <w:sz w:val="22"/>
        </w:rPr>
        <w:t> </w:t>
      </w:r>
      <w:r>
        <w:rPr>
          <w:sz w:val="22"/>
        </w:rPr>
        <w:t>TD,</w:t>
      </w:r>
      <w:r>
        <w:rPr>
          <w:spacing w:val="34"/>
          <w:sz w:val="22"/>
        </w:rPr>
        <w:t> </w:t>
      </w:r>
      <w:r>
        <w:rPr>
          <w:sz w:val="22"/>
        </w:rPr>
        <w:t>Dugowson</w:t>
      </w:r>
      <w:r>
        <w:rPr>
          <w:spacing w:val="34"/>
          <w:sz w:val="22"/>
        </w:rPr>
        <w:t> </w:t>
      </w:r>
      <w:r>
        <w:rPr>
          <w:sz w:val="22"/>
        </w:rPr>
        <w:t>CE,</w:t>
      </w:r>
      <w:r>
        <w:rPr>
          <w:spacing w:val="34"/>
          <w:sz w:val="22"/>
        </w:rPr>
        <w:t> </w:t>
      </w:r>
      <w:r>
        <w:rPr>
          <w:sz w:val="22"/>
        </w:rPr>
        <w:t>Nelson</w:t>
      </w:r>
      <w:r>
        <w:rPr>
          <w:spacing w:val="34"/>
          <w:sz w:val="22"/>
        </w:rPr>
        <w:t> </w:t>
      </w:r>
      <w:r>
        <w:rPr>
          <w:sz w:val="22"/>
        </w:rPr>
        <w:t>JL,</w:t>
      </w:r>
      <w:r>
        <w:rPr>
          <w:spacing w:val="34"/>
          <w:sz w:val="22"/>
        </w:rPr>
        <w:t> </w:t>
      </w:r>
      <w:r>
        <w:rPr>
          <w:sz w:val="22"/>
        </w:rPr>
        <w:t>Voigt</w:t>
      </w:r>
      <w:r>
        <w:rPr>
          <w:spacing w:val="34"/>
          <w:sz w:val="22"/>
        </w:rPr>
        <w:t> </w:t>
      </w:r>
      <w:r>
        <w:rPr>
          <w:sz w:val="22"/>
        </w:rPr>
        <w:t>LF,</w:t>
      </w:r>
      <w:r>
        <w:rPr>
          <w:spacing w:val="34"/>
          <w:sz w:val="22"/>
        </w:rPr>
        <w:t> </w:t>
      </w:r>
      <w:r>
        <w:rPr>
          <w:sz w:val="22"/>
        </w:rPr>
        <w:t>Daling</w:t>
      </w:r>
      <w:r>
        <w:rPr>
          <w:spacing w:val="34"/>
          <w:sz w:val="22"/>
        </w:rPr>
        <w:t> </w:t>
      </w:r>
      <w:r>
        <w:rPr>
          <w:sz w:val="22"/>
        </w:rPr>
        <w:t>JR.</w:t>
      </w:r>
      <w:r>
        <w:rPr>
          <w:spacing w:val="34"/>
          <w:sz w:val="22"/>
        </w:rPr>
        <w:t> </w:t>
      </w:r>
      <w:r>
        <w:rPr>
          <w:sz w:val="22"/>
        </w:rPr>
        <w:t>Non-contraceptive</w:t>
      </w:r>
      <w:r>
        <w:rPr>
          <w:spacing w:val="40"/>
          <w:sz w:val="22"/>
        </w:rPr>
        <w:t> </w:t>
      </w:r>
      <w:r>
        <w:rPr>
          <w:sz w:val="22"/>
        </w:rPr>
        <w:t>hormones and the risk of rheumatoid arthritis in menopausal women. </w:t>
      </w:r>
      <w:r>
        <w:rPr>
          <w:i/>
          <w:sz w:val="22"/>
        </w:rPr>
        <w:t>Int J Epidemiol</w:t>
      </w:r>
      <w:r>
        <w:rPr>
          <w:sz w:val="22"/>
        </w:rPr>
        <w:t>. 1994;23:1248.</w:t>
      </w:r>
    </w:p>
    <w:p>
      <w:pPr>
        <w:spacing w:line="256" w:lineRule="auto" w:before="0"/>
        <w:ind w:left="718" w:right="101" w:hanging="619"/>
        <w:jc w:val="both"/>
        <w:rPr>
          <w:sz w:val="22"/>
        </w:rPr>
      </w:pPr>
      <w:r>
        <w:rPr>
          <w:sz w:val="22"/>
        </w:rPr>
        <w:t>1265. Doran MF, Crowson CS, O’Fallon WM, Gabriel SE. The effect of oral contraceptives </w:t>
      </w:r>
      <w:r>
        <w:rPr>
          <w:sz w:val="22"/>
        </w:rPr>
        <w:t>and estrogen replacement therapy on the risk of rheumatoid arthritis: a population based study. </w:t>
      </w:r>
      <w:r>
        <w:rPr>
          <w:i/>
          <w:sz w:val="22"/>
        </w:rPr>
        <w:t>J</w:t>
      </w:r>
      <w:r>
        <w:rPr>
          <w:i/>
          <w:sz w:val="22"/>
        </w:rPr>
        <w:t> Rheumatol</w:t>
      </w:r>
      <w:r>
        <w:rPr>
          <w:sz w:val="22"/>
        </w:rPr>
        <w:t>. 2004;31:207.</w:t>
      </w:r>
    </w:p>
    <w:p>
      <w:pPr>
        <w:spacing w:line="256" w:lineRule="auto" w:before="0"/>
        <w:ind w:left="718" w:right="109" w:hanging="619"/>
        <w:jc w:val="both"/>
        <w:rPr>
          <w:sz w:val="22"/>
        </w:rPr>
      </w:pPr>
      <w:r>
        <w:rPr>
          <w:sz w:val="22"/>
        </w:rPr>
        <w:t>1266.</w:t>
      </w:r>
      <w:r>
        <w:rPr>
          <w:spacing w:val="40"/>
          <w:sz w:val="22"/>
        </w:rPr>
        <w:t> </w:t>
      </w:r>
      <w:r>
        <w:rPr>
          <w:sz w:val="22"/>
        </w:rPr>
        <w:t>Hall GM, Daniels M, Huskisson ES, Spector TD. A randomised controlled trial of the effect </w:t>
      </w:r>
      <w:r>
        <w:rPr>
          <w:sz w:val="22"/>
        </w:rPr>
        <w:t>of hormone replacement therapy on disease activity in postmenopausal rheumatoid arthritis. </w:t>
      </w:r>
      <w:r>
        <w:rPr>
          <w:i/>
          <w:sz w:val="22"/>
        </w:rPr>
        <w:t>Ann</w:t>
      </w:r>
      <w:r>
        <w:rPr>
          <w:i/>
          <w:sz w:val="22"/>
        </w:rPr>
        <w:t> Rheum Dis</w:t>
      </w:r>
      <w:r>
        <w:rPr>
          <w:sz w:val="22"/>
        </w:rPr>
        <w:t>. 1994;53:112.</w:t>
      </w:r>
    </w:p>
    <w:p>
      <w:pPr>
        <w:spacing w:line="256" w:lineRule="auto" w:before="0"/>
        <w:ind w:left="718" w:right="107" w:hanging="619"/>
        <w:jc w:val="both"/>
        <w:rPr>
          <w:sz w:val="22"/>
        </w:rPr>
      </w:pPr>
      <w:r>
        <w:rPr>
          <w:sz w:val="22"/>
        </w:rPr>
        <w:t>1267.</w:t>
      </w:r>
      <w:r>
        <w:rPr>
          <w:spacing w:val="40"/>
          <w:sz w:val="22"/>
        </w:rPr>
        <w:t> </w:t>
      </w:r>
      <w:r>
        <w:rPr>
          <w:sz w:val="22"/>
        </w:rPr>
        <w:t>Sanchez-Guerro J, Liang MH, Karlson EW, Hunter DJ, Colditz GA. Postmenopausal estrogen therapy and the risk for developing systemic lupus erythematosus. </w:t>
      </w:r>
      <w:r>
        <w:rPr>
          <w:i/>
          <w:sz w:val="22"/>
        </w:rPr>
        <w:t>Ann Intern Med</w:t>
      </w:r>
      <w:r>
        <w:rPr>
          <w:sz w:val="22"/>
        </w:rPr>
        <w:t>. </w:t>
      </w:r>
      <w:r>
        <w:rPr>
          <w:spacing w:val="-2"/>
          <w:sz w:val="22"/>
        </w:rPr>
        <w:t>1995;122:430.</w:t>
      </w:r>
    </w:p>
    <w:p>
      <w:pPr>
        <w:spacing w:line="256" w:lineRule="auto" w:before="0"/>
        <w:ind w:left="718" w:right="111" w:hanging="619"/>
        <w:jc w:val="both"/>
        <w:rPr>
          <w:sz w:val="22"/>
        </w:rPr>
      </w:pPr>
      <w:r>
        <w:rPr>
          <w:sz w:val="22"/>
        </w:rPr>
        <w:t>1268.</w:t>
      </w:r>
      <w:r>
        <w:rPr>
          <w:spacing w:val="40"/>
          <w:sz w:val="22"/>
        </w:rPr>
        <w:t> </w:t>
      </w:r>
      <w:r>
        <w:rPr>
          <w:sz w:val="22"/>
        </w:rPr>
        <w:t>Arden NK, Lloyd ME, Spector TD, Hughes GRV. Safety of hormone replacement therapy (HRT) in systemic lupus erythematosus (SLE). </w:t>
      </w:r>
      <w:r>
        <w:rPr>
          <w:i/>
          <w:sz w:val="22"/>
        </w:rPr>
        <w:t>Lupus</w:t>
      </w:r>
      <w:r>
        <w:rPr>
          <w:sz w:val="22"/>
        </w:rPr>
        <w:t>. 1994;3:11.</w:t>
      </w:r>
    </w:p>
    <w:p>
      <w:pPr>
        <w:spacing w:line="256" w:lineRule="auto" w:before="0"/>
        <w:ind w:left="718" w:right="106" w:hanging="619"/>
        <w:jc w:val="both"/>
        <w:rPr>
          <w:sz w:val="22"/>
        </w:rPr>
      </w:pPr>
      <w:r>
        <w:rPr>
          <w:sz w:val="22"/>
        </w:rPr>
        <w:t>1269.</w:t>
      </w:r>
      <w:r>
        <w:rPr>
          <w:spacing w:val="40"/>
          <w:sz w:val="22"/>
        </w:rPr>
        <w:t> </w:t>
      </w:r>
      <w:r>
        <w:rPr>
          <w:sz w:val="22"/>
        </w:rPr>
        <w:t>Formiga</w:t>
      </w:r>
      <w:r>
        <w:rPr>
          <w:spacing w:val="40"/>
          <w:sz w:val="22"/>
        </w:rPr>
        <w:t> </w:t>
      </w:r>
      <w:r>
        <w:rPr>
          <w:sz w:val="22"/>
        </w:rPr>
        <w:t>F,</w:t>
      </w:r>
      <w:r>
        <w:rPr>
          <w:spacing w:val="40"/>
          <w:sz w:val="22"/>
        </w:rPr>
        <w:t> </w:t>
      </w:r>
      <w:r>
        <w:rPr>
          <w:sz w:val="22"/>
        </w:rPr>
        <w:t>Moga</w:t>
      </w:r>
      <w:r>
        <w:rPr>
          <w:spacing w:val="40"/>
          <w:sz w:val="22"/>
        </w:rPr>
        <w:t> </w:t>
      </w:r>
      <w:r>
        <w:rPr>
          <w:sz w:val="22"/>
        </w:rPr>
        <w:t>I,</w:t>
      </w:r>
      <w:r>
        <w:rPr>
          <w:spacing w:val="40"/>
          <w:sz w:val="22"/>
        </w:rPr>
        <w:t> </w:t>
      </w:r>
      <w:r>
        <w:rPr>
          <w:sz w:val="22"/>
        </w:rPr>
        <w:t>Nolla</w:t>
      </w:r>
      <w:r>
        <w:rPr>
          <w:spacing w:val="40"/>
          <w:sz w:val="22"/>
        </w:rPr>
        <w:t> </w:t>
      </w:r>
      <w:r>
        <w:rPr>
          <w:sz w:val="22"/>
        </w:rPr>
        <w:t>JM,</w:t>
      </w:r>
      <w:r>
        <w:rPr>
          <w:spacing w:val="40"/>
          <w:sz w:val="22"/>
        </w:rPr>
        <w:t> </w:t>
      </w:r>
      <w:r>
        <w:rPr>
          <w:sz w:val="22"/>
        </w:rPr>
        <w:t>Pac</w:t>
      </w:r>
      <w:r>
        <w:rPr>
          <w:spacing w:val="40"/>
          <w:sz w:val="22"/>
        </w:rPr>
        <w:t> </w:t>
      </w:r>
      <w:r>
        <w:rPr>
          <w:sz w:val="22"/>
        </w:rPr>
        <w:t>M,</w:t>
      </w:r>
      <w:r>
        <w:rPr>
          <w:spacing w:val="40"/>
          <w:sz w:val="22"/>
        </w:rPr>
        <w:t> </w:t>
      </w:r>
      <w:r>
        <w:rPr>
          <w:sz w:val="22"/>
        </w:rPr>
        <w:t>Mitjavila</w:t>
      </w:r>
      <w:r>
        <w:rPr>
          <w:spacing w:val="40"/>
          <w:sz w:val="22"/>
        </w:rPr>
        <w:t> </w:t>
      </w:r>
      <w:r>
        <w:rPr>
          <w:sz w:val="22"/>
        </w:rPr>
        <w:t>F,</w:t>
      </w:r>
      <w:r>
        <w:rPr>
          <w:spacing w:val="40"/>
          <w:sz w:val="22"/>
        </w:rPr>
        <w:t> </w:t>
      </w:r>
      <w:r>
        <w:rPr>
          <w:sz w:val="22"/>
        </w:rPr>
        <w:t>Roig-Escofet</w:t>
      </w:r>
      <w:r>
        <w:rPr>
          <w:spacing w:val="40"/>
          <w:sz w:val="22"/>
        </w:rPr>
        <w:t> </w:t>
      </w:r>
      <w:r>
        <w:rPr>
          <w:sz w:val="22"/>
        </w:rPr>
        <w:t>D.</w:t>
      </w:r>
      <w:r>
        <w:rPr>
          <w:spacing w:val="40"/>
          <w:sz w:val="22"/>
        </w:rPr>
        <w:t> </w:t>
      </w:r>
      <w:r>
        <w:rPr>
          <w:sz w:val="22"/>
        </w:rPr>
        <w:t>Loss of bone mineral density in premenopausal women with systemic lupus erythematosus. </w:t>
      </w:r>
      <w:r>
        <w:rPr>
          <w:i/>
          <w:sz w:val="22"/>
        </w:rPr>
        <w:t>Ann Rheum </w:t>
      </w:r>
      <w:r>
        <w:rPr>
          <w:i/>
          <w:sz w:val="22"/>
        </w:rPr>
        <w:t>Dis</w:t>
      </w:r>
      <w:r>
        <w:rPr>
          <w:sz w:val="22"/>
        </w:rPr>
        <w:t>. </w:t>
      </w:r>
      <w:r>
        <w:rPr>
          <w:spacing w:val="-2"/>
          <w:sz w:val="22"/>
        </w:rPr>
        <w:t>1995;54:274.</w:t>
      </w:r>
    </w:p>
    <w:p>
      <w:pPr>
        <w:spacing w:line="256" w:lineRule="auto" w:before="0"/>
        <w:ind w:left="718" w:right="98" w:hanging="619"/>
        <w:jc w:val="both"/>
        <w:rPr>
          <w:sz w:val="22"/>
        </w:rPr>
      </w:pPr>
      <w:r>
        <w:rPr>
          <w:sz w:val="22"/>
        </w:rPr>
        <w:t>1270.</w:t>
      </w:r>
      <w:r>
        <w:rPr>
          <w:spacing w:val="40"/>
          <w:sz w:val="22"/>
        </w:rPr>
        <w:t> </w:t>
      </w:r>
      <w:r>
        <w:rPr>
          <w:sz w:val="22"/>
        </w:rPr>
        <w:t>Fernandez M, Calvo-Alén J, Bertoli AM, et al. Systemic lupus erythematosus in a multiethnic</w:t>
      </w:r>
      <w:r>
        <w:rPr>
          <w:spacing w:val="40"/>
          <w:sz w:val="22"/>
        </w:rPr>
        <w:t> </w:t>
      </w:r>
      <w:r>
        <w:rPr>
          <w:sz w:val="22"/>
        </w:rPr>
        <w:t>US cohort (LUMINA L II): relationship between vascular events and the use of hormone replacement therapy in postmenopausal women. </w:t>
      </w:r>
      <w:r>
        <w:rPr>
          <w:i/>
          <w:sz w:val="22"/>
        </w:rPr>
        <w:t>J Clin Rheumatol</w:t>
      </w:r>
      <w:r>
        <w:rPr>
          <w:sz w:val="22"/>
        </w:rPr>
        <w:t>. 2007;13:261.</w:t>
      </w:r>
    </w:p>
    <w:p>
      <w:pPr>
        <w:spacing w:after="0" w:line="256" w:lineRule="auto"/>
        <w:jc w:val="both"/>
        <w:rPr>
          <w:sz w:val="22"/>
        </w:rPr>
        <w:sectPr>
          <w:pgSz w:w="12240" w:h="15840"/>
          <w:pgMar w:top="1360" w:bottom="280" w:left="1440" w:right="1440"/>
        </w:sectPr>
      </w:pPr>
    </w:p>
    <w:p>
      <w:pPr>
        <w:spacing w:line="256" w:lineRule="auto" w:before="84"/>
        <w:ind w:left="718" w:right="98" w:hanging="619"/>
        <w:jc w:val="both"/>
        <w:rPr>
          <w:sz w:val="22"/>
        </w:rPr>
      </w:pPr>
      <w:r>
        <w:rPr>
          <w:sz w:val="22"/>
        </w:rPr>
        <w:t>1271.</w:t>
      </w:r>
      <w:r>
        <w:rPr>
          <w:spacing w:val="40"/>
          <w:sz w:val="22"/>
        </w:rPr>
        <w:t> </w:t>
      </w:r>
      <w:r>
        <w:rPr>
          <w:sz w:val="22"/>
        </w:rPr>
        <w:t>Sowers</w:t>
      </w:r>
      <w:r>
        <w:rPr>
          <w:spacing w:val="40"/>
          <w:sz w:val="22"/>
        </w:rPr>
        <w:t> </w:t>
      </w:r>
      <w:r>
        <w:rPr>
          <w:sz w:val="22"/>
        </w:rPr>
        <w:t>MF,</w:t>
      </w:r>
      <w:r>
        <w:rPr>
          <w:spacing w:val="40"/>
          <w:sz w:val="22"/>
        </w:rPr>
        <w:t> </w:t>
      </w:r>
      <w:r>
        <w:rPr>
          <w:sz w:val="22"/>
        </w:rPr>
        <w:t>Hochberg</w:t>
      </w:r>
      <w:r>
        <w:rPr>
          <w:spacing w:val="40"/>
          <w:sz w:val="22"/>
        </w:rPr>
        <w:t> </w:t>
      </w:r>
      <w:r>
        <w:rPr>
          <w:sz w:val="22"/>
        </w:rPr>
        <w:t>M,</w:t>
      </w:r>
      <w:r>
        <w:rPr>
          <w:spacing w:val="40"/>
          <w:sz w:val="22"/>
        </w:rPr>
        <w:t> </w:t>
      </w:r>
      <w:r>
        <w:rPr>
          <w:sz w:val="22"/>
        </w:rPr>
        <w:t>Crabbe</w:t>
      </w:r>
      <w:r>
        <w:rPr>
          <w:spacing w:val="40"/>
          <w:sz w:val="22"/>
        </w:rPr>
        <w:t> </w:t>
      </w:r>
      <w:r>
        <w:rPr>
          <w:sz w:val="22"/>
        </w:rPr>
        <w:t>JP,</w:t>
      </w:r>
      <w:r>
        <w:rPr>
          <w:spacing w:val="40"/>
          <w:sz w:val="22"/>
        </w:rPr>
        <w:t> </w:t>
      </w:r>
      <w:r>
        <w:rPr>
          <w:sz w:val="22"/>
        </w:rPr>
        <w:t>Muhich</w:t>
      </w:r>
      <w:r>
        <w:rPr>
          <w:spacing w:val="40"/>
          <w:sz w:val="22"/>
        </w:rPr>
        <w:t> </w:t>
      </w:r>
      <w:r>
        <w:rPr>
          <w:sz w:val="22"/>
        </w:rPr>
        <w:t>A,</w:t>
      </w:r>
      <w:r>
        <w:rPr>
          <w:spacing w:val="40"/>
          <w:sz w:val="22"/>
        </w:rPr>
        <w:t> </w:t>
      </w:r>
      <w:r>
        <w:rPr>
          <w:sz w:val="22"/>
        </w:rPr>
        <w:t>Crutchfield</w:t>
      </w:r>
      <w:r>
        <w:rPr>
          <w:spacing w:val="40"/>
          <w:sz w:val="22"/>
        </w:rPr>
        <w:t> </w:t>
      </w:r>
      <w:r>
        <w:rPr>
          <w:sz w:val="22"/>
        </w:rPr>
        <w:t>M,</w:t>
      </w:r>
      <w:r>
        <w:rPr>
          <w:spacing w:val="40"/>
          <w:sz w:val="22"/>
        </w:rPr>
        <w:t> </w:t>
      </w:r>
      <w:r>
        <w:rPr>
          <w:sz w:val="22"/>
        </w:rPr>
        <w:t>Updike</w:t>
      </w:r>
      <w:r>
        <w:rPr>
          <w:spacing w:val="40"/>
          <w:sz w:val="22"/>
        </w:rPr>
        <w:t> </w:t>
      </w:r>
      <w:r>
        <w:rPr>
          <w:sz w:val="22"/>
        </w:rPr>
        <w:t>S.</w:t>
      </w:r>
      <w:r>
        <w:rPr>
          <w:spacing w:val="40"/>
          <w:sz w:val="22"/>
        </w:rPr>
        <w:t> </w:t>
      </w:r>
      <w:r>
        <w:rPr>
          <w:sz w:val="22"/>
        </w:rPr>
        <w:t>Association</w:t>
      </w:r>
      <w:r>
        <w:rPr>
          <w:spacing w:val="40"/>
          <w:sz w:val="22"/>
        </w:rPr>
        <w:t> </w:t>
      </w:r>
      <w:r>
        <w:rPr>
          <w:sz w:val="22"/>
        </w:rPr>
        <w:t>of bone mineral density and sex hormone levels with osteoarthritis of the hand and knee in premenopausal women. </w:t>
      </w:r>
      <w:r>
        <w:rPr>
          <w:i/>
          <w:sz w:val="22"/>
        </w:rPr>
        <w:t>Am J Epidemiol</w:t>
      </w:r>
      <w:r>
        <w:rPr>
          <w:sz w:val="22"/>
        </w:rPr>
        <w:t>. 1996;143:38.</w:t>
      </w:r>
    </w:p>
    <w:p>
      <w:pPr>
        <w:spacing w:line="256" w:lineRule="auto" w:before="0"/>
        <w:ind w:left="718" w:right="100" w:hanging="619"/>
        <w:jc w:val="both"/>
        <w:rPr>
          <w:sz w:val="22"/>
        </w:rPr>
      </w:pPr>
      <w:r>
        <w:rPr>
          <w:sz w:val="22"/>
        </w:rPr>
        <w:t>1272. Ham KD, Loeser RF, Lindgren BR, Carlson CS. Effects of long-term estrogen </w:t>
      </w:r>
      <w:r>
        <w:rPr>
          <w:sz w:val="22"/>
        </w:rPr>
        <w:t>replacement therapy on osteoarthritis severity in cynomolgus monkeys. </w:t>
      </w:r>
      <w:r>
        <w:rPr>
          <w:i/>
          <w:sz w:val="22"/>
        </w:rPr>
        <w:t>Arthritis Rheum</w:t>
      </w:r>
      <w:r>
        <w:rPr>
          <w:sz w:val="22"/>
        </w:rPr>
        <w:t>. 2002;46:1956.</w:t>
      </w:r>
    </w:p>
    <w:p>
      <w:pPr>
        <w:spacing w:line="256" w:lineRule="auto" w:before="0"/>
        <w:ind w:left="718" w:right="105" w:hanging="619"/>
        <w:jc w:val="both"/>
        <w:rPr>
          <w:sz w:val="22"/>
        </w:rPr>
      </w:pPr>
      <w:r>
        <w:rPr>
          <w:sz w:val="22"/>
        </w:rPr>
        <w:t>1273.</w:t>
      </w:r>
      <w:r>
        <w:rPr>
          <w:spacing w:val="40"/>
          <w:sz w:val="22"/>
        </w:rPr>
        <w:t> </w:t>
      </w:r>
      <w:r>
        <w:rPr>
          <w:sz w:val="22"/>
        </w:rPr>
        <w:t>Nevitt MC, Cummings SR, Lane NE, et al; for the Study of Osteoporotic Fractures </w:t>
      </w:r>
      <w:r>
        <w:rPr>
          <w:sz w:val="22"/>
        </w:rPr>
        <w:t>Research Group. Association of estrogen replacement therapy with the risk of osteoarthritis of the hip in elderly white women. </w:t>
      </w:r>
      <w:r>
        <w:rPr>
          <w:i/>
          <w:sz w:val="22"/>
        </w:rPr>
        <w:t>Arch Intern Med</w:t>
      </w:r>
      <w:r>
        <w:rPr>
          <w:sz w:val="22"/>
        </w:rPr>
        <w:t>. 1996;156:2073.</w:t>
      </w:r>
    </w:p>
    <w:p>
      <w:pPr>
        <w:spacing w:line="256" w:lineRule="auto" w:before="0"/>
        <w:ind w:left="718" w:right="97" w:hanging="619"/>
        <w:jc w:val="both"/>
        <w:rPr>
          <w:sz w:val="22"/>
        </w:rPr>
      </w:pPr>
      <w:r>
        <w:rPr>
          <w:sz w:val="22"/>
        </w:rPr>
        <w:t>1274. Baum M, Budzar AU, Cuzick J, et al; The ATAC (Arimidex Tamoxifen Alone or in Combination) Trialists’ Group. Anastrozole alone or in combination with tamoxifen </w:t>
      </w:r>
      <w:r>
        <w:rPr>
          <w:sz w:val="22"/>
        </w:rPr>
        <w:t>versus tamoxifen</w:t>
      </w:r>
      <w:r>
        <w:rPr>
          <w:spacing w:val="40"/>
          <w:sz w:val="22"/>
        </w:rPr>
        <w:t> </w:t>
      </w:r>
      <w:r>
        <w:rPr>
          <w:sz w:val="22"/>
        </w:rPr>
        <w:t>alone</w:t>
      </w:r>
      <w:r>
        <w:rPr>
          <w:spacing w:val="40"/>
          <w:sz w:val="22"/>
        </w:rPr>
        <w:t> </w:t>
      </w:r>
      <w:r>
        <w:rPr>
          <w:sz w:val="22"/>
        </w:rPr>
        <w:t>for</w:t>
      </w:r>
      <w:r>
        <w:rPr>
          <w:spacing w:val="40"/>
          <w:sz w:val="22"/>
        </w:rPr>
        <w:t> </w:t>
      </w:r>
      <w:r>
        <w:rPr>
          <w:sz w:val="22"/>
        </w:rPr>
        <w:t>adjuvant</w:t>
      </w:r>
      <w:r>
        <w:rPr>
          <w:spacing w:val="40"/>
          <w:sz w:val="22"/>
        </w:rPr>
        <w:t> </w:t>
      </w:r>
      <w:r>
        <w:rPr>
          <w:sz w:val="22"/>
        </w:rPr>
        <w:t>treatment</w:t>
      </w:r>
      <w:r>
        <w:rPr>
          <w:spacing w:val="40"/>
          <w:sz w:val="22"/>
        </w:rPr>
        <w:t> </w:t>
      </w:r>
      <w:r>
        <w:rPr>
          <w:sz w:val="22"/>
        </w:rPr>
        <w:t>of</w:t>
      </w:r>
      <w:r>
        <w:rPr>
          <w:spacing w:val="40"/>
          <w:sz w:val="22"/>
        </w:rPr>
        <w:t> </w:t>
      </w:r>
      <w:r>
        <w:rPr>
          <w:sz w:val="22"/>
        </w:rPr>
        <w:t>postmenopausal</w:t>
      </w:r>
      <w:r>
        <w:rPr>
          <w:spacing w:val="40"/>
          <w:sz w:val="22"/>
        </w:rPr>
        <w:t> </w:t>
      </w:r>
      <w:r>
        <w:rPr>
          <w:sz w:val="22"/>
        </w:rPr>
        <w:t>women</w:t>
      </w:r>
      <w:r>
        <w:rPr>
          <w:spacing w:val="40"/>
          <w:sz w:val="22"/>
        </w:rPr>
        <w:t> </w:t>
      </w:r>
      <w:r>
        <w:rPr>
          <w:sz w:val="22"/>
        </w:rPr>
        <w:t>with</w:t>
      </w:r>
      <w:r>
        <w:rPr>
          <w:spacing w:val="40"/>
          <w:sz w:val="22"/>
        </w:rPr>
        <w:t> </w:t>
      </w:r>
      <w:r>
        <w:rPr>
          <w:sz w:val="22"/>
        </w:rPr>
        <w:t>early</w:t>
      </w:r>
      <w:r>
        <w:rPr>
          <w:spacing w:val="40"/>
          <w:sz w:val="22"/>
        </w:rPr>
        <w:t> </w:t>
      </w:r>
      <w:r>
        <w:rPr>
          <w:sz w:val="22"/>
        </w:rPr>
        <w:t>breast</w:t>
      </w:r>
      <w:r>
        <w:rPr>
          <w:spacing w:val="40"/>
          <w:sz w:val="22"/>
        </w:rPr>
        <w:t> </w:t>
      </w:r>
      <w:r>
        <w:rPr>
          <w:sz w:val="22"/>
        </w:rPr>
        <w:t>cancer: first results of the ATAC randomised trial. </w:t>
      </w:r>
      <w:r>
        <w:rPr>
          <w:i/>
          <w:sz w:val="22"/>
        </w:rPr>
        <w:t>Lancet</w:t>
      </w:r>
      <w:r>
        <w:rPr>
          <w:sz w:val="22"/>
        </w:rPr>
        <w:t>. 2002;359:2131.</w:t>
      </w:r>
    </w:p>
    <w:p>
      <w:pPr>
        <w:spacing w:line="256" w:lineRule="auto" w:before="0"/>
        <w:ind w:left="718" w:right="100" w:hanging="619"/>
        <w:jc w:val="both"/>
        <w:rPr>
          <w:sz w:val="22"/>
        </w:rPr>
      </w:pPr>
      <w:r>
        <w:rPr>
          <w:sz w:val="22"/>
        </w:rPr>
        <w:t>1275. Sowers</w:t>
      </w:r>
      <w:r>
        <w:rPr>
          <w:spacing w:val="40"/>
          <w:sz w:val="22"/>
        </w:rPr>
        <w:t> </w:t>
      </w:r>
      <w:r>
        <w:rPr>
          <w:sz w:val="22"/>
        </w:rPr>
        <w:t>MR,</w:t>
      </w:r>
      <w:r>
        <w:rPr>
          <w:spacing w:val="40"/>
          <w:sz w:val="22"/>
        </w:rPr>
        <w:t> </w:t>
      </w:r>
      <w:r>
        <w:rPr>
          <w:sz w:val="22"/>
        </w:rPr>
        <w:t>McConnell</w:t>
      </w:r>
      <w:r>
        <w:rPr>
          <w:spacing w:val="40"/>
          <w:sz w:val="22"/>
        </w:rPr>
        <w:t> </w:t>
      </w:r>
      <w:r>
        <w:rPr>
          <w:sz w:val="22"/>
        </w:rPr>
        <w:t>D,</w:t>
      </w:r>
      <w:r>
        <w:rPr>
          <w:spacing w:val="40"/>
          <w:sz w:val="22"/>
        </w:rPr>
        <w:t> </w:t>
      </w:r>
      <w:r>
        <w:rPr>
          <w:sz w:val="22"/>
        </w:rPr>
        <w:t>Jannausch</w:t>
      </w:r>
      <w:r>
        <w:rPr>
          <w:spacing w:val="40"/>
          <w:sz w:val="22"/>
        </w:rPr>
        <w:t> </w:t>
      </w:r>
      <w:r>
        <w:rPr>
          <w:sz w:val="22"/>
        </w:rPr>
        <w:t>M,</w:t>
      </w:r>
      <w:r>
        <w:rPr>
          <w:spacing w:val="40"/>
          <w:sz w:val="22"/>
        </w:rPr>
        <w:t> </w:t>
      </w:r>
      <w:r>
        <w:rPr>
          <w:sz w:val="22"/>
        </w:rPr>
        <w:t>Buyuktur</w:t>
      </w:r>
      <w:r>
        <w:rPr>
          <w:spacing w:val="40"/>
          <w:sz w:val="22"/>
        </w:rPr>
        <w:t> </w:t>
      </w:r>
      <w:r>
        <w:rPr>
          <w:sz w:val="22"/>
        </w:rPr>
        <w:t>AG,</w:t>
      </w:r>
      <w:r>
        <w:rPr>
          <w:spacing w:val="40"/>
          <w:sz w:val="22"/>
        </w:rPr>
        <w:t> </w:t>
      </w:r>
      <w:r>
        <w:rPr>
          <w:sz w:val="22"/>
        </w:rPr>
        <w:t>Hochberg</w:t>
      </w:r>
      <w:r>
        <w:rPr>
          <w:spacing w:val="40"/>
          <w:sz w:val="22"/>
        </w:rPr>
        <w:t> </w:t>
      </w:r>
      <w:r>
        <w:rPr>
          <w:sz w:val="22"/>
        </w:rPr>
        <w:t>MC,</w:t>
      </w:r>
      <w:r>
        <w:rPr>
          <w:spacing w:val="40"/>
          <w:sz w:val="22"/>
        </w:rPr>
        <w:t> </w:t>
      </w:r>
      <w:r>
        <w:rPr>
          <w:sz w:val="22"/>
        </w:rPr>
        <w:t>Jamadar</w:t>
      </w:r>
      <w:r>
        <w:rPr>
          <w:spacing w:val="40"/>
          <w:sz w:val="22"/>
        </w:rPr>
        <w:t> </w:t>
      </w:r>
      <w:r>
        <w:rPr>
          <w:sz w:val="22"/>
        </w:rPr>
        <w:t>DA. Estradiol and its metabolites and their association with knee osteoarthritis. </w:t>
      </w:r>
      <w:r>
        <w:rPr>
          <w:i/>
          <w:sz w:val="22"/>
        </w:rPr>
        <w:t>Arthritis Rheum</w:t>
      </w:r>
      <w:r>
        <w:rPr>
          <w:sz w:val="22"/>
        </w:rPr>
        <w:t>. </w:t>
      </w:r>
      <w:r>
        <w:rPr>
          <w:spacing w:val="-2"/>
          <w:sz w:val="22"/>
        </w:rPr>
        <w:t>2006;54:2481.</w:t>
      </w:r>
    </w:p>
    <w:p>
      <w:pPr>
        <w:spacing w:line="256" w:lineRule="auto" w:before="0"/>
        <w:ind w:left="718" w:right="107" w:hanging="619"/>
        <w:jc w:val="both"/>
        <w:rPr>
          <w:sz w:val="22"/>
        </w:rPr>
      </w:pPr>
      <w:r>
        <w:rPr>
          <w:sz w:val="22"/>
        </w:rPr>
        <w:t>1276.</w:t>
      </w:r>
      <w:r>
        <w:rPr>
          <w:spacing w:val="40"/>
          <w:sz w:val="22"/>
        </w:rPr>
        <w:t> </w:t>
      </w:r>
      <w:r>
        <w:rPr>
          <w:sz w:val="22"/>
        </w:rPr>
        <w:t>Volpe A, Lucenti V, Forabosco A, et al. Oral discomfort and hormone replacement therapy </w:t>
      </w:r>
      <w:r>
        <w:rPr>
          <w:sz w:val="22"/>
        </w:rPr>
        <w:t>in</w:t>
      </w:r>
      <w:r>
        <w:rPr>
          <w:spacing w:val="40"/>
          <w:sz w:val="22"/>
        </w:rPr>
        <w:t> </w:t>
      </w:r>
      <w:r>
        <w:rPr>
          <w:sz w:val="22"/>
        </w:rPr>
        <w:t>the post-menopause. </w:t>
      </w:r>
      <w:r>
        <w:rPr>
          <w:i/>
          <w:sz w:val="22"/>
        </w:rPr>
        <w:t>Maturitas</w:t>
      </w:r>
      <w:r>
        <w:rPr>
          <w:sz w:val="22"/>
        </w:rPr>
        <w:t>. 1991;13:1.</w:t>
      </w:r>
    </w:p>
    <w:p>
      <w:pPr>
        <w:spacing w:line="256" w:lineRule="auto" w:before="0"/>
        <w:ind w:left="718" w:right="103" w:hanging="619"/>
        <w:jc w:val="both"/>
        <w:rPr>
          <w:sz w:val="22"/>
        </w:rPr>
      </w:pPr>
      <w:r>
        <w:rPr>
          <w:sz w:val="22"/>
        </w:rPr>
        <w:t>1277. Norderyd OM, Grossi SG, Machtei EE, et al. Periodontal status of women </w:t>
      </w:r>
      <w:r>
        <w:rPr>
          <w:sz w:val="22"/>
        </w:rPr>
        <w:t>taking</w:t>
      </w:r>
      <w:r>
        <w:rPr>
          <w:spacing w:val="40"/>
          <w:sz w:val="22"/>
        </w:rPr>
        <w:t> </w:t>
      </w:r>
      <w:r>
        <w:rPr>
          <w:sz w:val="22"/>
        </w:rPr>
        <w:t>postmenopausal estrogen supplementation. </w:t>
      </w:r>
      <w:r>
        <w:rPr>
          <w:i/>
          <w:sz w:val="22"/>
        </w:rPr>
        <w:t>J Periodontol</w:t>
      </w:r>
      <w:r>
        <w:rPr>
          <w:sz w:val="22"/>
        </w:rPr>
        <w:t>. 1993;64:957.</w:t>
      </w:r>
    </w:p>
    <w:p>
      <w:pPr>
        <w:spacing w:line="256" w:lineRule="auto" w:before="0"/>
        <w:ind w:left="718" w:right="101" w:hanging="619"/>
        <w:jc w:val="both"/>
        <w:rPr>
          <w:sz w:val="22"/>
        </w:rPr>
      </w:pPr>
      <w:r>
        <w:rPr>
          <w:sz w:val="22"/>
        </w:rPr>
        <w:t>1278.</w:t>
      </w:r>
      <w:r>
        <w:rPr>
          <w:spacing w:val="40"/>
          <w:sz w:val="22"/>
        </w:rPr>
        <w:t> </w:t>
      </w:r>
      <w:r>
        <w:rPr>
          <w:sz w:val="22"/>
        </w:rPr>
        <w:t>Grossi SG. Effect of estrogen supplementation on periodontal disease. </w:t>
      </w:r>
      <w:r>
        <w:rPr>
          <w:i/>
          <w:sz w:val="22"/>
        </w:rPr>
        <w:t>Compend Contin Educ</w:t>
      </w:r>
      <w:r>
        <w:rPr>
          <w:i/>
          <w:sz w:val="22"/>
        </w:rPr>
        <w:t> Dent Suppl</w:t>
      </w:r>
      <w:r>
        <w:rPr>
          <w:sz w:val="22"/>
        </w:rPr>
        <w:t>. 1998;22:S30.</w:t>
      </w:r>
    </w:p>
    <w:p>
      <w:pPr>
        <w:spacing w:line="256" w:lineRule="auto" w:before="0"/>
        <w:ind w:left="718" w:right="109" w:hanging="619"/>
        <w:jc w:val="both"/>
        <w:rPr>
          <w:sz w:val="22"/>
        </w:rPr>
      </w:pPr>
      <w:r>
        <w:rPr>
          <w:sz w:val="22"/>
        </w:rPr>
        <w:t>1279. Daniell HW. Postmenopausal tooth loss: contributions to edentulism by osteoporosis and cigarette smoking. </w:t>
      </w:r>
      <w:r>
        <w:rPr>
          <w:i/>
          <w:sz w:val="22"/>
        </w:rPr>
        <w:t>Arch Intern Med</w:t>
      </w:r>
      <w:r>
        <w:rPr>
          <w:sz w:val="22"/>
        </w:rPr>
        <w:t>. 1983;143:1678.</w:t>
      </w:r>
    </w:p>
    <w:p>
      <w:pPr>
        <w:spacing w:line="256" w:lineRule="auto" w:before="0"/>
        <w:ind w:left="718" w:right="99" w:hanging="619"/>
        <w:jc w:val="both"/>
        <w:rPr>
          <w:sz w:val="22"/>
        </w:rPr>
      </w:pPr>
      <w:r>
        <w:rPr>
          <w:sz w:val="22"/>
        </w:rPr>
        <w:t>1280.</w:t>
      </w:r>
      <w:r>
        <w:rPr>
          <w:spacing w:val="40"/>
          <w:sz w:val="22"/>
        </w:rPr>
        <w:t> </w:t>
      </w:r>
      <w:r>
        <w:rPr>
          <w:sz w:val="22"/>
        </w:rPr>
        <w:t>Krall EA, Dawson-Hughes B, Papas A, Garcia RI. Tooth loss and skeletal bone density </w:t>
      </w:r>
      <w:r>
        <w:rPr>
          <w:sz w:val="22"/>
        </w:rPr>
        <w:t>in healthy postmenopausal women. </w:t>
      </w:r>
      <w:r>
        <w:rPr>
          <w:i/>
          <w:sz w:val="22"/>
        </w:rPr>
        <w:t>Osteoporos Int</w:t>
      </w:r>
      <w:r>
        <w:rPr>
          <w:sz w:val="22"/>
        </w:rPr>
        <w:t>. 1994;4:104.</w:t>
      </w:r>
    </w:p>
    <w:p>
      <w:pPr>
        <w:spacing w:line="256" w:lineRule="auto" w:before="0"/>
        <w:ind w:left="718" w:right="108" w:hanging="619"/>
        <w:jc w:val="both"/>
        <w:rPr>
          <w:sz w:val="22"/>
        </w:rPr>
      </w:pPr>
      <w:r>
        <w:rPr>
          <w:sz w:val="22"/>
        </w:rPr>
        <w:t>1281.</w:t>
      </w:r>
      <w:r>
        <w:rPr>
          <w:spacing w:val="40"/>
          <w:sz w:val="22"/>
        </w:rPr>
        <w:t> </w:t>
      </w:r>
      <w:r>
        <w:rPr>
          <w:sz w:val="22"/>
        </w:rPr>
        <w:t>Paganini-Hill</w:t>
      </w:r>
      <w:r>
        <w:rPr>
          <w:spacing w:val="40"/>
          <w:sz w:val="22"/>
        </w:rPr>
        <w:t> </w:t>
      </w:r>
      <w:r>
        <w:rPr>
          <w:sz w:val="22"/>
        </w:rPr>
        <w:t>A.</w:t>
      </w:r>
      <w:r>
        <w:rPr>
          <w:spacing w:val="40"/>
          <w:sz w:val="22"/>
        </w:rPr>
        <w:t> </w:t>
      </w:r>
      <w:r>
        <w:rPr>
          <w:sz w:val="22"/>
        </w:rPr>
        <w:t>The</w:t>
      </w:r>
      <w:r>
        <w:rPr>
          <w:spacing w:val="40"/>
          <w:sz w:val="22"/>
        </w:rPr>
        <w:t> </w:t>
      </w:r>
      <w:r>
        <w:rPr>
          <w:sz w:val="22"/>
        </w:rPr>
        <w:t>benefits</w:t>
      </w:r>
      <w:r>
        <w:rPr>
          <w:spacing w:val="40"/>
          <w:sz w:val="22"/>
        </w:rPr>
        <w:t> </w:t>
      </w:r>
      <w:r>
        <w:rPr>
          <w:sz w:val="22"/>
        </w:rPr>
        <w:t>of</w:t>
      </w:r>
      <w:r>
        <w:rPr>
          <w:spacing w:val="40"/>
          <w:sz w:val="22"/>
        </w:rPr>
        <w:t> </w:t>
      </w:r>
      <w:r>
        <w:rPr>
          <w:sz w:val="22"/>
        </w:rPr>
        <w:t>estrogen</w:t>
      </w:r>
      <w:r>
        <w:rPr>
          <w:spacing w:val="40"/>
          <w:sz w:val="22"/>
        </w:rPr>
        <w:t> </w:t>
      </w:r>
      <w:r>
        <w:rPr>
          <w:sz w:val="22"/>
        </w:rPr>
        <w:t>replacement</w:t>
      </w:r>
      <w:r>
        <w:rPr>
          <w:spacing w:val="40"/>
          <w:sz w:val="22"/>
        </w:rPr>
        <w:t> </w:t>
      </w:r>
      <w:r>
        <w:rPr>
          <w:sz w:val="22"/>
        </w:rPr>
        <w:t>therapy</w:t>
      </w:r>
      <w:r>
        <w:rPr>
          <w:spacing w:val="40"/>
          <w:sz w:val="22"/>
        </w:rPr>
        <w:t> </w:t>
      </w:r>
      <w:r>
        <w:rPr>
          <w:sz w:val="22"/>
        </w:rPr>
        <w:t>on</w:t>
      </w:r>
      <w:r>
        <w:rPr>
          <w:spacing w:val="40"/>
          <w:sz w:val="22"/>
        </w:rPr>
        <w:t> </w:t>
      </w:r>
      <w:r>
        <w:rPr>
          <w:sz w:val="22"/>
        </w:rPr>
        <w:t>oral</w:t>
      </w:r>
      <w:r>
        <w:rPr>
          <w:spacing w:val="40"/>
          <w:sz w:val="22"/>
        </w:rPr>
        <w:t> </w:t>
      </w:r>
      <w:r>
        <w:rPr>
          <w:sz w:val="22"/>
        </w:rPr>
        <w:t>health:</w:t>
      </w:r>
      <w:r>
        <w:rPr>
          <w:spacing w:val="40"/>
          <w:sz w:val="22"/>
        </w:rPr>
        <w:t> </w:t>
      </w:r>
      <w:r>
        <w:rPr>
          <w:sz w:val="22"/>
        </w:rPr>
        <w:t>the</w:t>
      </w:r>
      <w:r>
        <w:rPr>
          <w:spacing w:val="40"/>
          <w:sz w:val="22"/>
        </w:rPr>
        <w:t> </w:t>
      </w:r>
      <w:r>
        <w:rPr>
          <w:sz w:val="22"/>
        </w:rPr>
        <w:t>Leisure World Cohort. </w:t>
      </w:r>
      <w:r>
        <w:rPr>
          <w:i/>
          <w:sz w:val="22"/>
        </w:rPr>
        <w:t>Arch Intern Med</w:t>
      </w:r>
      <w:r>
        <w:rPr>
          <w:sz w:val="22"/>
        </w:rPr>
        <w:t>. 1995;155:2325.</w:t>
      </w:r>
    </w:p>
    <w:p>
      <w:pPr>
        <w:spacing w:line="256" w:lineRule="auto" w:before="0"/>
        <w:ind w:left="718" w:right="111" w:hanging="619"/>
        <w:jc w:val="both"/>
        <w:rPr>
          <w:sz w:val="22"/>
        </w:rPr>
      </w:pPr>
      <w:r>
        <w:rPr>
          <w:sz w:val="22"/>
        </w:rPr>
        <w:t>1282. Grodstein F, Colditz GA, Stampfer MJ. Post-menopausal hormone use and tooth loss: </w:t>
      </w:r>
      <w:r>
        <w:rPr>
          <w:sz w:val="22"/>
        </w:rPr>
        <w:t>a prospective study. </w:t>
      </w:r>
      <w:r>
        <w:rPr>
          <w:i/>
          <w:sz w:val="22"/>
        </w:rPr>
        <w:t>JAMA</w:t>
      </w:r>
      <w:r>
        <w:rPr>
          <w:sz w:val="22"/>
        </w:rPr>
        <w:t>. 1996;127:372.</w:t>
      </w:r>
    </w:p>
    <w:p>
      <w:pPr>
        <w:spacing w:line="256" w:lineRule="auto" w:before="0"/>
        <w:ind w:left="99" w:right="109" w:firstLine="0"/>
        <w:jc w:val="both"/>
        <w:rPr>
          <w:sz w:val="22"/>
        </w:rPr>
      </w:pPr>
      <w:r>
        <w:rPr>
          <w:sz w:val="22"/>
        </w:rPr>
        <w:t>1283.</w:t>
      </w:r>
      <w:r>
        <w:rPr>
          <w:spacing w:val="40"/>
          <w:sz w:val="22"/>
        </w:rPr>
        <w:t> </w:t>
      </w:r>
      <w:r>
        <w:rPr>
          <w:sz w:val="22"/>
        </w:rPr>
        <w:t>Harris TM. The pharmacological treatment of voice disorders. </w:t>
      </w:r>
      <w:r>
        <w:rPr>
          <w:i/>
          <w:sz w:val="22"/>
        </w:rPr>
        <w:t>Folia Phoniatr</w:t>
      </w:r>
      <w:r>
        <w:rPr>
          <w:sz w:val="22"/>
        </w:rPr>
        <w:t>. 1992;44:143. 1284.</w:t>
      </w:r>
      <w:r>
        <w:rPr>
          <w:spacing w:val="58"/>
          <w:sz w:val="22"/>
        </w:rPr>
        <w:t> </w:t>
      </w:r>
      <w:r>
        <w:rPr>
          <w:sz w:val="22"/>
        </w:rPr>
        <w:t>Lindholm</w:t>
      </w:r>
      <w:r>
        <w:rPr>
          <w:spacing w:val="42"/>
          <w:sz w:val="22"/>
        </w:rPr>
        <w:t> </w:t>
      </w:r>
      <w:r>
        <w:rPr>
          <w:sz w:val="22"/>
        </w:rPr>
        <w:t>P,</w:t>
      </w:r>
      <w:r>
        <w:rPr>
          <w:spacing w:val="42"/>
          <w:sz w:val="22"/>
        </w:rPr>
        <w:t> </w:t>
      </w:r>
      <w:r>
        <w:rPr>
          <w:sz w:val="22"/>
        </w:rPr>
        <w:t>Vilkman</w:t>
      </w:r>
      <w:r>
        <w:rPr>
          <w:spacing w:val="42"/>
          <w:sz w:val="22"/>
        </w:rPr>
        <w:t> </w:t>
      </w:r>
      <w:r>
        <w:rPr>
          <w:sz w:val="22"/>
        </w:rPr>
        <w:t>E,</w:t>
      </w:r>
      <w:r>
        <w:rPr>
          <w:spacing w:val="42"/>
          <w:sz w:val="22"/>
        </w:rPr>
        <w:t> </w:t>
      </w:r>
      <w:r>
        <w:rPr>
          <w:sz w:val="22"/>
        </w:rPr>
        <w:t>Raudaskoski</w:t>
      </w:r>
      <w:r>
        <w:rPr>
          <w:spacing w:val="42"/>
          <w:sz w:val="22"/>
        </w:rPr>
        <w:t> </w:t>
      </w:r>
      <w:r>
        <w:rPr>
          <w:sz w:val="22"/>
        </w:rPr>
        <w:t>T,</w:t>
      </w:r>
      <w:r>
        <w:rPr>
          <w:spacing w:val="42"/>
          <w:sz w:val="22"/>
        </w:rPr>
        <w:t> </w:t>
      </w:r>
      <w:r>
        <w:rPr>
          <w:sz w:val="22"/>
        </w:rPr>
        <w:t>Suvanto-Luukkonen</w:t>
      </w:r>
      <w:r>
        <w:rPr>
          <w:spacing w:val="42"/>
          <w:sz w:val="22"/>
        </w:rPr>
        <w:t> </w:t>
      </w:r>
      <w:r>
        <w:rPr>
          <w:sz w:val="22"/>
        </w:rPr>
        <w:t>E,</w:t>
      </w:r>
      <w:r>
        <w:rPr>
          <w:spacing w:val="42"/>
          <w:sz w:val="22"/>
        </w:rPr>
        <w:t> </w:t>
      </w:r>
      <w:r>
        <w:rPr>
          <w:sz w:val="22"/>
        </w:rPr>
        <w:t>Kauppila</w:t>
      </w:r>
      <w:r>
        <w:rPr>
          <w:spacing w:val="42"/>
          <w:sz w:val="22"/>
        </w:rPr>
        <w:t> </w:t>
      </w:r>
      <w:r>
        <w:rPr>
          <w:sz w:val="22"/>
        </w:rPr>
        <w:t>A.</w:t>
      </w:r>
      <w:r>
        <w:rPr>
          <w:spacing w:val="42"/>
          <w:sz w:val="22"/>
        </w:rPr>
        <w:t> </w:t>
      </w:r>
      <w:r>
        <w:rPr>
          <w:sz w:val="22"/>
        </w:rPr>
        <w:t>The</w:t>
      </w:r>
      <w:r>
        <w:rPr>
          <w:spacing w:val="38"/>
          <w:sz w:val="22"/>
        </w:rPr>
        <w:t> </w:t>
      </w:r>
      <w:r>
        <w:rPr>
          <w:sz w:val="22"/>
        </w:rPr>
        <w:t>effect</w:t>
      </w:r>
      <w:r>
        <w:rPr>
          <w:spacing w:val="38"/>
          <w:sz w:val="22"/>
        </w:rPr>
        <w:t> </w:t>
      </w:r>
      <w:r>
        <w:rPr>
          <w:spacing w:val="-5"/>
          <w:sz w:val="22"/>
        </w:rPr>
        <w:t>of</w:t>
      </w:r>
    </w:p>
    <w:p>
      <w:pPr>
        <w:spacing w:line="252" w:lineRule="exact" w:before="0"/>
        <w:ind w:left="718" w:right="0" w:firstLine="0"/>
        <w:jc w:val="both"/>
        <w:rPr>
          <w:sz w:val="22"/>
        </w:rPr>
      </w:pPr>
      <w:r>
        <w:rPr>
          <w:sz w:val="22"/>
        </w:rPr>
        <w:t>postmenopause</w:t>
      </w:r>
      <w:r>
        <w:rPr>
          <w:spacing w:val="55"/>
          <w:sz w:val="22"/>
        </w:rPr>
        <w:t> </w:t>
      </w:r>
      <w:r>
        <w:rPr>
          <w:sz w:val="22"/>
        </w:rPr>
        <w:t>and</w:t>
      </w:r>
      <w:r>
        <w:rPr>
          <w:spacing w:val="55"/>
          <w:sz w:val="22"/>
        </w:rPr>
        <w:t> </w:t>
      </w:r>
      <w:r>
        <w:rPr>
          <w:sz w:val="22"/>
        </w:rPr>
        <w:t>postmenopausal</w:t>
      </w:r>
      <w:r>
        <w:rPr>
          <w:spacing w:val="56"/>
          <w:sz w:val="22"/>
        </w:rPr>
        <w:t> </w:t>
      </w:r>
      <w:r>
        <w:rPr>
          <w:sz w:val="22"/>
        </w:rPr>
        <w:t>HRT</w:t>
      </w:r>
      <w:r>
        <w:rPr>
          <w:spacing w:val="55"/>
          <w:sz w:val="22"/>
        </w:rPr>
        <w:t> </w:t>
      </w:r>
      <w:r>
        <w:rPr>
          <w:sz w:val="22"/>
        </w:rPr>
        <w:t>on</w:t>
      </w:r>
      <w:r>
        <w:rPr>
          <w:spacing w:val="56"/>
          <w:sz w:val="22"/>
        </w:rPr>
        <w:t> </w:t>
      </w:r>
      <w:r>
        <w:rPr>
          <w:sz w:val="22"/>
        </w:rPr>
        <w:t>measured</w:t>
      </w:r>
      <w:r>
        <w:rPr>
          <w:spacing w:val="55"/>
          <w:sz w:val="22"/>
        </w:rPr>
        <w:t> </w:t>
      </w:r>
      <w:r>
        <w:rPr>
          <w:sz w:val="22"/>
        </w:rPr>
        <w:t>voice</w:t>
      </w:r>
      <w:r>
        <w:rPr>
          <w:spacing w:val="56"/>
          <w:sz w:val="22"/>
        </w:rPr>
        <w:t> </w:t>
      </w:r>
      <w:r>
        <w:rPr>
          <w:sz w:val="22"/>
        </w:rPr>
        <w:t>values</w:t>
      </w:r>
      <w:r>
        <w:rPr>
          <w:spacing w:val="55"/>
          <w:sz w:val="22"/>
        </w:rPr>
        <w:t> </w:t>
      </w:r>
      <w:r>
        <w:rPr>
          <w:sz w:val="22"/>
        </w:rPr>
        <w:t>and</w:t>
      </w:r>
      <w:r>
        <w:rPr>
          <w:spacing w:val="56"/>
          <w:sz w:val="22"/>
        </w:rPr>
        <w:t> </w:t>
      </w:r>
      <w:r>
        <w:rPr>
          <w:sz w:val="22"/>
        </w:rPr>
        <w:t>vocal</w:t>
      </w:r>
      <w:r>
        <w:rPr>
          <w:spacing w:val="55"/>
          <w:sz w:val="22"/>
        </w:rPr>
        <w:t> </w:t>
      </w:r>
      <w:r>
        <w:rPr>
          <w:spacing w:val="-2"/>
          <w:sz w:val="22"/>
        </w:rPr>
        <w:t>symptoms.</w:t>
      </w:r>
    </w:p>
    <w:p>
      <w:pPr>
        <w:spacing w:before="0"/>
        <w:ind w:left="718" w:right="0" w:firstLine="0"/>
        <w:jc w:val="both"/>
        <w:rPr>
          <w:sz w:val="22"/>
        </w:rPr>
      </w:pPr>
      <w:r>
        <w:rPr>
          <w:i/>
          <w:sz w:val="22"/>
        </w:rPr>
        <w:t>Maturitas</w:t>
      </w:r>
      <w:r>
        <w:rPr>
          <w:sz w:val="22"/>
        </w:rPr>
        <w:t>.</w:t>
      </w:r>
      <w:r>
        <w:rPr>
          <w:spacing w:val="19"/>
          <w:sz w:val="22"/>
        </w:rPr>
        <w:t> </w:t>
      </w:r>
      <w:r>
        <w:rPr>
          <w:spacing w:val="-2"/>
          <w:sz w:val="22"/>
        </w:rPr>
        <w:t>1997;28:47.</w:t>
      </w:r>
    </w:p>
    <w:p>
      <w:pPr>
        <w:spacing w:line="256" w:lineRule="auto" w:before="14"/>
        <w:ind w:left="718" w:right="98" w:hanging="619"/>
        <w:jc w:val="both"/>
        <w:rPr>
          <w:sz w:val="22"/>
        </w:rPr>
      </w:pPr>
      <w:r>
        <w:rPr>
          <w:sz w:val="22"/>
        </w:rPr>
        <w:t>1285. Schneider B, van Trotsenburg M, Hanke G, Bigenzahn W, Huber J. Voice impairment </w:t>
      </w:r>
      <w:r>
        <w:rPr>
          <w:sz w:val="22"/>
        </w:rPr>
        <w:t>and menopause. </w:t>
      </w:r>
      <w:r>
        <w:rPr>
          <w:i/>
          <w:sz w:val="22"/>
        </w:rPr>
        <w:t>Menopause</w:t>
      </w:r>
      <w:r>
        <w:rPr>
          <w:sz w:val="22"/>
        </w:rPr>
        <w:t>. 2004;11:151.</w:t>
      </w:r>
    </w:p>
    <w:p>
      <w:pPr>
        <w:spacing w:line="256" w:lineRule="auto" w:before="0"/>
        <w:ind w:left="718" w:right="104" w:hanging="619"/>
        <w:jc w:val="both"/>
        <w:rPr>
          <w:sz w:val="22"/>
        </w:rPr>
      </w:pPr>
      <w:r>
        <w:rPr>
          <w:sz w:val="22"/>
        </w:rPr>
        <w:t>1286.</w:t>
      </w:r>
      <w:r>
        <w:rPr>
          <w:spacing w:val="40"/>
          <w:sz w:val="22"/>
        </w:rPr>
        <w:t> </w:t>
      </w:r>
      <w:r>
        <w:rPr>
          <w:sz w:val="22"/>
        </w:rPr>
        <w:t>Firat Y, Engin-Ustun Y, Kizilay A, Ustun Y, Akarcary M, Selimoglu E, Kafkasli A. Effect </w:t>
      </w:r>
      <w:r>
        <w:rPr>
          <w:sz w:val="22"/>
        </w:rPr>
        <w:t>of intranasal estrogen on voice quality. </w:t>
      </w:r>
      <w:r>
        <w:rPr>
          <w:i/>
          <w:sz w:val="22"/>
        </w:rPr>
        <w:t>J Voice</w:t>
      </w:r>
      <w:r>
        <w:rPr>
          <w:sz w:val="22"/>
        </w:rPr>
        <w:t>. 2009;23:716.</w:t>
      </w:r>
    </w:p>
    <w:p>
      <w:pPr>
        <w:spacing w:line="256" w:lineRule="auto" w:before="0"/>
        <w:ind w:left="718" w:right="100" w:hanging="619"/>
        <w:jc w:val="both"/>
        <w:rPr>
          <w:sz w:val="22"/>
        </w:rPr>
      </w:pPr>
      <w:r>
        <w:rPr>
          <w:sz w:val="22"/>
        </w:rPr>
        <w:t>1287.</w:t>
      </w:r>
      <w:r>
        <w:rPr>
          <w:spacing w:val="40"/>
          <w:sz w:val="22"/>
        </w:rPr>
        <w:t> </w:t>
      </w:r>
      <w:r>
        <w:rPr>
          <w:sz w:val="22"/>
        </w:rPr>
        <w:t>Caruso S, Roccasalva L, Sapienza G, Zappala M, Nuciforo G, Biondi S. Laryngeal cytological aspects in women with surgically induced menopause who were treated with transdermal estrogen replacement therapy. </w:t>
      </w:r>
      <w:r>
        <w:rPr>
          <w:i/>
          <w:sz w:val="22"/>
        </w:rPr>
        <w:t>Fertil Steril</w:t>
      </w:r>
      <w:r>
        <w:rPr>
          <w:sz w:val="22"/>
        </w:rPr>
        <w:t>. 2000;74:1073.</w:t>
      </w:r>
    </w:p>
    <w:p>
      <w:pPr>
        <w:spacing w:line="256" w:lineRule="auto" w:before="0"/>
        <w:ind w:left="718" w:right="99" w:hanging="619"/>
        <w:jc w:val="both"/>
        <w:rPr>
          <w:sz w:val="22"/>
        </w:rPr>
      </w:pPr>
      <w:r>
        <w:rPr>
          <w:sz w:val="22"/>
        </w:rPr>
        <w:t>1288. Metka M, Enzelsberger H, Knogler W, Schurz B, Aichmair H. Ophthalmic complaints as a climacteric symptom. </w:t>
      </w:r>
      <w:r>
        <w:rPr>
          <w:i/>
          <w:sz w:val="22"/>
        </w:rPr>
        <w:t>Maturitas</w:t>
      </w:r>
      <w:r>
        <w:rPr>
          <w:sz w:val="22"/>
        </w:rPr>
        <w:t>. 1991;14:3.</w:t>
      </w:r>
    </w:p>
    <w:p>
      <w:pPr>
        <w:spacing w:line="256" w:lineRule="auto" w:before="0"/>
        <w:ind w:left="718" w:right="100" w:hanging="619"/>
        <w:jc w:val="both"/>
        <w:rPr>
          <w:sz w:val="22"/>
        </w:rPr>
      </w:pPr>
      <w:r>
        <w:rPr>
          <w:sz w:val="22"/>
        </w:rPr>
        <w:t>1289.</w:t>
      </w:r>
      <w:r>
        <w:rPr>
          <w:spacing w:val="40"/>
          <w:sz w:val="22"/>
        </w:rPr>
        <w:t> </w:t>
      </w:r>
      <w:r>
        <w:rPr>
          <w:sz w:val="22"/>
        </w:rPr>
        <w:t>Altintas</w:t>
      </w:r>
      <w:r>
        <w:rPr>
          <w:spacing w:val="40"/>
          <w:sz w:val="22"/>
        </w:rPr>
        <w:t> </w:t>
      </w:r>
      <w:r>
        <w:rPr>
          <w:sz w:val="22"/>
        </w:rPr>
        <w:t>O,</w:t>
      </w:r>
      <w:r>
        <w:rPr>
          <w:spacing w:val="40"/>
          <w:sz w:val="22"/>
        </w:rPr>
        <w:t> </w:t>
      </w:r>
      <w:r>
        <w:rPr>
          <w:sz w:val="22"/>
        </w:rPr>
        <w:t>Caglar</w:t>
      </w:r>
      <w:r>
        <w:rPr>
          <w:spacing w:val="40"/>
          <w:sz w:val="22"/>
        </w:rPr>
        <w:t> </w:t>
      </w:r>
      <w:r>
        <w:rPr>
          <w:sz w:val="22"/>
        </w:rPr>
        <w:t>Y,</w:t>
      </w:r>
      <w:r>
        <w:rPr>
          <w:spacing w:val="40"/>
          <w:sz w:val="22"/>
        </w:rPr>
        <w:t> </w:t>
      </w:r>
      <w:r>
        <w:rPr>
          <w:sz w:val="22"/>
        </w:rPr>
        <w:t>Yüksel</w:t>
      </w:r>
      <w:r>
        <w:rPr>
          <w:spacing w:val="40"/>
          <w:sz w:val="22"/>
        </w:rPr>
        <w:t> </w:t>
      </w:r>
      <w:r>
        <w:rPr>
          <w:sz w:val="22"/>
        </w:rPr>
        <w:t>N,</w:t>
      </w:r>
      <w:r>
        <w:rPr>
          <w:spacing w:val="40"/>
          <w:sz w:val="22"/>
        </w:rPr>
        <w:t> </w:t>
      </w:r>
      <w:r>
        <w:rPr>
          <w:sz w:val="22"/>
        </w:rPr>
        <w:t>Demirci</w:t>
      </w:r>
      <w:r>
        <w:rPr>
          <w:spacing w:val="40"/>
          <w:sz w:val="22"/>
        </w:rPr>
        <w:t> </w:t>
      </w:r>
      <w:r>
        <w:rPr>
          <w:sz w:val="22"/>
        </w:rPr>
        <w:t>A,</w:t>
      </w:r>
      <w:r>
        <w:rPr>
          <w:spacing w:val="40"/>
          <w:sz w:val="22"/>
        </w:rPr>
        <w:t> </w:t>
      </w:r>
      <w:r>
        <w:rPr>
          <w:sz w:val="22"/>
        </w:rPr>
        <w:t>Karabas</w:t>
      </w:r>
      <w:r>
        <w:rPr>
          <w:spacing w:val="40"/>
          <w:sz w:val="22"/>
        </w:rPr>
        <w:t> </w:t>
      </w:r>
      <w:r>
        <w:rPr>
          <w:sz w:val="22"/>
        </w:rPr>
        <w:t>L.</w:t>
      </w:r>
      <w:r>
        <w:rPr>
          <w:spacing w:val="40"/>
          <w:sz w:val="22"/>
        </w:rPr>
        <w:t> </w:t>
      </w:r>
      <w:r>
        <w:rPr>
          <w:sz w:val="22"/>
        </w:rPr>
        <w:t>The</w:t>
      </w:r>
      <w:r>
        <w:rPr>
          <w:spacing w:val="40"/>
          <w:sz w:val="22"/>
        </w:rPr>
        <w:t> </w:t>
      </w:r>
      <w:r>
        <w:rPr>
          <w:sz w:val="22"/>
        </w:rPr>
        <w:t>effects</w:t>
      </w:r>
      <w:r>
        <w:rPr>
          <w:spacing w:val="40"/>
          <w:sz w:val="22"/>
        </w:rPr>
        <w:t> </w:t>
      </w:r>
      <w:r>
        <w:rPr>
          <w:sz w:val="22"/>
        </w:rPr>
        <w:t>of</w:t>
      </w:r>
      <w:r>
        <w:rPr>
          <w:spacing w:val="40"/>
          <w:sz w:val="22"/>
        </w:rPr>
        <w:t> </w:t>
      </w:r>
      <w:r>
        <w:rPr>
          <w:sz w:val="22"/>
        </w:rPr>
        <w:t>menopause</w:t>
      </w:r>
      <w:r>
        <w:rPr>
          <w:spacing w:val="40"/>
          <w:sz w:val="22"/>
        </w:rPr>
        <w:t> </w:t>
      </w:r>
      <w:r>
        <w:rPr>
          <w:sz w:val="22"/>
        </w:rPr>
        <w:t>and hormone replacement therapy on quality and quantity of tear, intraocular pressure and </w:t>
      </w:r>
      <w:r>
        <w:rPr>
          <w:sz w:val="22"/>
        </w:rPr>
        <w:t>ocular blood flow. </w:t>
      </w:r>
      <w:r>
        <w:rPr>
          <w:i/>
          <w:sz w:val="22"/>
        </w:rPr>
        <w:t>Ophthalmologica</w:t>
      </w:r>
      <w:r>
        <w:rPr>
          <w:sz w:val="22"/>
        </w:rPr>
        <w:t>. 2004;218:120.</w:t>
      </w:r>
    </w:p>
    <w:p>
      <w:pPr>
        <w:spacing w:line="256" w:lineRule="auto" w:before="0"/>
        <w:ind w:left="718" w:right="105" w:hanging="619"/>
        <w:jc w:val="both"/>
        <w:rPr>
          <w:sz w:val="22"/>
        </w:rPr>
      </w:pPr>
      <w:r>
        <w:rPr>
          <w:sz w:val="22"/>
        </w:rPr>
        <w:t>1290. Kramer</w:t>
      </w:r>
      <w:r>
        <w:rPr>
          <w:spacing w:val="40"/>
          <w:sz w:val="22"/>
        </w:rPr>
        <w:t> </w:t>
      </w:r>
      <w:r>
        <w:rPr>
          <w:sz w:val="22"/>
        </w:rPr>
        <w:t>P,</w:t>
      </w:r>
      <w:r>
        <w:rPr>
          <w:spacing w:val="40"/>
          <w:sz w:val="22"/>
        </w:rPr>
        <w:t> </w:t>
      </w:r>
      <w:r>
        <w:rPr>
          <w:sz w:val="22"/>
        </w:rPr>
        <w:t>Lubkin</w:t>
      </w:r>
      <w:r>
        <w:rPr>
          <w:spacing w:val="40"/>
          <w:sz w:val="22"/>
        </w:rPr>
        <w:t> </w:t>
      </w:r>
      <w:r>
        <w:rPr>
          <w:sz w:val="22"/>
        </w:rPr>
        <w:t>V,</w:t>
      </w:r>
      <w:r>
        <w:rPr>
          <w:spacing w:val="40"/>
          <w:sz w:val="22"/>
        </w:rPr>
        <w:t> </w:t>
      </w:r>
      <w:r>
        <w:rPr>
          <w:sz w:val="22"/>
        </w:rPr>
        <w:t>Potter</w:t>
      </w:r>
      <w:r>
        <w:rPr>
          <w:spacing w:val="40"/>
          <w:sz w:val="22"/>
        </w:rPr>
        <w:t> </w:t>
      </w:r>
      <w:r>
        <w:rPr>
          <w:sz w:val="22"/>
        </w:rPr>
        <w:t>W,</w:t>
      </w:r>
      <w:r>
        <w:rPr>
          <w:spacing w:val="40"/>
          <w:sz w:val="22"/>
        </w:rPr>
        <w:t> </w:t>
      </w:r>
      <w:r>
        <w:rPr>
          <w:sz w:val="22"/>
        </w:rPr>
        <w:t>Jacobs</w:t>
      </w:r>
      <w:r>
        <w:rPr>
          <w:spacing w:val="40"/>
          <w:sz w:val="22"/>
        </w:rPr>
        <w:t> </w:t>
      </w:r>
      <w:r>
        <w:rPr>
          <w:sz w:val="22"/>
        </w:rPr>
        <w:t>M,</w:t>
      </w:r>
      <w:r>
        <w:rPr>
          <w:spacing w:val="40"/>
          <w:sz w:val="22"/>
        </w:rPr>
        <w:t> </w:t>
      </w:r>
      <w:r>
        <w:rPr>
          <w:sz w:val="22"/>
        </w:rPr>
        <w:t>Labay</w:t>
      </w:r>
      <w:r>
        <w:rPr>
          <w:spacing w:val="40"/>
          <w:sz w:val="22"/>
        </w:rPr>
        <w:t> </w:t>
      </w:r>
      <w:r>
        <w:rPr>
          <w:sz w:val="22"/>
        </w:rPr>
        <w:t>G,</w:t>
      </w:r>
      <w:r>
        <w:rPr>
          <w:spacing w:val="40"/>
          <w:sz w:val="22"/>
        </w:rPr>
        <w:t> </w:t>
      </w:r>
      <w:r>
        <w:rPr>
          <w:sz w:val="22"/>
        </w:rPr>
        <w:t>Silverman</w:t>
      </w:r>
      <w:r>
        <w:rPr>
          <w:spacing w:val="40"/>
          <w:sz w:val="22"/>
        </w:rPr>
        <w:t> </w:t>
      </w:r>
      <w:r>
        <w:rPr>
          <w:sz w:val="22"/>
        </w:rPr>
        <w:t>P.</w:t>
      </w:r>
      <w:r>
        <w:rPr>
          <w:spacing w:val="40"/>
          <w:sz w:val="22"/>
        </w:rPr>
        <w:t> </w:t>
      </w:r>
      <w:r>
        <w:rPr>
          <w:sz w:val="22"/>
        </w:rPr>
        <w:t>Cyclic</w:t>
      </w:r>
      <w:r>
        <w:rPr>
          <w:spacing w:val="40"/>
          <w:sz w:val="22"/>
        </w:rPr>
        <w:t> </w:t>
      </w:r>
      <w:r>
        <w:rPr>
          <w:sz w:val="22"/>
        </w:rPr>
        <w:t>changes</w:t>
      </w:r>
      <w:r>
        <w:rPr>
          <w:spacing w:val="40"/>
          <w:sz w:val="22"/>
        </w:rPr>
        <w:t> </w:t>
      </w:r>
      <w:r>
        <w:rPr>
          <w:sz w:val="22"/>
        </w:rPr>
        <w:t>in conjunctival smears from menstruating females. </w:t>
      </w:r>
      <w:r>
        <w:rPr>
          <w:i/>
          <w:sz w:val="22"/>
        </w:rPr>
        <w:t>Ophthalmology</w:t>
      </w:r>
      <w:r>
        <w:rPr>
          <w:sz w:val="22"/>
        </w:rPr>
        <w:t>. 1990;97:303.</w:t>
      </w:r>
    </w:p>
    <w:p>
      <w:pPr>
        <w:spacing w:after="0" w:line="256" w:lineRule="auto"/>
        <w:jc w:val="both"/>
        <w:rPr>
          <w:sz w:val="22"/>
        </w:rPr>
        <w:sectPr>
          <w:pgSz w:w="12240" w:h="15840"/>
          <w:pgMar w:top="1360" w:bottom="280" w:left="1440" w:right="1440"/>
        </w:sectPr>
      </w:pPr>
    </w:p>
    <w:p>
      <w:pPr>
        <w:spacing w:line="256" w:lineRule="auto" w:before="84"/>
        <w:ind w:left="718" w:right="109" w:hanging="619"/>
        <w:jc w:val="both"/>
        <w:rPr>
          <w:sz w:val="22"/>
        </w:rPr>
      </w:pPr>
      <w:r>
        <w:rPr>
          <w:sz w:val="22"/>
        </w:rPr>
        <w:t>1291. Moss SE, Klein R, Klein BE. Prevalence and risk factors for dry eye syndrome. </w:t>
      </w:r>
      <w:r>
        <w:rPr>
          <w:i/>
          <w:sz w:val="22"/>
        </w:rPr>
        <w:t>Arch</w:t>
      </w:r>
      <w:r>
        <w:rPr>
          <w:i/>
          <w:sz w:val="22"/>
        </w:rPr>
        <w:t> Ophthalmol</w:t>
      </w:r>
      <w:r>
        <w:rPr>
          <w:sz w:val="22"/>
        </w:rPr>
        <w:t>. 2000;118:1264.</w:t>
      </w:r>
    </w:p>
    <w:p>
      <w:pPr>
        <w:spacing w:line="256" w:lineRule="auto" w:before="0"/>
        <w:ind w:left="718" w:right="111" w:hanging="619"/>
        <w:jc w:val="both"/>
        <w:rPr>
          <w:sz w:val="22"/>
        </w:rPr>
      </w:pPr>
      <w:r>
        <w:rPr>
          <w:sz w:val="22"/>
        </w:rPr>
        <w:t>1292.</w:t>
      </w:r>
      <w:r>
        <w:rPr>
          <w:spacing w:val="40"/>
          <w:sz w:val="22"/>
        </w:rPr>
        <w:t> </w:t>
      </w:r>
      <w:r>
        <w:rPr>
          <w:sz w:val="22"/>
        </w:rPr>
        <w:t>Sator MO, Joura EA, Golaszewski T, et al. Treatment of menopausal keratoconjunctivitis </w:t>
      </w:r>
      <w:r>
        <w:rPr>
          <w:sz w:val="22"/>
        </w:rPr>
        <w:t>sicca with topical oestradiol. </w:t>
      </w:r>
      <w:r>
        <w:rPr>
          <w:i/>
          <w:sz w:val="22"/>
        </w:rPr>
        <w:t>Br J Obstet Gynaecol</w:t>
      </w:r>
      <w:r>
        <w:rPr>
          <w:sz w:val="22"/>
        </w:rPr>
        <w:t>. 1998;105:100.</w:t>
      </w:r>
    </w:p>
    <w:p>
      <w:pPr>
        <w:spacing w:line="256" w:lineRule="auto" w:before="0"/>
        <w:ind w:left="718" w:right="108" w:hanging="619"/>
        <w:jc w:val="both"/>
        <w:rPr>
          <w:sz w:val="22"/>
        </w:rPr>
      </w:pPr>
      <w:r>
        <w:rPr>
          <w:sz w:val="22"/>
        </w:rPr>
        <w:t>1293.</w:t>
      </w:r>
      <w:r>
        <w:rPr>
          <w:spacing w:val="40"/>
          <w:sz w:val="22"/>
        </w:rPr>
        <w:t> </w:t>
      </w:r>
      <w:r>
        <w:rPr>
          <w:sz w:val="22"/>
        </w:rPr>
        <w:t>Schaumberg</w:t>
      </w:r>
      <w:r>
        <w:rPr>
          <w:spacing w:val="28"/>
          <w:sz w:val="22"/>
        </w:rPr>
        <w:t> </w:t>
      </w:r>
      <w:r>
        <w:rPr>
          <w:sz w:val="22"/>
        </w:rPr>
        <w:t>DA,</w:t>
      </w:r>
      <w:r>
        <w:rPr>
          <w:spacing w:val="28"/>
          <w:sz w:val="22"/>
        </w:rPr>
        <w:t> </w:t>
      </w:r>
      <w:r>
        <w:rPr>
          <w:sz w:val="22"/>
        </w:rPr>
        <w:t>Buring</w:t>
      </w:r>
      <w:r>
        <w:rPr>
          <w:spacing w:val="28"/>
          <w:sz w:val="22"/>
        </w:rPr>
        <w:t> </w:t>
      </w:r>
      <w:r>
        <w:rPr>
          <w:sz w:val="22"/>
        </w:rPr>
        <w:t>JE,</w:t>
      </w:r>
      <w:r>
        <w:rPr>
          <w:spacing w:val="28"/>
          <w:sz w:val="22"/>
        </w:rPr>
        <w:t> </w:t>
      </w:r>
      <w:r>
        <w:rPr>
          <w:sz w:val="22"/>
        </w:rPr>
        <w:t>Sullivan</w:t>
      </w:r>
      <w:r>
        <w:rPr>
          <w:spacing w:val="28"/>
          <w:sz w:val="22"/>
        </w:rPr>
        <w:t> </w:t>
      </w:r>
      <w:r>
        <w:rPr>
          <w:sz w:val="22"/>
        </w:rPr>
        <w:t>DA,</w:t>
      </w:r>
      <w:r>
        <w:rPr>
          <w:spacing w:val="28"/>
          <w:sz w:val="22"/>
        </w:rPr>
        <w:t> </w:t>
      </w:r>
      <w:r>
        <w:rPr>
          <w:sz w:val="22"/>
        </w:rPr>
        <w:t>Dana</w:t>
      </w:r>
      <w:r>
        <w:rPr>
          <w:spacing w:val="28"/>
          <w:sz w:val="22"/>
        </w:rPr>
        <w:t> </w:t>
      </w:r>
      <w:r>
        <w:rPr>
          <w:sz w:val="22"/>
        </w:rPr>
        <w:t>MR. Hormone replacement therapy and </w:t>
      </w:r>
      <w:r>
        <w:rPr>
          <w:sz w:val="22"/>
        </w:rPr>
        <w:t>dry eye syndrome. </w:t>
      </w:r>
      <w:r>
        <w:rPr>
          <w:i/>
          <w:sz w:val="22"/>
        </w:rPr>
        <w:t>JAMA</w:t>
      </w:r>
      <w:r>
        <w:rPr>
          <w:sz w:val="22"/>
        </w:rPr>
        <w:t>. 2001;286:2114.</w:t>
      </w:r>
    </w:p>
    <w:p>
      <w:pPr>
        <w:spacing w:line="256" w:lineRule="auto" w:before="0"/>
        <w:ind w:left="718" w:right="98" w:hanging="619"/>
        <w:jc w:val="both"/>
        <w:rPr>
          <w:sz w:val="22"/>
        </w:rPr>
      </w:pPr>
      <w:r>
        <w:rPr>
          <w:sz w:val="22"/>
        </w:rPr>
        <w:t>1294. Uncu G, Avci R, Uncu Y, Kaymaz C, Develioglu O. The effects of different hormone replacement therapy regimens on tear function, intraocular pressure and lens opacity. </w:t>
      </w:r>
      <w:r>
        <w:rPr>
          <w:i/>
          <w:sz w:val="22"/>
        </w:rPr>
        <w:t>Gynecol</w:t>
      </w:r>
      <w:r>
        <w:rPr>
          <w:i/>
          <w:sz w:val="22"/>
        </w:rPr>
        <w:t> Endocrinol</w:t>
      </w:r>
      <w:r>
        <w:rPr>
          <w:sz w:val="22"/>
        </w:rPr>
        <w:t>. 2006;22:501.</w:t>
      </w:r>
    </w:p>
    <w:p>
      <w:pPr>
        <w:spacing w:line="256" w:lineRule="auto" w:before="0"/>
        <w:ind w:left="718" w:right="109" w:hanging="619"/>
        <w:jc w:val="both"/>
        <w:rPr>
          <w:sz w:val="22"/>
        </w:rPr>
      </w:pPr>
      <w:r>
        <w:rPr>
          <w:sz w:val="22"/>
        </w:rPr>
        <w:t>1295. Erdem U, Ozdegirmenci O, Sobaci E, Sobaci G, Göktolga U, Dagli S. Dry eye in </w:t>
      </w:r>
      <w:r>
        <w:rPr>
          <w:sz w:val="22"/>
        </w:rPr>
        <w:t>post-menopausal women using hormone replacement therapy. </w:t>
      </w:r>
      <w:r>
        <w:rPr>
          <w:i/>
          <w:sz w:val="22"/>
        </w:rPr>
        <w:t>Maturitas</w:t>
      </w:r>
      <w:r>
        <w:rPr>
          <w:sz w:val="22"/>
        </w:rPr>
        <w:t>. 2007;56:257.</w:t>
      </w:r>
    </w:p>
    <w:p>
      <w:pPr>
        <w:spacing w:line="256" w:lineRule="auto" w:before="0"/>
        <w:ind w:left="718" w:right="99" w:hanging="619"/>
        <w:jc w:val="both"/>
        <w:rPr>
          <w:sz w:val="22"/>
        </w:rPr>
      </w:pPr>
      <w:r>
        <w:rPr>
          <w:sz w:val="22"/>
        </w:rPr>
        <w:t>1296. Klein BEK, Klein R, Ritter LL. Is there evidence of an estrogen effect on age-related lens opacities? </w:t>
      </w:r>
      <w:r>
        <w:rPr>
          <w:i/>
          <w:sz w:val="22"/>
        </w:rPr>
        <w:t>Arch Ophthalmol</w:t>
      </w:r>
      <w:r>
        <w:rPr>
          <w:sz w:val="22"/>
        </w:rPr>
        <w:t>. 1994;112:85.</w:t>
      </w:r>
    </w:p>
    <w:p>
      <w:pPr>
        <w:spacing w:line="256" w:lineRule="auto" w:before="0"/>
        <w:ind w:left="718" w:right="108" w:hanging="619"/>
        <w:jc w:val="both"/>
        <w:rPr>
          <w:sz w:val="22"/>
        </w:rPr>
      </w:pPr>
      <w:r>
        <w:rPr>
          <w:sz w:val="22"/>
        </w:rPr>
        <w:t>1297. Benitez del Castillo JM, del Rio T, Garcia-Sanchez J. Effects of estrogen use on lens transmittance in postmenopausal women. </w:t>
      </w:r>
      <w:r>
        <w:rPr>
          <w:i/>
          <w:sz w:val="22"/>
        </w:rPr>
        <w:t>Ophthalmology</w:t>
      </w:r>
      <w:r>
        <w:rPr>
          <w:sz w:val="22"/>
        </w:rPr>
        <w:t>. 1997;104:970.</w:t>
      </w:r>
    </w:p>
    <w:p>
      <w:pPr>
        <w:spacing w:line="256" w:lineRule="auto" w:before="0"/>
        <w:ind w:left="718" w:right="101" w:hanging="619"/>
        <w:jc w:val="both"/>
        <w:rPr>
          <w:sz w:val="22"/>
        </w:rPr>
      </w:pPr>
      <w:r>
        <w:rPr>
          <w:sz w:val="22"/>
        </w:rPr>
        <w:t>1298.</w:t>
      </w:r>
      <w:r>
        <w:rPr>
          <w:spacing w:val="40"/>
          <w:sz w:val="22"/>
        </w:rPr>
        <w:t> </w:t>
      </w:r>
      <w:r>
        <w:rPr>
          <w:sz w:val="22"/>
        </w:rPr>
        <w:t>Cumming RG, Mitchell P. Hormone replacement therapy, reproductive factors, and </w:t>
      </w:r>
      <w:r>
        <w:rPr>
          <w:sz w:val="22"/>
        </w:rPr>
        <w:t>cataracts:</w:t>
      </w:r>
      <w:r>
        <w:rPr>
          <w:spacing w:val="40"/>
          <w:sz w:val="22"/>
        </w:rPr>
        <w:t> </w:t>
      </w:r>
      <w:r>
        <w:rPr>
          <w:sz w:val="22"/>
        </w:rPr>
        <w:t>the Blue Mountains Eye Study. </w:t>
      </w:r>
      <w:r>
        <w:rPr>
          <w:i/>
          <w:sz w:val="22"/>
        </w:rPr>
        <w:t>Am J Epidemiol</w:t>
      </w:r>
      <w:r>
        <w:rPr>
          <w:sz w:val="22"/>
        </w:rPr>
        <w:t>. 1997;145:242.</w:t>
      </w:r>
    </w:p>
    <w:p>
      <w:pPr>
        <w:spacing w:line="256" w:lineRule="auto" w:before="0"/>
        <w:ind w:left="718" w:right="99" w:hanging="619"/>
        <w:jc w:val="both"/>
        <w:rPr>
          <w:sz w:val="22"/>
        </w:rPr>
      </w:pPr>
      <w:r>
        <w:rPr>
          <w:sz w:val="22"/>
        </w:rPr>
        <w:t>1299.</w:t>
      </w:r>
      <w:r>
        <w:rPr>
          <w:spacing w:val="40"/>
          <w:sz w:val="22"/>
        </w:rPr>
        <w:t> </w:t>
      </w:r>
      <w:r>
        <w:rPr>
          <w:sz w:val="22"/>
        </w:rPr>
        <w:t>Jee D, Park SH, Hwang HS, Kim HS, Kim MS, Kim EC. Effects of hormone replacement therapy on lens opacity, serum inflammatory cytokines, and antioxidant levels. </w:t>
      </w:r>
      <w:r>
        <w:rPr>
          <w:i/>
          <w:sz w:val="22"/>
        </w:rPr>
        <w:t>Ann Med</w:t>
      </w:r>
      <w:r>
        <w:rPr>
          <w:sz w:val="22"/>
        </w:rPr>
        <w:t>. </w:t>
      </w:r>
      <w:r>
        <w:rPr>
          <w:spacing w:val="-2"/>
          <w:sz w:val="22"/>
        </w:rPr>
        <w:t>2021;53(1):707-714.</w:t>
      </w:r>
    </w:p>
    <w:p>
      <w:pPr>
        <w:spacing w:line="256" w:lineRule="auto" w:before="0"/>
        <w:ind w:left="718" w:right="109" w:hanging="619"/>
        <w:jc w:val="both"/>
        <w:rPr>
          <w:sz w:val="22"/>
        </w:rPr>
      </w:pPr>
      <w:r>
        <w:rPr>
          <w:sz w:val="22"/>
        </w:rPr>
        <w:t>1300. Aina FO, Smeeth L, Hubbard R, Hurt LS, Fletcher AE. Hormone replacement therapy </w:t>
      </w:r>
      <w:r>
        <w:rPr>
          <w:sz w:val="22"/>
        </w:rPr>
        <w:t>and cataract: a population-based case-control study. </w:t>
      </w:r>
      <w:r>
        <w:rPr>
          <w:i/>
          <w:sz w:val="22"/>
        </w:rPr>
        <w:t>Eye</w:t>
      </w:r>
      <w:r>
        <w:rPr>
          <w:sz w:val="22"/>
        </w:rPr>
        <w:t>. 2006;20:417.</w:t>
      </w:r>
    </w:p>
    <w:p>
      <w:pPr>
        <w:spacing w:line="252" w:lineRule="exact" w:before="0"/>
        <w:ind w:left="99" w:right="0" w:firstLine="0"/>
        <w:jc w:val="both"/>
        <w:rPr>
          <w:sz w:val="22"/>
        </w:rPr>
      </w:pPr>
      <w:r>
        <w:rPr>
          <w:sz w:val="22"/>
        </w:rPr>
        <w:t>1301.</w:t>
      </w:r>
      <w:r>
        <w:rPr>
          <w:spacing w:val="60"/>
          <w:sz w:val="22"/>
        </w:rPr>
        <w:t> </w:t>
      </w:r>
      <w:r>
        <w:rPr>
          <w:sz w:val="22"/>
        </w:rPr>
        <w:t>Sator</w:t>
      </w:r>
      <w:r>
        <w:rPr>
          <w:spacing w:val="33"/>
          <w:sz w:val="22"/>
        </w:rPr>
        <w:t> </w:t>
      </w:r>
      <w:r>
        <w:rPr>
          <w:sz w:val="22"/>
        </w:rPr>
        <w:t>MO,</w:t>
      </w:r>
      <w:r>
        <w:rPr>
          <w:spacing w:val="33"/>
          <w:sz w:val="22"/>
        </w:rPr>
        <w:t> </w:t>
      </w:r>
      <w:r>
        <w:rPr>
          <w:sz w:val="22"/>
        </w:rPr>
        <w:t>Joura</w:t>
      </w:r>
      <w:r>
        <w:rPr>
          <w:spacing w:val="33"/>
          <w:sz w:val="22"/>
        </w:rPr>
        <w:t> </w:t>
      </w:r>
      <w:r>
        <w:rPr>
          <w:sz w:val="22"/>
        </w:rPr>
        <w:t>EA,</w:t>
      </w:r>
      <w:r>
        <w:rPr>
          <w:spacing w:val="34"/>
          <w:sz w:val="22"/>
        </w:rPr>
        <w:t> </w:t>
      </w:r>
      <w:r>
        <w:rPr>
          <w:sz w:val="22"/>
        </w:rPr>
        <w:t>Frigo</w:t>
      </w:r>
      <w:r>
        <w:rPr>
          <w:spacing w:val="33"/>
          <w:sz w:val="22"/>
        </w:rPr>
        <w:t> </w:t>
      </w:r>
      <w:r>
        <w:rPr>
          <w:sz w:val="22"/>
        </w:rPr>
        <w:t>P,</w:t>
      </w:r>
      <w:r>
        <w:rPr>
          <w:spacing w:val="33"/>
          <w:sz w:val="22"/>
        </w:rPr>
        <w:t> </w:t>
      </w:r>
      <w:r>
        <w:rPr>
          <w:sz w:val="22"/>
        </w:rPr>
        <w:t>et</w:t>
      </w:r>
      <w:r>
        <w:rPr>
          <w:spacing w:val="33"/>
          <w:sz w:val="22"/>
        </w:rPr>
        <w:t> </w:t>
      </w:r>
      <w:r>
        <w:rPr>
          <w:sz w:val="22"/>
        </w:rPr>
        <w:t>al.</w:t>
      </w:r>
      <w:r>
        <w:rPr>
          <w:spacing w:val="33"/>
          <w:sz w:val="22"/>
        </w:rPr>
        <w:t> </w:t>
      </w:r>
      <w:r>
        <w:rPr>
          <w:sz w:val="22"/>
        </w:rPr>
        <w:t>Hormone</w:t>
      </w:r>
      <w:r>
        <w:rPr>
          <w:spacing w:val="33"/>
          <w:sz w:val="22"/>
        </w:rPr>
        <w:t> </w:t>
      </w:r>
      <w:r>
        <w:rPr>
          <w:sz w:val="22"/>
        </w:rPr>
        <w:t>replacement</w:t>
      </w:r>
      <w:r>
        <w:rPr>
          <w:spacing w:val="33"/>
          <w:sz w:val="22"/>
        </w:rPr>
        <w:t> </w:t>
      </w:r>
      <w:r>
        <w:rPr>
          <w:sz w:val="22"/>
        </w:rPr>
        <w:t>therapy</w:t>
      </w:r>
      <w:r>
        <w:rPr>
          <w:spacing w:val="33"/>
          <w:sz w:val="22"/>
        </w:rPr>
        <w:t> </w:t>
      </w:r>
      <w:r>
        <w:rPr>
          <w:sz w:val="22"/>
        </w:rPr>
        <w:t>and</w:t>
      </w:r>
      <w:r>
        <w:rPr>
          <w:spacing w:val="34"/>
          <w:sz w:val="22"/>
        </w:rPr>
        <w:t> </w:t>
      </w:r>
      <w:r>
        <w:rPr>
          <w:sz w:val="22"/>
        </w:rPr>
        <w:t>intraocular</w:t>
      </w:r>
      <w:r>
        <w:rPr>
          <w:spacing w:val="33"/>
          <w:sz w:val="22"/>
        </w:rPr>
        <w:t> </w:t>
      </w:r>
      <w:r>
        <w:rPr>
          <w:spacing w:val="-2"/>
          <w:sz w:val="22"/>
        </w:rPr>
        <w:t>pressure.</w:t>
      </w:r>
    </w:p>
    <w:p>
      <w:pPr>
        <w:spacing w:before="4"/>
        <w:ind w:left="718" w:right="0" w:firstLine="0"/>
        <w:jc w:val="both"/>
        <w:rPr>
          <w:sz w:val="22"/>
        </w:rPr>
      </w:pPr>
      <w:r>
        <w:rPr>
          <w:i/>
          <w:sz w:val="22"/>
        </w:rPr>
        <w:t>Maturitas</w:t>
      </w:r>
      <w:r>
        <w:rPr>
          <w:sz w:val="22"/>
        </w:rPr>
        <w:t>.</w:t>
      </w:r>
      <w:r>
        <w:rPr>
          <w:spacing w:val="19"/>
          <w:sz w:val="22"/>
        </w:rPr>
        <w:t> </w:t>
      </w:r>
      <w:r>
        <w:rPr>
          <w:spacing w:val="-2"/>
          <w:sz w:val="22"/>
        </w:rPr>
        <w:t>1997;28:55.</w:t>
      </w:r>
    </w:p>
    <w:p>
      <w:pPr>
        <w:spacing w:line="256" w:lineRule="auto" w:before="17"/>
        <w:ind w:left="718" w:right="111" w:hanging="619"/>
        <w:jc w:val="both"/>
        <w:rPr>
          <w:sz w:val="22"/>
        </w:rPr>
      </w:pPr>
      <w:r>
        <w:rPr>
          <w:sz w:val="22"/>
        </w:rPr>
        <w:t>1302.</w:t>
      </w:r>
      <w:r>
        <w:rPr>
          <w:spacing w:val="40"/>
          <w:sz w:val="22"/>
        </w:rPr>
        <w:t> </w:t>
      </w:r>
      <w:r>
        <w:rPr>
          <w:sz w:val="22"/>
        </w:rPr>
        <w:t>Sator</w:t>
      </w:r>
      <w:r>
        <w:rPr>
          <w:spacing w:val="40"/>
          <w:sz w:val="22"/>
        </w:rPr>
        <w:t> </w:t>
      </w:r>
      <w:r>
        <w:rPr>
          <w:sz w:val="22"/>
        </w:rPr>
        <w:t>MO,</w:t>
      </w:r>
      <w:r>
        <w:rPr>
          <w:spacing w:val="40"/>
          <w:sz w:val="22"/>
        </w:rPr>
        <w:t> </w:t>
      </w:r>
      <w:r>
        <w:rPr>
          <w:sz w:val="22"/>
        </w:rPr>
        <w:t>Akramian</w:t>
      </w:r>
      <w:r>
        <w:rPr>
          <w:spacing w:val="40"/>
          <w:sz w:val="22"/>
        </w:rPr>
        <w:t> </w:t>
      </w:r>
      <w:r>
        <w:rPr>
          <w:sz w:val="22"/>
        </w:rPr>
        <w:t>J,</w:t>
      </w:r>
      <w:r>
        <w:rPr>
          <w:spacing w:val="40"/>
          <w:sz w:val="22"/>
        </w:rPr>
        <w:t> </w:t>
      </w:r>
      <w:r>
        <w:rPr>
          <w:sz w:val="22"/>
        </w:rPr>
        <w:t>Joura</w:t>
      </w:r>
      <w:r>
        <w:rPr>
          <w:spacing w:val="40"/>
          <w:sz w:val="22"/>
        </w:rPr>
        <w:t> </w:t>
      </w:r>
      <w:r>
        <w:rPr>
          <w:sz w:val="22"/>
        </w:rPr>
        <w:t>EA,</w:t>
      </w:r>
      <w:r>
        <w:rPr>
          <w:spacing w:val="40"/>
          <w:sz w:val="22"/>
        </w:rPr>
        <w:t> </w:t>
      </w:r>
      <w:r>
        <w:rPr>
          <w:sz w:val="22"/>
        </w:rPr>
        <w:t>et</w:t>
      </w:r>
      <w:r>
        <w:rPr>
          <w:spacing w:val="40"/>
          <w:sz w:val="22"/>
        </w:rPr>
        <w:t> </w:t>
      </w:r>
      <w:r>
        <w:rPr>
          <w:sz w:val="22"/>
        </w:rPr>
        <w:t>al.</w:t>
      </w:r>
      <w:r>
        <w:rPr>
          <w:spacing w:val="40"/>
          <w:sz w:val="22"/>
        </w:rPr>
        <w:t> </w:t>
      </w:r>
      <w:r>
        <w:rPr>
          <w:sz w:val="22"/>
        </w:rPr>
        <w:t>Reduction</w:t>
      </w:r>
      <w:r>
        <w:rPr>
          <w:spacing w:val="40"/>
          <w:sz w:val="22"/>
        </w:rPr>
        <w:t> </w:t>
      </w:r>
      <w:r>
        <w:rPr>
          <w:sz w:val="22"/>
        </w:rPr>
        <w:t>of</w:t>
      </w:r>
      <w:r>
        <w:rPr>
          <w:spacing w:val="40"/>
          <w:sz w:val="22"/>
        </w:rPr>
        <w:t> </w:t>
      </w:r>
      <w:r>
        <w:rPr>
          <w:sz w:val="22"/>
        </w:rPr>
        <w:t>intraocular</w:t>
      </w:r>
      <w:r>
        <w:rPr>
          <w:spacing w:val="40"/>
          <w:sz w:val="22"/>
        </w:rPr>
        <w:t> </w:t>
      </w:r>
      <w:r>
        <w:rPr>
          <w:sz w:val="22"/>
        </w:rPr>
        <w:t>pressure</w:t>
      </w:r>
      <w:r>
        <w:rPr>
          <w:spacing w:val="40"/>
          <w:sz w:val="22"/>
        </w:rPr>
        <w:t> </w:t>
      </w:r>
      <w:r>
        <w:rPr>
          <w:sz w:val="22"/>
        </w:rPr>
        <w:t>in</w:t>
      </w:r>
      <w:r>
        <w:rPr>
          <w:spacing w:val="40"/>
          <w:sz w:val="22"/>
        </w:rPr>
        <w:t> </w:t>
      </w:r>
      <w:r>
        <w:rPr>
          <w:sz w:val="22"/>
        </w:rPr>
        <w:t>a</w:t>
      </w:r>
      <w:r>
        <w:rPr>
          <w:spacing w:val="40"/>
          <w:sz w:val="22"/>
        </w:rPr>
        <w:t> </w:t>
      </w:r>
      <w:r>
        <w:rPr>
          <w:sz w:val="22"/>
        </w:rPr>
        <w:t>glaucoma patient undergoing hormone replacement therapy. </w:t>
      </w:r>
      <w:r>
        <w:rPr>
          <w:i/>
          <w:sz w:val="22"/>
        </w:rPr>
        <w:t>Maturitas</w:t>
      </w:r>
      <w:r>
        <w:rPr>
          <w:sz w:val="22"/>
        </w:rPr>
        <w:t>. 1998;29:93.</w:t>
      </w:r>
    </w:p>
    <w:p>
      <w:pPr>
        <w:spacing w:line="256" w:lineRule="auto" w:before="0"/>
        <w:ind w:left="718" w:right="103" w:hanging="619"/>
        <w:jc w:val="both"/>
        <w:rPr>
          <w:sz w:val="22"/>
        </w:rPr>
      </w:pPr>
      <w:r>
        <w:rPr>
          <w:sz w:val="22"/>
        </w:rPr>
        <w:t>1303. Tint NL, Alexander P, Tint KM, Vasileiadis GT, Yeung AM, Azuara-Blanco A. </w:t>
      </w:r>
      <w:r>
        <w:rPr>
          <w:sz w:val="22"/>
        </w:rPr>
        <w:t>Hormone therapy and intraocular pressure in nonglaucomatous eyes. </w:t>
      </w:r>
      <w:r>
        <w:rPr>
          <w:i/>
          <w:sz w:val="22"/>
        </w:rPr>
        <w:t>Menopause</w:t>
      </w:r>
      <w:r>
        <w:rPr>
          <w:sz w:val="22"/>
        </w:rPr>
        <w:t>. 2010;17:157.</w:t>
      </w:r>
    </w:p>
    <w:p>
      <w:pPr>
        <w:spacing w:line="256" w:lineRule="auto" w:before="0"/>
        <w:ind w:left="718" w:right="101" w:hanging="619"/>
        <w:jc w:val="both"/>
        <w:rPr>
          <w:sz w:val="22"/>
        </w:rPr>
      </w:pPr>
      <w:r>
        <w:rPr>
          <w:sz w:val="22"/>
        </w:rPr>
        <w:t>1304.</w:t>
      </w:r>
      <w:r>
        <w:rPr>
          <w:spacing w:val="40"/>
          <w:sz w:val="22"/>
        </w:rPr>
        <w:t> </w:t>
      </w:r>
      <w:r>
        <w:rPr>
          <w:sz w:val="22"/>
        </w:rPr>
        <w:t>Hogan K, Cui X, Giangiacomo A, Feola AJ. Postmenopausal hormone therapy was </w:t>
      </w:r>
      <w:r>
        <w:rPr>
          <w:sz w:val="22"/>
        </w:rPr>
        <w:t>associated with later age of onset among glaucoma cases. </w:t>
      </w:r>
      <w:r>
        <w:rPr>
          <w:i/>
          <w:sz w:val="22"/>
        </w:rPr>
        <w:t>Invest Ophthalmol Vis Sci</w:t>
      </w:r>
      <w:r>
        <w:rPr>
          <w:sz w:val="22"/>
        </w:rPr>
        <w:t>. 2024;65(10):31.</w:t>
      </w:r>
    </w:p>
    <w:p>
      <w:pPr>
        <w:spacing w:line="256" w:lineRule="auto" w:before="0"/>
        <w:ind w:left="718" w:right="101" w:hanging="619"/>
        <w:jc w:val="both"/>
        <w:rPr>
          <w:sz w:val="22"/>
        </w:rPr>
      </w:pPr>
      <w:r>
        <w:rPr>
          <w:sz w:val="22"/>
        </w:rPr>
        <w:t>1305.</w:t>
      </w:r>
      <w:r>
        <w:rPr>
          <w:spacing w:val="40"/>
          <w:sz w:val="22"/>
        </w:rPr>
        <w:t> </w:t>
      </w:r>
      <w:r>
        <w:rPr>
          <w:sz w:val="22"/>
        </w:rPr>
        <w:t>Patnaik</w:t>
      </w:r>
      <w:r>
        <w:rPr>
          <w:spacing w:val="35"/>
          <w:sz w:val="22"/>
        </w:rPr>
        <w:t> </w:t>
      </w:r>
      <w:r>
        <w:rPr>
          <w:sz w:val="22"/>
        </w:rPr>
        <w:t>JL,</w:t>
      </w:r>
      <w:r>
        <w:rPr>
          <w:spacing w:val="35"/>
          <w:sz w:val="22"/>
        </w:rPr>
        <w:t> </w:t>
      </w:r>
      <w:r>
        <w:rPr>
          <w:sz w:val="22"/>
        </w:rPr>
        <w:t>Lynch</w:t>
      </w:r>
      <w:r>
        <w:rPr>
          <w:spacing w:val="35"/>
          <w:sz w:val="22"/>
        </w:rPr>
        <w:t> </w:t>
      </w:r>
      <w:r>
        <w:rPr>
          <w:sz w:val="22"/>
        </w:rPr>
        <w:t>AM,</w:t>
      </w:r>
      <w:r>
        <w:rPr>
          <w:spacing w:val="35"/>
          <w:sz w:val="22"/>
        </w:rPr>
        <w:t> </w:t>
      </w:r>
      <w:r>
        <w:rPr>
          <w:sz w:val="22"/>
        </w:rPr>
        <w:t>Wagner</w:t>
      </w:r>
      <w:r>
        <w:rPr>
          <w:spacing w:val="35"/>
          <w:sz w:val="22"/>
        </w:rPr>
        <w:t> </w:t>
      </w:r>
      <w:r>
        <w:rPr>
          <w:sz w:val="22"/>
        </w:rPr>
        <w:t>BD,</w:t>
      </w:r>
      <w:r>
        <w:rPr>
          <w:spacing w:val="35"/>
          <w:sz w:val="22"/>
        </w:rPr>
        <w:t> </w:t>
      </w:r>
      <w:r>
        <w:rPr>
          <w:sz w:val="22"/>
        </w:rPr>
        <w:t>et</w:t>
      </w:r>
      <w:r>
        <w:rPr>
          <w:spacing w:val="35"/>
          <w:sz w:val="22"/>
        </w:rPr>
        <w:t> </w:t>
      </w:r>
      <w:r>
        <w:rPr>
          <w:sz w:val="22"/>
        </w:rPr>
        <w:t>al.</w:t>
      </w:r>
      <w:r>
        <w:rPr>
          <w:spacing w:val="35"/>
          <w:sz w:val="22"/>
        </w:rPr>
        <w:t> </w:t>
      </w:r>
      <w:r>
        <w:rPr>
          <w:sz w:val="22"/>
        </w:rPr>
        <w:t>Hormone</w:t>
      </w:r>
      <w:r>
        <w:rPr>
          <w:spacing w:val="37"/>
          <w:sz w:val="22"/>
        </w:rPr>
        <w:t> </w:t>
      </w:r>
      <w:r>
        <w:rPr>
          <w:sz w:val="22"/>
        </w:rPr>
        <w:t>therapy</w:t>
      </w:r>
      <w:r>
        <w:rPr>
          <w:spacing w:val="37"/>
          <w:sz w:val="22"/>
        </w:rPr>
        <w:t> </w:t>
      </w:r>
      <w:r>
        <w:rPr>
          <w:sz w:val="22"/>
        </w:rPr>
        <w:t>as</w:t>
      </w:r>
      <w:r>
        <w:rPr>
          <w:spacing w:val="37"/>
          <w:sz w:val="22"/>
        </w:rPr>
        <w:t> </w:t>
      </w:r>
      <w:r>
        <w:rPr>
          <w:sz w:val="22"/>
        </w:rPr>
        <w:t>a</w:t>
      </w:r>
      <w:r>
        <w:rPr>
          <w:spacing w:val="37"/>
          <w:sz w:val="22"/>
        </w:rPr>
        <w:t> </w:t>
      </w:r>
      <w:r>
        <w:rPr>
          <w:sz w:val="22"/>
        </w:rPr>
        <w:t>protective</w:t>
      </w:r>
      <w:r>
        <w:rPr>
          <w:spacing w:val="37"/>
          <w:sz w:val="22"/>
        </w:rPr>
        <w:t> </w:t>
      </w:r>
      <w:r>
        <w:rPr>
          <w:sz w:val="22"/>
        </w:rPr>
        <w:t>factor</w:t>
      </w:r>
      <w:r>
        <w:rPr>
          <w:spacing w:val="37"/>
          <w:sz w:val="22"/>
        </w:rPr>
        <w:t> </w:t>
      </w:r>
      <w:r>
        <w:rPr>
          <w:sz w:val="22"/>
        </w:rPr>
        <w:t>for</w:t>
      </w:r>
      <w:r>
        <w:rPr>
          <w:spacing w:val="37"/>
          <w:sz w:val="22"/>
        </w:rPr>
        <w:t> </w:t>
      </w:r>
      <w:r>
        <w:rPr>
          <w:sz w:val="22"/>
        </w:rPr>
        <w:t>age-related macular degeneration. </w:t>
      </w:r>
      <w:r>
        <w:rPr>
          <w:i/>
          <w:sz w:val="22"/>
        </w:rPr>
        <w:t>Ophthalmic Epidemiol</w:t>
      </w:r>
      <w:r>
        <w:rPr>
          <w:sz w:val="22"/>
        </w:rPr>
        <w:t>. 2020;27(2):148-154.</w:t>
      </w:r>
    </w:p>
    <w:p>
      <w:pPr>
        <w:spacing w:line="256" w:lineRule="auto" w:before="0"/>
        <w:ind w:left="718" w:right="97" w:hanging="619"/>
        <w:jc w:val="both"/>
        <w:rPr>
          <w:sz w:val="22"/>
        </w:rPr>
      </w:pPr>
      <w:r>
        <w:rPr>
          <w:sz w:val="22"/>
        </w:rPr>
        <w:t>1306.</w:t>
      </w:r>
      <w:r>
        <w:rPr>
          <w:spacing w:val="40"/>
          <w:sz w:val="22"/>
        </w:rPr>
        <w:t> </w:t>
      </w:r>
      <w:r>
        <w:rPr>
          <w:sz w:val="22"/>
        </w:rPr>
        <w:t>Pasqualie</w:t>
      </w:r>
      <w:r>
        <w:rPr>
          <w:spacing w:val="31"/>
          <w:sz w:val="22"/>
        </w:rPr>
        <w:t> </w:t>
      </w:r>
      <w:r>
        <w:rPr>
          <w:sz w:val="22"/>
        </w:rPr>
        <w:t>LR,</w:t>
      </w:r>
      <w:r>
        <w:rPr>
          <w:spacing w:val="31"/>
          <w:sz w:val="22"/>
        </w:rPr>
        <w:t> </w:t>
      </w:r>
      <w:r>
        <w:rPr>
          <w:sz w:val="22"/>
        </w:rPr>
        <w:t>Rosner</w:t>
      </w:r>
      <w:r>
        <w:rPr>
          <w:spacing w:val="31"/>
          <w:sz w:val="22"/>
        </w:rPr>
        <w:t> </w:t>
      </w:r>
      <w:r>
        <w:rPr>
          <w:sz w:val="22"/>
        </w:rPr>
        <w:t>BA,</w:t>
      </w:r>
      <w:r>
        <w:rPr>
          <w:spacing w:val="31"/>
          <w:sz w:val="22"/>
        </w:rPr>
        <w:t> </w:t>
      </w:r>
      <w:r>
        <w:rPr>
          <w:sz w:val="22"/>
        </w:rPr>
        <w:t>Hankinson</w:t>
      </w:r>
      <w:r>
        <w:rPr>
          <w:spacing w:val="31"/>
          <w:sz w:val="22"/>
        </w:rPr>
        <w:t> </w:t>
      </w:r>
      <w:r>
        <w:rPr>
          <w:sz w:val="22"/>
        </w:rPr>
        <w:t>SE,</w:t>
      </w:r>
      <w:r>
        <w:rPr>
          <w:spacing w:val="31"/>
          <w:sz w:val="22"/>
        </w:rPr>
        <w:t> </w:t>
      </w:r>
      <w:r>
        <w:rPr>
          <w:sz w:val="22"/>
        </w:rPr>
        <w:t>Kang</w:t>
      </w:r>
      <w:r>
        <w:rPr>
          <w:spacing w:val="31"/>
          <w:sz w:val="22"/>
        </w:rPr>
        <w:t> </w:t>
      </w:r>
      <w:r>
        <w:rPr>
          <w:sz w:val="22"/>
        </w:rPr>
        <w:t>JH.</w:t>
      </w:r>
      <w:r>
        <w:rPr>
          <w:spacing w:val="30"/>
          <w:sz w:val="22"/>
        </w:rPr>
        <w:t> </w:t>
      </w:r>
      <w:r>
        <w:rPr>
          <w:sz w:val="22"/>
        </w:rPr>
        <w:t>Attributes</w:t>
      </w:r>
      <w:r>
        <w:rPr>
          <w:spacing w:val="31"/>
          <w:sz w:val="22"/>
        </w:rPr>
        <w:t> </w:t>
      </w:r>
      <w:r>
        <w:rPr>
          <w:sz w:val="22"/>
        </w:rPr>
        <w:t>of</w:t>
      </w:r>
      <w:r>
        <w:rPr>
          <w:spacing w:val="31"/>
          <w:sz w:val="22"/>
        </w:rPr>
        <w:t> </w:t>
      </w:r>
      <w:r>
        <w:rPr>
          <w:sz w:val="22"/>
        </w:rPr>
        <w:t>female</w:t>
      </w:r>
      <w:r>
        <w:rPr>
          <w:spacing w:val="31"/>
          <w:sz w:val="22"/>
        </w:rPr>
        <w:t> </w:t>
      </w:r>
      <w:r>
        <w:rPr>
          <w:sz w:val="22"/>
        </w:rPr>
        <w:t>reproductive</w:t>
      </w:r>
      <w:r>
        <w:rPr>
          <w:spacing w:val="31"/>
          <w:sz w:val="22"/>
        </w:rPr>
        <w:t> </w:t>
      </w:r>
      <w:r>
        <w:rPr>
          <w:sz w:val="22"/>
        </w:rPr>
        <w:t>aging and their relation to primary open-angle glaucoma: a prospective study. </w:t>
      </w:r>
      <w:r>
        <w:rPr>
          <w:i/>
          <w:sz w:val="22"/>
        </w:rPr>
        <w:t>J Glaucoma</w:t>
      </w:r>
      <w:r>
        <w:rPr>
          <w:sz w:val="22"/>
        </w:rPr>
        <w:t>. </w:t>
      </w:r>
      <w:r>
        <w:rPr>
          <w:spacing w:val="-2"/>
          <w:sz w:val="22"/>
        </w:rPr>
        <w:t>2007;16:598.</w:t>
      </w:r>
    </w:p>
    <w:p>
      <w:pPr>
        <w:spacing w:line="256" w:lineRule="auto" w:before="0"/>
        <w:ind w:left="718" w:right="98" w:hanging="619"/>
        <w:jc w:val="both"/>
        <w:rPr>
          <w:sz w:val="22"/>
        </w:rPr>
      </w:pPr>
      <w:r>
        <w:rPr>
          <w:sz w:val="22"/>
        </w:rPr>
        <w:t>1307. Eye Disease Case-Control Study Group. Risk factors for neovascular age-related </w:t>
      </w:r>
      <w:r>
        <w:rPr>
          <w:sz w:val="22"/>
        </w:rPr>
        <w:t>macular degeneration. </w:t>
      </w:r>
      <w:r>
        <w:rPr>
          <w:i/>
          <w:sz w:val="22"/>
        </w:rPr>
        <w:t>Arch Ophthalmol</w:t>
      </w:r>
      <w:r>
        <w:rPr>
          <w:sz w:val="22"/>
        </w:rPr>
        <w:t>. 1992;110:1702.</w:t>
      </w:r>
    </w:p>
    <w:p>
      <w:pPr>
        <w:spacing w:line="256" w:lineRule="auto" w:before="0"/>
        <w:ind w:left="718" w:right="106" w:hanging="619"/>
        <w:jc w:val="both"/>
        <w:rPr>
          <w:sz w:val="22"/>
        </w:rPr>
      </w:pPr>
      <w:r>
        <w:rPr>
          <w:sz w:val="22"/>
        </w:rPr>
        <w:t>1308.</w:t>
      </w:r>
      <w:r>
        <w:rPr>
          <w:spacing w:val="40"/>
          <w:sz w:val="22"/>
        </w:rPr>
        <w:t> </w:t>
      </w:r>
      <w:r>
        <w:rPr>
          <w:sz w:val="22"/>
        </w:rPr>
        <w:t>Klein R, Klein BEK, Jensen SC, Mares-Perlman JA, Cruickshanks KF, Palta M. Age-related maculopathy in a multiracial United States population: the National Health and Nutrition Examination Survey III. </w:t>
      </w:r>
      <w:r>
        <w:rPr>
          <w:i/>
          <w:sz w:val="22"/>
        </w:rPr>
        <w:t>Ophthalmology</w:t>
      </w:r>
      <w:r>
        <w:rPr>
          <w:sz w:val="22"/>
        </w:rPr>
        <w:t>. 1999;106:1056.</w:t>
      </w:r>
    </w:p>
    <w:p>
      <w:pPr>
        <w:spacing w:line="256" w:lineRule="auto" w:before="0"/>
        <w:ind w:left="718" w:right="106" w:hanging="619"/>
        <w:jc w:val="both"/>
        <w:rPr>
          <w:sz w:val="22"/>
        </w:rPr>
      </w:pPr>
      <w:r>
        <w:rPr>
          <w:sz w:val="22"/>
        </w:rPr>
        <w:t>1309. Snow KK, Cote J, Yang W, Davis NJ, Seddon JM. Association between reproductive </w:t>
      </w:r>
      <w:r>
        <w:rPr>
          <w:sz w:val="22"/>
        </w:rPr>
        <w:t>and hormonal factors and age-related maculopathy in postmenopausal women. </w:t>
      </w:r>
      <w:r>
        <w:rPr>
          <w:i/>
          <w:sz w:val="22"/>
        </w:rPr>
        <w:t>Am J Ophthalmol</w:t>
      </w:r>
      <w:r>
        <w:rPr>
          <w:sz w:val="22"/>
        </w:rPr>
        <w:t>. </w:t>
      </w:r>
      <w:r>
        <w:rPr>
          <w:spacing w:val="-2"/>
          <w:sz w:val="22"/>
        </w:rPr>
        <w:t>2002;134:842.</w:t>
      </w:r>
    </w:p>
    <w:p>
      <w:pPr>
        <w:spacing w:line="256" w:lineRule="auto" w:before="0"/>
        <w:ind w:left="718" w:right="111" w:hanging="619"/>
        <w:jc w:val="both"/>
        <w:rPr>
          <w:sz w:val="22"/>
        </w:rPr>
      </w:pPr>
      <w:r>
        <w:rPr>
          <w:sz w:val="22"/>
        </w:rPr>
        <w:t>1310.</w:t>
      </w:r>
      <w:r>
        <w:rPr>
          <w:spacing w:val="40"/>
          <w:sz w:val="22"/>
        </w:rPr>
        <w:t> </w:t>
      </w:r>
      <w:r>
        <w:rPr>
          <w:sz w:val="22"/>
        </w:rPr>
        <w:t>Abramov</w:t>
      </w:r>
      <w:r>
        <w:rPr>
          <w:spacing w:val="31"/>
          <w:sz w:val="22"/>
        </w:rPr>
        <w:t> </w:t>
      </w:r>
      <w:r>
        <w:rPr>
          <w:sz w:val="22"/>
        </w:rPr>
        <w:t>Y,</w:t>
      </w:r>
      <w:r>
        <w:rPr>
          <w:spacing w:val="31"/>
          <w:sz w:val="22"/>
        </w:rPr>
        <w:t> </w:t>
      </w:r>
      <w:r>
        <w:rPr>
          <w:sz w:val="22"/>
        </w:rPr>
        <w:t>Borik</w:t>
      </w:r>
      <w:r>
        <w:rPr>
          <w:spacing w:val="31"/>
          <w:sz w:val="22"/>
        </w:rPr>
        <w:t> </w:t>
      </w:r>
      <w:r>
        <w:rPr>
          <w:sz w:val="22"/>
        </w:rPr>
        <w:t>S,</w:t>
      </w:r>
      <w:r>
        <w:rPr>
          <w:spacing w:val="31"/>
          <w:sz w:val="22"/>
        </w:rPr>
        <w:t> </w:t>
      </w:r>
      <w:r>
        <w:rPr>
          <w:sz w:val="22"/>
        </w:rPr>
        <w:t>Yahalom</w:t>
      </w:r>
      <w:r>
        <w:rPr>
          <w:spacing w:val="31"/>
          <w:sz w:val="22"/>
        </w:rPr>
        <w:t> </w:t>
      </w:r>
      <w:r>
        <w:rPr>
          <w:sz w:val="22"/>
        </w:rPr>
        <w:t>C,</w:t>
      </w:r>
      <w:r>
        <w:rPr>
          <w:spacing w:val="31"/>
          <w:sz w:val="22"/>
        </w:rPr>
        <w:t> </w:t>
      </w:r>
      <w:r>
        <w:rPr>
          <w:sz w:val="22"/>
        </w:rPr>
        <w:t>et</w:t>
      </w:r>
      <w:r>
        <w:rPr>
          <w:spacing w:val="31"/>
          <w:sz w:val="22"/>
        </w:rPr>
        <w:t> </w:t>
      </w:r>
      <w:r>
        <w:rPr>
          <w:sz w:val="22"/>
        </w:rPr>
        <w:t>al.</w:t>
      </w:r>
      <w:r>
        <w:rPr>
          <w:spacing w:val="31"/>
          <w:sz w:val="22"/>
        </w:rPr>
        <w:t> </w:t>
      </w:r>
      <w:r>
        <w:rPr>
          <w:sz w:val="22"/>
        </w:rPr>
        <w:t>The</w:t>
      </w:r>
      <w:r>
        <w:rPr>
          <w:spacing w:val="31"/>
          <w:sz w:val="22"/>
        </w:rPr>
        <w:t> </w:t>
      </w:r>
      <w:r>
        <w:rPr>
          <w:sz w:val="22"/>
        </w:rPr>
        <w:t>effect</w:t>
      </w:r>
      <w:r>
        <w:rPr>
          <w:spacing w:val="31"/>
          <w:sz w:val="22"/>
        </w:rPr>
        <w:t> </w:t>
      </w:r>
      <w:r>
        <w:rPr>
          <w:sz w:val="22"/>
        </w:rPr>
        <w:t>of</w:t>
      </w:r>
      <w:r>
        <w:rPr>
          <w:spacing w:val="31"/>
          <w:sz w:val="22"/>
        </w:rPr>
        <w:t> </w:t>
      </w:r>
      <w:r>
        <w:rPr>
          <w:sz w:val="22"/>
        </w:rPr>
        <w:t>hormone</w:t>
      </w:r>
      <w:r>
        <w:rPr>
          <w:spacing w:val="31"/>
          <w:sz w:val="22"/>
        </w:rPr>
        <w:t> </w:t>
      </w:r>
      <w:r>
        <w:rPr>
          <w:sz w:val="22"/>
        </w:rPr>
        <w:t>therapy</w:t>
      </w:r>
      <w:r>
        <w:rPr>
          <w:spacing w:val="31"/>
          <w:sz w:val="22"/>
        </w:rPr>
        <w:t> </w:t>
      </w:r>
      <w:r>
        <w:rPr>
          <w:sz w:val="22"/>
        </w:rPr>
        <w:t>on</w:t>
      </w:r>
      <w:r>
        <w:rPr>
          <w:spacing w:val="31"/>
          <w:sz w:val="22"/>
        </w:rPr>
        <w:t> </w:t>
      </w:r>
      <w:r>
        <w:rPr>
          <w:sz w:val="22"/>
        </w:rPr>
        <w:t>the</w:t>
      </w:r>
      <w:r>
        <w:rPr>
          <w:spacing w:val="31"/>
          <w:sz w:val="22"/>
        </w:rPr>
        <w:t> </w:t>
      </w:r>
      <w:r>
        <w:rPr>
          <w:sz w:val="22"/>
        </w:rPr>
        <w:t>risk</w:t>
      </w:r>
      <w:r>
        <w:rPr>
          <w:spacing w:val="31"/>
          <w:sz w:val="22"/>
        </w:rPr>
        <w:t> </w:t>
      </w:r>
      <w:r>
        <w:rPr>
          <w:sz w:val="22"/>
        </w:rPr>
        <w:t>for</w:t>
      </w:r>
      <w:r>
        <w:rPr>
          <w:spacing w:val="31"/>
          <w:sz w:val="22"/>
        </w:rPr>
        <w:t> </w:t>
      </w:r>
      <w:r>
        <w:rPr>
          <w:sz w:val="22"/>
        </w:rPr>
        <w:t>age-related maculopathy in postmenopausal women. </w:t>
      </w:r>
      <w:r>
        <w:rPr>
          <w:i/>
          <w:sz w:val="22"/>
        </w:rPr>
        <w:t>Menopause</w:t>
      </w:r>
      <w:r>
        <w:rPr>
          <w:sz w:val="22"/>
        </w:rPr>
        <w:t>. 2004;11:62.</w:t>
      </w:r>
    </w:p>
    <w:p>
      <w:pPr>
        <w:spacing w:line="256" w:lineRule="auto" w:before="0"/>
        <w:ind w:left="718" w:right="102" w:hanging="619"/>
        <w:jc w:val="both"/>
        <w:rPr>
          <w:sz w:val="22"/>
        </w:rPr>
      </w:pPr>
      <w:r>
        <w:rPr>
          <w:sz w:val="22"/>
        </w:rPr>
        <w:t>1311.</w:t>
      </w:r>
      <w:r>
        <w:rPr>
          <w:spacing w:val="40"/>
          <w:sz w:val="22"/>
        </w:rPr>
        <w:t> </w:t>
      </w:r>
      <w:r>
        <w:rPr>
          <w:sz w:val="22"/>
        </w:rPr>
        <w:t>Seitzman</w:t>
      </w:r>
      <w:r>
        <w:rPr>
          <w:spacing w:val="40"/>
          <w:sz w:val="22"/>
        </w:rPr>
        <w:t> </w:t>
      </w:r>
      <w:r>
        <w:rPr>
          <w:sz w:val="22"/>
        </w:rPr>
        <w:t>RL,</w:t>
      </w:r>
      <w:r>
        <w:rPr>
          <w:spacing w:val="40"/>
          <w:sz w:val="22"/>
        </w:rPr>
        <w:t> </w:t>
      </w:r>
      <w:r>
        <w:rPr>
          <w:sz w:val="22"/>
        </w:rPr>
        <w:t>Mangione</w:t>
      </w:r>
      <w:r>
        <w:rPr>
          <w:spacing w:val="40"/>
          <w:sz w:val="22"/>
        </w:rPr>
        <w:t> </w:t>
      </w:r>
      <w:r>
        <w:rPr>
          <w:sz w:val="22"/>
        </w:rPr>
        <w:t>C,</w:t>
      </w:r>
      <w:r>
        <w:rPr>
          <w:spacing w:val="40"/>
          <w:sz w:val="22"/>
        </w:rPr>
        <w:t> </w:t>
      </w:r>
      <w:r>
        <w:rPr>
          <w:sz w:val="22"/>
        </w:rPr>
        <w:t>Ensrud</w:t>
      </w:r>
      <w:r>
        <w:rPr>
          <w:spacing w:val="40"/>
          <w:sz w:val="22"/>
        </w:rPr>
        <w:t> </w:t>
      </w:r>
      <w:r>
        <w:rPr>
          <w:sz w:val="22"/>
        </w:rPr>
        <w:t>KE,</w:t>
      </w:r>
      <w:r>
        <w:rPr>
          <w:spacing w:val="40"/>
          <w:sz w:val="22"/>
        </w:rPr>
        <w:t> </w:t>
      </w:r>
      <w:r>
        <w:rPr>
          <w:sz w:val="22"/>
        </w:rPr>
        <w:t>et</w:t>
      </w:r>
      <w:r>
        <w:rPr>
          <w:spacing w:val="40"/>
          <w:sz w:val="22"/>
        </w:rPr>
        <w:t> </w:t>
      </w:r>
      <w:r>
        <w:rPr>
          <w:sz w:val="22"/>
        </w:rPr>
        <w:t>al.</w:t>
      </w:r>
      <w:r>
        <w:rPr>
          <w:spacing w:val="40"/>
          <w:sz w:val="22"/>
        </w:rPr>
        <w:t> </w:t>
      </w:r>
      <w:r>
        <w:rPr>
          <w:sz w:val="22"/>
        </w:rPr>
        <w:t>Postmenopausal</w:t>
      </w:r>
      <w:r>
        <w:rPr>
          <w:spacing w:val="40"/>
          <w:sz w:val="22"/>
        </w:rPr>
        <w:t> </w:t>
      </w:r>
      <w:r>
        <w:rPr>
          <w:sz w:val="22"/>
        </w:rPr>
        <w:t>hormone</w:t>
      </w:r>
      <w:r>
        <w:rPr>
          <w:spacing w:val="40"/>
          <w:sz w:val="22"/>
        </w:rPr>
        <w:t> </w:t>
      </w:r>
      <w:r>
        <w:rPr>
          <w:sz w:val="22"/>
        </w:rPr>
        <w:t>therapy</w:t>
      </w:r>
      <w:r>
        <w:rPr>
          <w:spacing w:val="40"/>
          <w:sz w:val="22"/>
        </w:rPr>
        <w:t> </w:t>
      </w:r>
      <w:r>
        <w:rPr>
          <w:sz w:val="22"/>
        </w:rPr>
        <w:t>and</w:t>
      </w:r>
      <w:r>
        <w:rPr>
          <w:spacing w:val="40"/>
          <w:sz w:val="22"/>
        </w:rPr>
        <w:t> </w:t>
      </w:r>
      <w:r>
        <w:rPr>
          <w:sz w:val="22"/>
        </w:rPr>
        <w:t>age-related maculopathy in older women. </w:t>
      </w:r>
      <w:r>
        <w:rPr>
          <w:i/>
          <w:sz w:val="22"/>
        </w:rPr>
        <w:t>Ophthalmic Epidemiol</w:t>
      </w:r>
      <w:r>
        <w:rPr>
          <w:sz w:val="22"/>
        </w:rPr>
        <w:t>. 2008;15:308.</w:t>
      </w:r>
    </w:p>
    <w:p>
      <w:pPr>
        <w:spacing w:after="0" w:line="256" w:lineRule="auto"/>
        <w:jc w:val="both"/>
        <w:rPr>
          <w:sz w:val="22"/>
        </w:rPr>
        <w:sectPr>
          <w:pgSz w:w="12240" w:h="15840"/>
          <w:pgMar w:top="1360" w:bottom="280" w:left="1440" w:right="1440"/>
        </w:sectPr>
      </w:pPr>
    </w:p>
    <w:p>
      <w:pPr>
        <w:spacing w:line="256" w:lineRule="auto" w:before="84"/>
        <w:ind w:left="718" w:right="100" w:hanging="619"/>
        <w:jc w:val="both"/>
        <w:rPr>
          <w:sz w:val="22"/>
        </w:rPr>
      </w:pPr>
      <w:r>
        <w:rPr>
          <w:sz w:val="22"/>
        </w:rPr>
        <w:t>1312.</w:t>
      </w:r>
      <w:r>
        <w:rPr>
          <w:spacing w:val="40"/>
          <w:sz w:val="22"/>
        </w:rPr>
        <w:t> </w:t>
      </w:r>
      <w:r>
        <w:rPr>
          <w:sz w:val="22"/>
        </w:rPr>
        <w:t>Clark</w:t>
      </w:r>
      <w:r>
        <w:rPr>
          <w:spacing w:val="40"/>
          <w:sz w:val="22"/>
        </w:rPr>
        <w:t> </w:t>
      </w:r>
      <w:r>
        <w:rPr>
          <w:sz w:val="22"/>
        </w:rPr>
        <w:t>K,</w:t>
      </w:r>
      <w:r>
        <w:rPr>
          <w:spacing w:val="40"/>
          <w:sz w:val="22"/>
        </w:rPr>
        <w:t> </w:t>
      </w:r>
      <w:r>
        <w:rPr>
          <w:sz w:val="22"/>
        </w:rPr>
        <w:t>Sowers</w:t>
      </w:r>
      <w:r>
        <w:rPr>
          <w:spacing w:val="40"/>
          <w:sz w:val="22"/>
        </w:rPr>
        <w:t> </w:t>
      </w:r>
      <w:r>
        <w:rPr>
          <w:sz w:val="22"/>
        </w:rPr>
        <w:t>MR,</w:t>
      </w:r>
      <w:r>
        <w:rPr>
          <w:spacing w:val="40"/>
          <w:sz w:val="22"/>
        </w:rPr>
        <w:t> </w:t>
      </w:r>
      <w:r>
        <w:rPr>
          <w:sz w:val="22"/>
        </w:rPr>
        <w:t>Wallace</w:t>
      </w:r>
      <w:r>
        <w:rPr>
          <w:spacing w:val="40"/>
          <w:sz w:val="22"/>
        </w:rPr>
        <w:t> </w:t>
      </w:r>
      <w:r>
        <w:rPr>
          <w:sz w:val="22"/>
        </w:rPr>
        <w:t>RB,</w:t>
      </w:r>
      <w:r>
        <w:rPr>
          <w:spacing w:val="40"/>
          <w:sz w:val="22"/>
        </w:rPr>
        <w:t> </w:t>
      </w:r>
      <w:r>
        <w:rPr>
          <w:sz w:val="22"/>
        </w:rPr>
        <w:t>Jannausch</w:t>
      </w:r>
      <w:r>
        <w:rPr>
          <w:spacing w:val="40"/>
          <w:sz w:val="22"/>
        </w:rPr>
        <w:t> </w:t>
      </w:r>
      <w:r>
        <w:rPr>
          <w:sz w:val="22"/>
        </w:rPr>
        <w:t>ML,</w:t>
      </w:r>
      <w:r>
        <w:rPr>
          <w:spacing w:val="40"/>
          <w:sz w:val="22"/>
        </w:rPr>
        <w:t> </w:t>
      </w:r>
      <w:r>
        <w:rPr>
          <w:sz w:val="22"/>
        </w:rPr>
        <w:t>Lemke</w:t>
      </w:r>
      <w:r>
        <w:rPr>
          <w:spacing w:val="40"/>
          <w:sz w:val="22"/>
        </w:rPr>
        <w:t> </w:t>
      </w:r>
      <w:r>
        <w:rPr>
          <w:sz w:val="22"/>
        </w:rPr>
        <w:t>J,</w:t>
      </w:r>
      <w:r>
        <w:rPr>
          <w:spacing w:val="40"/>
          <w:sz w:val="22"/>
        </w:rPr>
        <w:t> </w:t>
      </w:r>
      <w:r>
        <w:rPr>
          <w:sz w:val="22"/>
        </w:rPr>
        <w:t>Anderson</w:t>
      </w:r>
      <w:r>
        <w:rPr>
          <w:spacing w:val="40"/>
          <w:sz w:val="22"/>
        </w:rPr>
        <w:t> </w:t>
      </w:r>
      <w:r>
        <w:rPr>
          <w:sz w:val="22"/>
        </w:rPr>
        <w:t>CV.</w:t>
      </w:r>
      <w:r>
        <w:rPr>
          <w:spacing w:val="40"/>
          <w:sz w:val="22"/>
        </w:rPr>
        <w:t> </w:t>
      </w:r>
      <w:r>
        <w:rPr>
          <w:sz w:val="22"/>
        </w:rPr>
        <w:t>Age-</w:t>
      </w:r>
      <w:r>
        <w:rPr>
          <w:sz w:val="22"/>
        </w:rPr>
        <w:t>related hearing</w:t>
      </w:r>
      <w:r>
        <w:rPr>
          <w:spacing w:val="40"/>
          <w:sz w:val="22"/>
        </w:rPr>
        <w:t> </w:t>
      </w:r>
      <w:r>
        <w:rPr>
          <w:sz w:val="22"/>
        </w:rPr>
        <w:t>loss</w:t>
      </w:r>
      <w:r>
        <w:rPr>
          <w:spacing w:val="40"/>
          <w:sz w:val="22"/>
        </w:rPr>
        <w:t> </w:t>
      </w:r>
      <w:r>
        <w:rPr>
          <w:sz w:val="22"/>
        </w:rPr>
        <w:t>and</w:t>
      </w:r>
      <w:r>
        <w:rPr>
          <w:spacing w:val="40"/>
          <w:sz w:val="22"/>
        </w:rPr>
        <w:t> </w:t>
      </w:r>
      <w:r>
        <w:rPr>
          <w:sz w:val="22"/>
        </w:rPr>
        <w:t>bone</w:t>
      </w:r>
      <w:r>
        <w:rPr>
          <w:spacing w:val="40"/>
          <w:sz w:val="22"/>
        </w:rPr>
        <w:t> </w:t>
      </w:r>
      <w:r>
        <w:rPr>
          <w:sz w:val="22"/>
        </w:rPr>
        <w:t>mass</w:t>
      </w:r>
      <w:r>
        <w:rPr>
          <w:spacing w:val="40"/>
          <w:sz w:val="22"/>
        </w:rPr>
        <w:t> </w:t>
      </w:r>
      <w:r>
        <w:rPr>
          <w:sz w:val="22"/>
        </w:rPr>
        <w:t>in</w:t>
      </w:r>
      <w:r>
        <w:rPr>
          <w:spacing w:val="40"/>
          <w:sz w:val="22"/>
        </w:rPr>
        <w:t> </w:t>
      </w:r>
      <w:r>
        <w:rPr>
          <w:sz w:val="22"/>
        </w:rPr>
        <w:t>a</w:t>
      </w:r>
      <w:r>
        <w:rPr>
          <w:spacing w:val="40"/>
          <w:sz w:val="22"/>
        </w:rPr>
        <w:t> </w:t>
      </w:r>
      <w:r>
        <w:rPr>
          <w:sz w:val="22"/>
        </w:rPr>
        <w:t>population</w:t>
      </w:r>
      <w:r>
        <w:rPr>
          <w:spacing w:val="40"/>
          <w:sz w:val="22"/>
        </w:rPr>
        <w:t> </w:t>
      </w:r>
      <w:r>
        <w:rPr>
          <w:sz w:val="22"/>
        </w:rPr>
        <w:t>of</w:t>
      </w:r>
      <w:r>
        <w:rPr>
          <w:spacing w:val="40"/>
          <w:sz w:val="22"/>
        </w:rPr>
        <w:t> </w:t>
      </w:r>
      <w:r>
        <w:rPr>
          <w:sz w:val="22"/>
        </w:rPr>
        <w:t>rural</w:t>
      </w:r>
      <w:r>
        <w:rPr>
          <w:spacing w:val="40"/>
          <w:sz w:val="22"/>
        </w:rPr>
        <w:t> </w:t>
      </w:r>
      <w:r>
        <w:rPr>
          <w:sz w:val="22"/>
        </w:rPr>
        <w:t>women</w:t>
      </w:r>
      <w:r>
        <w:rPr>
          <w:spacing w:val="40"/>
          <w:sz w:val="22"/>
        </w:rPr>
        <w:t> </w:t>
      </w:r>
      <w:r>
        <w:rPr>
          <w:sz w:val="22"/>
        </w:rPr>
        <w:t>aged</w:t>
      </w:r>
      <w:r>
        <w:rPr>
          <w:spacing w:val="40"/>
          <w:sz w:val="22"/>
        </w:rPr>
        <w:t> </w:t>
      </w:r>
      <w:r>
        <w:rPr>
          <w:sz w:val="22"/>
        </w:rPr>
        <w:t>60</w:t>
      </w:r>
      <w:r>
        <w:rPr>
          <w:spacing w:val="40"/>
          <w:sz w:val="22"/>
        </w:rPr>
        <w:t> </w:t>
      </w:r>
      <w:r>
        <w:rPr>
          <w:sz w:val="22"/>
        </w:rPr>
        <w:t>to</w:t>
      </w:r>
      <w:r>
        <w:rPr>
          <w:spacing w:val="40"/>
          <w:sz w:val="22"/>
        </w:rPr>
        <w:t> </w:t>
      </w:r>
      <w:r>
        <w:rPr>
          <w:sz w:val="22"/>
        </w:rPr>
        <w:t>85</w:t>
      </w:r>
      <w:r>
        <w:rPr>
          <w:spacing w:val="40"/>
          <w:sz w:val="22"/>
        </w:rPr>
        <w:t> </w:t>
      </w:r>
      <w:r>
        <w:rPr>
          <w:sz w:val="22"/>
        </w:rPr>
        <w:t>years.</w:t>
      </w:r>
      <w:r>
        <w:rPr>
          <w:spacing w:val="40"/>
          <w:sz w:val="22"/>
        </w:rPr>
        <w:t> </w:t>
      </w:r>
      <w:r>
        <w:rPr>
          <w:i/>
          <w:sz w:val="22"/>
        </w:rPr>
        <w:t>Ann</w:t>
      </w:r>
      <w:r>
        <w:rPr>
          <w:i/>
          <w:sz w:val="22"/>
        </w:rPr>
        <w:t> Epidemiol</w:t>
      </w:r>
      <w:r>
        <w:rPr>
          <w:sz w:val="22"/>
        </w:rPr>
        <w:t>. 1995;5:8.</w:t>
      </w:r>
    </w:p>
    <w:p>
      <w:pPr>
        <w:spacing w:line="256" w:lineRule="auto" w:before="0"/>
        <w:ind w:left="718" w:right="101" w:hanging="619"/>
        <w:jc w:val="both"/>
        <w:rPr>
          <w:sz w:val="22"/>
        </w:rPr>
      </w:pPr>
      <w:r>
        <w:rPr>
          <w:sz w:val="22"/>
        </w:rPr>
        <w:t>1313.</w:t>
      </w:r>
      <w:r>
        <w:rPr>
          <w:spacing w:val="40"/>
          <w:sz w:val="22"/>
        </w:rPr>
        <w:t> </w:t>
      </w:r>
      <w:r>
        <w:rPr>
          <w:sz w:val="22"/>
        </w:rPr>
        <w:t>Collin RA, Kalay E, Tariq M, et al. Mutations of ESRRB encoding estrogen-related receptor</w:t>
      </w:r>
      <w:r>
        <w:rPr>
          <w:spacing w:val="40"/>
          <w:sz w:val="22"/>
        </w:rPr>
        <w:t> </w:t>
      </w:r>
      <w:r>
        <w:rPr>
          <w:sz w:val="22"/>
        </w:rPr>
        <w:t>beta</w:t>
      </w:r>
      <w:r>
        <w:rPr>
          <w:spacing w:val="40"/>
          <w:sz w:val="22"/>
        </w:rPr>
        <w:t> </w:t>
      </w:r>
      <w:r>
        <w:rPr>
          <w:sz w:val="22"/>
        </w:rPr>
        <w:t>cause</w:t>
      </w:r>
      <w:r>
        <w:rPr>
          <w:spacing w:val="40"/>
          <w:sz w:val="22"/>
        </w:rPr>
        <w:t> </w:t>
      </w:r>
      <w:r>
        <w:rPr>
          <w:sz w:val="22"/>
        </w:rPr>
        <w:t>autosomal-recessive</w:t>
      </w:r>
      <w:r>
        <w:rPr>
          <w:spacing w:val="40"/>
          <w:sz w:val="22"/>
        </w:rPr>
        <w:t> </w:t>
      </w:r>
      <w:r>
        <w:rPr>
          <w:sz w:val="22"/>
        </w:rPr>
        <w:t>nonsyndromic</w:t>
      </w:r>
      <w:r>
        <w:rPr>
          <w:spacing w:val="40"/>
          <w:sz w:val="22"/>
        </w:rPr>
        <w:t> </w:t>
      </w:r>
      <w:r>
        <w:rPr>
          <w:sz w:val="22"/>
        </w:rPr>
        <w:t>hearing</w:t>
      </w:r>
      <w:r>
        <w:rPr>
          <w:spacing w:val="40"/>
          <w:sz w:val="22"/>
        </w:rPr>
        <w:t> </w:t>
      </w:r>
      <w:r>
        <w:rPr>
          <w:sz w:val="22"/>
        </w:rPr>
        <w:t>impairment</w:t>
      </w:r>
      <w:r>
        <w:rPr>
          <w:spacing w:val="40"/>
          <w:sz w:val="22"/>
        </w:rPr>
        <w:t> </w:t>
      </w:r>
      <w:r>
        <w:rPr>
          <w:sz w:val="22"/>
        </w:rPr>
        <w:t>DFNB35.</w:t>
      </w:r>
      <w:r>
        <w:rPr>
          <w:spacing w:val="40"/>
          <w:sz w:val="22"/>
        </w:rPr>
        <w:t> </w:t>
      </w:r>
      <w:r>
        <w:rPr>
          <w:i/>
          <w:sz w:val="22"/>
        </w:rPr>
        <w:t>Am</w:t>
      </w:r>
      <w:r>
        <w:rPr>
          <w:i/>
          <w:spacing w:val="40"/>
          <w:sz w:val="22"/>
        </w:rPr>
        <w:t> </w:t>
      </w:r>
      <w:r>
        <w:rPr>
          <w:i/>
          <w:sz w:val="22"/>
        </w:rPr>
        <w:t>J</w:t>
      </w:r>
      <w:r>
        <w:rPr>
          <w:i/>
          <w:spacing w:val="40"/>
          <w:sz w:val="22"/>
        </w:rPr>
        <w:t> </w:t>
      </w:r>
      <w:r>
        <w:rPr>
          <w:i/>
          <w:sz w:val="22"/>
        </w:rPr>
        <w:t>Hum</w:t>
      </w:r>
      <w:r>
        <w:rPr>
          <w:i/>
          <w:sz w:val="22"/>
        </w:rPr>
        <w:t> Genet</w:t>
      </w:r>
      <w:r>
        <w:rPr>
          <w:sz w:val="22"/>
        </w:rPr>
        <w:t>. 2008;82:125.</w:t>
      </w:r>
    </w:p>
    <w:p>
      <w:pPr>
        <w:spacing w:line="256" w:lineRule="auto" w:before="0"/>
        <w:ind w:left="718" w:right="110" w:hanging="619"/>
        <w:jc w:val="both"/>
        <w:rPr>
          <w:sz w:val="22"/>
        </w:rPr>
      </w:pPr>
      <w:r>
        <w:rPr>
          <w:sz w:val="22"/>
        </w:rPr>
        <w:t>1314.</w:t>
      </w:r>
      <w:r>
        <w:rPr>
          <w:spacing w:val="40"/>
          <w:sz w:val="22"/>
        </w:rPr>
        <w:t> </w:t>
      </w:r>
      <w:r>
        <w:rPr>
          <w:sz w:val="22"/>
        </w:rPr>
        <w:t>Simonoska R, Stenberg AE, Duan M, et al. Inner ear pathology and loss of hearing in </w:t>
      </w:r>
      <w:r>
        <w:rPr>
          <w:sz w:val="22"/>
        </w:rPr>
        <w:t>estrogen receptor-beta deficient mice. </w:t>
      </w:r>
      <w:r>
        <w:rPr>
          <w:i/>
          <w:sz w:val="22"/>
        </w:rPr>
        <w:t>J Endocrinol</w:t>
      </w:r>
      <w:r>
        <w:rPr>
          <w:sz w:val="22"/>
        </w:rPr>
        <w:t>. 2009;201:397.</w:t>
      </w:r>
    </w:p>
    <w:p>
      <w:pPr>
        <w:spacing w:line="256" w:lineRule="auto" w:before="0"/>
        <w:ind w:left="718" w:right="111" w:hanging="619"/>
        <w:jc w:val="both"/>
        <w:rPr>
          <w:sz w:val="22"/>
        </w:rPr>
      </w:pPr>
      <w:r>
        <w:rPr>
          <w:sz w:val="22"/>
        </w:rPr>
        <w:t>1315.</w:t>
      </w:r>
      <w:r>
        <w:rPr>
          <w:spacing w:val="40"/>
          <w:sz w:val="22"/>
        </w:rPr>
        <w:t> </w:t>
      </w:r>
      <w:r>
        <w:rPr>
          <w:sz w:val="22"/>
        </w:rPr>
        <w:t>Kilicdag EB, Yavuz H, Bagis T, Tarim E, Erkan AN, Kazanci F. Effects of estrogen therapy on hearing in postmenopausal women. </w:t>
      </w:r>
      <w:r>
        <w:rPr>
          <w:i/>
          <w:sz w:val="22"/>
        </w:rPr>
        <w:t>Am J Obstet Gynecol</w:t>
      </w:r>
      <w:r>
        <w:rPr>
          <w:sz w:val="22"/>
        </w:rPr>
        <w:t>. 2004;190:77.</w:t>
      </w:r>
    </w:p>
    <w:p>
      <w:pPr>
        <w:spacing w:line="256" w:lineRule="auto" w:before="0"/>
        <w:ind w:left="718" w:right="106" w:hanging="619"/>
        <w:jc w:val="both"/>
        <w:rPr>
          <w:sz w:val="22"/>
        </w:rPr>
      </w:pPr>
      <w:r>
        <w:rPr>
          <w:sz w:val="22"/>
        </w:rPr>
        <w:t>1316. Guimaraes P, Frisina ST, Mapes F, Tadros SF, Frisina DR, Frisina RD. Progestin </w:t>
      </w:r>
      <w:r>
        <w:rPr>
          <w:sz w:val="22"/>
        </w:rPr>
        <w:t>negatively affects hearing in aged women. </w:t>
      </w:r>
      <w:r>
        <w:rPr>
          <w:i/>
          <w:sz w:val="22"/>
        </w:rPr>
        <w:t>Proc Natl Acad Sci U S A</w:t>
      </w:r>
      <w:r>
        <w:rPr>
          <w:sz w:val="22"/>
        </w:rPr>
        <w:t>. 2006;103:14246.</w:t>
      </w:r>
    </w:p>
    <w:p>
      <w:pPr>
        <w:spacing w:line="256" w:lineRule="auto" w:before="0"/>
        <w:ind w:left="718" w:right="100" w:hanging="619"/>
        <w:jc w:val="both"/>
        <w:rPr>
          <w:sz w:val="22"/>
        </w:rPr>
      </w:pPr>
      <w:r>
        <w:rPr>
          <w:sz w:val="22"/>
        </w:rPr>
        <w:t>1317.</w:t>
      </w:r>
      <w:r>
        <w:rPr>
          <w:spacing w:val="40"/>
          <w:sz w:val="22"/>
        </w:rPr>
        <w:t> </w:t>
      </w:r>
      <w:r>
        <w:rPr>
          <w:sz w:val="22"/>
        </w:rPr>
        <w:t>“The 2022 Hormone Therapy Position Statement of The North American Menopause Society” Advisory Panel. The 2022 hormone therapy position statement of The North American Menopause Society. </w:t>
      </w:r>
      <w:r>
        <w:rPr>
          <w:i/>
          <w:sz w:val="22"/>
        </w:rPr>
        <w:t>Menopause</w:t>
      </w:r>
      <w:r>
        <w:rPr>
          <w:sz w:val="22"/>
        </w:rPr>
        <w:t>. 2022;29(7):767-794.</w:t>
      </w:r>
    </w:p>
    <w:p>
      <w:pPr>
        <w:spacing w:line="256" w:lineRule="auto" w:before="0"/>
        <w:ind w:left="718" w:right="104" w:hanging="619"/>
        <w:jc w:val="both"/>
        <w:rPr>
          <w:sz w:val="22"/>
        </w:rPr>
      </w:pPr>
      <w:r>
        <w:rPr>
          <w:sz w:val="22"/>
        </w:rPr>
        <w:t>1318. Curhan SG, Eliassen AH, Eavey RD, Wang M, Lin BM, Curhan GC. Menopause and postmenopausal hormone therapy and risk of hearing loss. </w:t>
      </w:r>
      <w:r>
        <w:rPr>
          <w:i/>
          <w:sz w:val="22"/>
        </w:rPr>
        <w:t>Menopause</w:t>
      </w:r>
      <w:r>
        <w:rPr>
          <w:sz w:val="22"/>
        </w:rPr>
        <w:t>. 2017;24(9):1049.</w:t>
      </w:r>
    </w:p>
    <w:p>
      <w:pPr>
        <w:spacing w:line="256" w:lineRule="auto" w:before="0"/>
        <w:ind w:left="718" w:right="110" w:hanging="619"/>
        <w:jc w:val="both"/>
        <w:rPr>
          <w:sz w:val="22"/>
        </w:rPr>
      </w:pPr>
      <w:r>
        <w:rPr>
          <w:sz w:val="22"/>
        </w:rPr>
        <w:t>1319.</w:t>
      </w:r>
      <w:r>
        <w:rPr>
          <w:spacing w:val="40"/>
          <w:sz w:val="22"/>
        </w:rPr>
        <w:t> </w:t>
      </w:r>
      <w:r>
        <w:rPr>
          <w:sz w:val="22"/>
        </w:rPr>
        <w:t>Ness J, Aronow WS, Beck G. Menopausal symptoms after cessation of hormone </w:t>
      </w:r>
      <w:r>
        <w:rPr>
          <w:sz w:val="22"/>
        </w:rPr>
        <w:t>replacement therapy. </w:t>
      </w:r>
      <w:r>
        <w:rPr>
          <w:i/>
          <w:sz w:val="22"/>
        </w:rPr>
        <w:t>Maturitas</w:t>
      </w:r>
      <w:r>
        <w:rPr>
          <w:sz w:val="22"/>
        </w:rPr>
        <w:t>. 2006;53:356.</w:t>
      </w:r>
    </w:p>
    <w:p>
      <w:pPr>
        <w:spacing w:line="256" w:lineRule="auto" w:before="0"/>
        <w:ind w:left="718" w:right="100" w:hanging="619"/>
        <w:jc w:val="both"/>
        <w:rPr>
          <w:sz w:val="22"/>
        </w:rPr>
      </w:pPr>
      <w:r>
        <w:rPr>
          <w:sz w:val="22"/>
        </w:rPr>
        <w:t>1320. Lindh-Åstrand L, Brynhildsen J, Hoffman M, Hammar M. Vasomotor symptoms usually</w:t>
      </w:r>
      <w:r>
        <w:rPr>
          <w:spacing w:val="40"/>
          <w:sz w:val="22"/>
        </w:rPr>
        <w:t> </w:t>
      </w:r>
      <w:r>
        <w:rPr>
          <w:sz w:val="22"/>
        </w:rPr>
        <w:t>reappear after cessation of postmenopausal hormone therapy: a Swedish population-</w:t>
      </w:r>
      <w:r>
        <w:rPr>
          <w:sz w:val="22"/>
        </w:rPr>
        <w:t>based</w:t>
      </w:r>
      <w:r>
        <w:rPr>
          <w:spacing w:val="80"/>
          <w:sz w:val="22"/>
        </w:rPr>
        <w:t> </w:t>
      </w:r>
      <w:r>
        <w:rPr>
          <w:sz w:val="22"/>
        </w:rPr>
        <w:t>study. </w:t>
      </w:r>
      <w:r>
        <w:rPr>
          <w:i/>
          <w:sz w:val="22"/>
        </w:rPr>
        <w:t>Menopause</w:t>
      </w:r>
      <w:r>
        <w:rPr>
          <w:sz w:val="22"/>
        </w:rPr>
        <w:t>. 2009;16:1213.</w:t>
      </w:r>
    </w:p>
    <w:p>
      <w:pPr>
        <w:spacing w:line="256" w:lineRule="auto" w:before="0"/>
        <w:ind w:left="718" w:right="106" w:hanging="619"/>
        <w:jc w:val="both"/>
        <w:rPr>
          <w:sz w:val="22"/>
        </w:rPr>
      </w:pPr>
      <w:r>
        <w:rPr>
          <w:sz w:val="22"/>
        </w:rPr>
        <w:t>1321. Haimov-Kochman R, Barak-Glantz E, Arbel R, et al. Gradual discontinuation of hormone</w:t>
      </w:r>
      <w:r>
        <w:rPr>
          <w:spacing w:val="40"/>
          <w:sz w:val="22"/>
        </w:rPr>
        <w:t> </w:t>
      </w:r>
      <w:r>
        <w:rPr>
          <w:sz w:val="22"/>
        </w:rPr>
        <w:t>therapy does not prevent the reappearance of climacteric symptoms: a randomized prospective study. </w:t>
      </w:r>
      <w:r>
        <w:rPr>
          <w:i/>
          <w:sz w:val="22"/>
        </w:rPr>
        <w:t>Menopause</w:t>
      </w:r>
      <w:r>
        <w:rPr>
          <w:sz w:val="22"/>
        </w:rPr>
        <w:t>. 2006;13:370.</w:t>
      </w:r>
    </w:p>
    <w:p>
      <w:pPr>
        <w:spacing w:line="256" w:lineRule="auto" w:before="0"/>
        <w:ind w:left="718" w:right="99" w:hanging="619"/>
        <w:jc w:val="both"/>
        <w:rPr>
          <w:sz w:val="22"/>
        </w:rPr>
      </w:pPr>
      <w:r>
        <w:rPr>
          <w:sz w:val="22"/>
        </w:rPr>
        <w:t>1322. Asian E, Bagis T, Kilicdag EB, Tarim E, Erkanli S, Kuscu E. How best to </w:t>
      </w:r>
      <w:r>
        <w:rPr>
          <w:sz w:val="22"/>
        </w:rPr>
        <w:t>discontinue postmenopausal hormone therapy: immediate or tapered? </w:t>
      </w:r>
      <w:r>
        <w:rPr>
          <w:i/>
          <w:sz w:val="22"/>
        </w:rPr>
        <w:t>Maturitas</w:t>
      </w:r>
      <w:r>
        <w:rPr>
          <w:sz w:val="22"/>
        </w:rPr>
        <w:t>. 2007;56:78.</w:t>
      </w:r>
    </w:p>
    <w:p>
      <w:pPr>
        <w:spacing w:line="256" w:lineRule="auto" w:before="0"/>
        <w:ind w:left="718" w:right="104" w:hanging="619"/>
        <w:jc w:val="both"/>
        <w:rPr>
          <w:sz w:val="22"/>
        </w:rPr>
      </w:pPr>
      <w:r>
        <w:rPr>
          <w:sz w:val="22"/>
        </w:rPr>
        <w:t>1323.</w:t>
      </w:r>
      <w:r>
        <w:rPr>
          <w:spacing w:val="40"/>
          <w:sz w:val="22"/>
        </w:rPr>
        <w:t> </w:t>
      </w:r>
      <w:r>
        <w:rPr>
          <w:sz w:val="22"/>
        </w:rPr>
        <w:t>Lindh-Åstrand L, Bixo M, Hirschberg AL, Sundström-Poromaa I, Hammar M. A randomized controlled</w:t>
      </w:r>
      <w:r>
        <w:rPr>
          <w:spacing w:val="40"/>
          <w:sz w:val="22"/>
        </w:rPr>
        <w:t> </w:t>
      </w:r>
      <w:r>
        <w:rPr>
          <w:sz w:val="22"/>
        </w:rPr>
        <w:t>study</w:t>
      </w:r>
      <w:r>
        <w:rPr>
          <w:spacing w:val="40"/>
          <w:sz w:val="22"/>
        </w:rPr>
        <w:t> </w:t>
      </w:r>
      <w:r>
        <w:rPr>
          <w:sz w:val="22"/>
        </w:rPr>
        <w:t>of</w:t>
      </w:r>
      <w:r>
        <w:rPr>
          <w:spacing w:val="40"/>
          <w:sz w:val="22"/>
        </w:rPr>
        <w:t> </w:t>
      </w:r>
      <w:r>
        <w:rPr>
          <w:sz w:val="22"/>
        </w:rPr>
        <w:t>taper-down</w:t>
      </w:r>
      <w:r>
        <w:rPr>
          <w:spacing w:val="40"/>
          <w:sz w:val="22"/>
        </w:rPr>
        <w:t> </w:t>
      </w:r>
      <w:r>
        <w:rPr>
          <w:sz w:val="22"/>
        </w:rPr>
        <w:t>or</w:t>
      </w:r>
      <w:r>
        <w:rPr>
          <w:spacing w:val="40"/>
          <w:sz w:val="22"/>
        </w:rPr>
        <w:t> </w:t>
      </w:r>
      <w:r>
        <w:rPr>
          <w:sz w:val="22"/>
        </w:rPr>
        <w:t>abrupt</w:t>
      </w:r>
      <w:r>
        <w:rPr>
          <w:spacing w:val="40"/>
          <w:sz w:val="22"/>
        </w:rPr>
        <w:t> </w:t>
      </w:r>
      <w:r>
        <w:rPr>
          <w:sz w:val="22"/>
        </w:rPr>
        <w:t>discontinuation</w:t>
      </w:r>
      <w:r>
        <w:rPr>
          <w:spacing w:val="40"/>
          <w:sz w:val="22"/>
        </w:rPr>
        <w:t> </w:t>
      </w:r>
      <w:r>
        <w:rPr>
          <w:sz w:val="22"/>
        </w:rPr>
        <w:t>of</w:t>
      </w:r>
      <w:r>
        <w:rPr>
          <w:spacing w:val="40"/>
          <w:sz w:val="22"/>
        </w:rPr>
        <w:t> </w:t>
      </w:r>
      <w:r>
        <w:rPr>
          <w:sz w:val="22"/>
        </w:rPr>
        <w:t>hormone</w:t>
      </w:r>
      <w:r>
        <w:rPr>
          <w:spacing w:val="40"/>
          <w:sz w:val="22"/>
        </w:rPr>
        <w:t> </w:t>
      </w:r>
      <w:r>
        <w:rPr>
          <w:sz w:val="22"/>
        </w:rPr>
        <w:t>therapy</w:t>
      </w:r>
      <w:r>
        <w:rPr>
          <w:spacing w:val="40"/>
          <w:sz w:val="22"/>
        </w:rPr>
        <w:t> </w:t>
      </w:r>
      <w:r>
        <w:rPr>
          <w:sz w:val="22"/>
        </w:rPr>
        <w:t>in</w:t>
      </w:r>
      <w:r>
        <w:rPr>
          <w:spacing w:val="40"/>
          <w:sz w:val="22"/>
        </w:rPr>
        <w:t> </w:t>
      </w:r>
      <w:r>
        <w:rPr>
          <w:sz w:val="22"/>
        </w:rPr>
        <w:t>women treated for vasomotor symptoms. </w:t>
      </w:r>
      <w:r>
        <w:rPr>
          <w:i/>
          <w:sz w:val="22"/>
        </w:rPr>
        <w:t>Menopause</w:t>
      </w:r>
      <w:r>
        <w:rPr>
          <w:sz w:val="22"/>
        </w:rPr>
        <w:t>. 2010;17:72.</w:t>
      </w:r>
    </w:p>
    <w:p>
      <w:pPr>
        <w:spacing w:line="256" w:lineRule="auto" w:before="0"/>
        <w:ind w:left="718" w:right="99" w:hanging="619"/>
        <w:jc w:val="both"/>
        <w:rPr>
          <w:sz w:val="22"/>
        </w:rPr>
      </w:pPr>
      <w:r>
        <w:rPr>
          <w:sz w:val="22"/>
        </w:rPr>
        <w:t>1324.</w:t>
      </w:r>
      <w:r>
        <w:rPr>
          <w:spacing w:val="40"/>
          <w:sz w:val="22"/>
        </w:rPr>
        <w:t> </w:t>
      </w:r>
      <w:r>
        <w:rPr>
          <w:sz w:val="22"/>
        </w:rPr>
        <w:t>Cunha</w:t>
      </w:r>
      <w:r>
        <w:rPr>
          <w:spacing w:val="38"/>
          <w:sz w:val="22"/>
        </w:rPr>
        <w:t> </w:t>
      </w:r>
      <w:r>
        <w:rPr>
          <w:sz w:val="22"/>
        </w:rPr>
        <w:t>EP,</w:t>
      </w:r>
      <w:r>
        <w:rPr>
          <w:spacing w:val="38"/>
          <w:sz w:val="22"/>
        </w:rPr>
        <w:t> </w:t>
      </w:r>
      <w:r>
        <w:rPr>
          <w:sz w:val="22"/>
        </w:rPr>
        <w:t>Azevedo</w:t>
      </w:r>
      <w:r>
        <w:rPr>
          <w:spacing w:val="38"/>
          <w:sz w:val="22"/>
        </w:rPr>
        <w:t> </w:t>
      </w:r>
      <w:r>
        <w:rPr>
          <w:sz w:val="22"/>
        </w:rPr>
        <w:t>LH,</w:t>
      </w:r>
      <w:r>
        <w:rPr>
          <w:spacing w:val="38"/>
          <w:sz w:val="22"/>
        </w:rPr>
        <w:t> </w:t>
      </w:r>
      <w:r>
        <w:rPr>
          <w:sz w:val="22"/>
        </w:rPr>
        <w:t>Pompei</w:t>
      </w:r>
      <w:r>
        <w:rPr>
          <w:spacing w:val="38"/>
          <w:sz w:val="22"/>
        </w:rPr>
        <w:t> </w:t>
      </w:r>
      <w:r>
        <w:rPr>
          <w:sz w:val="22"/>
        </w:rPr>
        <w:t>LM,</w:t>
      </w:r>
      <w:r>
        <w:rPr>
          <w:spacing w:val="38"/>
          <w:sz w:val="22"/>
        </w:rPr>
        <w:t> </w:t>
      </w:r>
      <w:r>
        <w:rPr>
          <w:sz w:val="22"/>
        </w:rPr>
        <w:t>et</w:t>
      </w:r>
      <w:r>
        <w:rPr>
          <w:spacing w:val="38"/>
          <w:sz w:val="22"/>
        </w:rPr>
        <w:t> </w:t>
      </w:r>
      <w:r>
        <w:rPr>
          <w:sz w:val="22"/>
        </w:rPr>
        <w:t>al.</w:t>
      </w:r>
      <w:r>
        <w:rPr>
          <w:spacing w:val="38"/>
          <w:sz w:val="22"/>
        </w:rPr>
        <w:t> </w:t>
      </w:r>
      <w:r>
        <w:rPr>
          <w:sz w:val="22"/>
        </w:rPr>
        <w:t>Effect</w:t>
      </w:r>
      <w:r>
        <w:rPr>
          <w:spacing w:val="36"/>
          <w:sz w:val="22"/>
        </w:rPr>
        <w:t> </w:t>
      </w:r>
      <w:r>
        <w:rPr>
          <w:sz w:val="22"/>
        </w:rPr>
        <w:t>of</w:t>
      </w:r>
      <w:r>
        <w:rPr>
          <w:spacing w:val="36"/>
          <w:sz w:val="22"/>
        </w:rPr>
        <w:t> </w:t>
      </w:r>
      <w:r>
        <w:rPr>
          <w:sz w:val="22"/>
        </w:rPr>
        <w:t>abrupt</w:t>
      </w:r>
      <w:r>
        <w:rPr>
          <w:spacing w:val="36"/>
          <w:sz w:val="22"/>
        </w:rPr>
        <w:t> </w:t>
      </w:r>
      <w:r>
        <w:rPr>
          <w:sz w:val="22"/>
        </w:rPr>
        <w:t>discontinuation</w:t>
      </w:r>
      <w:r>
        <w:rPr>
          <w:spacing w:val="36"/>
          <w:sz w:val="22"/>
        </w:rPr>
        <w:t> </w:t>
      </w:r>
      <w:r>
        <w:rPr>
          <w:sz w:val="22"/>
        </w:rPr>
        <w:t>versus</w:t>
      </w:r>
      <w:r>
        <w:rPr>
          <w:spacing w:val="36"/>
          <w:sz w:val="22"/>
        </w:rPr>
        <w:t> </w:t>
      </w:r>
      <w:r>
        <w:rPr>
          <w:sz w:val="22"/>
        </w:rPr>
        <w:t>gradual dose reduction of postmenopausal hormone therapy on hot flushes. </w:t>
      </w:r>
      <w:r>
        <w:rPr>
          <w:i/>
          <w:sz w:val="22"/>
        </w:rPr>
        <w:t>Climacteric</w:t>
      </w:r>
      <w:r>
        <w:rPr>
          <w:sz w:val="22"/>
        </w:rPr>
        <w:t>.</w:t>
      </w:r>
      <w:r>
        <w:rPr>
          <w:spacing w:val="80"/>
          <w:w w:val="150"/>
          <w:sz w:val="22"/>
        </w:rPr>
        <w:t> </w:t>
      </w:r>
      <w:r>
        <w:rPr>
          <w:spacing w:val="-2"/>
          <w:sz w:val="22"/>
        </w:rPr>
        <w:t>2010;13(4):362.</w:t>
      </w:r>
    </w:p>
    <w:p>
      <w:pPr>
        <w:spacing w:line="256" w:lineRule="auto" w:before="0"/>
        <w:ind w:left="718" w:right="112" w:hanging="619"/>
        <w:jc w:val="both"/>
        <w:rPr>
          <w:sz w:val="22"/>
        </w:rPr>
      </w:pPr>
      <w:r>
        <w:rPr>
          <w:sz w:val="22"/>
        </w:rPr>
        <w:t>1325.</w:t>
      </w:r>
      <w:r>
        <w:rPr>
          <w:spacing w:val="40"/>
          <w:sz w:val="22"/>
        </w:rPr>
        <w:t> </w:t>
      </w:r>
      <w:r>
        <w:rPr>
          <w:sz w:val="22"/>
        </w:rPr>
        <w:t>Quigley MET, Martin PL, Burnier AM, Brooks P. Estrogen therapy arrests bone loss in </w:t>
      </w:r>
      <w:r>
        <w:rPr>
          <w:sz w:val="22"/>
        </w:rPr>
        <w:t>elderly women. </w:t>
      </w:r>
      <w:r>
        <w:rPr>
          <w:i/>
          <w:sz w:val="22"/>
        </w:rPr>
        <w:t>Am J Obstet Gynecol</w:t>
      </w:r>
      <w:r>
        <w:rPr>
          <w:sz w:val="22"/>
        </w:rPr>
        <w:t>. 1987;156:1516.</w:t>
      </w:r>
    </w:p>
    <w:p>
      <w:pPr>
        <w:spacing w:line="256" w:lineRule="auto" w:before="0"/>
        <w:ind w:left="718" w:right="104" w:hanging="619"/>
        <w:jc w:val="both"/>
        <w:rPr>
          <w:sz w:val="22"/>
        </w:rPr>
      </w:pPr>
      <w:r>
        <w:rPr>
          <w:sz w:val="22"/>
        </w:rPr>
        <w:t>1326. Cauley</w:t>
      </w:r>
      <w:r>
        <w:rPr>
          <w:spacing w:val="40"/>
          <w:sz w:val="22"/>
        </w:rPr>
        <w:t> </w:t>
      </w:r>
      <w:r>
        <w:rPr>
          <w:sz w:val="22"/>
        </w:rPr>
        <w:t>JA,</w:t>
      </w:r>
      <w:r>
        <w:rPr>
          <w:spacing w:val="40"/>
          <w:sz w:val="22"/>
        </w:rPr>
        <w:t> </w:t>
      </w:r>
      <w:r>
        <w:rPr>
          <w:sz w:val="22"/>
        </w:rPr>
        <w:t>Seeley</w:t>
      </w:r>
      <w:r>
        <w:rPr>
          <w:spacing w:val="40"/>
          <w:sz w:val="22"/>
        </w:rPr>
        <w:t> </w:t>
      </w:r>
      <w:r>
        <w:rPr>
          <w:sz w:val="22"/>
        </w:rPr>
        <w:t>DG,</w:t>
      </w:r>
      <w:r>
        <w:rPr>
          <w:spacing w:val="40"/>
          <w:sz w:val="22"/>
        </w:rPr>
        <w:t> </w:t>
      </w:r>
      <w:r>
        <w:rPr>
          <w:sz w:val="22"/>
        </w:rPr>
        <w:t>Enbsrud</w:t>
      </w:r>
      <w:r>
        <w:rPr>
          <w:spacing w:val="40"/>
          <w:sz w:val="22"/>
        </w:rPr>
        <w:t> </w:t>
      </w:r>
      <w:r>
        <w:rPr>
          <w:sz w:val="22"/>
        </w:rPr>
        <w:t>K,</w:t>
      </w:r>
      <w:r>
        <w:rPr>
          <w:spacing w:val="40"/>
          <w:sz w:val="22"/>
        </w:rPr>
        <w:t> </w:t>
      </w:r>
      <w:r>
        <w:rPr>
          <w:sz w:val="22"/>
        </w:rPr>
        <w:t>Ettinger</w:t>
      </w:r>
      <w:r>
        <w:rPr>
          <w:spacing w:val="40"/>
          <w:sz w:val="22"/>
        </w:rPr>
        <w:t> </w:t>
      </w:r>
      <w:r>
        <w:rPr>
          <w:sz w:val="22"/>
        </w:rPr>
        <w:t>B,</w:t>
      </w:r>
      <w:r>
        <w:rPr>
          <w:spacing w:val="40"/>
          <w:sz w:val="22"/>
        </w:rPr>
        <w:t> </w:t>
      </w:r>
      <w:r>
        <w:rPr>
          <w:sz w:val="22"/>
        </w:rPr>
        <w:t>Black</w:t>
      </w:r>
      <w:r>
        <w:rPr>
          <w:spacing w:val="40"/>
          <w:sz w:val="22"/>
        </w:rPr>
        <w:t> </w:t>
      </w:r>
      <w:r>
        <w:rPr>
          <w:sz w:val="22"/>
        </w:rPr>
        <w:t>D,</w:t>
      </w:r>
      <w:r>
        <w:rPr>
          <w:spacing w:val="40"/>
          <w:sz w:val="22"/>
        </w:rPr>
        <w:t> </w:t>
      </w:r>
      <w:r>
        <w:rPr>
          <w:sz w:val="22"/>
        </w:rPr>
        <w:t>Cummings</w:t>
      </w:r>
      <w:r>
        <w:rPr>
          <w:spacing w:val="40"/>
          <w:sz w:val="22"/>
        </w:rPr>
        <w:t> </w:t>
      </w:r>
      <w:r>
        <w:rPr>
          <w:sz w:val="22"/>
        </w:rPr>
        <w:t>SR;</w:t>
      </w:r>
      <w:r>
        <w:rPr>
          <w:spacing w:val="40"/>
          <w:sz w:val="22"/>
        </w:rPr>
        <w:t> </w:t>
      </w:r>
      <w:r>
        <w:rPr>
          <w:sz w:val="22"/>
        </w:rPr>
        <w:t>Study</w:t>
      </w:r>
      <w:r>
        <w:rPr>
          <w:spacing w:val="40"/>
          <w:sz w:val="22"/>
        </w:rPr>
        <w:t> </w:t>
      </w:r>
      <w:r>
        <w:rPr>
          <w:sz w:val="22"/>
        </w:rPr>
        <w:t>of Osteoporotic Fractures Research Group. Estrogen replacement therapy and fractures in </w:t>
      </w:r>
      <w:r>
        <w:rPr>
          <w:sz w:val="22"/>
        </w:rPr>
        <w:t>older women. </w:t>
      </w:r>
      <w:r>
        <w:rPr>
          <w:i/>
          <w:sz w:val="22"/>
        </w:rPr>
        <w:t>Ann Intern Med</w:t>
      </w:r>
      <w:r>
        <w:rPr>
          <w:sz w:val="22"/>
        </w:rPr>
        <w:t>. 1995;122:9.</w:t>
      </w:r>
    </w:p>
    <w:p>
      <w:pPr>
        <w:spacing w:line="256" w:lineRule="auto" w:before="0"/>
        <w:ind w:left="718" w:right="105" w:hanging="619"/>
        <w:jc w:val="both"/>
        <w:rPr>
          <w:sz w:val="22"/>
        </w:rPr>
      </w:pPr>
      <w:r>
        <w:rPr>
          <w:sz w:val="22"/>
        </w:rPr>
        <w:t>1327.</w:t>
      </w:r>
      <w:r>
        <w:rPr>
          <w:spacing w:val="40"/>
          <w:sz w:val="22"/>
        </w:rPr>
        <w:t> </w:t>
      </w:r>
      <w:r>
        <w:rPr>
          <w:sz w:val="22"/>
        </w:rPr>
        <w:t>Schneider</w:t>
      </w:r>
      <w:r>
        <w:rPr>
          <w:spacing w:val="40"/>
          <w:sz w:val="22"/>
        </w:rPr>
        <w:t> </w:t>
      </w:r>
      <w:r>
        <w:rPr>
          <w:sz w:val="22"/>
        </w:rPr>
        <w:t>DL,</w:t>
      </w:r>
      <w:r>
        <w:rPr>
          <w:spacing w:val="40"/>
          <w:sz w:val="22"/>
        </w:rPr>
        <w:t> </w:t>
      </w:r>
      <w:r>
        <w:rPr>
          <w:sz w:val="22"/>
        </w:rPr>
        <w:t>Barrett-Connor</w:t>
      </w:r>
      <w:r>
        <w:rPr>
          <w:spacing w:val="40"/>
          <w:sz w:val="22"/>
        </w:rPr>
        <w:t> </w:t>
      </w:r>
      <w:r>
        <w:rPr>
          <w:sz w:val="22"/>
        </w:rPr>
        <w:t>EL,</w:t>
      </w:r>
      <w:r>
        <w:rPr>
          <w:spacing w:val="40"/>
          <w:sz w:val="22"/>
        </w:rPr>
        <w:t> </w:t>
      </w:r>
      <w:r>
        <w:rPr>
          <w:sz w:val="22"/>
        </w:rPr>
        <w:t>Morton</w:t>
      </w:r>
      <w:r>
        <w:rPr>
          <w:spacing w:val="40"/>
          <w:sz w:val="22"/>
        </w:rPr>
        <w:t> </w:t>
      </w:r>
      <w:r>
        <w:rPr>
          <w:sz w:val="22"/>
        </w:rPr>
        <w:t>DJ.</w:t>
      </w:r>
      <w:r>
        <w:rPr>
          <w:spacing w:val="40"/>
          <w:sz w:val="22"/>
        </w:rPr>
        <w:t> </w:t>
      </w:r>
      <w:r>
        <w:rPr>
          <w:sz w:val="22"/>
        </w:rPr>
        <w:t>Timing</w:t>
      </w:r>
      <w:r>
        <w:rPr>
          <w:spacing w:val="40"/>
          <w:sz w:val="22"/>
        </w:rPr>
        <w:t> </w:t>
      </w:r>
      <w:r>
        <w:rPr>
          <w:sz w:val="22"/>
        </w:rPr>
        <w:t>of</w:t>
      </w:r>
      <w:r>
        <w:rPr>
          <w:spacing w:val="40"/>
          <w:sz w:val="22"/>
        </w:rPr>
        <w:t> </w:t>
      </w:r>
      <w:r>
        <w:rPr>
          <w:sz w:val="22"/>
        </w:rPr>
        <w:t>postmenopausal</w:t>
      </w:r>
      <w:r>
        <w:rPr>
          <w:spacing w:val="40"/>
          <w:sz w:val="22"/>
        </w:rPr>
        <w:t> </w:t>
      </w:r>
      <w:r>
        <w:rPr>
          <w:sz w:val="22"/>
        </w:rPr>
        <w:t>estrogen</w:t>
      </w:r>
      <w:r>
        <w:rPr>
          <w:spacing w:val="40"/>
          <w:sz w:val="22"/>
        </w:rPr>
        <w:t> </w:t>
      </w:r>
      <w:r>
        <w:rPr>
          <w:sz w:val="22"/>
        </w:rPr>
        <w:t>for optimal bone mineral density: the Rancho Bernardo Study. </w:t>
      </w:r>
      <w:r>
        <w:rPr>
          <w:i/>
          <w:sz w:val="22"/>
        </w:rPr>
        <w:t>JAMA</w:t>
      </w:r>
      <w:r>
        <w:rPr>
          <w:sz w:val="22"/>
        </w:rPr>
        <w:t>. 1997;277:543.</w:t>
      </w:r>
    </w:p>
    <w:p>
      <w:pPr>
        <w:spacing w:line="256" w:lineRule="auto" w:before="0"/>
        <w:ind w:left="718" w:right="109" w:hanging="619"/>
        <w:jc w:val="both"/>
        <w:rPr>
          <w:sz w:val="22"/>
        </w:rPr>
      </w:pPr>
      <w:r>
        <w:rPr>
          <w:sz w:val="22"/>
        </w:rPr>
        <w:t>1328.</w:t>
      </w:r>
      <w:r>
        <w:rPr>
          <w:spacing w:val="40"/>
          <w:sz w:val="22"/>
        </w:rPr>
        <w:t> </w:t>
      </w:r>
      <w:r>
        <w:rPr>
          <w:sz w:val="22"/>
        </w:rPr>
        <w:t>U.S. Preventive Services Task Force. Hormone therapy for the primary prevention of </w:t>
      </w:r>
      <w:r>
        <w:rPr>
          <w:sz w:val="22"/>
        </w:rPr>
        <w:t>chronic conditions in postmenopausal women: U.S. Preventive Services Task Force recommendation statement. </w:t>
      </w:r>
      <w:r>
        <w:rPr>
          <w:i/>
          <w:sz w:val="22"/>
        </w:rPr>
        <w:t>JAMA</w:t>
      </w:r>
      <w:r>
        <w:rPr>
          <w:sz w:val="22"/>
        </w:rPr>
        <w:t>. 2017;318(22).</w:t>
      </w:r>
    </w:p>
    <w:p>
      <w:pPr>
        <w:spacing w:line="256" w:lineRule="auto" w:before="0"/>
        <w:ind w:left="718" w:right="99" w:hanging="619"/>
        <w:jc w:val="both"/>
        <w:rPr>
          <w:sz w:val="22"/>
        </w:rPr>
      </w:pPr>
      <w:r>
        <w:rPr>
          <w:sz w:val="22"/>
        </w:rPr>
        <w:t>1329. U.S.</w:t>
      </w:r>
      <w:r>
        <w:rPr>
          <w:spacing w:val="40"/>
          <w:sz w:val="22"/>
        </w:rPr>
        <w:t> </w:t>
      </w:r>
      <w:r>
        <w:rPr>
          <w:sz w:val="22"/>
        </w:rPr>
        <w:t>Preventive</w:t>
      </w:r>
      <w:r>
        <w:rPr>
          <w:spacing w:val="40"/>
          <w:sz w:val="22"/>
        </w:rPr>
        <w:t> </w:t>
      </w:r>
      <w:r>
        <w:rPr>
          <w:sz w:val="22"/>
        </w:rPr>
        <w:t>Services</w:t>
      </w:r>
      <w:r>
        <w:rPr>
          <w:spacing w:val="40"/>
          <w:sz w:val="22"/>
        </w:rPr>
        <w:t> </w:t>
      </w:r>
      <w:r>
        <w:rPr>
          <w:sz w:val="22"/>
        </w:rPr>
        <w:t>Task</w:t>
      </w:r>
      <w:r>
        <w:rPr>
          <w:spacing w:val="40"/>
          <w:sz w:val="22"/>
        </w:rPr>
        <w:t> </w:t>
      </w:r>
      <w:r>
        <w:rPr>
          <w:sz w:val="22"/>
        </w:rPr>
        <w:t>Force;</w:t>
      </w:r>
      <w:r>
        <w:rPr>
          <w:spacing w:val="40"/>
          <w:sz w:val="22"/>
        </w:rPr>
        <w:t> </w:t>
      </w:r>
      <w:r>
        <w:rPr>
          <w:sz w:val="22"/>
        </w:rPr>
        <w:t>Mangione</w:t>
      </w:r>
      <w:r>
        <w:rPr>
          <w:spacing w:val="40"/>
          <w:sz w:val="22"/>
        </w:rPr>
        <w:t> </w:t>
      </w:r>
      <w:r>
        <w:rPr>
          <w:sz w:val="22"/>
        </w:rPr>
        <w:t>CM,</w:t>
      </w:r>
      <w:r>
        <w:rPr>
          <w:spacing w:val="40"/>
          <w:sz w:val="22"/>
        </w:rPr>
        <w:t> </w:t>
      </w:r>
      <w:r>
        <w:rPr>
          <w:sz w:val="22"/>
        </w:rPr>
        <w:t>Barry</w:t>
      </w:r>
      <w:r>
        <w:rPr>
          <w:spacing w:val="40"/>
          <w:sz w:val="22"/>
        </w:rPr>
        <w:t> </w:t>
      </w:r>
      <w:r>
        <w:rPr>
          <w:sz w:val="22"/>
        </w:rPr>
        <w:t>MJ,</w:t>
      </w:r>
      <w:r>
        <w:rPr>
          <w:spacing w:val="40"/>
          <w:sz w:val="22"/>
        </w:rPr>
        <w:t> </w:t>
      </w:r>
      <w:r>
        <w:rPr>
          <w:sz w:val="22"/>
        </w:rPr>
        <w:t>Nicholson</w:t>
      </w:r>
      <w:r>
        <w:rPr>
          <w:spacing w:val="40"/>
          <w:sz w:val="22"/>
        </w:rPr>
        <w:t> </w:t>
      </w:r>
      <w:r>
        <w:rPr>
          <w:sz w:val="22"/>
        </w:rPr>
        <w:t>WK,</w:t>
      </w:r>
      <w:r>
        <w:rPr>
          <w:spacing w:val="40"/>
          <w:sz w:val="22"/>
        </w:rPr>
        <w:t> </w:t>
      </w:r>
      <w:r>
        <w:rPr>
          <w:sz w:val="22"/>
        </w:rPr>
        <w:t>et</w:t>
      </w:r>
      <w:r>
        <w:rPr>
          <w:spacing w:val="40"/>
          <w:sz w:val="22"/>
        </w:rPr>
        <w:t> </w:t>
      </w:r>
      <w:r>
        <w:rPr>
          <w:sz w:val="22"/>
        </w:rPr>
        <w:t>al. Hormone</w:t>
      </w:r>
      <w:r>
        <w:rPr>
          <w:spacing w:val="13"/>
          <w:sz w:val="22"/>
        </w:rPr>
        <w:t> </w:t>
      </w:r>
      <w:r>
        <w:rPr>
          <w:sz w:val="22"/>
        </w:rPr>
        <w:t>therapy</w:t>
      </w:r>
      <w:r>
        <w:rPr>
          <w:spacing w:val="14"/>
          <w:sz w:val="22"/>
        </w:rPr>
        <w:t> </w:t>
      </w:r>
      <w:r>
        <w:rPr>
          <w:sz w:val="22"/>
        </w:rPr>
        <w:t>for</w:t>
      </w:r>
      <w:r>
        <w:rPr>
          <w:spacing w:val="14"/>
          <w:sz w:val="22"/>
        </w:rPr>
        <w:t> </w:t>
      </w:r>
      <w:r>
        <w:rPr>
          <w:sz w:val="22"/>
        </w:rPr>
        <w:t>the</w:t>
      </w:r>
      <w:r>
        <w:rPr>
          <w:spacing w:val="13"/>
          <w:sz w:val="22"/>
        </w:rPr>
        <w:t> </w:t>
      </w:r>
      <w:r>
        <w:rPr>
          <w:sz w:val="22"/>
        </w:rPr>
        <w:t>primary</w:t>
      </w:r>
      <w:r>
        <w:rPr>
          <w:spacing w:val="14"/>
          <w:sz w:val="22"/>
        </w:rPr>
        <w:t> </w:t>
      </w:r>
      <w:r>
        <w:rPr>
          <w:sz w:val="22"/>
        </w:rPr>
        <w:t>prevention</w:t>
      </w:r>
      <w:r>
        <w:rPr>
          <w:spacing w:val="14"/>
          <w:sz w:val="22"/>
        </w:rPr>
        <w:t> </w:t>
      </w:r>
      <w:r>
        <w:rPr>
          <w:sz w:val="22"/>
        </w:rPr>
        <w:t>of</w:t>
      </w:r>
      <w:r>
        <w:rPr>
          <w:spacing w:val="14"/>
          <w:sz w:val="22"/>
        </w:rPr>
        <w:t> </w:t>
      </w:r>
      <w:r>
        <w:rPr>
          <w:sz w:val="22"/>
        </w:rPr>
        <w:t>chronic</w:t>
      </w:r>
      <w:r>
        <w:rPr>
          <w:spacing w:val="13"/>
          <w:sz w:val="22"/>
        </w:rPr>
        <w:t> </w:t>
      </w:r>
      <w:r>
        <w:rPr>
          <w:sz w:val="22"/>
        </w:rPr>
        <w:t>conditions</w:t>
      </w:r>
      <w:r>
        <w:rPr>
          <w:spacing w:val="14"/>
          <w:sz w:val="22"/>
        </w:rPr>
        <w:t> </w:t>
      </w:r>
      <w:r>
        <w:rPr>
          <w:sz w:val="22"/>
        </w:rPr>
        <w:t>in</w:t>
      </w:r>
      <w:r>
        <w:rPr>
          <w:spacing w:val="14"/>
          <w:sz w:val="22"/>
        </w:rPr>
        <w:t> </w:t>
      </w:r>
      <w:r>
        <w:rPr>
          <w:sz w:val="22"/>
        </w:rPr>
        <w:t>postmenopausal</w:t>
      </w:r>
      <w:r>
        <w:rPr>
          <w:spacing w:val="14"/>
          <w:sz w:val="22"/>
        </w:rPr>
        <w:t> </w:t>
      </w:r>
      <w:r>
        <w:rPr>
          <w:spacing w:val="-2"/>
          <w:sz w:val="22"/>
        </w:rPr>
        <w:t>persons:</w:t>
      </w:r>
    </w:p>
    <w:p>
      <w:pPr>
        <w:spacing w:line="256" w:lineRule="auto" w:before="0"/>
        <w:ind w:left="718" w:right="112" w:firstLine="0"/>
        <w:jc w:val="both"/>
        <w:rPr>
          <w:sz w:val="22"/>
        </w:rPr>
      </w:pPr>
      <w:r>
        <w:rPr>
          <w:sz w:val="22"/>
        </w:rPr>
        <w:t>U.S. Preventive Services Task Force recommendation statement. </w:t>
      </w:r>
      <w:r>
        <w:rPr>
          <w:i/>
          <w:sz w:val="22"/>
        </w:rPr>
        <w:t>JAMA</w:t>
      </w:r>
      <w:r>
        <w:rPr>
          <w:sz w:val="22"/>
        </w:rPr>
        <w:t>. </w:t>
      </w:r>
      <w:r>
        <w:rPr>
          <w:sz w:val="22"/>
        </w:rPr>
        <w:t>2022;328(17):1740-</w:t>
      </w:r>
      <w:r>
        <w:rPr>
          <w:spacing w:val="-2"/>
          <w:sz w:val="22"/>
        </w:rPr>
        <w:t>1746.</w:t>
      </w:r>
    </w:p>
    <w:p>
      <w:pPr>
        <w:spacing w:after="0" w:line="256" w:lineRule="auto"/>
        <w:jc w:val="both"/>
        <w:rPr>
          <w:sz w:val="22"/>
        </w:rPr>
        <w:sectPr>
          <w:pgSz w:w="12240" w:h="15840"/>
          <w:pgMar w:top="1360" w:bottom="280" w:left="1440" w:right="1440"/>
        </w:sectPr>
      </w:pPr>
    </w:p>
    <w:p>
      <w:pPr>
        <w:spacing w:line="256" w:lineRule="auto" w:before="84"/>
        <w:ind w:left="718" w:right="99" w:hanging="619"/>
        <w:jc w:val="both"/>
        <w:rPr>
          <w:sz w:val="22"/>
        </w:rPr>
      </w:pPr>
      <w:r>
        <w:rPr>
          <w:sz w:val="22"/>
        </w:rPr>
        <w:t>1330.</w:t>
      </w:r>
      <w:r>
        <w:rPr>
          <w:spacing w:val="40"/>
          <w:sz w:val="22"/>
        </w:rPr>
        <w:t> </w:t>
      </w:r>
      <w:r>
        <w:rPr>
          <w:sz w:val="22"/>
        </w:rPr>
        <w:t>Kiel DP, Felson DT, Anderson JJ, Wilson PWF, Moskowitz MA. Hip fracture and the use of estrogen in postmenopausal women: the Framingham Study. </w:t>
      </w:r>
      <w:r>
        <w:rPr>
          <w:i/>
          <w:sz w:val="22"/>
        </w:rPr>
        <w:t>N Engl J Med</w:t>
      </w:r>
      <w:r>
        <w:rPr>
          <w:sz w:val="22"/>
        </w:rPr>
        <w:t>. 1987;317:1169.</w:t>
      </w:r>
    </w:p>
    <w:p>
      <w:pPr>
        <w:spacing w:line="256" w:lineRule="auto" w:before="0"/>
        <w:ind w:left="718" w:right="97" w:hanging="619"/>
        <w:jc w:val="both"/>
        <w:rPr>
          <w:sz w:val="22"/>
        </w:rPr>
      </w:pPr>
      <w:r>
        <w:rPr>
          <w:sz w:val="22"/>
        </w:rPr>
        <w:t>1331. Schubert W, Cullberg G, Edgar B, Hedner T. Inhibition of 17b-estradiol metabolism </w:t>
      </w:r>
      <w:r>
        <w:rPr>
          <w:sz w:val="22"/>
        </w:rPr>
        <w:t>by</w:t>
      </w:r>
      <w:r>
        <w:rPr>
          <w:spacing w:val="40"/>
          <w:sz w:val="22"/>
        </w:rPr>
        <w:t> </w:t>
      </w:r>
      <w:r>
        <w:rPr>
          <w:sz w:val="22"/>
        </w:rPr>
        <w:t>grapefruit juice in ovariectomized women. </w:t>
      </w:r>
      <w:r>
        <w:rPr>
          <w:i/>
          <w:sz w:val="22"/>
        </w:rPr>
        <w:t>Maturitas</w:t>
      </w:r>
      <w:r>
        <w:rPr>
          <w:sz w:val="22"/>
        </w:rPr>
        <w:t>. 1995;20:155.</w:t>
      </w:r>
    </w:p>
    <w:p>
      <w:pPr>
        <w:spacing w:line="256" w:lineRule="auto" w:before="0"/>
        <w:ind w:left="718" w:right="102" w:hanging="619"/>
        <w:jc w:val="both"/>
        <w:rPr>
          <w:sz w:val="22"/>
        </w:rPr>
      </w:pPr>
      <w:r>
        <w:rPr>
          <w:sz w:val="22"/>
        </w:rPr>
        <w:t>1332. Weber A, Jagger R, Börmer A, et al. Can grapefruit juice influence </w:t>
      </w:r>
      <w:r>
        <w:rPr>
          <w:sz w:val="22"/>
        </w:rPr>
        <w:t>ethinylestradiol bioavailability?. </w:t>
      </w:r>
      <w:r>
        <w:rPr>
          <w:i/>
          <w:sz w:val="22"/>
        </w:rPr>
        <w:t>Contraception</w:t>
      </w:r>
      <w:r>
        <w:rPr>
          <w:sz w:val="22"/>
        </w:rPr>
        <w:t>. 1996;63:41.</w:t>
      </w:r>
    </w:p>
    <w:p>
      <w:pPr>
        <w:spacing w:line="256" w:lineRule="auto" w:before="0"/>
        <w:ind w:left="718" w:right="102" w:hanging="619"/>
        <w:jc w:val="both"/>
        <w:rPr>
          <w:sz w:val="22"/>
        </w:rPr>
      </w:pPr>
      <w:r>
        <w:rPr>
          <w:sz w:val="22"/>
        </w:rPr>
        <w:t>1333.</w:t>
      </w:r>
      <w:r>
        <w:rPr>
          <w:spacing w:val="40"/>
          <w:sz w:val="22"/>
        </w:rPr>
        <w:t> </w:t>
      </w:r>
      <w:r>
        <w:rPr>
          <w:sz w:val="22"/>
        </w:rPr>
        <w:t>Gavaler JS, Van Thiel DH. The association between moderate alcoholic beverage </w:t>
      </w:r>
      <w:r>
        <w:rPr>
          <w:sz w:val="22"/>
        </w:rPr>
        <w:t>consumption and serum estradiol and testosterone levels in normal postmenopausal women: relationship to</w:t>
      </w:r>
      <w:r>
        <w:rPr>
          <w:spacing w:val="40"/>
          <w:sz w:val="22"/>
        </w:rPr>
        <w:t> </w:t>
      </w:r>
      <w:r>
        <w:rPr>
          <w:sz w:val="22"/>
        </w:rPr>
        <w:t>the literature. </w:t>
      </w:r>
      <w:r>
        <w:rPr>
          <w:i/>
          <w:sz w:val="22"/>
        </w:rPr>
        <w:t>Alcohol Clin Exp Res</w:t>
      </w:r>
      <w:r>
        <w:rPr>
          <w:sz w:val="22"/>
        </w:rPr>
        <w:t>. 1992;16:87.</w:t>
      </w:r>
    </w:p>
    <w:p>
      <w:pPr>
        <w:spacing w:line="256" w:lineRule="auto" w:before="0"/>
        <w:ind w:left="718" w:right="111" w:hanging="619"/>
        <w:jc w:val="both"/>
        <w:rPr>
          <w:sz w:val="22"/>
        </w:rPr>
      </w:pPr>
      <w:r>
        <w:rPr>
          <w:sz w:val="22"/>
        </w:rPr>
        <w:t>1334. Ginsburg EL, Mello NK, Mendelson JH, et al. Effects of alcohol ingestion on estrogens </w:t>
      </w:r>
      <w:r>
        <w:rPr>
          <w:sz w:val="22"/>
        </w:rPr>
        <w:t>in postmenopausal women. </w:t>
      </w:r>
      <w:r>
        <w:rPr>
          <w:i/>
          <w:sz w:val="22"/>
        </w:rPr>
        <w:t>JAMA</w:t>
      </w:r>
      <w:r>
        <w:rPr>
          <w:sz w:val="22"/>
        </w:rPr>
        <w:t>. 1996;276:1747.</w:t>
      </w:r>
    </w:p>
    <w:p>
      <w:pPr>
        <w:spacing w:line="256" w:lineRule="auto" w:before="0"/>
        <w:ind w:left="718" w:right="109" w:hanging="619"/>
        <w:jc w:val="both"/>
        <w:rPr>
          <w:sz w:val="22"/>
        </w:rPr>
      </w:pPr>
      <w:r>
        <w:rPr>
          <w:sz w:val="22"/>
        </w:rPr>
        <w:t>1335.</w:t>
      </w:r>
      <w:r>
        <w:rPr>
          <w:spacing w:val="40"/>
          <w:sz w:val="22"/>
        </w:rPr>
        <w:t> </w:t>
      </w:r>
      <w:r>
        <w:rPr>
          <w:sz w:val="22"/>
        </w:rPr>
        <w:t>Dorgan JF, Reichman ME, Judd JT, et al. The relation of reported alcohol ingestion to plasma levels of estrogens and androgens in premenopausal women. </w:t>
      </w:r>
      <w:r>
        <w:rPr>
          <w:i/>
          <w:sz w:val="22"/>
        </w:rPr>
        <w:t>Cancer Causes Control</w:t>
      </w:r>
      <w:r>
        <w:rPr>
          <w:sz w:val="22"/>
        </w:rPr>
        <w:t>.</w:t>
      </w:r>
      <w:r>
        <w:rPr>
          <w:spacing w:val="80"/>
          <w:sz w:val="22"/>
        </w:rPr>
        <w:t> </w:t>
      </w:r>
      <w:r>
        <w:rPr>
          <w:spacing w:val="-2"/>
          <w:sz w:val="22"/>
        </w:rPr>
        <w:t>1994;5:53.</w:t>
      </w:r>
    </w:p>
    <w:p>
      <w:pPr>
        <w:spacing w:line="256" w:lineRule="auto" w:before="0"/>
        <w:ind w:left="718" w:right="104" w:hanging="619"/>
        <w:jc w:val="both"/>
        <w:rPr>
          <w:sz w:val="22"/>
        </w:rPr>
      </w:pPr>
      <w:r>
        <w:rPr>
          <w:sz w:val="22"/>
        </w:rPr>
        <w:t>1336. Muti</w:t>
      </w:r>
      <w:r>
        <w:rPr>
          <w:spacing w:val="40"/>
          <w:sz w:val="22"/>
        </w:rPr>
        <w:t> </w:t>
      </w:r>
      <w:r>
        <w:rPr>
          <w:sz w:val="22"/>
        </w:rPr>
        <w:t>P,</w:t>
      </w:r>
      <w:r>
        <w:rPr>
          <w:spacing w:val="40"/>
          <w:sz w:val="22"/>
        </w:rPr>
        <w:t> </w:t>
      </w:r>
      <w:r>
        <w:rPr>
          <w:sz w:val="22"/>
        </w:rPr>
        <w:t>Trevisan</w:t>
      </w:r>
      <w:r>
        <w:rPr>
          <w:spacing w:val="40"/>
          <w:sz w:val="22"/>
        </w:rPr>
        <w:t> </w:t>
      </w:r>
      <w:r>
        <w:rPr>
          <w:sz w:val="22"/>
        </w:rPr>
        <w:t>M,</w:t>
      </w:r>
      <w:r>
        <w:rPr>
          <w:spacing w:val="40"/>
          <w:sz w:val="22"/>
        </w:rPr>
        <w:t> </w:t>
      </w:r>
      <w:r>
        <w:rPr>
          <w:sz w:val="22"/>
        </w:rPr>
        <w:t>Micheli</w:t>
      </w:r>
      <w:r>
        <w:rPr>
          <w:spacing w:val="40"/>
          <w:sz w:val="22"/>
        </w:rPr>
        <w:t> </w:t>
      </w:r>
      <w:r>
        <w:rPr>
          <w:sz w:val="22"/>
        </w:rPr>
        <w:t>A,</w:t>
      </w:r>
      <w:r>
        <w:rPr>
          <w:spacing w:val="40"/>
          <w:sz w:val="22"/>
        </w:rPr>
        <w:t> </w:t>
      </w:r>
      <w:r>
        <w:rPr>
          <w:sz w:val="22"/>
        </w:rPr>
        <w:t>et</w:t>
      </w:r>
      <w:r>
        <w:rPr>
          <w:spacing w:val="40"/>
          <w:sz w:val="22"/>
        </w:rPr>
        <w:t> </w:t>
      </w:r>
      <w:r>
        <w:rPr>
          <w:sz w:val="22"/>
        </w:rPr>
        <w:t>al.</w:t>
      </w:r>
      <w:r>
        <w:rPr>
          <w:spacing w:val="40"/>
          <w:sz w:val="22"/>
        </w:rPr>
        <w:t> </w:t>
      </w:r>
      <w:r>
        <w:rPr>
          <w:sz w:val="22"/>
        </w:rPr>
        <w:t>Alcohol</w:t>
      </w:r>
      <w:r>
        <w:rPr>
          <w:spacing w:val="40"/>
          <w:sz w:val="22"/>
        </w:rPr>
        <w:t> </w:t>
      </w:r>
      <w:r>
        <w:rPr>
          <w:sz w:val="22"/>
        </w:rPr>
        <w:t>consumption</w:t>
      </w:r>
      <w:r>
        <w:rPr>
          <w:spacing w:val="40"/>
          <w:sz w:val="22"/>
        </w:rPr>
        <w:t> </w:t>
      </w:r>
      <w:r>
        <w:rPr>
          <w:sz w:val="22"/>
        </w:rPr>
        <w:t>and</w:t>
      </w:r>
      <w:r>
        <w:rPr>
          <w:spacing w:val="40"/>
          <w:sz w:val="22"/>
        </w:rPr>
        <w:t> </w:t>
      </w:r>
      <w:r>
        <w:rPr>
          <w:sz w:val="22"/>
        </w:rPr>
        <w:t>total</w:t>
      </w:r>
      <w:r>
        <w:rPr>
          <w:spacing w:val="40"/>
          <w:sz w:val="22"/>
        </w:rPr>
        <w:t> </w:t>
      </w:r>
      <w:r>
        <w:rPr>
          <w:sz w:val="22"/>
        </w:rPr>
        <w:t>estradiol</w:t>
      </w:r>
      <w:r>
        <w:rPr>
          <w:spacing w:val="40"/>
          <w:sz w:val="22"/>
        </w:rPr>
        <w:t> </w:t>
      </w:r>
      <w:r>
        <w:rPr>
          <w:sz w:val="22"/>
        </w:rPr>
        <w:t>in premenopausal women. </w:t>
      </w:r>
      <w:r>
        <w:rPr>
          <w:i/>
          <w:sz w:val="22"/>
        </w:rPr>
        <w:t>Cancer Epidemiol Biomarkers Prev</w:t>
      </w:r>
      <w:r>
        <w:rPr>
          <w:sz w:val="22"/>
        </w:rPr>
        <w:t>. 1998;7:189.</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12.png"/>
      </v:shape>
    </w:pict>
  </w:numPicBullet>
  <w:numPicBullet w:numPicBulletId="1">
    <w:pict>
      <v:shape id="_x0000_i1076" type="#_x0000_t75" style="width:9.000000pt;height:9.000000pt" o:bullet="t">
        <v:imagedata r:id="rId2" o:title="image13.png"/>
      </v:shape>
    </w:pict>
  </w:numPicBullet>
  <w:numPicBullet w:numPicBulletId="2">
    <w:pict>
      <v:shape id="_x0000_i1077" type="#_x0000_t75" style="width:9.000000pt;height:9.000000pt" o:bullet="t">
        <v:imagedata r:id="rId3" o:title="image15.png"/>
      </v:shape>
    </w:pict>
  </w:numPicBullet>
  <w:numPicBullet w:numPicBulletId="3">
    <w:pict>
      <v:shape id="_x0000_i1078" type="#_x0000_t75" style="width:9.000000pt;height:9.000000pt" o:bullet="t">
        <v:imagedata r:id="rId4" o:title="image18.png"/>
      </v:shape>
    </w:pict>
  </w:numPicBullet>
  <w:numPicBullet w:numPicBulletId="4">
    <w:pict>
      <v:shape id="_x0000_i1079" type="#_x0000_t75" style="width:9.000000pt;height:9.000000pt" o:bullet="t">
        <v:imagedata r:id="rId5" o:title="image21.png"/>
      </v:shape>
    </w:pict>
  </w:numPicBullet>
  <w:numPicBullet w:numPicBulletId="5">
    <w:pict>
      <v:shape id="_x0000_i1080" type="#_x0000_t75" style="width:9.000000pt;height:9.000000pt" o:bullet="t">
        <v:imagedata r:id="rId6" o:title="image25.png"/>
      </v:shape>
    </w:pict>
  </w:numPicBullet>
  <w:numPicBullet w:numPicBulletId="6">
    <w:pict>
      <v:shape id="_x0000_i1081" type="#_x0000_t75" style="width:9.000000pt;height:9.000000pt" o:bullet="t">
        <v:imagedata r:id="rId7" o:title="image28.png"/>
      </v:shape>
    </w:pict>
  </w:numPicBullet>
  <w:numPicBullet w:numPicBulletId="7">
    <w:pict>
      <v:shape id="_x0000_i1082" type="#_x0000_t75" style="width:7.500000pt;height:7.500000pt" o:bullet="t">
        <v:imagedata r:id="rId8" o:title="image29.png"/>
      </v:shape>
    </w:pict>
  </w:numPicBullet>
  <w:numPicBullet w:numPicBulletId="8">
    <w:pict>
      <v:shape id="_x0000_i1083" type="#_x0000_t75" style="width:9.000000pt;height:9.000000pt" o:bullet="t">
        <v:imagedata r:id="rId9" o:title="image31.png"/>
      </v:shape>
    </w:pict>
  </w:numPicBullet>
  <w:numPicBullet w:numPicBulletId="9">
    <w:pict>
      <v:shape id="_x0000_i1084" type="#_x0000_t75" style="width:9.000000pt;height:9.000000pt" o:bullet="t">
        <v:imagedata r:id="rId10" o:title="image32.png"/>
      </v:shape>
    </w:pict>
  </w:numPicBullet>
  <w:numPicBullet w:numPicBulletId="10">
    <w:pict>
      <v:shape id="_x0000_i1085" type="#_x0000_t75" style="width:9.000000pt;height:9.000000pt" o:bullet="t">
        <v:imagedata r:id="rId11" o:title="image33.png"/>
      </v:shape>
    </w:pict>
  </w:numPicBullet>
  <w:numPicBullet w:numPicBulletId="11">
    <w:pict>
      <v:shape id="_x0000_i1086" type="#_x0000_t75" style="width:9.000000pt;height:9.000000pt" o:bullet="t">
        <v:imagedata r:id="rId12" o:title="image34.png"/>
      </v:shape>
    </w:pict>
  </w:numPicBullet>
  <w:numPicBullet w:numPicBulletId="12">
    <w:pict>
      <v:shape id="_x0000_i1087" type="#_x0000_t75" style="width:9.000000pt;height:9.000000pt" o:bullet="t">
        <v:imagedata r:id="rId13" o:title="image35.png"/>
      </v:shape>
    </w:pict>
  </w:numPicBullet>
  <w:abstractNum w:abstractNumId="18">
    <w:multiLevelType w:val="hybridMultilevel"/>
    <w:lvl w:ilvl="0">
      <w:start w:val="1"/>
      <w:numFmt w:val="decimal"/>
      <w:lvlText w:val="%1."/>
      <w:lvlJc w:val="left"/>
      <w:pPr>
        <w:ind w:left="699" w:hanging="274"/>
        <w:jc w:val="righ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66" w:hanging="274"/>
      </w:pPr>
      <w:rPr>
        <w:rFonts w:hint="default"/>
        <w:lang w:val="en-US" w:eastAsia="en-US" w:bidi="ar-SA"/>
      </w:rPr>
    </w:lvl>
    <w:lvl w:ilvl="2">
      <w:start w:val="0"/>
      <w:numFmt w:val="bullet"/>
      <w:lvlText w:val="•"/>
      <w:lvlJc w:val="left"/>
      <w:pPr>
        <w:ind w:left="2432" w:hanging="274"/>
      </w:pPr>
      <w:rPr>
        <w:rFonts w:hint="default"/>
        <w:lang w:val="en-US" w:eastAsia="en-US" w:bidi="ar-SA"/>
      </w:rPr>
    </w:lvl>
    <w:lvl w:ilvl="3">
      <w:start w:val="0"/>
      <w:numFmt w:val="bullet"/>
      <w:lvlText w:val="•"/>
      <w:lvlJc w:val="left"/>
      <w:pPr>
        <w:ind w:left="3298" w:hanging="274"/>
      </w:pPr>
      <w:rPr>
        <w:rFonts w:hint="default"/>
        <w:lang w:val="en-US" w:eastAsia="en-US" w:bidi="ar-SA"/>
      </w:rPr>
    </w:lvl>
    <w:lvl w:ilvl="4">
      <w:start w:val="0"/>
      <w:numFmt w:val="bullet"/>
      <w:lvlText w:val="•"/>
      <w:lvlJc w:val="left"/>
      <w:pPr>
        <w:ind w:left="4164" w:hanging="274"/>
      </w:pPr>
      <w:rPr>
        <w:rFonts w:hint="default"/>
        <w:lang w:val="en-US" w:eastAsia="en-US" w:bidi="ar-SA"/>
      </w:rPr>
    </w:lvl>
    <w:lvl w:ilvl="5">
      <w:start w:val="0"/>
      <w:numFmt w:val="bullet"/>
      <w:lvlText w:val="•"/>
      <w:lvlJc w:val="left"/>
      <w:pPr>
        <w:ind w:left="5030" w:hanging="274"/>
      </w:pPr>
      <w:rPr>
        <w:rFonts w:hint="default"/>
        <w:lang w:val="en-US" w:eastAsia="en-US" w:bidi="ar-SA"/>
      </w:rPr>
    </w:lvl>
    <w:lvl w:ilvl="6">
      <w:start w:val="0"/>
      <w:numFmt w:val="bullet"/>
      <w:lvlText w:val="•"/>
      <w:lvlJc w:val="left"/>
      <w:pPr>
        <w:ind w:left="5896" w:hanging="274"/>
      </w:pPr>
      <w:rPr>
        <w:rFonts w:hint="default"/>
        <w:lang w:val="en-US" w:eastAsia="en-US" w:bidi="ar-SA"/>
      </w:rPr>
    </w:lvl>
    <w:lvl w:ilvl="7">
      <w:start w:val="0"/>
      <w:numFmt w:val="bullet"/>
      <w:lvlText w:val="•"/>
      <w:lvlJc w:val="left"/>
      <w:pPr>
        <w:ind w:left="6762" w:hanging="274"/>
      </w:pPr>
      <w:rPr>
        <w:rFonts w:hint="default"/>
        <w:lang w:val="en-US" w:eastAsia="en-US" w:bidi="ar-SA"/>
      </w:rPr>
    </w:lvl>
    <w:lvl w:ilvl="8">
      <w:start w:val="0"/>
      <w:numFmt w:val="bullet"/>
      <w:lvlText w:val="•"/>
      <w:lvlJc w:val="left"/>
      <w:pPr>
        <w:ind w:left="7628" w:hanging="274"/>
      </w:pPr>
      <w:rPr>
        <w:rFonts w:hint="default"/>
        <w:lang w:val="en-US" w:eastAsia="en-US" w:bidi="ar-SA"/>
      </w:rPr>
    </w:lvl>
  </w:abstractNum>
  <w:abstractNum w:abstractNumId="17">
    <w:multiLevelType w:val="hybridMultilevel"/>
    <w:lvl w:ilvl="0">
      <w:start w:val="0"/>
      <w:numFmt w:val="bullet"/>
      <w:lvlText w:val="&amp;"/>
      <w:lvlPicBulletId w:val="12"/>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6">
    <w:multiLevelType w:val="hybridMultilevel"/>
    <w:lvl w:ilvl="0">
      <w:start w:val="0"/>
      <w:numFmt w:val="bullet"/>
      <w:lvlText w:val="&amp;"/>
      <w:lvlPicBulletId w:val="11"/>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5">
    <w:multiLevelType w:val="hybridMultilevel"/>
    <w:lvl w:ilvl="0">
      <w:start w:val="0"/>
      <w:numFmt w:val="bullet"/>
      <w:lvlText w:val="&amp;"/>
      <w:lvlPicBulletId w:val="10"/>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4">
    <w:multiLevelType w:val="hybridMultilevel"/>
    <w:lvl w:ilvl="0">
      <w:start w:val="0"/>
      <w:numFmt w:val="bullet"/>
      <w:lvlText w:val="&amp;"/>
      <w:lvlPicBulletId w:val="9"/>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3">
    <w:multiLevelType w:val="hybridMultilevel"/>
    <w:lvl w:ilvl="0">
      <w:start w:val="0"/>
      <w:numFmt w:val="bullet"/>
      <w:lvlText w:val="&amp;"/>
      <w:lvlPicBulletId w:val="8"/>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2">
    <w:multiLevelType w:val="hybridMultilevel"/>
    <w:lvl w:ilvl="0">
      <w:start w:val="0"/>
      <w:numFmt w:val="bullet"/>
      <w:lvlText w:val="&amp;"/>
      <w:lvlPicBulletId w:val="7"/>
      <w:lvlJc w:val="left"/>
      <w:pPr>
        <w:ind w:left="549" w:hanging="235"/>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422" w:hanging="235"/>
      </w:pPr>
      <w:rPr>
        <w:rFonts w:hint="default"/>
        <w:lang w:val="en-US" w:eastAsia="en-US" w:bidi="ar-SA"/>
      </w:rPr>
    </w:lvl>
    <w:lvl w:ilvl="2">
      <w:start w:val="0"/>
      <w:numFmt w:val="bullet"/>
      <w:lvlText w:val="•"/>
      <w:lvlJc w:val="left"/>
      <w:pPr>
        <w:ind w:left="2304" w:hanging="235"/>
      </w:pPr>
      <w:rPr>
        <w:rFonts w:hint="default"/>
        <w:lang w:val="en-US" w:eastAsia="en-US" w:bidi="ar-SA"/>
      </w:rPr>
    </w:lvl>
    <w:lvl w:ilvl="3">
      <w:start w:val="0"/>
      <w:numFmt w:val="bullet"/>
      <w:lvlText w:val="•"/>
      <w:lvlJc w:val="left"/>
      <w:pPr>
        <w:ind w:left="3186" w:hanging="235"/>
      </w:pPr>
      <w:rPr>
        <w:rFonts w:hint="default"/>
        <w:lang w:val="en-US" w:eastAsia="en-US" w:bidi="ar-SA"/>
      </w:rPr>
    </w:lvl>
    <w:lvl w:ilvl="4">
      <w:start w:val="0"/>
      <w:numFmt w:val="bullet"/>
      <w:lvlText w:val="•"/>
      <w:lvlJc w:val="left"/>
      <w:pPr>
        <w:ind w:left="4068" w:hanging="235"/>
      </w:pPr>
      <w:rPr>
        <w:rFonts w:hint="default"/>
        <w:lang w:val="en-US" w:eastAsia="en-US" w:bidi="ar-SA"/>
      </w:rPr>
    </w:lvl>
    <w:lvl w:ilvl="5">
      <w:start w:val="0"/>
      <w:numFmt w:val="bullet"/>
      <w:lvlText w:val="•"/>
      <w:lvlJc w:val="left"/>
      <w:pPr>
        <w:ind w:left="4950" w:hanging="235"/>
      </w:pPr>
      <w:rPr>
        <w:rFonts w:hint="default"/>
        <w:lang w:val="en-US" w:eastAsia="en-US" w:bidi="ar-SA"/>
      </w:rPr>
    </w:lvl>
    <w:lvl w:ilvl="6">
      <w:start w:val="0"/>
      <w:numFmt w:val="bullet"/>
      <w:lvlText w:val="•"/>
      <w:lvlJc w:val="left"/>
      <w:pPr>
        <w:ind w:left="5832" w:hanging="235"/>
      </w:pPr>
      <w:rPr>
        <w:rFonts w:hint="default"/>
        <w:lang w:val="en-US" w:eastAsia="en-US" w:bidi="ar-SA"/>
      </w:rPr>
    </w:lvl>
    <w:lvl w:ilvl="7">
      <w:start w:val="0"/>
      <w:numFmt w:val="bullet"/>
      <w:lvlText w:val="•"/>
      <w:lvlJc w:val="left"/>
      <w:pPr>
        <w:ind w:left="6714" w:hanging="235"/>
      </w:pPr>
      <w:rPr>
        <w:rFonts w:hint="default"/>
        <w:lang w:val="en-US" w:eastAsia="en-US" w:bidi="ar-SA"/>
      </w:rPr>
    </w:lvl>
    <w:lvl w:ilvl="8">
      <w:start w:val="0"/>
      <w:numFmt w:val="bullet"/>
      <w:lvlText w:val="•"/>
      <w:lvlJc w:val="left"/>
      <w:pPr>
        <w:ind w:left="7596" w:hanging="235"/>
      </w:pPr>
      <w:rPr>
        <w:rFonts w:hint="default"/>
        <w:lang w:val="en-US" w:eastAsia="en-US" w:bidi="ar-SA"/>
      </w:rPr>
    </w:lvl>
  </w:abstractNum>
  <w:abstractNum w:abstractNumId="11">
    <w:multiLevelType w:val="hybridMultilevel"/>
    <w:lvl w:ilvl="0">
      <w:start w:val="0"/>
      <w:numFmt w:val="bullet"/>
      <w:lvlText w:val="&amp;"/>
      <w:lvlPicBulletId w:val="6"/>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10">
    <w:multiLevelType w:val="hybridMultilevel"/>
    <w:lvl w:ilvl="0">
      <w:start w:val="0"/>
      <w:numFmt w:val="bullet"/>
      <w:lvlText w:val="&amp;"/>
      <w:lvlPicBulletId w:val="5"/>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9">
    <w:multiLevelType w:val="hybridMultilevel"/>
    <w:lvl w:ilvl="0">
      <w:start w:val="0"/>
      <w:numFmt w:val="bullet"/>
      <w:lvlText w:val="&amp;"/>
      <w:lvlPicBulletId w:val="4"/>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8">
    <w:multiLevelType w:val="hybridMultilevel"/>
    <w:lvl w:ilvl="0">
      <w:start w:val="1"/>
      <w:numFmt w:val="decimal"/>
      <w:lvlText w:val="%1."/>
      <w:lvlJc w:val="left"/>
      <w:pPr>
        <w:ind w:left="718" w:hanging="274"/>
        <w:jc w:val="righ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84" w:hanging="274"/>
      </w:pPr>
      <w:rPr>
        <w:rFonts w:hint="default"/>
        <w:lang w:val="en-US" w:eastAsia="en-US" w:bidi="ar-SA"/>
      </w:rPr>
    </w:lvl>
    <w:lvl w:ilvl="2">
      <w:start w:val="0"/>
      <w:numFmt w:val="bullet"/>
      <w:lvlText w:val="•"/>
      <w:lvlJc w:val="left"/>
      <w:pPr>
        <w:ind w:left="2448" w:hanging="274"/>
      </w:pPr>
      <w:rPr>
        <w:rFonts w:hint="default"/>
        <w:lang w:val="en-US" w:eastAsia="en-US" w:bidi="ar-SA"/>
      </w:rPr>
    </w:lvl>
    <w:lvl w:ilvl="3">
      <w:start w:val="0"/>
      <w:numFmt w:val="bullet"/>
      <w:lvlText w:val="•"/>
      <w:lvlJc w:val="left"/>
      <w:pPr>
        <w:ind w:left="3312" w:hanging="274"/>
      </w:pPr>
      <w:rPr>
        <w:rFonts w:hint="default"/>
        <w:lang w:val="en-US" w:eastAsia="en-US" w:bidi="ar-SA"/>
      </w:rPr>
    </w:lvl>
    <w:lvl w:ilvl="4">
      <w:start w:val="0"/>
      <w:numFmt w:val="bullet"/>
      <w:lvlText w:val="•"/>
      <w:lvlJc w:val="left"/>
      <w:pPr>
        <w:ind w:left="4176" w:hanging="274"/>
      </w:pPr>
      <w:rPr>
        <w:rFonts w:hint="default"/>
        <w:lang w:val="en-US" w:eastAsia="en-US" w:bidi="ar-SA"/>
      </w:rPr>
    </w:lvl>
    <w:lvl w:ilvl="5">
      <w:start w:val="0"/>
      <w:numFmt w:val="bullet"/>
      <w:lvlText w:val="•"/>
      <w:lvlJc w:val="left"/>
      <w:pPr>
        <w:ind w:left="5040" w:hanging="274"/>
      </w:pPr>
      <w:rPr>
        <w:rFonts w:hint="default"/>
        <w:lang w:val="en-US" w:eastAsia="en-US" w:bidi="ar-SA"/>
      </w:rPr>
    </w:lvl>
    <w:lvl w:ilvl="6">
      <w:start w:val="0"/>
      <w:numFmt w:val="bullet"/>
      <w:lvlText w:val="•"/>
      <w:lvlJc w:val="left"/>
      <w:pPr>
        <w:ind w:left="5904" w:hanging="274"/>
      </w:pPr>
      <w:rPr>
        <w:rFonts w:hint="default"/>
        <w:lang w:val="en-US" w:eastAsia="en-US" w:bidi="ar-SA"/>
      </w:rPr>
    </w:lvl>
    <w:lvl w:ilvl="7">
      <w:start w:val="0"/>
      <w:numFmt w:val="bullet"/>
      <w:lvlText w:val="•"/>
      <w:lvlJc w:val="left"/>
      <w:pPr>
        <w:ind w:left="6768" w:hanging="274"/>
      </w:pPr>
      <w:rPr>
        <w:rFonts w:hint="default"/>
        <w:lang w:val="en-US" w:eastAsia="en-US" w:bidi="ar-SA"/>
      </w:rPr>
    </w:lvl>
    <w:lvl w:ilvl="8">
      <w:start w:val="0"/>
      <w:numFmt w:val="bullet"/>
      <w:lvlText w:val="•"/>
      <w:lvlJc w:val="left"/>
      <w:pPr>
        <w:ind w:left="7632" w:hanging="274"/>
      </w:pPr>
      <w:rPr>
        <w:rFonts w:hint="default"/>
        <w:lang w:val="en-US" w:eastAsia="en-US" w:bidi="ar-SA"/>
      </w:rPr>
    </w:lvl>
  </w:abstractNum>
  <w:abstractNum w:abstractNumId="7">
    <w:multiLevelType w:val="hybridMultilevel"/>
    <w:lvl w:ilvl="0">
      <w:start w:val="0"/>
      <w:numFmt w:val="bullet"/>
      <w:lvlText w:val="&amp;"/>
      <w:lvlPicBulletId w:val="3"/>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6">
    <w:multiLevelType w:val="hybridMultilevel"/>
    <w:lvl w:ilvl="0">
      <w:start w:val="1"/>
      <w:numFmt w:val="decimal"/>
      <w:lvlText w:val="%1."/>
      <w:lvlJc w:val="left"/>
      <w:pPr>
        <w:ind w:left="437" w:hanging="243"/>
        <w:jc w:val="left"/>
      </w:pPr>
      <w:rPr>
        <w:rFonts w:hint="default" w:ascii="Arial" w:hAnsi="Arial" w:eastAsia="Arial" w:cs="Arial"/>
        <w:b/>
        <w:bCs/>
        <w:i w:val="0"/>
        <w:iCs w:val="0"/>
        <w:color w:val="813C83"/>
        <w:spacing w:val="-6"/>
        <w:w w:val="102"/>
        <w:sz w:val="22"/>
        <w:szCs w:val="22"/>
        <w:lang w:val="en-US" w:eastAsia="en-US" w:bidi="ar-SA"/>
      </w:rPr>
    </w:lvl>
    <w:lvl w:ilvl="1">
      <w:start w:val="0"/>
      <w:numFmt w:val="bullet"/>
      <w:lvlText w:val="•"/>
      <w:lvlJc w:val="left"/>
      <w:pPr>
        <w:ind w:left="1332" w:hanging="243"/>
      </w:pPr>
      <w:rPr>
        <w:rFonts w:hint="default"/>
        <w:lang w:val="en-US" w:eastAsia="en-US" w:bidi="ar-SA"/>
      </w:rPr>
    </w:lvl>
    <w:lvl w:ilvl="2">
      <w:start w:val="0"/>
      <w:numFmt w:val="bullet"/>
      <w:lvlText w:val="•"/>
      <w:lvlJc w:val="left"/>
      <w:pPr>
        <w:ind w:left="2224" w:hanging="243"/>
      </w:pPr>
      <w:rPr>
        <w:rFonts w:hint="default"/>
        <w:lang w:val="en-US" w:eastAsia="en-US" w:bidi="ar-SA"/>
      </w:rPr>
    </w:lvl>
    <w:lvl w:ilvl="3">
      <w:start w:val="0"/>
      <w:numFmt w:val="bullet"/>
      <w:lvlText w:val="•"/>
      <w:lvlJc w:val="left"/>
      <w:pPr>
        <w:ind w:left="3116" w:hanging="243"/>
      </w:pPr>
      <w:rPr>
        <w:rFonts w:hint="default"/>
        <w:lang w:val="en-US" w:eastAsia="en-US" w:bidi="ar-SA"/>
      </w:rPr>
    </w:lvl>
    <w:lvl w:ilvl="4">
      <w:start w:val="0"/>
      <w:numFmt w:val="bullet"/>
      <w:lvlText w:val="•"/>
      <w:lvlJc w:val="left"/>
      <w:pPr>
        <w:ind w:left="4008" w:hanging="243"/>
      </w:pPr>
      <w:rPr>
        <w:rFonts w:hint="default"/>
        <w:lang w:val="en-US" w:eastAsia="en-US" w:bidi="ar-SA"/>
      </w:rPr>
    </w:lvl>
    <w:lvl w:ilvl="5">
      <w:start w:val="0"/>
      <w:numFmt w:val="bullet"/>
      <w:lvlText w:val="•"/>
      <w:lvlJc w:val="left"/>
      <w:pPr>
        <w:ind w:left="4900" w:hanging="243"/>
      </w:pPr>
      <w:rPr>
        <w:rFonts w:hint="default"/>
        <w:lang w:val="en-US" w:eastAsia="en-US" w:bidi="ar-SA"/>
      </w:rPr>
    </w:lvl>
    <w:lvl w:ilvl="6">
      <w:start w:val="0"/>
      <w:numFmt w:val="bullet"/>
      <w:lvlText w:val="•"/>
      <w:lvlJc w:val="left"/>
      <w:pPr>
        <w:ind w:left="5792" w:hanging="243"/>
      </w:pPr>
      <w:rPr>
        <w:rFonts w:hint="default"/>
        <w:lang w:val="en-US" w:eastAsia="en-US" w:bidi="ar-SA"/>
      </w:rPr>
    </w:lvl>
    <w:lvl w:ilvl="7">
      <w:start w:val="0"/>
      <w:numFmt w:val="bullet"/>
      <w:lvlText w:val="•"/>
      <w:lvlJc w:val="left"/>
      <w:pPr>
        <w:ind w:left="6684" w:hanging="243"/>
      </w:pPr>
      <w:rPr>
        <w:rFonts w:hint="default"/>
        <w:lang w:val="en-US" w:eastAsia="en-US" w:bidi="ar-SA"/>
      </w:rPr>
    </w:lvl>
    <w:lvl w:ilvl="8">
      <w:start w:val="0"/>
      <w:numFmt w:val="bullet"/>
      <w:lvlText w:val="•"/>
      <w:lvlJc w:val="left"/>
      <w:pPr>
        <w:ind w:left="7576" w:hanging="243"/>
      </w:pPr>
      <w:rPr>
        <w:rFonts w:hint="default"/>
        <w:lang w:val="en-US" w:eastAsia="en-US" w:bidi="ar-SA"/>
      </w:rPr>
    </w:lvl>
  </w:abstractNum>
  <w:abstractNum w:abstractNumId="5">
    <w:multiLevelType w:val="hybridMultilevel"/>
    <w:lvl w:ilvl="0">
      <w:start w:val="0"/>
      <w:numFmt w:val="bullet"/>
      <w:lvlText w:val="&amp;"/>
      <w:lvlPicBulletId w:val="2"/>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4">
    <w:multiLevelType w:val="hybridMultilevel"/>
    <w:lvl w:ilvl="0">
      <w:start w:val="0"/>
      <w:numFmt w:val="bullet"/>
      <w:lvlText w:val="&amp;"/>
      <w:lvlPicBulletId w:val="1"/>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3">
    <w:multiLevelType w:val="hybridMultilevel"/>
    <w:lvl w:ilvl="0">
      <w:start w:val="1"/>
      <w:numFmt w:val="decimal"/>
      <w:lvlText w:val="%1."/>
      <w:lvlJc w:val="left"/>
      <w:pPr>
        <w:ind w:left="437" w:hanging="243"/>
        <w:jc w:val="left"/>
      </w:pPr>
      <w:rPr>
        <w:rFonts w:hint="default" w:ascii="Arial" w:hAnsi="Arial" w:eastAsia="Arial" w:cs="Arial"/>
        <w:b/>
        <w:bCs/>
        <w:i w:val="0"/>
        <w:iCs w:val="0"/>
        <w:color w:val="813C83"/>
        <w:spacing w:val="-6"/>
        <w:w w:val="102"/>
        <w:sz w:val="22"/>
        <w:szCs w:val="22"/>
        <w:lang w:val="en-US" w:eastAsia="en-US" w:bidi="ar-SA"/>
      </w:rPr>
    </w:lvl>
    <w:lvl w:ilvl="1">
      <w:start w:val="0"/>
      <w:numFmt w:val="bullet"/>
      <w:lvlText w:val="•"/>
      <w:lvlJc w:val="left"/>
      <w:pPr>
        <w:ind w:left="1332" w:hanging="243"/>
      </w:pPr>
      <w:rPr>
        <w:rFonts w:hint="default"/>
        <w:lang w:val="en-US" w:eastAsia="en-US" w:bidi="ar-SA"/>
      </w:rPr>
    </w:lvl>
    <w:lvl w:ilvl="2">
      <w:start w:val="0"/>
      <w:numFmt w:val="bullet"/>
      <w:lvlText w:val="•"/>
      <w:lvlJc w:val="left"/>
      <w:pPr>
        <w:ind w:left="2224" w:hanging="243"/>
      </w:pPr>
      <w:rPr>
        <w:rFonts w:hint="default"/>
        <w:lang w:val="en-US" w:eastAsia="en-US" w:bidi="ar-SA"/>
      </w:rPr>
    </w:lvl>
    <w:lvl w:ilvl="3">
      <w:start w:val="0"/>
      <w:numFmt w:val="bullet"/>
      <w:lvlText w:val="•"/>
      <w:lvlJc w:val="left"/>
      <w:pPr>
        <w:ind w:left="3116" w:hanging="243"/>
      </w:pPr>
      <w:rPr>
        <w:rFonts w:hint="default"/>
        <w:lang w:val="en-US" w:eastAsia="en-US" w:bidi="ar-SA"/>
      </w:rPr>
    </w:lvl>
    <w:lvl w:ilvl="4">
      <w:start w:val="0"/>
      <w:numFmt w:val="bullet"/>
      <w:lvlText w:val="•"/>
      <w:lvlJc w:val="left"/>
      <w:pPr>
        <w:ind w:left="4008" w:hanging="243"/>
      </w:pPr>
      <w:rPr>
        <w:rFonts w:hint="default"/>
        <w:lang w:val="en-US" w:eastAsia="en-US" w:bidi="ar-SA"/>
      </w:rPr>
    </w:lvl>
    <w:lvl w:ilvl="5">
      <w:start w:val="0"/>
      <w:numFmt w:val="bullet"/>
      <w:lvlText w:val="•"/>
      <w:lvlJc w:val="left"/>
      <w:pPr>
        <w:ind w:left="4900" w:hanging="243"/>
      </w:pPr>
      <w:rPr>
        <w:rFonts w:hint="default"/>
        <w:lang w:val="en-US" w:eastAsia="en-US" w:bidi="ar-SA"/>
      </w:rPr>
    </w:lvl>
    <w:lvl w:ilvl="6">
      <w:start w:val="0"/>
      <w:numFmt w:val="bullet"/>
      <w:lvlText w:val="•"/>
      <w:lvlJc w:val="left"/>
      <w:pPr>
        <w:ind w:left="5792" w:hanging="243"/>
      </w:pPr>
      <w:rPr>
        <w:rFonts w:hint="default"/>
        <w:lang w:val="en-US" w:eastAsia="en-US" w:bidi="ar-SA"/>
      </w:rPr>
    </w:lvl>
    <w:lvl w:ilvl="7">
      <w:start w:val="0"/>
      <w:numFmt w:val="bullet"/>
      <w:lvlText w:val="•"/>
      <w:lvlJc w:val="left"/>
      <w:pPr>
        <w:ind w:left="6684" w:hanging="243"/>
      </w:pPr>
      <w:rPr>
        <w:rFonts w:hint="default"/>
        <w:lang w:val="en-US" w:eastAsia="en-US" w:bidi="ar-SA"/>
      </w:rPr>
    </w:lvl>
    <w:lvl w:ilvl="8">
      <w:start w:val="0"/>
      <w:numFmt w:val="bullet"/>
      <w:lvlText w:val="•"/>
      <w:lvlJc w:val="left"/>
      <w:pPr>
        <w:ind w:left="7576" w:hanging="243"/>
      </w:pPr>
      <w:rPr>
        <w:rFonts w:hint="default"/>
        <w:lang w:val="en-US" w:eastAsia="en-US" w:bidi="ar-SA"/>
      </w:rPr>
    </w:lvl>
  </w:abstractNum>
  <w:abstractNum w:abstractNumId="2">
    <w:multiLevelType w:val="hybridMultilevel"/>
    <w:lvl w:ilvl="0">
      <w:start w:val="1"/>
      <w:numFmt w:val="decimal"/>
      <w:lvlText w:val="%1."/>
      <w:lvlJc w:val="left"/>
      <w:pPr>
        <w:ind w:left="437" w:hanging="243"/>
        <w:jc w:val="left"/>
      </w:pPr>
      <w:rPr>
        <w:rFonts w:hint="default" w:ascii="Arial" w:hAnsi="Arial" w:eastAsia="Arial" w:cs="Arial"/>
        <w:b/>
        <w:bCs/>
        <w:i w:val="0"/>
        <w:iCs w:val="0"/>
        <w:color w:val="813C83"/>
        <w:spacing w:val="-6"/>
        <w:w w:val="102"/>
        <w:sz w:val="22"/>
        <w:szCs w:val="22"/>
        <w:lang w:val="en-US" w:eastAsia="en-US" w:bidi="ar-SA"/>
      </w:rPr>
    </w:lvl>
    <w:lvl w:ilvl="1">
      <w:start w:val="0"/>
      <w:numFmt w:val="bullet"/>
      <w:lvlText w:val="•"/>
      <w:lvlJc w:val="left"/>
      <w:pPr>
        <w:ind w:left="1332" w:hanging="243"/>
      </w:pPr>
      <w:rPr>
        <w:rFonts w:hint="default"/>
        <w:lang w:val="en-US" w:eastAsia="en-US" w:bidi="ar-SA"/>
      </w:rPr>
    </w:lvl>
    <w:lvl w:ilvl="2">
      <w:start w:val="0"/>
      <w:numFmt w:val="bullet"/>
      <w:lvlText w:val="•"/>
      <w:lvlJc w:val="left"/>
      <w:pPr>
        <w:ind w:left="2224" w:hanging="243"/>
      </w:pPr>
      <w:rPr>
        <w:rFonts w:hint="default"/>
        <w:lang w:val="en-US" w:eastAsia="en-US" w:bidi="ar-SA"/>
      </w:rPr>
    </w:lvl>
    <w:lvl w:ilvl="3">
      <w:start w:val="0"/>
      <w:numFmt w:val="bullet"/>
      <w:lvlText w:val="•"/>
      <w:lvlJc w:val="left"/>
      <w:pPr>
        <w:ind w:left="3116" w:hanging="243"/>
      </w:pPr>
      <w:rPr>
        <w:rFonts w:hint="default"/>
        <w:lang w:val="en-US" w:eastAsia="en-US" w:bidi="ar-SA"/>
      </w:rPr>
    </w:lvl>
    <w:lvl w:ilvl="4">
      <w:start w:val="0"/>
      <w:numFmt w:val="bullet"/>
      <w:lvlText w:val="•"/>
      <w:lvlJc w:val="left"/>
      <w:pPr>
        <w:ind w:left="4008" w:hanging="243"/>
      </w:pPr>
      <w:rPr>
        <w:rFonts w:hint="default"/>
        <w:lang w:val="en-US" w:eastAsia="en-US" w:bidi="ar-SA"/>
      </w:rPr>
    </w:lvl>
    <w:lvl w:ilvl="5">
      <w:start w:val="0"/>
      <w:numFmt w:val="bullet"/>
      <w:lvlText w:val="•"/>
      <w:lvlJc w:val="left"/>
      <w:pPr>
        <w:ind w:left="4900" w:hanging="243"/>
      </w:pPr>
      <w:rPr>
        <w:rFonts w:hint="default"/>
        <w:lang w:val="en-US" w:eastAsia="en-US" w:bidi="ar-SA"/>
      </w:rPr>
    </w:lvl>
    <w:lvl w:ilvl="6">
      <w:start w:val="0"/>
      <w:numFmt w:val="bullet"/>
      <w:lvlText w:val="•"/>
      <w:lvlJc w:val="left"/>
      <w:pPr>
        <w:ind w:left="5792" w:hanging="243"/>
      </w:pPr>
      <w:rPr>
        <w:rFonts w:hint="default"/>
        <w:lang w:val="en-US" w:eastAsia="en-US" w:bidi="ar-SA"/>
      </w:rPr>
    </w:lvl>
    <w:lvl w:ilvl="7">
      <w:start w:val="0"/>
      <w:numFmt w:val="bullet"/>
      <w:lvlText w:val="•"/>
      <w:lvlJc w:val="left"/>
      <w:pPr>
        <w:ind w:left="6684" w:hanging="243"/>
      </w:pPr>
      <w:rPr>
        <w:rFonts w:hint="default"/>
        <w:lang w:val="en-US" w:eastAsia="en-US" w:bidi="ar-SA"/>
      </w:rPr>
    </w:lvl>
    <w:lvl w:ilvl="8">
      <w:start w:val="0"/>
      <w:numFmt w:val="bullet"/>
      <w:lvlText w:val="•"/>
      <w:lvlJc w:val="left"/>
      <w:pPr>
        <w:ind w:left="7576" w:hanging="243"/>
      </w:pPr>
      <w:rPr>
        <w:rFonts w:hint="default"/>
        <w:lang w:val="en-US" w:eastAsia="en-US" w:bidi="ar-SA"/>
      </w:rPr>
    </w:lvl>
  </w:abstractNum>
  <w:abstractNum w:abstractNumId="1">
    <w:multiLevelType w:val="hybridMultilevel"/>
    <w:lvl w:ilvl="0">
      <w:start w:val="0"/>
      <w:numFmt w:val="bullet"/>
      <w:lvlText w:val="&amp;"/>
      <w:lvlPicBulletId w:val="0"/>
      <w:lvlJc w:val="left"/>
      <w:pPr>
        <w:ind w:left="399" w:hanging="280"/>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088" w:hanging="280"/>
      </w:pPr>
      <w:rPr>
        <w:rFonts w:hint="default"/>
        <w:lang w:val="en-US" w:eastAsia="en-US" w:bidi="ar-SA"/>
      </w:rPr>
    </w:lvl>
    <w:lvl w:ilvl="4">
      <w:start w:val="0"/>
      <w:numFmt w:val="bullet"/>
      <w:lvlText w:val="•"/>
      <w:lvlJc w:val="left"/>
      <w:pPr>
        <w:ind w:left="3984" w:hanging="280"/>
      </w:pPr>
      <w:rPr>
        <w:rFonts w:hint="default"/>
        <w:lang w:val="en-US" w:eastAsia="en-US" w:bidi="ar-SA"/>
      </w:rPr>
    </w:lvl>
    <w:lvl w:ilvl="5">
      <w:start w:val="0"/>
      <w:numFmt w:val="bullet"/>
      <w:lvlText w:val="•"/>
      <w:lvlJc w:val="left"/>
      <w:pPr>
        <w:ind w:left="4880" w:hanging="280"/>
      </w:pPr>
      <w:rPr>
        <w:rFonts w:hint="default"/>
        <w:lang w:val="en-US" w:eastAsia="en-US" w:bidi="ar-SA"/>
      </w:rPr>
    </w:lvl>
    <w:lvl w:ilvl="6">
      <w:start w:val="0"/>
      <w:numFmt w:val="bullet"/>
      <w:lvlText w:val="•"/>
      <w:lvlJc w:val="left"/>
      <w:pPr>
        <w:ind w:left="5776" w:hanging="280"/>
      </w:pPr>
      <w:rPr>
        <w:rFonts w:hint="default"/>
        <w:lang w:val="en-US" w:eastAsia="en-US" w:bidi="ar-SA"/>
      </w:rPr>
    </w:lvl>
    <w:lvl w:ilvl="7">
      <w:start w:val="0"/>
      <w:numFmt w:val="bullet"/>
      <w:lvlText w:val="•"/>
      <w:lvlJc w:val="left"/>
      <w:pPr>
        <w:ind w:left="6672" w:hanging="280"/>
      </w:pPr>
      <w:rPr>
        <w:rFonts w:hint="default"/>
        <w:lang w:val="en-US" w:eastAsia="en-US" w:bidi="ar-SA"/>
      </w:rPr>
    </w:lvl>
    <w:lvl w:ilvl="8">
      <w:start w:val="0"/>
      <w:numFmt w:val="bullet"/>
      <w:lvlText w:val="•"/>
      <w:lvlJc w:val="left"/>
      <w:pPr>
        <w:ind w:left="7568" w:hanging="280"/>
      </w:pPr>
      <w:rPr>
        <w:rFonts w:hint="default"/>
        <w:lang w:val="en-US" w:eastAsia="en-US" w:bidi="ar-SA"/>
      </w:rPr>
    </w:lvl>
  </w:abstractNum>
  <w:abstractNum w:abstractNumId="0">
    <w:multiLevelType w:val="hybridMultilevel"/>
    <w:lvl w:ilvl="0">
      <w:start w:val="1"/>
      <w:numFmt w:val="decimal"/>
      <w:lvlText w:val="%1."/>
      <w:lvlJc w:val="left"/>
      <w:pPr>
        <w:ind w:left="437" w:hanging="243"/>
        <w:jc w:val="right"/>
      </w:pPr>
      <w:rPr>
        <w:rFonts w:hint="default" w:ascii="Arial" w:hAnsi="Arial" w:eastAsia="Arial" w:cs="Arial"/>
        <w:b/>
        <w:bCs/>
        <w:i w:val="0"/>
        <w:iCs w:val="0"/>
        <w:color w:val="813C83"/>
        <w:spacing w:val="-6"/>
        <w:w w:val="102"/>
        <w:sz w:val="22"/>
        <w:szCs w:val="22"/>
        <w:lang w:val="en-US" w:eastAsia="en-US" w:bidi="ar-SA"/>
      </w:rPr>
    </w:lvl>
    <w:lvl w:ilvl="1">
      <w:start w:val="0"/>
      <w:numFmt w:val="bullet"/>
      <w:lvlText w:val="•"/>
      <w:lvlJc w:val="left"/>
      <w:pPr>
        <w:ind w:left="1332" w:hanging="243"/>
      </w:pPr>
      <w:rPr>
        <w:rFonts w:hint="default"/>
        <w:lang w:val="en-US" w:eastAsia="en-US" w:bidi="ar-SA"/>
      </w:rPr>
    </w:lvl>
    <w:lvl w:ilvl="2">
      <w:start w:val="0"/>
      <w:numFmt w:val="bullet"/>
      <w:lvlText w:val="•"/>
      <w:lvlJc w:val="left"/>
      <w:pPr>
        <w:ind w:left="2224" w:hanging="243"/>
      </w:pPr>
      <w:rPr>
        <w:rFonts w:hint="default"/>
        <w:lang w:val="en-US" w:eastAsia="en-US" w:bidi="ar-SA"/>
      </w:rPr>
    </w:lvl>
    <w:lvl w:ilvl="3">
      <w:start w:val="0"/>
      <w:numFmt w:val="bullet"/>
      <w:lvlText w:val="•"/>
      <w:lvlJc w:val="left"/>
      <w:pPr>
        <w:ind w:left="3116" w:hanging="243"/>
      </w:pPr>
      <w:rPr>
        <w:rFonts w:hint="default"/>
        <w:lang w:val="en-US" w:eastAsia="en-US" w:bidi="ar-SA"/>
      </w:rPr>
    </w:lvl>
    <w:lvl w:ilvl="4">
      <w:start w:val="0"/>
      <w:numFmt w:val="bullet"/>
      <w:lvlText w:val="•"/>
      <w:lvlJc w:val="left"/>
      <w:pPr>
        <w:ind w:left="4008" w:hanging="243"/>
      </w:pPr>
      <w:rPr>
        <w:rFonts w:hint="default"/>
        <w:lang w:val="en-US" w:eastAsia="en-US" w:bidi="ar-SA"/>
      </w:rPr>
    </w:lvl>
    <w:lvl w:ilvl="5">
      <w:start w:val="0"/>
      <w:numFmt w:val="bullet"/>
      <w:lvlText w:val="•"/>
      <w:lvlJc w:val="left"/>
      <w:pPr>
        <w:ind w:left="4900" w:hanging="243"/>
      </w:pPr>
      <w:rPr>
        <w:rFonts w:hint="default"/>
        <w:lang w:val="en-US" w:eastAsia="en-US" w:bidi="ar-SA"/>
      </w:rPr>
    </w:lvl>
    <w:lvl w:ilvl="6">
      <w:start w:val="0"/>
      <w:numFmt w:val="bullet"/>
      <w:lvlText w:val="•"/>
      <w:lvlJc w:val="left"/>
      <w:pPr>
        <w:ind w:left="5792" w:hanging="243"/>
      </w:pPr>
      <w:rPr>
        <w:rFonts w:hint="default"/>
        <w:lang w:val="en-US" w:eastAsia="en-US" w:bidi="ar-SA"/>
      </w:rPr>
    </w:lvl>
    <w:lvl w:ilvl="7">
      <w:start w:val="0"/>
      <w:numFmt w:val="bullet"/>
      <w:lvlText w:val="•"/>
      <w:lvlJc w:val="left"/>
      <w:pPr>
        <w:ind w:left="6684" w:hanging="243"/>
      </w:pPr>
      <w:rPr>
        <w:rFonts w:hint="default"/>
        <w:lang w:val="en-US" w:eastAsia="en-US" w:bidi="ar-SA"/>
      </w:rPr>
    </w:lvl>
    <w:lvl w:ilvl="8">
      <w:start w:val="0"/>
      <w:numFmt w:val="bullet"/>
      <w:lvlText w:val="•"/>
      <w:lvlJc w:val="left"/>
      <w:pPr>
        <w:ind w:left="7576" w:hanging="243"/>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5"/>
      <w:ind w:left="99"/>
      <w:jc w:val="both"/>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spacing w:before="200"/>
      <w:ind w:left="99"/>
      <w:outlineLvl w:val="1"/>
    </w:pPr>
    <w:rPr>
      <w:rFonts w:ascii="Arial" w:hAnsi="Arial" w:eastAsia="Arial" w:cs="Arial"/>
      <w:b/>
      <w:bCs/>
      <w:sz w:val="33"/>
      <w:szCs w:val="33"/>
      <w:lang w:val="en-US" w:eastAsia="en-US" w:bidi="ar-SA"/>
    </w:rPr>
  </w:style>
  <w:style w:styleId="Heading2" w:type="paragraph">
    <w:name w:val="Heading 2"/>
    <w:basedOn w:val="Normal"/>
    <w:uiPriority w:val="1"/>
    <w:qFormat/>
    <w:pPr>
      <w:ind w:left="437"/>
      <w:outlineLvl w:val="2"/>
    </w:pPr>
    <w:rPr>
      <w:rFonts w:ascii="Arial" w:hAnsi="Arial" w:eastAsia="Arial" w:cs="Arial"/>
      <w:sz w:val="33"/>
      <w:szCs w:val="33"/>
      <w:lang w:val="en-US" w:eastAsia="en-US" w:bidi="ar-SA"/>
    </w:rPr>
  </w:style>
  <w:style w:styleId="Heading3" w:type="paragraph">
    <w:name w:val="Heading 3"/>
    <w:basedOn w:val="Normal"/>
    <w:uiPriority w:val="1"/>
    <w:qFormat/>
    <w:pPr>
      <w:spacing w:before="93"/>
      <w:ind w:left="99"/>
      <w:outlineLvl w:val="3"/>
    </w:pPr>
    <w:rPr>
      <w:rFonts w:ascii="Arial" w:hAnsi="Arial" w:eastAsia="Arial" w:cs="Arial"/>
      <w:b/>
      <w:bCs/>
      <w:sz w:val="30"/>
      <w:szCs w:val="30"/>
      <w:lang w:val="en-US" w:eastAsia="en-US" w:bidi="ar-SA"/>
    </w:rPr>
  </w:style>
  <w:style w:styleId="ListParagraph" w:type="paragraph">
    <w:name w:val="List Paragraph"/>
    <w:basedOn w:val="Normal"/>
    <w:uiPriority w:val="1"/>
    <w:qFormat/>
    <w:pPr>
      <w:ind w:left="718" w:right="98" w:hanging="50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39"/>
      <w:ind w:left="8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hyperlink" Target="http://www.edc.gsph.pitt.edu/swan/" TargetMode="External"/><Relationship Id="rId16" Type="http://schemas.openxmlformats.org/officeDocument/2006/relationships/image" Target="media/image11.jpeg"/><Relationship Id="rId17" Type="http://schemas.openxmlformats.org/officeDocument/2006/relationships/image" Target="media/image14.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hyperlink" Target="https://www.cdc.gov/nchs" TargetMode="External"/><Relationship Id="rId21" Type="http://schemas.openxmlformats.org/officeDocument/2006/relationships/hyperlink" Target="https://www.census.gov/topics/population/older-aging.html" TargetMode="External"/><Relationship Id="rId22" Type="http://schemas.openxmlformats.org/officeDocument/2006/relationships/hyperlink" Target="https://www.un.org/en/global-issues/population" TargetMode="External"/><Relationship Id="rId23" Type="http://schemas.openxmlformats.org/officeDocument/2006/relationships/hyperlink" Target="https://www.ssa.gov/history/reports/trust/1995/index.html" TargetMode="External"/><Relationship Id="rId24" Type="http://schemas.openxmlformats.org/officeDocument/2006/relationships/hyperlink" Target="http://www.cdc.gov/nchs/data/ad/ad272.pdf" TargetMode="External"/><Relationship Id="rId25" Type="http://schemas.openxmlformats.org/officeDocument/2006/relationships/hyperlink" Target="https://www.cdc.gov/museum/timeline/covid19.html" TargetMode="External"/><Relationship Id="rId26" Type="http://schemas.openxmlformats.org/officeDocument/2006/relationships/hyperlink" Target="https://www.guinnessworldrecords.com/world-records/oldest-person-to-give-birth" TargetMode="External"/><Relationship Id="rId27" Type="http://schemas.openxmlformats.org/officeDocument/2006/relationships/hyperlink" Target="https://www.nhlbi.nih.gov/health/coronary-heart-disease/women" TargetMode="External"/><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30.jpeg"/><Relationship Id="rId36" Type="http://schemas.openxmlformats.org/officeDocument/2006/relationships/hyperlink" Target="https://www.accessdata.fda.gov/drugsatfda_docs/label/2003/20685slr057_crixivan_lbl.pdf" TargetMode="External"/><Relationship Id="rId37" Type="http://schemas.openxmlformats.org/officeDocument/2006/relationships/hyperlink" Target="https://www.cdc.gov/breast-cancer/risk-factors/index.html" TargetMode="External"/><Relationship Id="rId38"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Relationship Id="rId3" Type="http://schemas.openxmlformats.org/officeDocument/2006/relationships/image" Target="media/image15.png"/><Relationship Id="rId4" Type="http://schemas.openxmlformats.org/officeDocument/2006/relationships/image" Target="media/image18.png"/><Relationship Id="rId5" Type="http://schemas.openxmlformats.org/officeDocument/2006/relationships/image" Target="media/image21.png"/><Relationship Id="rId6" Type="http://schemas.openxmlformats.org/officeDocument/2006/relationships/image" Target="media/image25.png"/><Relationship Id="rId7" Type="http://schemas.openxmlformats.org/officeDocument/2006/relationships/image" Target="media/image28.png"/><Relationship Id="rId8" Type="http://schemas.openxmlformats.org/officeDocument/2006/relationships/image" Target="media/image29.png"/><Relationship Id="rId9" Type="http://schemas.openxmlformats.org/officeDocument/2006/relationships/image" Target="media/image31.png"/><Relationship Id="rId10" Type="http://schemas.openxmlformats.org/officeDocument/2006/relationships/image" Target="media/image32.png"/><Relationship Id="rId11" Type="http://schemas.openxmlformats.org/officeDocument/2006/relationships/image" Target="media/image33.png"/><Relationship Id="rId12" Type="http://schemas.openxmlformats.org/officeDocument/2006/relationships/image" Target="media/image34.png"/><Relationship Id="rId1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2026-02-05T20:24:03Z</dcterms:created>
  <dcterms:modified xsi:type="dcterms:W3CDTF">2026-02-05T20:24:03Z</dcterms:modified>
</cp:coreProperties>
</file>