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B346C" w14:textId="77777777" w:rsidR="0009145F" w:rsidRDefault="00000000">
      <w:pPr>
        <w:spacing w:after="80"/>
      </w:pPr>
      <w:r>
        <w:rPr>
          <w:b/>
          <w:color w:val="0874C7"/>
          <w:sz w:val="18"/>
        </w:rPr>
        <w:t>Current state and target Azure deployment</w:t>
      </w:r>
    </w:p>
    <w:p w14:paraId="4BA7025A" w14:textId="77777777" w:rsidR="0009145F" w:rsidRDefault="00000000">
      <w:pPr>
        <w:pStyle w:val="Heading1"/>
      </w:pPr>
      <w:r>
        <w:rPr>
          <w:color w:val="10243E"/>
        </w:rPr>
        <w:t>FinScan2 Architecture</w:t>
      </w:r>
    </w:p>
    <w:p w14:paraId="61121ED8" w14:textId="77777777" w:rsidR="0009145F" w:rsidRDefault="00000000">
      <w:r>
        <w:rPr>
          <w:color w:val="52657A"/>
          <w:sz w:val="28"/>
        </w:rPr>
        <w:t>A controlled financial-document pipeline: read a filing, resolve a reviewed mapping, validate the result, and write a traceable copy of the Excel model.</w:t>
      </w:r>
    </w:p>
    <w:tbl>
      <w:tblPr>
        <w:tblW w:w="0" w:type="auto"/>
        <w:tblLook w:val="04A0" w:firstRow="1" w:lastRow="0" w:firstColumn="1" w:lastColumn="0" w:noHBand="0" w:noVBand="1"/>
      </w:tblPr>
      <w:tblGrid>
        <w:gridCol w:w="9936"/>
      </w:tblGrid>
      <w:tr w:rsidR="0009145F" w14:paraId="2CF8AE8F" w14:textId="77777777">
        <w:tc>
          <w:tcPr>
            <w:tcW w:w="9936" w:type="dxa"/>
            <w:shd w:val="clear" w:color="auto" w:fill="F4F8FB"/>
          </w:tcPr>
          <w:p w14:paraId="0F3630BE" w14:textId="77777777" w:rsidR="0009145F" w:rsidRDefault="00000000">
            <w:r>
              <w:rPr>
                <w:b/>
              </w:rPr>
              <w:t>Current:</w:t>
            </w:r>
            <w:r>
              <w:t xml:space="preserve"> FinScan2 is a local CLI application. It has no HTTP API, Teams bot, Foundry agent, or Blob Storage integration today.</w:t>
            </w:r>
          </w:p>
        </w:tc>
      </w:tr>
    </w:tbl>
    <w:p w14:paraId="5B4D6D01" w14:textId="77777777" w:rsidR="0009145F" w:rsidRDefault="0009145F"/>
    <w:tbl>
      <w:tblPr>
        <w:tblW w:w="0" w:type="auto"/>
        <w:tblLook w:val="04A0" w:firstRow="1" w:lastRow="0" w:firstColumn="1" w:lastColumn="0" w:noHBand="0" w:noVBand="1"/>
      </w:tblPr>
      <w:tblGrid>
        <w:gridCol w:w="9936"/>
      </w:tblGrid>
      <w:tr w:rsidR="0009145F" w14:paraId="09A3CAF8" w14:textId="77777777">
        <w:tc>
          <w:tcPr>
            <w:tcW w:w="9936" w:type="dxa"/>
            <w:shd w:val="clear" w:color="auto" w:fill="F4F8FB"/>
          </w:tcPr>
          <w:p w14:paraId="445B9D06" w14:textId="77777777" w:rsidR="0009145F" w:rsidRDefault="00000000">
            <w:r>
              <w:rPr>
                <w:b/>
              </w:rPr>
              <w:t>Target:</w:t>
            </w:r>
            <w:r>
              <w:t xml:space="preserve"> Deploy one FinScan2 worker image with a small asynchronous job API. Foundry is optional and only provides a Teams-facing conversational interface.</w:t>
            </w:r>
          </w:p>
        </w:tc>
      </w:tr>
    </w:tbl>
    <w:p w14:paraId="6BAE5320" w14:textId="77777777" w:rsidR="0009145F" w:rsidRDefault="0009145F"/>
    <w:p w14:paraId="19B7D3F6" w14:textId="77777777" w:rsidR="0009145F" w:rsidRDefault="00000000">
      <w:pPr>
        <w:pStyle w:val="Heading2"/>
      </w:pPr>
      <w:r>
        <w:rPr>
          <w:color w:val="10243E"/>
        </w:rPr>
        <w:t>Executive Summary</w:t>
      </w:r>
    </w:p>
    <w:p w14:paraId="3C4B360C" w14:textId="77777777" w:rsidR="0009145F" w:rsidRDefault="00000000">
      <w:pPr>
        <w:pStyle w:val="FinScanCode"/>
        <w:shd w:val="clear" w:color="auto" w:fill="122337"/>
      </w:pPr>
      <w:r>
        <w:t>flowchart LR</w:t>
      </w:r>
      <w:r>
        <w:br/>
        <w:t xml:space="preserve">    Analyst[Analyst] --&gt; Client[Teams, UI, or scheduler]</w:t>
      </w:r>
      <w:r>
        <w:br/>
        <w:t xml:space="preserve">    Client --&gt; API[FinScan2 job API]</w:t>
      </w:r>
      <w:r>
        <w:br/>
        <w:t xml:space="preserve">    API --&gt; Queue[Durable job queue]</w:t>
      </w:r>
      <w:r>
        <w:br/>
        <w:t xml:space="preserve">    Queue --&gt; Worker[FinScan2 worker job]</w:t>
      </w:r>
      <w:r>
        <w:br/>
        <w:t xml:space="preserve">    Worker --&gt; Artifacts[Workbook, audit JSON, report]</w:t>
      </w:r>
      <w:r>
        <w:br/>
        <w:t xml:space="preserve">    Foundry[Optional Foundry agent] --&gt; API</w:t>
      </w:r>
    </w:p>
    <w:p w14:paraId="2C652E3F" w14:textId="77777777" w:rsidR="0009145F" w:rsidRDefault="00000000">
      <w:r>
        <w:t>The worker is the only component that parses financial filings, resolves values, validates safety controls, and writes workbooks. The API submits jobs and publishes their status; it does not execute a long PDF/Excel run inside an HTTP request.</w:t>
      </w:r>
    </w:p>
    <w:p w14:paraId="40ABF018" w14:textId="77777777" w:rsidR="0009145F" w:rsidRDefault="00000000">
      <w:pPr>
        <w:pStyle w:val="Heading2"/>
      </w:pPr>
      <w:r>
        <w:rPr>
          <w:color w:val="10243E"/>
        </w:rPr>
        <w:t>Current Architecture</w:t>
      </w:r>
    </w:p>
    <w:p w14:paraId="1F268DF4" w14:textId="77777777" w:rsidR="0009145F" w:rsidRDefault="00000000">
      <w:pPr>
        <w:pStyle w:val="FinScanCode"/>
        <w:shd w:val="clear" w:color="auto" w:fill="122337"/>
      </w:pPr>
      <w:r>
        <w:t>flowchart LR</w:t>
      </w:r>
      <w:r>
        <w:br/>
        <w:t xml:space="preserve">    PDF[PDF filing] --&gt; CLI[python -m finscan2.cli]</w:t>
      </w:r>
      <w:r>
        <w:br/>
        <w:t xml:space="preserve">    XLSX[Excel model] --&gt; CLI</w:t>
      </w:r>
      <w:r>
        <w:br/>
        <w:t xml:space="preserve">    Map[Reviewed mapping JSON] --&gt; CLI</w:t>
      </w:r>
      <w:r>
        <w:br/>
        <w:t xml:space="preserve">    CLI --&gt; Read[Read PDF]</w:t>
      </w:r>
      <w:r>
        <w:br/>
        <w:t xml:space="preserve">    Read --&gt; Resolve[Resolve mapped values]</w:t>
      </w:r>
      <w:r>
        <w:br/>
        <w:t xml:space="preserve">    Resolve --&gt; Validate[Validate]</w:t>
      </w:r>
      <w:r>
        <w:br/>
        <w:t xml:space="preserve">    Validate --&gt; Write[Write workbook copy]</w:t>
      </w:r>
      <w:r>
        <w:br/>
        <w:t xml:space="preserve">    Write --&gt; Output[Output workbook]</w:t>
      </w:r>
      <w:r>
        <w:br/>
        <w:t xml:space="preserve">    Resolve --&gt; Audit[Values JSON and report]</w:t>
      </w:r>
    </w:p>
    <w:p w14:paraId="25209D30" w14:textId="77777777" w:rsidR="0009145F" w:rsidRDefault="00000000">
      <w:pPr>
        <w:pStyle w:val="FinScanCode"/>
        <w:shd w:val="clear" w:color="auto" w:fill="122337"/>
      </w:pPr>
      <w:r>
        <w:t>.\.venv\Scripts\python.exe -m finscan2.cli company ccu run</w:t>
      </w:r>
    </w:p>
    <w:tbl>
      <w:tblPr>
        <w:tblStyle w:val="TableGrid"/>
        <w:tblW w:w="0" w:type="auto"/>
        <w:tblLook w:val="04A0" w:firstRow="1" w:lastRow="0" w:firstColumn="1" w:lastColumn="0" w:noHBand="0" w:noVBand="1"/>
      </w:tblPr>
      <w:tblGrid>
        <w:gridCol w:w="4968"/>
        <w:gridCol w:w="4968"/>
      </w:tblGrid>
      <w:tr w:rsidR="0009145F" w14:paraId="7CDF340B" w14:textId="77777777">
        <w:tc>
          <w:tcPr>
            <w:tcW w:w="4968" w:type="dxa"/>
            <w:shd w:val="clear" w:color="auto" w:fill="E8F2F8"/>
          </w:tcPr>
          <w:p w14:paraId="6F3B0237" w14:textId="77777777" w:rsidR="0009145F" w:rsidRDefault="00000000">
            <w:r>
              <w:rPr>
                <w:b/>
                <w:color w:val="153957"/>
              </w:rPr>
              <w:t>Area</w:t>
            </w:r>
          </w:p>
        </w:tc>
        <w:tc>
          <w:tcPr>
            <w:tcW w:w="4968" w:type="dxa"/>
            <w:shd w:val="clear" w:color="auto" w:fill="E8F2F8"/>
          </w:tcPr>
          <w:p w14:paraId="45D0F8A2" w14:textId="77777777" w:rsidR="0009145F" w:rsidRDefault="00000000">
            <w:r>
              <w:rPr>
                <w:b/>
                <w:color w:val="153957"/>
              </w:rPr>
              <w:t>Current responsibility</w:t>
            </w:r>
          </w:p>
        </w:tc>
      </w:tr>
      <w:tr w:rsidR="0009145F" w14:paraId="643B327C" w14:textId="77777777">
        <w:tc>
          <w:tcPr>
            <w:tcW w:w="4968" w:type="dxa"/>
          </w:tcPr>
          <w:p w14:paraId="19DC77FE" w14:textId="77777777" w:rsidR="0009145F" w:rsidRDefault="00000000">
            <w:r>
              <w:rPr>
                <w:rFonts w:ascii="Consolas" w:eastAsia="Consolas" w:hAnsi="Consolas"/>
              </w:rPr>
              <w:t>pdf/</w:t>
            </w:r>
          </w:p>
        </w:tc>
        <w:tc>
          <w:tcPr>
            <w:tcW w:w="4968" w:type="dxa"/>
          </w:tcPr>
          <w:p w14:paraId="39F417A0" w14:textId="77777777" w:rsidR="0009145F" w:rsidRDefault="00000000">
            <w:r>
              <w:t>PDF text/table extraction, OCR, and optional vision read.</w:t>
            </w:r>
          </w:p>
        </w:tc>
      </w:tr>
      <w:tr w:rsidR="0009145F" w14:paraId="6C9DD7F4" w14:textId="77777777">
        <w:tc>
          <w:tcPr>
            <w:tcW w:w="4968" w:type="dxa"/>
          </w:tcPr>
          <w:p w14:paraId="4E0CA553" w14:textId="77777777" w:rsidR="0009145F" w:rsidRDefault="00000000">
            <w:r>
              <w:rPr>
                <w:rFonts w:ascii="Consolas" w:eastAsia="Consolas" w:hAnsi="Consolas"/>
              </w:rPr>
              <w:t>model/</w:t>
            </w:r>
          </w:p>
        </w:tc>
        <w:tc>
          <w:tcPr>
            <w:tcW w:w="4968" w:type="dxa"/>
          </w:tcPr>
          <w:p w14:paraId="562F38AB" w14:textId="77777777" w:rsidR="0009145F" w:rsidRDefault="00000000">
            <w:r>
              <w:t>Workbook layout and period-column discovery.</w:t>
            </w:r>
          </w:p>
        </w:tc>
      </w:tr>
      <w:tr w:rsidR="0009145F" w14:paraId="5EEB5571" w14:textId="77777777">
        <w:tc>
          <w:tcPr>
            <w:tcW w:w="4968" w:type="dxa"/>
          </w:tcPr>
          <w:p w14:paraId="7E7291B1" w14:textId="77777777" w:rsidR="0009145F" w:rsidRDefault="00000000">
            <w:r>
              <w:rPr>
                <w:rFonts w:ascii="Consolas" w:eastAsia="Consolas" w:hAnsi="Consolas"/>
              </w:rPr>
              <w:t>mapping/</w:t>
            </w:r>
          </w:p>
        </w:tc>
        <w:tc>
          <w:tcPr>
            <w:tcW w:w="4968" w:type="dxa"/>
          </w:tcPr>
          <w:p w14:paraId="0C4C1C6E" w14:textId="77777777" w:rsidR="0009145F" w:rsidRDefault="00000000">
            <w:r>
              <w:t>Reviewed, company-specific PDF-to-model decisions.</w:t>
            </w:r>
          </w:p>
        </w:tc>
      </w:tr>
      <w:tr w:rsidR="0009145F" w14:paraId="25AC7491" w14:textId="77777777">
        <w:tc>
          <w:tcPr>
            <w:tcW w:w="4968" w:type="dxa"/>
          </w:tcPr>
          <w:p w14:paraId="0539B3B6" w14:textId="77777777" w:rsidR="0009145F" w:rsidRDefault="00000000">
            <w:r>
              <w:rPr>
                <w:rFonts w:ascii="Consolas" w:eastAsia="Consolas" w:hAnsi="Consolas"/>
              </w:rPr>
              <w:t>match/</w:t>
            </w:r>
          </w:p>
        </w:tc>
        <w:tc>
          <w:tcPr>
            <w:tcW w:w="4968" w:type="dxa"/>
          </w:tcPr>
          <w:p w14:paraId="11AFF090" w14:textId="77777777" w:rsidR="0009145F" w:rsidRDefault="00000000">
            <w:r>
              <w:t>Caption lookup, sums, periods, and resolution.</w:t>
            </w:r>
          </w:p>
        </w:tc>
      </w:tr>
      <w:tr w:rsidR="0009145F" w14:paraId="75CDE9D3" w14:textId="77777777">
        <w:tc>
          <w:tcPr>
            <w:tcW w:w="4968" w:type="dxa"/>
          </w:tcPr>
          <w:p w14:paraId="6400B79D" w14:textId="77777777" w:rsidR="0009145F" w:rsidRDefault="00000000">
            <w:r>
              <w:rPr>
                <w:rFonts w:ascii="Consolas" w:eastAsia="Consolas" w:hAnsi="Consolas"/>
              </w:rPr>
              <w:t>write/</w:t>
            </w:r>
          </w:p>
        </w:tc>
        <w:tc>
          <w:tcPr>
            <w:tcW w:w="4968" w:type="dxa"/>
          </w:tcPr>
          <w:p w14:paraId="0A90F32E" w14:textId="77777777" w:rsidR="0009145F" w:rsidRDefault="00000000">
            <w:r>
              <w:t>Workbook copy, inputs, formulas, comments, and audit.</w:t>
            </w:r>
          </w:p>
        </w:tc>
      </w:tr>
    </w:tbl>
    <w:p w14:paraId="779033BE" w14:textId="77777777" w:rsidR="0009145F" w:rsidRDefault="0009145F"/>
    <w:p w14:paraId="721DF608" w14:textId="77777777" w:rsidR="0009145F" w:rsidRDefault="00000000">
      <w:pPr>
        <w:pStyle w:val="Heading2"/>
      </w:pPr>
      <w:r>
        <w:rPr>
          <w:color w:val="10243E"/>
        </w:rPr>
        <w:lastRenderedPageBreak/>
        <w:t>Target Cloud Architecture</w:t>
      </w:r>
    </w:p>
    <w:p w14:paraId="02749469" w14:textId="77777777" w:rsidR="0009145F" w:rsidRDefault="00000000">
      <w:pPr>
        <w:pStyle w:val="FinScanCode"/>
        <w:shd w:val="clear" w:color="auto" w:fill="122337"/>
      </w:pPr>
      <w:r>
        <w:t>flowchart TB</w:t>
      </w:r>
      <w:r>
        <w:br/>
        <w:t xml:space="preserve">    subgraph Users</w:t>
      </w:r>
      <w:r>
        <w:br/>
        <w:t xml:space="preserve">      Teams[Teams user]</w:t>
      </w:r>
      <w:r>
        <w:br/>
        <w:t xml:space="preserve">      Ops[Operations UI or scheduler]</w:t>
      </w:r>
      <w:r>
        <w:br/>
        <w:t xml:space="preserve">    end</w:t>
      </w:r>
      <w:r>
        <w:br/>
        <w:t xml:space="preserve">    subgraph Azure</w:t>
      </w:r>
      <w:r>
        <w:br/>
        <w:t xml:space="preserve">      Agent[Optional Foundry agent]</w:t>
      </w:r>
      <w:r>
        <w:br/>
        <w:t xml:space="preserve">      Gateway[API Management]</w:t>
      </w:r>
      <w:r>
        <w:br/>
        <w:t xml:space="preserve">      API[FinScan2 job API]</w:t>
      </w:r>
      <w:r>
        <w:br/>
        <w:t xml:space="preserve">      Queue[Service Bus]</w:t>
      </w:r>
      <w:r>
        <w:br/>
        <w:t xml:space="preserve">      Worker[Container Apps Job]</w:t>
      </w:r>
      <w:r>
        <w:br/>
        <w:t xml:space="preserve">      Blob[(Blob Storage)]</w:t>
      </w:r>
      <w:r>
        <w:br/>
        <w:t xml:space="preserve">      Jobs[(Job status store)]</w:t>
      </w:r>
      <w:r>
        <w:br/>
        <w:t xml:space="preserve">      KV[Key Vault]</w:t>
      </w:r>
      <w:r>
        <w:br/>
        <w:t xml:space="preserve">      AOAI[Azure OpenAI]</w:t>
      </w:r>
      <w:r>
        <w:br/>
        <w:t xml:space="preserve">      Monitor[Application Insights]</w:t>
      </w:r>
      <w:r>
        <w:br/>
        <w:t xml:space="preserve">    end</w:t>
      </w:r>
      <w:r>
        <w:br/>
        <w:t xml:space="preserve">    Teams --&gt; Agent --&gt; Gateway --&gt; API</w:t>
      </w:r>
      <w:r>
        <w:br/>
        <w:t xml:space="preserve">    Ops --&gt; Gateway</w:t>
      </w:r>
      <w:r>
        <w:br/>
        <w:t xml:space="preserve">    API --&gt; Queue --&gt; Worker</w:t>
      </w:r>
      <w:r>
        <w:br/>
        <w:t xml:space="preserve">    API --&gt; Jobs</w:t>
      </w:r>
      <w:r>
        <w:br/>
        <w:t xml:space="preserve">    API --&gt; Blob</w:t>
      </w:r>
      <w:r>
        <w:br/>
        <w:t xml:space="preserve">    Worker --&gt; Blob</w:t>
      </w:r>
      <w:r>
        <w:br/>
        <w:t xml:space="preserve">    Worker --&gt; Jobs</w:t>
      </w:r>
      <w:r>
        <w:br/>
        <w:t xml:space="preserve">    Worker --&gt; KV</w:t>
      </w:r>
      <w:r>
        <w:br/>
        <w:t xml:space="preserve">    Worker -. optional model call .-&gt; AOAI</w:t>
      </w:r>
      <w:r>
        <w:br/>
        <w:t xml:space="preserve">    API --&gt; Monitor</w:t>
      </w:r>
      <w:r>
        <w:br/>
        <w:t xml:space="preserve">    Worker --&gt; Monitor</w:t>
      </w:r>
    </w:p>
    <w:p w14:paraId="4D6E2B3A" w14:textId="77777777" w:rsidR="0009145F" w:rsidRDefault="00000000">
      <w:pPr>
        <w:pStyle w:val="Heading2"/>
      </w:pPr>
      <w:r>
        <w:rPr>
          <w:color w:val="10243E"/>
        </w:rPr>
        <w:t>Identity and Boundaries</w:t>
      </w:r>
    </w:p>
    <w:p w14:paraId="167D3AEC" w14:textId="77777777" w:rsidR="0009145F" w:rsidRDefault="00000000">
      <w:pPr>
        <w:pStyle w:val="FinScanCode"/>
        <w:shd w:val="clear" w:color="auto" w:fill="122337"/>
      </w:pPr>
      <w:r>
        <w:t>flowchart LR</w:t>
      </w:r>
      <w:r>
        <w:br/>
        <w:t xml:space="preserve">    Client[Approved client] --&gt;|HTTPS + Entra token| API[FinScan2 API]</w:t>
      </w:r>
      <w:r>
        <w:br/>
        <w:t xml:space="preserve">    API --&gt;|queue message| Worker[FinScan2 worker]</w:t>
      </w:r>
      <w:r>
        <w:br/>
        <w:t xml:space="preserve">    API --&gt;|managed identity| Blob[(Blob Storage)]</w:t>
      </w:r>
      <w:r>
        <w:br/>
        <w:t xml:space="preserve">    Worker --&gt;|managed identity| Blob</w:t>
      </w:r>
      <w:r>
        <w:br/>
        <w:t xml:space="preserve">    Worker --&gt;|managed identity| KV[Key Vault]</w:t>
      </w:r>
      <w:r>
        <w:br/>
        <w:t xml:space="preserve">    Worker --&gt;|managed identity| AOAI[Azure OpenAI]</w:t>
      </w:r>
    </w:p>
    <w:p w14:paraId="5D4A3AF6" w14:textId="77777777" w:rsidR="0009145F" w:rsidRDefault="00000000">
      <w:r>
        <w:t>The API is the only public boundary. Foundry, Teams, an internal UI, and schedulers call the API with Entra ID. The worker receives only queued jobs and has no need to accept public HTTP traffic.</w:t>
      </w:r>
    </w:p>
    <w:p w14:paraId="03C4D74C" w14:textId="77777777" w:rsidR="0009145F" w:rsidRDefault="00000000">
      <w:pPr>
        <w:pStyle w:val="Heading2"/>
      </w:pPr>
      <w:r>
        <w:rPr>
          <w:color w:val="10243E"/>
        </w:rPr>
        <w:t>Processing Pipeline</w:t>
      </w:r>
    </w:p>
    <w:p w14:paraId="31842F9D" w14:textId="77777777" w:rsidR="0009145F" w:rsidRDefault="00000000">
      <w:pPr>
        <w:pStyle w:val="FinScanCode"/>
        <w:shd w:val="clear" w:color="auto" w:fill="122337"/>
      </w:pPr>
      <w:r>
        <w:t>flowchart LR</w:t>
      </w:r>
      <w:r>
        <w:br/>
        <w:t xml:space="preserve">    PDF[PDF bytes] --&gt; Hash[SHA-256]</w:t>
      </w:r>
      <w:r>
        <w:br/>
        <w:t xml:space="preserve">    Hash --&gt; Cache{Matching cached parse?}</w:t>
      </w:r>
      <w:r>
        <w:br/>
        <w:t xml:space="preserve">    Cache --&gt;|yes| Doc[PdfDoc]</w:t>
      </w:r>
      <w:r>
        <w:br/>
        <w:t xml:space="preserve">    Cache --&gt;|no| Text[Text and table extraction]</w:t>
      </w:r>
      <w:r>
        <w:br/>
        <w:t xml:space="preserve">    Text --&gt; OCR[OCR fallback]</w:t>
      </w:r>
      <w:r>
        <w:br/>
        <w:t xml:space="preserve">    OCR --&gt; Statements[Statement and note parsing]</w:t>
      </w:r>
      <w:r>
        <w:br/>
        <w:t xml:space="preserve">    Statements --&gt; Doc</w:t>
      </w:r>
      <w:r>
        <w:br/>
        <w:t xml:space="preserve">    Doc --&gt; Resolve[Resolve reviewed mapping]</w:t>
      </w:r>
      <w:r>
        <w:br/>
        <w:t xml:space="preserve">    Resolve --&gt; Check[Period, coverage, and adjustment checks]</w:t>
      </w:r>
      <w:r>
        <w:br/>
        <w:t xml:space="preserve">    Check --&gt; Write[Copy and update workbook]</w:t>
      </w:r>
      <w:r>
        <w:br/>
        <w:t xml:space="preserve">    Write --&gt; Result[Workbook plus audit artifacts]</w:t>
      </w:r>
    </w:p>
    <w:p w14:paraId="37236BEF" w14:textId="77777777" w:rsidR="0009145F" w:rsidRDefault="00000000">
      <w:r>
        <w:lastRenderedPageBreak/>
        <w:t xml:space="preserve">The normal </w:t>
      </w:r>
      <w:r>
        <w:rPr>
          <w:rFonts w:ascii="Consolas" w:eastAsia="Consolas" w:hAnsi="Consolas"/>
        </w:rPr>
        <w:t>run</w:t>
      </w:r>
      <w:r>
        <w:t xml:space="preserve"> command reads company filings, learns a mapping only when none exists, and then applies the approved mapping. </w:t>
      </w:r>
      <w:r>
        <w:rPr>
          <w:rFonts w:ascii="Consolas" w:eastAsia="Consolas" w:hAnsi="Consolas"/>
        </w:rPr>
        <w:t>read</w:t>
      </w:r>
      <w:r>
        <w:t xml:space="preserve">, </w:t>
      </w:r>
      <w:r>
        <w:rPr>
          <w:rFonts w:ascii="Consolas" w:eastAsia="Consolas" w:hAnsi="Consolas"/>
        </w:rPr>
        <w:t>learn</w:t>
      </w:r>
      <w:r>
        <w:t xml:space="preserve">, and </w:t>
      </w:r>
      <w:r>
        <w:rPr>
          <w:rFonts w:ascii="Consolas" w:eastAsia="Consolas" w:hAnsi="Consolas"/>
        </w:rPr>
        <w:t>apply</w:t>
      </w:r>
      <w:r>
        <w:t xml:space="preserve"> remain available as diagnostic stages.</w:t>
      </w:r>
    </w:p>
    <w:p w14:paraId="64F077C1" w14:textId="77777777" w:rsidR="0009145F" w:rsidRDefault="00000000">
      <w:pPr>
        <w:pStyle w:val="Heading2"/>
      </w:pPr>
      <w:r>
        <w:rPr>
          <w:color w:val="10243E"/>
        </w:rPr>
        <w:t>Optional Model and Vision Path</w:t>
      </w:r>
    </w:p>
    <w:p w14:paraId="782F0F56" w14:textId="77777777" w:rsidR="0009145F" w:rsidRDefault="00000000">
      <w:pPr>
        <w:pStyle w:val="FinScanCode"/>
        <w:shd w:val="clear" w:color="auto" w:fill="122337"/>
      </w:pPr>
      <w:r>
        <w:t>flowchart LR</w:t>
      </w:r>
      <w:r>
        <w:br/>
        <w:t xml:space="preserve">    Mapping{Vision reader enabled?} --&gt;|no| Rule[Rule-based parser]</w:t>
      </w:r>
      <w:r>
        <w:br/>
        <w:t xml:space="preserve">    Mapping --&gt;|yes| Image[Render table page]</w:t>
      </w:r>
      <w:r>
        <w:br/>
        <w:t xml:space="preserve">    Image --&gt; Model[Configured vision model]</w:t>
      </w:r>
      <w:r>
        <w:br/>
        <w:t xml:space="preserve">    Model --&gt; Verify[Verify figures against PDF text]</w:t>
      </w:r>
      <w:r>
        <w:br/>
        <w:t xml:space="preserve">    Rule --&gt; PDFDoc[Common PdfDoc contract]</w:t>
      </w:r>
      <w:r>
        <w:br/>
        <w:t xml:space="preserve">    Verify --&gt; PDFDoc</w:t>
      </w:r>
    </w:p>
    <w:p w14:paraId="406C497B" w14:textId="77777777" w:rsidR="0009145F" w:rsidRDefault="00000000">
      <w:r>
        <w:t>Rule-based parsing is the default. A company mapping can opt into the vision reader only for filings whose table layout cannot be read reliably from text. Vision output is cached and figures that cannot be verified against the text layer must not be written automatically.</w:t>
      </w:r>
    </w:p>
    <w:p w14:paraId="154BDB9D" w14:textId="77777777" w:rsidR="0009145F" w:rsidRDefault="00000000">
      <w:pPr>
        <w:pStyle w:val="Heading2"/>
      </w:pPr>
      <w:r>
        <w:rPr>
          <w:color w:val="10243E"/>
        </w:rPr>
        <w:t>Safety and Audit</w:t>
      </w:r>
    </w:p>
    <w:tbl>
      <w:tblPr>
        <w:tblStyle w:val="TableGrid"/>
        <w:tblW w:w="0" w:type="auto"/>
        <w:tblLook w:val="04A0" w:firstRow="1" w:lastRow="0" w:firstColumn="1" w:lastColumn="0" w:noHBand="0" w:noVBand="1"/>
      </w:tblPr>
      <w:tblGrid>
        <w:gridCol w:w="4968"/>
        <w:gridCol w:w="4968"/>
      </w:tblGrid>
      <w:tr w:rsidR="0009145F" w14:paraId="12B5D557" w14:textId="77777777">
        <w:tc>
          <w:tcPr>
            <w:tcW w:w="4968" w:type="dxa"/>
            <w:shd w:val="clear" w:color="auto" w:fill="E8F2F8"/>
          </w:tcPr>
          <w:p w14:paraId="1A34C70A" w14:textId="77777777" w:rsidR="0009145F" w:rsidRDefault="00000000">
            <w:r>
              <w:rPr>
                <w:b/>
                <w:color w:val="153957"/>
              </w:rPr>
              <w:t>Control</w:t>
            </w:r>
          </w:p>
        </w:tc>
        <w:tc>
          <w:tcPr>
            <w:tcW w:w="4968" w:type="dxa"/>
            <w:shd w:val="clear" w:color="auto" w:fill="E8F2F8"/>
          </w:tcPr>
          <w:p w14:paraId="75C49C87" w14:textId="77777777" w:rsidR="0009145F" w:rsidRDefault="00000000">
            <w:r>
              <w:rPr>
                <w:b/>
                <w:color w:val="153957"/>
              </w:rPr>
              <w:t>Reason</w:t>
            </w:r>
          </w:p>
        </w:tc>
      </w:tr>
      <w:tr w:rsidR="0009145F" w14:paraId="4912175F" w14:textId="77777777">
        <w:tc>
          <w:tcPr>
            <w:tcW w:w="4968" w:type="dxa"/>
          </w:tcPr>
          <w:p w14:paraId="64C62C77" w14:textId="77777777" w:rsidR="0009145F" w:rsidRDefault="00000000">
            <w:r>
              <w:t>Hash/version cache</w:t>
            </w:r>
          </w:p>
        </w:tc>
        <w:tc>
          <w:tcPr>
            <w:tcW w:w="4968" w:type="dxa"/>
          </w:tcPr>
          <w:p w14:paraId="21A4C479" w14:textId="77777777" w:rsidR="0009145F" w:rsidRDefault="00000000">
            <w:r>
              <w:t>Reuses reviewed reads and makes parser changes explicit.</w:t>
            </w:r>
          </w:p>
        </w:tc>
      </w:tr>
      <w:tr w:rsidR="0009145F" w14:paraId="3AD5687C" w14:textId="77777777">
        <w:tc>
          <w:tcPr>
            <w:tcW w:w="4968" w:type="dxa"/>
          </w:tcPr>
          <w:p w14:paraId="561760F1" w14:textId="77777777" w:rsidR="0009145F" w:rsidRDefault="00000000">
            <w:r>
              <w:t>Reviewed mapping</w:t>
            </w:r>
          </w:p>
        </w:tc>
        <w:tc>
          <w:tcPr>
            <w:tcW w:w="4968" w:type="dxa"/>
          </w:tcPr>
          <w:p w14:paraId="59EED7B0" w14:textId="77777777" w:rsidR="0009145F" w:rsidRDefault="00000000">
            <w:r>
              <w:t>Makes company-specific decisions visible and versioned.</w:t>
            </w:r>
          </w:p>
        </w:tc>
      </w:tr>
      <w:tr w:rsidR="0009145F" w14:paraId="3DFEC0D1" w14:textId="77777777">
        <w:tc>
          <w:tcPr>
            <w:tcW w:w="4968" w:type="dxa"/>
          </w:tcPr>
          <w:p w14:paraId="281625F4" w14:textId="77777777" w:rsidR="0009145F" w:rsidRDefault="00000000">
            <w:r>
              <w:t>Period binding</w:t>
            </w:r>
          </w:p>
        </w:tc>
        <w:tc>
          <w:tcPr>
            <w:tcW w:w="4968" w:type="dxa"/>
          </w:tcPr>
          <w:p w14:paraId="74BAD15D" w14:textId="77777777" w:rsidR="0009145F" w:rsidRDefault="00000000">
            <w:r>
              <w:t>Stops a filing from being written into the wrong model column.</w:t>
            </w:r>
          </w:p>
        </w:tc>
      </w:tr>
      <w:tr w:rsidR="0009145F" w14:paraId="3F84D258" w14:textId="77777777">
        <w:tc>
          <w:tcPr>
            <w:tcW w:w="4968" w:type="dxa"/>
          </w:tcPr>
          <w:p w14:paraId="7137D848" w14:textId="77777777" w:rsidR="0009145F" w:rsidRDefault="00000000">
            <w:r>
              <w:t>Formula protection</w:t>
            </w:r>
          </w:p>
        </w:tc>
        <w:tc>
          <w:tcPr>
            <w:tcW w:w="4968" w:type="dxa"/>
          </w:tcPr>
          <w:p w14:paraId="06713181" w14:textId="77777777" w:rsidR="0009145F" w:rsidRDefault="00000000">
            <w:r>
              <w:t>Prevents overwriting calculated Excel cells.</w:t>
            </w:r>
          </w:p>
        </w:tc>
      </w:tr>
      <w:tr w:rsidR="0009145F" w14:paraId="4139D630" w14:textId="77777777">
        <w:tc>
          <w:tcPr>
            <w:tcW w:w="4968" w:type="dxa"/>
          </w:tcPr>
          <w:p w14:paraId="65864173" w14:textId="77777777" w:rsidR="0009145F" w:rsidRDefault="00000000">
            <w:r>
              <w:t>Source page and caption</w:t>
            </w:r>
          </w:p>
        </w:tc>
        <w:tc>
          <w:tcPr>
            <w:tcW w:w="4968" w:type="dxa"/>
          </w:tcPr>
          <w:p w14:paraId="6A89BD8E" w14:textId="77777777" w:rsidR="0009145F" w:rsidRDefault="00000000">
            <w:r>
              <w:t>Lets a reviewer trace a written value back to the filing.</w:t>
            </w:r>
          </w:p>
        </w:tc>
      </w:tr>
      <w:tr w:rsidR="0009145F" w14:paraId="3C178790" w14:textId="77777777">
        <w:tc>
          <w:tcPr>
            <w:tcW w:w="4968" w:type="dxa"/>
          </w:tcPr>
          <w:p w14:paraId="62DAD4F7" w14:textId="77777777" w:rsidR="0009145F" w:rsidRDefault="00000000">
            <w:r>
              <w:t>Workbook copy</w:t>
            </w:r>
          </w:p>
        </w:tc>
        <w:tc>
          <w:tcPr>
            <w:tcW w:w="4968" w:type="dxa"/>
          </w:tcPr>
          <w:p w14:paraId="0028E64B" w14:textId="77777777" w:rsidR="0009145F" w:rsidRDefault="00000000">
            <w:r>
              <w:t>Preserves the analyst's original model.</w:t>
            </w:r>
          </w:p>
        </w:tc>
      </w:tr>
    </w:tbl>
    <w:p w14:paraId="6DB8819E" w14:textId="77777777" w:rsidR="0009145F" w:rsidRDefault="0009145F"/>
    <w:p w14:paraId="5A517E9C" w14:textId="77777777" w:rsidR="0009145F" w:rsidRDefault="00000000">
      <w:pPr>
        <w:pStyle w:val="FinScanCode"/>
        <w:shd w:val="clear" w:color="auto" w:fill="122337"/>
      </w:pPr>
      <w:r>
        <w:t>jobs/&lt;job-id&gt;/</w:t>
      </w:r>
      <w:r>
        <w:br/>
        <w:t xml:space="preserve">  input-manifest.json</w:t>
      </w:r>
      <w:r>
        <w:br/>
        <w:t xml:space="preserve">  parsed-filing.pdf.json</w:t>
      </w:r>
      <w:r>
        <w:br/>
        <w:t xml:space="preserve">  mapping.json</w:t>
      </w:r>
      <w:r>
        <w:br/>
        <w:t xml:space="preserve">  model.json</w:t>
      </w:r>
      <w:r>
        <w:br/>
        <w:t xml:space="preserve">  values.json</w:t>
      </w:r>
      <w:r>
        <w:br/>
        <w:t xml:space="preserve">  report.md</w:t>
      </w:r>
      <w:r>
        <w:br/>
        <w:t xml:space="preserve">  workbook.xlsx or workbook.xlsm</w:t>
      </w:r>
    </w:p>
    <w:p w14:paraId="03731C63" w14:textId="77777777" w:rsidR="0009145F" w:rsidRDefault="00000000">
      <w:pPr>
        <w:pStyle w:val="Heading2"/>
      </w:pPr>
      <w:r>
        <w:rPr>
          <w:color w:val="10243E"/>
        </w:rPr>
        <w:t>Target Service Topology</w:t>
      </w:r>
    </w:p>
    <w:tbl>
      <w:tblPr>
        <w:tblStyle w:val="TableGrid"/>
        <w:tblW w:w="0" w:type="auto"/>
        <w:tblLook w:val="04A0" w:firstRow="1" w:lastRow="0" w:firstColumn="1" w:lastColumn="0" w:noHBand="0" w:noVBand="1"/>
      </w:tblPr>
      <w:tblGrid>
        <w:gridCol w:w="3312"/>
        <w:gridCol w:w="3312"/>
        <w:gridCol w:w="3312"/>
      </w:tblGrid>
      <w:tr w:rsidR="0009145F" w14:paraId="720843C8" w14:textId="77777777">
        <w:tc>
          <w:tcPr>
            <w:tcW w:w="3312" w:type="dxa"/>
            <w:shd w:val="clear" w:color="auto" w:fill="E8F2F8"/>
          </w:tcPr>
          <w:p w14:paraId="7214C326" w14:textId="77777777" w:rsidR="0009145F" w:rsidRDefault="00000000">
            <w:r>
              <w:rPr>
                <w:b/>
                <w:color w:val="153957"/>
              </w:rPr>
              <w:t>Workload</w:t>
            </w:r>
          </w:p>
        </w:tc>
        <w:tc>
          <w:tcPr>
            <w:tcW w:w="3312" w:type="dxa"/>
            <w:shd w:val="clear" w:color="auto" w:fill="E8F2F8"/>
          </w:tcPr>
          <w:p w14:paraId="218F8A0F" w14:textId="77777777" w:rsidR="0009145F" w:rsidRDefault="00000000">
            <w:r>
              <w:rPr>
                <w:b/>
                <w:color w:val="153957"/>
              </w:rPr>
              <w:t>Azure host</w:t>
            </w:r>
          </w:p>
        </w:tc>
        <w:tc>
          <w:tcPr>
            <w:tcW w:w="3312" w:type="dxa"/>
            <w:shd w:val="clear" w:color="auto" w:fill="E8F2F8"/>
          </w:tcPr>
          <w:p w14:paraId="1AB021AA" w14:textId="77777777" w:rsidR="0009145F" w:rsidRDefault="00000000">
            <w:r>
              <w:rPr>
                <w:b/>
                <w:color w:val="153957"/>
              </w:rPr>
              <w:t>Responsibility</w:t>
            </w:r>
          </w:p>
        </w:tc>
      </w:tr>
      <w:tr w:rsidR="0009145F" w14:paraId="4A02388D" w14:textId="77777777">
        <w:tc>
          <w:tcPr>
            <w:tcW w:w="3312" w:type="dxa"/>
          </w:tcPr>
          <w:p w14:paraId="421D455E" w14:textId="77777777" w:rsidR="0009145F" w:rsidRDefault="00000000">
            <w:r>
              <w:t>Job API</w:t>
            </w:r>
          </w:p>
        </w:tc>
        <w:tc>
          <w:tcPr>
            <w:tcW w:w="3312" w:type="dxa"/>
          </w:tcPr>
          <w:p w14:paraId="77FB0EC5" w14:textId="77777777" w:rsidR="0009145F" w:rsidRDefault="00000000">
            <w:r>
              <w:t>Container App</w:t>
            </w:r>
          </w:p>
        </w:tc>
        <w:tc>
          <w:tcPr>
            <w:tcW w:w="3312" w:type="dxa"/>
          </w:tcPr>
          <w:p w14:paraId="7572A3C8" w14:textId="77777777" w:rsidR="0009145F" w:rsidRDefault="00000000">
            <w:r>
              <w:t>Authenticate requests, locate approved inputs, create and report jobs.</w:t>
            </w:r>
          </w:p>
        </w:tc>
      </w:tr>
      <w:tr w:rsidR="0009145F" w14:paraId="7B0CCC4F" w14:textId="77777777">
        <w:tc>
          <w:tcPr>
            <w:tcW w:w="3312" w:type="dxa"/>
          </w:tcPr>
          <w:p w14:paraId="52404DAB" w14:textId="77777777" w:rsidR="0009145F" w:rsidRDefault="00000000">
            <w:r>
              <w:t>Worker</w:t>
            </w:r>
          </w:p>
        </w:tc>
        <w:tc>
          <w:tcPr>
            <w:tcW w:w="3312" w:type="dxa"/>
          </w:tcPr>
          <w:p w14:paraId="07F067CD" w14:textId="77777777" w:rsidR="0009145F" w:rsidRDefault="00000000">
            <w:r>
              <w:t>Container Apps Job</w:t>
            </w:r>
          </w:p>
        </w:tc>
        <w:tc>
          <w:tcPr>
            <w:tcW w:w="3312" w:type="dxa"/>
          </w:tcPr>
          <w:p w14:paraId="2CCACC4F" w14:textId="77777777" w:rsidR="0009145F" w:rsidRDefault="00000000">
            <w:r>
              <w:t>Execute FinScan2 and publish immutable artifacts.</w:t>
            </w:r>
          </w:p>
        </w:tc>
      </w:tr>
      <w:tr w:rsidR="0009145F" w14:paraId="5CB6B525" w14:textId="77777777">
        <w:tc>
          <w:tcPr>
            <w:tcW w:w="3312" w:type="dxa"/>
          </w:tcPr>
          <w:p w14:paraId="3506FC32" w14:textId="77777777" w:rsidR="0009145F" w:rsidRDefault="00000000">
            <w:r>
              <w:t>Queue</w:t>
            </w:r>
          </w:p>
        </w:tc>
        <w:tc>
          <w:tcPr>
            <w:tcW w:w="3312" w:type="dxa"/>
          </w:tcPr>
          <w:p w14:paraId="6805C9A0" w14:textId="77777777" w:rsidR="0009145F" w:rsidRDefault="00000000">
            <w:r>
              <w:t>Service Bus</w:t>
            </w:r>
          </w:p>
        </w:tc>
        <w:tc>
          <w:tcPr>
            <w:tcW w:w="3312" w:type="dxa"/>
          </w:tcPr>
          <w:p w14:paraId="4114F98F" w14:textId="77777777" w:rsidR="0009145F" w:rsidRDefault="00000000">
            <w:r>
              <w:t>Decouple submission from processing and support retries.</w:t>
            </w:r>
          </w:p>
        </w:tc>
      </w:tr>
      <w:tr w:rsidR="0009145F" w14:paraId="21A3E5FA" w14:textId="77777777">
        <w:tc>
          <w:tcPr>
            <w:tcW w:w="3312" w:type="dxa"/>
          </w:tcPr>
          <w:p w14:paraId="6850303E" w14:textId="77777777" w:rsidR="0009145F" w:rsidRDefault="00000000">
            <w:r>
              <w:t>Job store</w:t>
            </w:r>
          </w:p>
        </w:tc>
        <w:tc>
          <w:tcPr>
            <w:tcW w:w="3312" w:type="dxa"/>
          </w:tcPr>
          <w:p w14:paraId="6757B8A0" w14:textId="77777777" w:rsidR="0009145F" w:rsidRDefault="00000000">
            <w:r>
              <w:t>Azure Table or Cosmos DB</w:t>
            </w:r>
          </w:p>
        </w:tc>
        <w:tc>
          <w:tcPr>
            <w:tcW w:w="3312" w:type="dxa"/>
          </w:tcPr>
          <w:p w14:paraId="2B52C6DD" w14:textId="77777777" w:rsidR="0009145F" w:rsidRDefault="00000000">
            <w:r>
              <w:t>Durable state, idempotency, and artifact locations.</w:t>
            </w:r>
          </w:p>
        </w:tc>
      </w:tr>
    </w:tbl>
    <w:p w14:paraId="27BA6B8F" w14:textId="77777777" w:rsidR="0009145F" w:rsidRDefault="0009145F"/>
    <w:p w14:paraId="35BD0838" w14:textId="77777777" w:rsidR="0009145F" w:rsidRDefault="00000000">
      <w:r>
        <w:t>Do not split parsing, matching, validation, and Excel writing into microservices. They share a single audit context and should run as one worker transaction.</w:t>
      </w:r>
    </w:p>
    <w:p w14:paraId="2FF119D2" w14:textId="77777777" w:rsidR="0009145F" w:rsidRDefault="00000000">
      <w:pPr>
        <w:pStyle w:val="Heading2"/>
      </w:pPr>
      <w:r>
        <w:rPr>
          <w:color w:val="10243E"/>
        </w:rPr>
        <w:lastRenderedPageBreak/>
        <w:t>Storage Design</w:t>
      </w:r>
    </w:p>
    <w:p w14:paraId="4F786016" w14:textId="77777777" w:rsidR="0009145F" w:rsidRDefault="00000000">
      <w:pPr>
        <w:pStyle w:val="FinScanCode"/>
        <w:shd w:val="clear" w:color="auto" w:fill="122337"/>
      </w:pPr>
      <w:r>
        <w:t>finscan-inputs/</w:t>
      </w:r>
      <w:r>
        <w:br/>
        <w:t xml:space="preserve">  inbound/&lt;company&gt;/&lt;period-end&gt;/&lt;filing-id&gt;.pdf</w:t>
      </w:r>
      <w:r>
        <w:br/>
        <w:t xml:space="preserve">  models/&lt;company&gt;/&lt;model-version&gt;.xlsx</w:t>
      </w:r>
      <w:r>
        <w:br/>
      </w:r>
      <w:r>
        <w:br/>
        <w:t>finscan-artifacts/</w:t>
      </w:r>
      <w:r>
        <w:br/>
        <w:t xml:space="preserve">  jobs/&lt;job-id&gt;/values.json</w:t>
      </w:r>
      <w:r>
        <w:br/>
        <w:t xml:space="preserve">  jobs/&lt;job-id&gt;/report.md</w:t>
      </w:r>
      <w:r>
        <w:br/>
        <w:t xml:space="preserve">  jobs/&lt;job-id&gt;/output.xlsx</w:t>
      </w:r>
    </w:p>
    <w:p w14:paraId="580AFAD1" w14:textId="77777777" w:rsidR="0009145F" w:rsidRDefault="00000000">
      <w:r>
        <w:t xml:space="preserve">“Latest” must mean the newest </w:t>
      </w:r>
      <w:r>
        <w:rPr>
          <w:b/>
        </w:rPr>
        <w:t>approved financial period</w:t>
      </w:r>
      <w:r>
        <w:t>, not the most recently uploaded file. Store company, period end, filing type, approval state, and source identifier in a manifest or job/input record.</w:t>
      </w:r>
    </w:p>
    <w:p w14:paraId="38450110" w14:textId="77777777" w:rsidR="0009145F" w:rsidRDefault="00000000">
      <w:pPr>
        <w:pStyle w:val="Heading2"/>
      </w:pPr>
      <w:r>
        <w:rPr>
          <w:color w:val="10243E"/>
        </w:rPr>
        <w:t>Foundry and Teams</w:t>
      </w:r>
    </w:p>
    <w:p w14:paraId="4A46942F" w14:textId="77777777" w:rsidR="0009145F" w:rsidRDefault="00000000">
      <w:pPr>
        <w:pStyle w:val="FinScanCode"/>
        <w:shd w:val="clear" w:color="auto" w:fill="122337"/>
      </w:pPr>
      <w:r>
        <w:t>sequenceDiagram</w:t>
      </w:r>
      <w:r>
        <w:br/>
        <w:t xml:space="preserve">    participant User as Teams analyst</w:t>
      </w:r>
      <w:r>
        <w:br/>
        <w:t xml:space="preserve">    participant Agent as Foundry agent</w:t>
      </w:r>
      <w:r>
        <w:br/>
        <w:t xml:space="preserve">    participant API as FinScan2 API</w:t>
      </w:r>
      <w:r>
        <w:br/>
        <w:t xml:space="preserve">    participant Worker as FinScan2 worker</w:t>
      </w:r>
      <w:r>
        <w:br/>
        <w:t xml:space="preserve">    User-&gt;&gt;Agent: Run latest CCU filing</w:t>
      </w:r>
      <w:r>
        <w:br/>
        <w:t xml:space="preserve">    Agent-&gt;&gt;API: POST /jobs</w:t>
      </w:r>
      <w:r>
        <w:br/>
        <w:t xml:space="preserve">    API-&gt;&gt;Worker: Queue job</w:t>
      </w:r>
      <w:r>
        <w:br/>
        <w:t xml:space="preserve">    Worker--&gt;&gt;API: Status and artifacts</w:t>
      </w:r>
      <w:r>
        <w:br/>
        <w:t xml:space="preserve">    Agent-&gt;&gt;API: GET /jobs/{id}</w:t>
      </w:r>
      <w:r>
        <w:br/>
        <w:t xml:space="preserve">    API--&gt;&gt;Agent: Audit-backed summary and download URL</w:t>
      </w:r>
      <w:r>
        <w:br/>
        <w:t xml:space="preserve">    Agent--&gt;&gt;User: Summary, warnings, workbook link</w:t>
      </w:r>
    </w:p>
    <w:p w14:paraId="10AFB2F5" w14:textId="4BDD490D" w:rsidR="0009145F" w:rsidRDefault="00000000">
      <w:r>
        <w:t>Foundry is useful for a Teams conversation, but it must relay the API's audited figures and warnings rather than calculate or reinterpret financial values.</w:t>
      </w:r>
    </w:p>
    <w:p w14:paraId="3F71195A" w14:textId="77777777" w:rsidR="0009145F" w:rsidRDefault="00000000">
      <w:pPr>
        <w:pStyle w:val="Heading2"/>
      </w:pPr>
      <w:r>
        <w:rPr>
          <w:color w:val="10243E"/>
        </w:rPr>
        <w:t>Deployment Strategy</w:t>
      </w:r>
    </w:p>
    <w:p w14:paraId="70E65BF2" w14:textId="77777777" w:rsidR="0009145F" w:rsidRDefault="00000000">
      <w:pPr>
        <w:pStyle w:val="Heading3"/>
      </w:pPr>
      <w:r>
        <w:rPr>
          <w:color w:val="10243E"/>
        </w:rPr>
        <w:t>Phase A: Cloud batch proof</w:t>
      </w:r>
    </w:p>
    <w:p w14:paraId="50625357" w14:textId="77777777" w:rsidR="0009145F" w:rsidRDefault="00000000">
      <w:pPr>
        <w:pStyle w:val="ListNumber"/>
      </w:pPr>
      <w:r>
        <w:t>Build a FinScan2 worker image.</w:t>
      </w:r>
    </w:p>
    <w:p w14:paraId="67241755" w14:textId="77777777" w:rsidR="0009145F" w:rsidRDefault="00000000">
      <w:pPr>
        <w:pStyle w:val="ListNumber"/>
      </w:pPr>
      <w:r>
        <w:t>Run it as a Container Apps Job for a known company.</w:t>
      </w:r>
    </w:p>
    <w:p w14:paraId="6E9FF2D7" w14:textId="77777777" w:rsidR="0009145F" w:rsidRDefault="00000000">
      <w:pPr>
        <w:pStyle w:val="ListNumber"/>
      </w:pPr>
      <w:r>
        <w:t>Save the workbook and full audit set to Blob Storage.</w:t>
      </w:r>
    </w:p>
    <w:p w14:paraId="09340F94" w14:textId="77777777" w:rsidR="0009145F" w:rsidRDefault="00000000">
      <w:pPr>
        <w:pStyle w:val="ListNumber"/>
      </w:pPr>
      <w:r>
        <w:t>Compare cloud results with local FinScan2 audits.</w:t>
      </w:r>
    </w:p>
    <w:p w14:paraId="2D4662C7" w14:textId="77777777" w:rsidR="0009145F" w:rsidRDefault="00000000">
      <w:pPr>
        <w:pStyle w:val="Heading3"/>
      </w:pPr>
      <w:r>
        <w:rPr>
          <w:color w:val="10243E"/>
        </w:rPr>
        <w:t>Phase B: Asynchronous service</w:t>
      </w:r>
    </w:p>
    <w:p w14:paraId="0048471C" w14:textId="77777777" w:rsidR="0009145F" w:rsidRDefault="00000000">
      <w:pPr>
        <w:pStyle w:val="ListNumber"/>
      </w:pPr>
      <w:r>
        <w:t>Add the Job API, Service Bus, and durable job state.</w:t>
      </w:r>
    </w:p>
    <w:p w14:paraId="6FDCB657" w14:textId="77777777" w:rsidR="0009145F" w:rsidRDefault="00000000">
      <w:pPr>
        <w:pStyle w:val="ListNumber"/>
      </w:pPr>
      <w:r>
        <w:t>Use Entra ID, managed identity, Key Vault, and Application Insights.</w:t>
      </w:r>
    </w:p>
    <w:p w14:paraId="014C1827" w14:textId="77777777" w:rsidR="0009145F" w:rsidRDefault="00000000">
      <w:pPr>
        <w:pStyle w:val="ListNumber"/>
      </w:pPr>
      <w:r>
        <w:t>Add idempotency, alerts, retention, and operational dashboards.</w:t>
      </w:r>
    </w:p>
    <w:p w14:paraId="5F474B49" w14:textId="77777777" w:rsidR="0009145F" w:rsidRDefault="00000000">
      <w:pPr>
        <w:pStyle w:val="Heading3"/>
      </w:pPr>
      <w:r>
        <w:rPr>
          <w:color w:val="10243E"/>
        </w:rPr>
        <w:t>Phase C: Analyst experience</w:t>
      </w:r>
    </w:p>
    <w:p w14:paraId="4D20156C" w14:textId="77777777" w:rsidR="0009145F" w:rsidRDefault="00000000">
      <w:pPr>
        <w:pStyle w:val="ListNumber"/>
      </w:pPr>
      <w:r>
        <w:t>Add an operations UI or Power Automate trigger.</w:t>
      </w:r>
    </w:p>
    <w:p w14:paraId="62E2B6BC" w14:textId="77777777" w:rsidR="0009145F" w:rsidRDefault="00000000">
      <w:pPr>
        <w:pStyle w:val="ListNumber"/>
      </w:pPr>
      <w:r>
        <w:t>Add Foundry and Teams only when natural-language interaction is valuable.</w:t>
      </w:r>
    </w:p>
    <w:p w14:paraId="2E8936B8" w14:textId="77777777" w:rsidR="0009145F" w:rsidRDefault="00000000">
      <w:pPr>
        <w:pStyle w:val="ListNumber"/>
      </w:pPr>
      <w:r>
        <w:t>Pilot selected companies before wider rollout.</w:t>
      </w:r>
    </w:p>
    <w:p w14:paraId="61050450" w14:textId="77777777" w:rsidR="0009145F" w:rsidRDefault="00000000">
      <w:pPr>
        <w:pStyle w:val="Heading2"/>
      </w:pPr>
      <w:r>
        <w:rPr>
          <w:color w:val="10243E"/>
        </w:rPr>
        <w:t>Operations and Security</w:t>
      </w:r>
    </w:p>
    <w:p w14:paraId="1883583E" w14:textId="77777777" w:rsidR="0009145F" w:rsidRDefault="00000000">
      <w:pPr>
        <w:pStyle w:val="ListBullet"/>
      </w:pPr>
      <w:r>
        <w:t>Use managed identities and least-privilege RBAC for API, worker, and CI.</w:t>
      </w:r>
    </w:p>
    <w:p w14:paraId="01DCFA93" w14:textId="77777777" w:rsidR="0009145F" w:rsidRDefault="00000000">
      <w:pPr>
        <w:pStyle w:val="ListBullet"/>
      </w:pPr>
      <w:r>
        <w:t>Require Entra ID at the API boundary; use API Management or Front Door for public access.</w:t>
      </w:r>
    </w:p>
    <w:p w14:paraId="158587C9" w14:textId="77777777" w:rsidR="0009145F" w:rsidRDefault="00000000">
      <w:pPr>
        <w:pStyle w:val="ListBullet"/>
      </w:pPr>
      <w:r>
        <w:t>Use time-limited output download URLs and never expose public Blob containers.</w:t>
      </w:r>
    </w:p>
    <w:p w14:paraId="3EB6EE35" w14:textId="77777777" w:rsidR="0009145F" w:rsidRDefault="00000000">
      <w:pPr>
        <w:pStyle w:val="ListBullet"/>
      </w:pPr>
      <w:r>
        <w:t>Correlate every API request and worker execution with one job ID.</w:t>
      </w:r>
    </w:p>
    <w:p w14:paraId="0ADD3CFA" w14:textId="77777777" w:rsidR="0009145F" w:rsidRDefault="00000000">
      <w:pPr>
        <w:pStyle w:val="ListBullet"/>
      </w:pPr>
      <w:r>
        <w:lastRenderedPageBreak/>
        <w:t>Record filing hash, mapping/parser/model versions, timings, model calls, and final result.</w:t>
      </w:r>
    </w:p>
    <w:p w14:paraId="6478EE80" w14:textId="77777777" w:rsidR="0009145F" w:rsidRDefault="00000000">
      <w:pPr>
        <w:pStyle w:val="ListBullet"/>
      </w:pPr>
      <w:r>
        <w:t>Run workers asynchronously and scale them to zero between filings.</w:t>
      </w:r>
    </w:p>
    <w:p w14:paraId="0E62A0BC" w14:textId="77777777" w:rsidR="0009145F" w:rsidRDefault="00000000">
      <w:pPr>
        <w:pStyle w:val="Heading2"/>
      </w:pPr>
      <w:r>
        <w:rPr>
          <w:color w:val="10243E"/>
        </w:rPr>
        <w:t>Open Implementation Work</w:t>
      </w:r>
    </w:p>
    <w:p w14:paraId="78BD05EA" w14:textId="77777777" w:rsidR="0009145F" w:rsidRDefault="00000000">
      <w:pPr>
        <w:pStyle w:val="ListBullet"/>
      </w:pPr>
      <w:r>
        <w:t>FinScan2-specific FastAPI Job API and worker launcher.</w:t>
      </w:r>
    </w:p>
    <w:p w14:paraId="0698D600" w14:textId="77777777" w:rsidR="0009145F" w:rsidRDefault="00000000">
      <w:pPr>
        <w:pStyle w:val="ListBullet"/>
      </w:pPr>
      <w:r>
        <w:t>Service Bus, Blob input resolver, artifact publisher, and durable job state.</w:t>
      </w:r>
    </w:p>
    <w:p w14:paraId="3056785F" w14:textId="77777777" w:rsidR="0009145F" w:rsidRDefault="00000000">
      <w:pPr>
        <w:pStyle w:val="ListBullet"/>
      </w:pPr>
      <w:r>
        <w:t>FinScan2-specific Azure OpenAI managed-identity client.</w:t>
      </w:r>
    </w:p>
    <w:p w14:paraId="00549B19" w14:textId="77777777" w:rsidR="0009145F" w:rsidRDefault="00000000">
      <w:pPr>
        <w:pStyle w:val="ListBullet"/>
      </w:pPr>
      <w:r>
        <w:t>Entra ID authorization, Bicep, CI/CD workflow, production runbook, and alerts.</w:t>
      </w:r>
    </w:p>
    <w:p w14:paraId="48CEC59B" w14:textId="77777777" w:rsidR="0009145F" w:rsidRDefault="00000000">
      <w:pPr>
        <w:pStyle w:val="ListBullet"/>
      </w:pPr>
      <w:r>
        <w:t>Foundry/Teams OpenAPI contract only if that analyst interface is required.</w:t>
      </w:r>
    </w:p>
    <w:p w14:paraId="3F7F95A4" w14:textId="77777777" w:rsidR="0009145F" w:rsidRDefault="00000000">
      <w:r>
        <w:rPr>
          <w:color w:val="52657A"/>
          <w:sz w:val="18"/>
        </w:rPr>
        <w:t xml:space="preserve">Detailed source document: </w:t>
      </w:r>
      <w:r>
        <w:rPr>
          <w:rFonts w:ascii="Consolas" w:eastAsia="Consolas" w:hAnsi="Consolas"/>
          <w:color w:val="52657A"/>
          <w:sz w:val="18"/>
        </w:rPr>
        <w:t>docs/finscan2_architecture.md</w:t>
      </w:r>
      <w:r>
        <w:rPr>
          <w:color w:val="52657A"/>
          <w:sz w:val="18"/>
        </w:rPr>
        <w:t>. Mermaid diagrams render from the Mermaid CDN when an internet connection is available.</w:t>
      </w:r>
    </w:p>
    <w:sectPr w:rsidR="0009145F" w:rsidSect="00034616">
      <w:footerReference w:type="even" r:id="rId8"/>
      <w:footerReference w:type="default" r:id="rId9"/>
      <w:footerReference w:type="firs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7470F" w14:textId="77777777" w:rsidR="00013DD5" w:rsidRDefault="00013DD5" w:rsidP="00F96FB6">
      <w:pPr>
        <w:spacing w:after="0" w:line="240" w:lineRule="auto"/>
      </w:pPr>
      <w:r>
        <w:separator/>
      </w:r>
    </w:p>
  </w:endnote>
  <w:endnote w:type="continuationSeparator" w:id="0">
    <w:p w14:paraId="0F70E4F7" w14:textId="77777777" w:rsidR="00013DD5" w:rsidRDefault="00013DD5" w:rsidP="00F96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3DE52" w14:textId="6662A856" w:rsidR="00F96FB6" w:rsidRDefault="00F96FB6">
    <w:pPr>
      <w:pStyle w:val="Footer"/>
    </w:pPr>
    <w:r>
      <w:rPr>
        <w:noProof/>
      </w:rPr>
      <mc:AlternateContent>
        <mc:Choice Requires="wps">
          <w:drawing>
            <wp:anchor distT="0" distB="0" distL="0" distR="0" simplePos="0" relativeHeight="251659264" behindDoc="0" locked="0" layoutInCell="1" allowOverlap="1" wp14:anchorId="71E0DE7B" wp14:editId="3E21153D">
              <wp:simplePos x="635" y="635"/>
              <wp:positionH relativeFrom="page">
                <wp:align>center</wp:align>
              </wp:positionH>
              <wp:positionV relativeFrom="page">
                <wp:align>bottom</wp:align>
              </wp:positionV>
              <wp:extent cx="1013460" cy="368935"/>
              <wp:effectExtent l="0" t="0" r="15240" b="0"/>
              <wp:wrapNone/>
              <wp:docPr id="1632188215" name="Text Box 2" descr="Barings-Corpor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13460" cy="368935"/>
                      </a:xfrm>
                      <a:prstGeom prst="rect">
                        <a:avLst/>
                      </a:prstGeom>
                      <a:noFill/>
                      <a:ln>
                        <a:noFill/>
                      </a:ln>
                    </wps:spPr>
                    <wps:txbx>
                      <w:txbxContent>
                        <w:p w14:paraId="73E9919E" w14:textId="628443D2" w:rsidR="00F96FB6" w:rsidRPr="00F96FB6" w:rsidRDefault="00F96FB6" w:rsidP="00F96FB6">
                          <w:pPr>
                            <w:spacing w:after="0"/>
                            <w:rPr>
                              <w:rFonts w:ascii="Aptos" w:eastAsia="Aptos" w:hAnsi="Aptos" w:cs="Aptos"/>
                              <w:noProof/>
                              <w:color w:val="000000"/>
                              <w:sz w:val="20"/>
                              <w:szCs w:val="20"/>
                            </w:rPr>
                          </w:pPr>
                          <w:r w:rsidRPr="00F96FB6">
                            <w:rPr>
                              <w:rFonts w:ascii="Aptos" w:eastAsia="Aptos" w:hAnsi="Aptos" w:cs="Aptos"/>
                              <w:noProof/>
                              <w:color w:val="000000"/>
                              <w:sz w:val="20"/>
                              <w:szCs w:val="20"/>
                            </w:rPr>
                            <w:t>Barings-Corporate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1E0DE7B" id="_x0000_t202" coordsize="21600,21600" o:spt="202" path="m,l,21600r21600,l21600,xe">
              <v:stroke joinstyle="miter"/>
              <v:path gradientshapeok="t" o:connecttype="rect"/>
            </v:shapetype>
            <v:shape id="Text Box 2" o:spid="_x0000_s1026" type="#_x0000_t202" alt="Barings-Corporate" style="position:absolute;margin-left:0;margin-top:0;width:79.8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6YCgIAABYEAAAOAAAAZHJzL2Uyb0RvYy54bWysU8Fu2zAMvQ/YPwi6L3aaNWiNOEXWIsOA&#10;oC2QDj0rshQbkERBUmJnXz9KtpOt66nYRaZJ6pF8fFrcdVqRo3C+AVPS6SSnRBgOVWP2Jf35sv5y&#10;Q4kPzFRMgRElPQlP75afPy1aW4grqEFVwhEEMb5obUnrEGyRZZ7XQjM/ASsMBiU4zQL+un1WOdYi&#10;ulbZVZ7PsxZcZR1w4T16H/ogXSZ8KQUPT1J6EYgqKfYW0unSuYtntlywYu+YrRs+tME+0IVmjcGi&#10;Z6gHFhg5uOYfKN1wBx5kmHDQGUjZcJFmwGmm+ZtptjWzIs2C5Hh7psn/P1j+eNzaZ0dC9w06XGAk&#10;pLW+8OiM83TS6fjFTgnGkcLTmTbRBcLjpXw6+zrHEMfYbH5zO7uOMNnltnU+fBegSTRK6nAtiS12&#10;3PjQp44psZiBdaNUWo0yfzkQM3qyS4vRCt2uG/reQXXCcRz0m/aWrxusuWE+PDOHq8U2Ua7hCQ+p&#10;oC0pDBYlNbhf7/ljPjKOUUpalEpJDWqZEvXD4CaiqkbDjcYuGdPb/DrHuDnoe0ABTvEtWJ5M9Lqg&#10;RlM60K8o5FUshCFmOJYr6W4070OvWXwIXKxWKQkFZFnYmK3lETryFEl86V6ZswPTAXf0CKOOWPGG&#10;8D433vR2dQhIe9pG5LQncqAaxZf2OTyUqO4//1PW5TkvfwMAAP//AwBQSwMEFAAGAAgAAAAhAOcC&#10;tlDaAAAABAEAAA8AAABkcnMvZG93bnJldi54bWxMj8FqwkAQhu8F32EZobe6UVFsmo2I4MlSUHvp&#10;bd0dk2h2NmQ3Gt++Yy/1MjD8P998ky17V4srtqHypGA8SkAgGW8rKhR8HzZvCxAharK69oQK7hhg&#10;mQ9eMp1af6MdXvexEAyhkGoFZYxNKmUwJTodRr5B4uzkW6cjr20hbatvDHe1nCTJXDpdEV8odYPr&#10;Es1l3zkFs1387L7oMP3pJ/fztlmb6WlrlHod9qsPEBH7+F+Ghz6rQ85OR9+RDaJWwI/Ev/nIZu9z&#10;EEcGL8Yg80w+y+e/AAAA//8DAFBLAQItABQABgAIAAAAIQC2gziS/gAAAOEBAAATAAAAAAAAAAAA&#10;AAAAAAAAAABbQ29udGVudF9UeXBlc10ueG1sUEsBAi0AFAAGAAgAAAAhADj9If/WAAAAlAEAAAsA&#10;AAAAAAAAAAAAAAAALwEAAF9yZWxzLy5yZWxzUEsBAi0AFAAGAAgAAAAhAB77jpgKAgAAFgQAAA4A&#10;AAAAAAAAAAAAAAAALgIAAGRycy9lMm9Eb2MueG1sUEsBAi0AFAAGAAgAAAAhAOcCtlDaAAAABAEA&#10;AA8AAAAAAAAAAAAAAAAAZAQAAGRycy9kb3ducmV2LnhtbFBLBQYAAAAABAAEAPMAAABrBQAAAAA=&#10;" filled="f" stroked="f">
              <v:fill o:detectmouseclick="t"/>
              <v:textbox style="mso-fit-shape-to-text:t" inset="0,0,0,15pt">
                <w:txbxContent>
                  <w:p w14:paraId="73E9919E" w14:textId="628443D2" w:rsidR="00F96FB6" w:rsidRPr="00F96FB6" w:rsidRDefault="00F96FB6" w:rsidP="00F96FB6">
                    <w:pPr>
                      <w:spacing w:after="0"/>
                      <w:rPr>
                        <w:rFonts w:ascii="Aptos" w:eastAsia="Aptos" w:hAnsi="Aptos" w:cs="Aptos"/>
                        <w:noProof/>
                        <w:color w:val="000000"/>
                        <w:sz w:val="20"/>
                        <w:szCs w:val="20"/>
                      </w:rPr>
                    </w:pPr>
                    <w:r w:rsidRPr="00F96FB6">
                      <w:rPr>
                        <w:rFonts w:ascii="Aptos" w:eastAsia="Aptos" w:hAnsi="Aptos" w:cs="Aptos"/>
                        <w:noProof/>
                        <w:color w:val="000000"/>
                        <w:sz w:val="20"/>
                        <w:szCs w:val="20"/>
                      </w:rPr>
                      <w:t>Barings-Corporate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71348" w14:textId="1202880C" w:rsidR="00F96FB6" w:rsidRDefault="00F96FB6">
    <w:pPr>
      <w:pStyle w:val="Footer"/>
    </w:pPr>
    <w:r>
      <w:rPr>
        <w:noProof/>
      </w:rPr>
      <mc:AlternateContent>
        <mc:Choice Requires="wps">
          <w:drawing>
            <wp:anchor distT="0" distB="0" distL="0" distR="0" simplePos="0" relativeHeight="251660288" behindDoc="0" locked="0" layoutInCell="1" allowOverlap="1" wp14:anchorId="0629FE51" wp14:editId="3C22B153">
              <wp:simplePos x="730250" y="9448800"/>
              <wp:positionH relativeFrom="page">
                <wp:align>center</wp:align>
              </wp:positionH>
              <wp:positionV relativeFrom="page">
                <wp:align>bottom</wp:align>
              </wp:positionV>
              <wp:extent cx="1013460" cy="368935"/>
              <wp:effectExtent l="0" t="0" r="15240" b="0"/>
              <wp:wrapNone/>
              <wp:docPr id="831179472" name="Text Box 3" descr="Barings-Corpor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13460" cy="368935"/>
                      </a:xfrm>
                      <a:prstGeom prst="rect">
                        <a:avLst/>
                      </a:prstGeom>
                      <a:noFill/>
                      <a:ln>
                        <a:noFill/>
                      </a:ln>
                    </wps:spPr>
                    <wps:txbx>
                      <w:txbxContent>
                        <w:p w14:paraId="2CEDEF9C" w14:textId="3F0E111C" w:rsidR="00F96FB6" w:rsidRPr="00F96FB6" w:rsidRDefault="00F96FB6" w:rsidP="00F96FB6">
                          <w:pPr>
                            <w:spacing w:after="0"/>
                            <w:rPr>
                              <w:rFonts w:ascii="Aptos" w:eastAsia="Aptos" w:hAnsi="Aptos" w:cs="Aptos"/>
                              <w:noProof/>
                              <w:color w:val="000000"/>
                              <w:sz w:val="20"/>
                              <w:szCs w:val="20"/>
                            </w:rPr>
                          </w:pPr>
                          <w:r w:rsidRPr="00F96FB6">
                            <w:rPr>
                              <w:rFonts w:ascii="Aptos" w:eastAsia="Aptos" w:hAnsi="Aptos" w:cs="Aptos"/>
                              <w:noProof/>
                              <w:color w:val="000000"/>
                              <w:sz w:val="20"/>
                              <w:szCs w:val="20"/>
                            </w:rPr>
                            <w:t>Barings-Corporate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629FE51" id="_x0000_t202" coordsize="21600,21600" o:spt="202" path="m,l,21600r21600,l21600,xe">
              <v:stroke joinstyle="miter"/>
              <v:path gradientshapeok="t" o:connecttype="rect"/>
            </v:shapetype>
            <v:shape id="Text Box 3" o:spid="_x0000_s1027" type="#_x0000_t202" alt="Barings-Corporate" style="position:absolute;margin-left:0;margin-top:0;width:79.8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8xeDQIAAB0EAAAOAAAAZHJzL2Uyb0RvYy54bWysU8Fu2zAMvQ/YPwi6L3aaNWiNOEXWIsOA&#10;oC2QDj3LshQbkERBUmJnXz9KjpO222nYRaZJ6pF8fFrc9VqRg3C+BVPS6SSnRBgOdWt2Jf35sv5y&#10;Q4kPzNRMgRElPQpP75afPy06W4graEDVwhEEMb7obEmbEGyRZZ43QjM/ASsMBiU4zQL+ul1WO9Yh&#10;ulbZVZ7Psw5cbR1w4T16H4YgXSZ8KQUPT1J6EYgqKfYW0unSWcUzWy5YsXPMNi0/tcH+oQvNWoNF&#10;z1APLDCyd+0fULrlDjzIMOGgM5Cy5SLNgNNM8w/TbBtmRZoFyfH2TJP/f7D88bC1z46E/hv0uMBI&#10;SGd94dEZ5+ml0/GLnRKMI4XHM22iD4THS/l09nWOIY6x2fzmdnYdYbLLbet8+C5Ak2iU1OFaElvs&#10;sPFhSB1TYjED61aptBpl3jkQM3qyS4vRCn3Vk7Z+034F9RGncjAs3Fu+brH0hvnwzBxuGLtF1YYn&#10;PKSCrqRwsihpwP36mz/mI/EYpaRDxZTUoKQpUT8MLiSKazTcaFTJmN7m1znGzV7fA+pwik/C8mSi&#10;1wU1mtKBfkU9r2IhDDHDsVxJq9G8D4N08T1wsVqlJNSRZWFjtpZH6EhX5PKlf2XOnggPuKpHGOXE&#10;ig+8D7nxprerfUD201IitQORJ8ZRg2mtp/cSRf72P2VdXvXyNwAAAP//AwBQSwMEFAAGAAgAAAAh&#10;AOcCtlDaAAAABAEAAA8AAABkcnMvZG93bnJldi54bWxMj8FqwkAQhu8F32EZobe6UVFsmo2I4MlS&#10;UHvpbd0dk2h2NmQ3Gt++Yy/1MjD8P998ky17V4srtqHypGA8SkAgGW8rKhR8HzZvCxAharK69oQK&#10;7hhgmQ9eMp1af6MdXvexEAyhkGoFZYxNKmUwJTodRr5B4uzkW6cjr20hbatvDHe1nCTJXDpdEV8o&#10;dYPrEs1l3zkFs1387L7oMP3pJ/fztlmb6WlrlHod9qsPEBH7+F+Ghz6rQ85OR9+RDaJWwI/Ev/nI&#10;Zu9zEEcGL8Yg80w+y+e/AAAA//8DAFBLAQItABQABgAIAAAAIQC2gziS/gAAAOEBAAATAAAAAAAA&#10;AAAAAAAAAAAAAABbQ29udGVudF9UeXBlc10ueG1sUEsBAi0AFAAGAAgAAAAhADj9If/WAAAAlAEA&#10;AAsAAAAAAAAAAAAAAAAALwEAAF9yZWxzLy5yZWxzUEsBAi0AFAAGAAgAAAAhAF5TzF4NAgAAHQQA&#10;AA4AAAAAAAAAAAAAAAAALgIAAGRycy9lMm9Eb2MueG1sUEsBAi0AFAAGAAgAAAAhAOcCtlDaAAAA&#10;BAEAAA8AAAAAAAAAAAAAAAAAZwQAAGRycy9kb3ducmV2LnhtbFBLBQYAAAAABAAEAPMAAABuBQAA&#10;AAA=&#10;" filled="f" stroked="f">
              <v:fill o:detectmouseclick="t"/>
              <v:textbox style="mso-fit-shape-to-text:t" inset="0,0,0,15pt">
                <w:txbxContent>
                  <w:p w14:paraId="2CEDEF9C" w14:textId="3F0E111C" w:rsidR="00F96FB6" w:rsidRPr="00F96FB6" w:rsidRDefault="00F96FB6" w:rsidP="00F96FB6">
                    <w:pPr>
                      <w:spacing w:after="0"/>
                      <w:rPr>
                        <w:rFonts w:ascii="Aptos" w:eastAsia="Aptos" w:hAnsi="Aptos" w:cs="Aptos"/>
                        <w:noProof/>
                        <w:color w:val="000000"/>
                        <w:sz w:val="20"/>
                        <w:szCs w:val="20"/>
                      </w:rPr>
                    </w:pPr>
                    <w:r w:rsidRPr="00F96FB6">
                      <w:rPr>
                        <w:rFonts w:ascii="Aptos" w:eastAsia="Aptos" w:hAnsi="Aptos" w:cs="Aptos"/>
                        <w:noProof/>
                        <w:color w:val="000000"/>
                        <w:sz w:val="20"/>
                        <w:szCs w:val="20"/>
                      </w:rPr>
                      <w:t>Barings-Corporate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8DBDF" w14:textId="6642E2EC" w:rsidR="00F96FB6" w:rsidRDefault="00F96FB6">
    <w:pPr>
      <w:pStyle w:val="Footer"/>
    </w:pPr>
    <w:r>
      <w:rPr>
        <w:noProof/>
      </w:rPr>
      <mc:AlternateContent>
        <mc:Choice Requires="wps">
          <w:drawing>
            <wp:anchor distT="0" distB="0" distL="0" distR="0" simplePos="0" relativeHeight="251658240" behindDoc="0" locked="0" layoutInCell="1" allowOverlap="1" wp14:anchorId="2F085A6B" wp14:editId="6892BCEE">
              <wp:simplePos x="635" y="635"/>
              <wp:positionH relativeFrom="page">
                <wp:align>center</wp:align>
              </wp:positionH>
              <wp:positionV relativeFrom="page">
                <wp:align>bottom</wp:align>
              </wp:positionV>
              <wp:extent cx="1013460" cy="368935"/>
              <wp:effectExtent l="0" t="0" r="15240" b="0"/>
              <wp:wrapNone/>
              <wp:docPr id="621753369" name="Text Box 1" descr="Barings-Corpor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13460" cy="368935"/>
                      </a:xfrm>
                      <a:prstGeom prst="rect">
                        <a:avLst/>
                      </a:prstGeom>
                      <a:noFill/>
                      <a:ln>
                        <a:noFill/>
                      </a:ln>
                    </wps:spPr>
                    <wps:txbx>
                      <w:txbxContent>
                        <w:p w14:paraId="6667A378" w14:textId="30F73233" w:rsidR="00F96FB6" w:rsidRPr="00F96FB6" w:rsidRDefault="00F96FB6" w:rsidP="00F96FB6">
                          <w:pPr>
                            <w:spacing w:after="0"/>
                            <w:rPr>
                              <w:rFonts w:ascii="Aptos" w:eastAsia="Aptos" w:hAnsi="Aptos" w:cs="Aptos"/>
                              <w:noProof/>
                              <w:color w:val="000000"/>
                              <w:sz w:val="20"/>
                              <w:szCs w:val="20"/>
                            </w:rPr>
                          </w:pPr>
                          <w:r w:rsidRPr="00F96FB6">
                            <w:rPr>
                              <w:rFonts w:ascii="Aptos" w:eastAsia="Aptos" w:hAnsi="Aptos" w:cs="Aptos"/>
                              <w:noProof/>
                              <w:color w:val="000000"/>
                              <w:sz w:val="20"/>
                              <w:szCs w:val="20"/>
                            </w:rPr>
                            <w:t>Barings-Corporate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F085A6B" id="_x0000_t202" coordsize="21600,21600" o:spt="202" path="m,l,21600r21600,l21600,xe">
              <v:stroke joinstyle="miter"/>
              <v:path gradientshapeok="t" o:connecttype="rect"/>
            </v:shapetype>
            <v:shape id="Text Box 1" o:spid="_x0000_s1028" type="#_x0000_t202" alt="Barings-Corporate" style="position:absolute;margin-left:0;margin-top:0;width:79.8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hsYDgIAAB0EAAAOAAAAZHJzL2Uyb0RvYy54bWysU8Fu2zAMvQ/YPwi6L3aSNWiNOEXWIsOA&#10;oC2QDj3LshQbkERBUmJnXz9KjpOt22nYRaZJ6pF8fFre91qRo3C+BVPS6SSnRBgOdWv2Jf3+uvl0&#10;S4kPzNRMgRElPQlP71cfPyw7W4gZNKBq4QiCGF90tqRNCLbIMs8boZmfgBUGgxKcZgF/3T6rHesQ&#10;XatslueLrANXWwdceI/exyFIVwlfSsHDs5ReBKJKir2FdLp0VvHMVktW7B2zTcvPbbB/6EKz1mDR&#10;C9QjC4wcXPsHlG65Aw8yTDjoDKRsuUgz4DTT/N00u4ZZkWZBcry90OT/Hyx/Ou7siyOh/wI9LjAS&#10;0llfeHTGeXrpdPxipwTjSOHpQpvoA+HxUj6df15giGNsvri9m99EmOx62zofvgrQJBoldbiWxBY7&#10;bn0YUseUWMzAplUqrUaZ3xyIGT3ZtcVohb7qSVuXdDa2X0F9wqkcDAv3lm9aLL1lPrwwhxvGblG1&#10;4RkPqaArKZwtShpwP/7mj/lIPEYp6VAxJTUoaUrUN4MLieIaDTcaVTKmd/lNjnFz0A+AOpzik7A8&#10;meh1QY2mdKDfUM/rWAhDzHAsV9JqNB/CIF18D1ys1ykJdWRZ2Jqd5RE60hW5fO3fmLNnwgOu6glG&#10;ObHiHe9Dbrzp7foQkP20lEjtQOSZcdRgWuv5vUSR//qfsq6vevUTAAD//wMAUEsDBBQABgAIAAAA&#10;IQDnArZQ2gAAAAQBAAAPAAAAZHJzL2Rvd25yZXYueG1sTI/BasJAEIbvBd9hGaG3ulFRbJqNiODJ&#10;UlB76W3dHZNodjZkNxrfvmMv9TIw/D/ffJMte1eLK7ah8qRgPEpAIBlvKyoUfB82bwsQIWqyuvaE&#10;Cu4YYJkPXjKdWn+jHV73sRAMoZBqBWWMTSplMCU6HUa+QeLs5FunI69tIW2rbwx3tZwkyVw6XRFf&#10;KHWD6xLNZd85BbNd/Oy+6DD96Sf387ZZm+lpa5R6HfarDxAR+/hfhoc+q0POTkffkQ2iVsCPxL/5&#10;yGbvcxBHBi/GIPNMPsvnvwAAAP//AwBQSwECLQAUAAYACAAAACEAtoM4kv4AAADhAQAAEwAAAAAA&#10;AAAAAAAAAAAAAAAAW0NvbnRlbnRfVHlwZXNdLnhtbFBLAQItABQABgAIAAAAIQA4/SH/1gAAAJQB&#10;AAALAAAAAAAAAAAAAAAAAC8BAABfcmVscy8ucmVsc1BLAQItABQABgAIAAAAIQDpkhsYDgIAAB0E&#10;AAAOAAAAAAAAAAAAAAAAAC4CAABkcnMvZTJvRG9jLnhtbFBLAQItABQABgAIAAAAIQDnArZQ2gAA&#10;AAQBAAAPAAAAAAAAAAAAAAAAAGgEAABkcnMvZG93bnJldi54bWxQSwUGAAAAAAQABADzAAAAbwUA&#10;AAAA&#10;" filled="f" stroked="f">
              <v:fill o:detectmouseclick="t"/>
              <v:textbox style="mso-fit-shape-to-text:t" inset="0,0,0,15pt">
                <w:txbxContent>
                  <w:p w14:paraId="6667A378" w14:textId="30F73233" w:rsidR="00F96FB6" w:rsidRPr="00F96FB6" w:rsidRDefault="00F96FB6" w:rsidP="00F96FB6">
                    <w:pPr>
                      <w:spacing w:after="0"/>
                      <w:rPr>
                        <w:rFonts w:ascii="Aptos" w:eastAsia="Aptos" w:hAnsi="Aptos" w:cs="Aptos"/>
                        <w:noProof/>
                        <w:color w:val="000000"/>
                        <w:sz w:val="20"/>
                        <w:szCs w:val="20"/>
                      </w:rPr>
                    </w:pPr>
                    <w:r w:rsidRPr="00F96FB6">
                      <w:rPr>
                        <w:rFonts w:ascii="Aptos" w:eastAsia="Aptos" w:hAnsi="Aptos" w:cs="Aptos"/>
                        <w:noProof/>
                        <w:color w:val="000000"/>
                        <w:sz w:val="20"/>
                        <w:szCs w:val="20"/>
                      </w:rPr>
                      <w:t>Barings-Corporate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76CA3" w14:textId="77777777" w:rsidR="00013DD5" w:rsidRDefault="00013DD5" w:rsidP="00F96FB6">
      <w:pPr>
        <w:spacing w:after="0" w:line="240" w:lineRule="auto"/>
      </w:pPr>
      <w:r>
        <w:separator/>
      </w:r>
    </w:p>
  </w:footnote>
  <w:footnote w:type="continuationSeparator" w:id="0">
    <w:p w14:paraId="63230FC8" w14:textId="77777777" w:rsidR="00013DD5" w:rsidRDefault="00013DD5" w:rsidP="00F96F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0741208">
    <w:abstractNumId w:val="8"/>
  </w:num>
  <w:num w:numId="2" w16cid:durableId="866413318">
    <w:abstractNumId w:val="6"/>
  </w:num>
  <w:num w:numId="3" w16cid:durableId="407775084">
    <w:abstractNumId w:val="5"/>
  </w:num>
  <w:num w:numId="4" w16cid:durableId="1408846774">
    <w:abstractNumId w:val="4"/>
  </w:num>
  <w:num w:numId="5" w16cid:durableId="1298997143">
    <w:abstractNumId w:val="7"/>
  </w:num>
  <w:num w:numId="6" w16cid:durableId="2074347425">
    <w:abstractNumId w:val="3"/>
  </w:num>
  <w:num w:numId="7" w16cid:durableId="182062687">
    <w:abstractNumId w:val="2"/>
  </w:num>
  <w:num w:numId="8" w16cid:durableId="222570054">
    <w:abstractNumId w:val="1"/>
  </w:num>
  <w:num w:numId="9" w16cid:durableId="1775514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DD5"/>
    <w:rsid w:val="00034616"/>
    <w:rsid w:val="0006063C"/>
    <w:rsid w:val="0009145F"/>
    <w:rsid w:val="0015074B"/>
    <w:rsid w:val="0029639D"/>
    <w:rsid w:val="00326F90"/>
    <w:rsid w:val="00A11A75"/>
    <w:rsid w:val="00AA1D8D"/>
    <w:rsid w:val="00B47730"/>
    <w:rsid w:val="00CB0664"/>
    <w:rsid w:val="00F96F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21D705"/>
  <w14:defaultImageDpi w14:val="300"/>
  <w15:docId w15:val="{1514DED2-F453-4E5A-B3F1-4EF8D95AD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eastAsia="Georgia" w:hAnsi="Georgia"/>
      <w:color w:val="10243E"/>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nScanCode">
    <w:name w:val="FinScan Code"/>
    <w:pPr>
      <w:spacing w:before="120"/>
    </w:pPr>
    <w:rPr>
      <w:rFonts w:ascii="Consolas" w:eastAsia="Consolas" w:hAnsi="Consolas"/>
      <w:color w:val="E9F6FF"/>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1173</Words>
  <Characters>7063</Characters>
  <Application>Microsoft Office Word</Application>
  <DocSecurity>0</DocSecurity>
  <Lines>235</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FinScan2 Architecture and Deployment Guide</dc:title>
  <dc:subject>FinScan2 architecture and Azure deployment</dc:subject>
  <dc:creator>FinScan</dc:creator>
  <cp:keywords/>
  <dc:description>generated by python-docx</dc:description>
  <cp:lastModifiedBy>Kumar, Gunjan</cp:lastModifiedBy>
  <cp:revision>2</cp:revision>
  <dcterms:created xsi:type="dcterms:W3CDTF">2013-12-23T23:15:00Z</dcterms:created>
  <dcterms:modified xsi:type="dcterms:W3CDTF">2026-10-12T11:35:00Z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250f3419,61493737,318acad0</vt:lpwstr>
  </property>
  <property fmtid="{D5CDD505-2E9C-101B-9397-08002B2CF9AE}" pid="3" name="ClassificationContentMarkingFooterFontProps">
    <vt:lpwstr>#000000,10,Aptos</vt:lpwstr>
  </property>
  <property fmtid="{D5CDD505-2E9C-101B-9397-08002B2CF9AE}" pid="4" name="ClassificationContentMarkingFooterText">
    <vt:lpwstr>Barings-Corporate</vt:lpwstr>
  </property>
  <property fmtid="{D5CDD505-2E9C-101B-9397-08002B2CF9AE}" pid="5" name="MSIP_Label_e23aaa83-1940-48a9-a4d6-4a193a1929ec_Enabled">
    <vt:lpwstr>true</vt:lpwstr>
  </property>
  <property fmtid="{D5CDD505-2E9C-101B-9397-08002B2CF9AE}" pid="6" name="MSIP_Label_e23aaa83-1940-48a9-a4d6-4a193a1929ec_SetDate">
    <vt:lpwstr>2026-10-12T11:35:22Z</vt:lpwstr>
  </property>
  <property fmtid="{D5CDD505-2E9C-101B-9397-08002B2CF9AE}" pid="7" name="MSIP_Label_e23aaa83-1940-48a9-a4d6-4a193a1929ec_Method">
    <vt:lpwstr>Standard</vt:lpwstr>
  </property>
  <property fmtid="{D5CDD505-2E9C-101B-9397-08002B2CF9AE}" pid="8" name="MSIP_Label_e23aaa83-1940-48a9-a4d6-4a193a1929ec_Name">
    <vt:lpwstr>Corporate</vt:lpwstr>
  </property>
  <property fmtid="{D5CDD505-2E9C-101B-9397-08002B2CF9AE}" pid="9" name="MSIP_Label_e23aaa83-1940-48a9-a4d6-4a193a1929ec_SiteId">
    <vt:lpwstr>ce78e7b0-e32a-4428-9390-1c2ec8a59c47</vt:lpwstr>
  </property>
  <property fmtid="{D5CDD505-2E9C-101B-9397-08002B2CF9AE}" pid="10" name="MSIP_Label_e23aaa83-1940-48a9-a4d6-4a193a1929ec_ActionId">
    <vt:lpwstr>5d6abd40-09c7-4360-bf8b-9e47cf733f9e</vt:lpwstr>
  </property>
  <property fmtid="{D5CDD505-2E9C-101B-9397-08002B2CF9AE}" pid="11" name="MSIP_Label_e23aaa83-1940-48a9-a4d6-4a193a1929ec_ContentBits">
    <vt:lpwstr>2</vt:lpwstr>
  </property>
  <property fmtid="{D5CDD505-2E9C-101B-9397-08002B2CF9AE}" pid="12" name="MSIP_Label_e23aaa83-1940-48a9-a4d6-4a193a1929ec_Tag">
    <vt:lpwstr>10, 3, 0, 1</vt:lpwstr>
  </property>
</Properties>
</file>